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UNITED STATES</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48895</wp:posOffset>
            </wp:positionV>
            <wp:extent cx="46634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SCHEDULE 14A</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(Rule 14a-101)</w:t>
      </w:r>
    </w:p>
    <w:p>
      <w:pPr>
        <w:spacing w:after="0" w:line="136"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SCHEDULE 14A INFORMATION</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2"/>
          <w:szCs w:val="12"/>
          <w:color w:val="auto"/>
        </w:rPr>
        <w:t>Proxy Statement Pursuant to Section 14(a) of the Securities Exchange Act of 1934</w:t>
      </w:r>
    </w:p>
    <w:p>
      <w:pPr>
        <w:spacing w:after="0" w:line="15" w:lineRule="exact"/>
        <w:rPr>
          <w:sz w:val="24"/>
          <w:szCs w:val="24"/>
          <w:color w:val="auto"/>
        </w:rPr>
      </w:pPr>
    </w:p>
    <w:p>
      <w:pPr>
        <w:ind w:left="5060"/>
        <w:spacing w:after="0"/>
        <w:tabs>
          <w:tab w:leader="none" w:pos="6160" w:val="left"/>
        </w:tabs>
        <w:rPr>
          <w:sz w:val="20"/>
          <w:szCs w:val="20"/>
          <w:color w:val="auto"/>
        </w:rPr>
      </w:pPr>
      <w:r>
        <w:rPr>
          <w:rFonts w:ascii="Arial" w:cs="Arial" w:eastAsia="Arial" w:hAnsi="Arial"/>
          <w:sz w:val="12"/>
          <w:szCs w:val="12"/>
          <w:color w:val="auto"/>
        </w:rPr>
        <w:t>(Amendment No.</w:t>
      </w:r>
      <w:r>
        <w:rPr>
          <w:sz w:val="20"/>
          <w:szCs w:val="20"/>
          <w:color w:val="auto"/>
        </w:rPr>
        <w:tab/>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2675255</wp:posOffset>
            </wp:positionH>
            <wp:positionV relativeFrom="paragraph">
              <wp:posOffset>106680</wp:posOffset>
            </wp:positionV>
            <wp:extent cx="18173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715"/>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-12700</wp:posOffset>
            </wp:positionV>
            <wp:extent cx="1524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0" cy="5715"/>
                    </a:xfrm>
                    <a:prstGeom prst="rect">
                      <a:avLst/>
                    </a:prstGeom>
                    <a:noFill/>
                  </pic:spPr>
                </pic:pic>
              </a:graphicData>
            </a:graphic>
          </wp:anchor>
        </w:drawing>
      </w:r>
    </w:p>
    <w:p>
      <w:pPr>
        <w:spacing w:after="0" w:line="333" w:lineRule="exact"/>
        <w:rPr>
          <w:sz w:val="24"/>
          <w:szCs w:val="24"/>
          <w:color w:val="auto"/>
        </w:rPr>
      </w:pPr>
    </w:p>
    <w:p>
      <w:pPr>
        <w:ind w:left="2340" w:hanging="368"/>
        <w:spacing w:after="0"/>
        <w:tabs>
          <w:tab w:leader="none" w:pos="23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Filed by the Registrant</w:t>
      </w:r>
    </w:p>
    <w:p>
      <w:pPr>
        <w:spacing w:after="0" w:line="54" w:lineRule="exact"/>
        <w:rPr>
          <w:sz w:val="24"/>
          <w:szCs w:val="24"/>
          <w:color w:val="auto"/>
        </w:rPr>
      </w:pPr>
    </w:p>
    <w:p>
      <w:pPr>
        <w:ind w:left="2340" w:hanging="368"/>
        <w:spacing w:after="0"/>
        <w:tabs>
          <w:tab w:leader="none" w:pos="234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Filed by a Party other than the Registrant</w:t>
      </w:r>
    </w:p>
    <w:p>
      <w:pPr>
        <w:spacing w:after="0" w:line="153" w:lineRule="exact"/>
        <w:rPr>
          <w:sz w:val="24"/>
          <w:szCs w:val="24"/>
          <w:color w:val="auto"/>
        </w:rPr>
      </w:pPr>
    </w:p>
    <w:p>
      <w:pPr>
        <w:ind w:left="1980"/>
        <w:spacing w:after="0"/>
        <w:rPr>
          <w:sz w:val="20"/>
          <w:szCs w:val="20"/>
          <w:color w:val="auto"/>
        </w:rPr>
      </w:pPr>
      <w:r>
        <w:rPr>
          <w:rFonts w:ascii="Arial" w:cs="Arial" w:eastAsia="Arial" w:hAnsi="Arial"/>
          <w:sz w:val="11"/>
          <w:szCs w:val="11"/>
          <w:color w:val="auto"/>
        </w:rPr>
        <w:t>Check the appropriate box:</w:t>
      </w:r>
    </w:p>
    <w:p>
      <w:pPr>
        <w:spacing w:after="0" w:line="19" w:lineRule="exact"/>
        <w:rPr>
          <w:sz w:val="24"/>
          <w:szCs w:val="24"/>
          <w:color w:val="auto"/>
        </w:rPr>
      </w:pPr>
    </w:p>
    <w:p>
      <w:pPr>
        <w:ind w:left="2340" w:hanging="368"/>
        <w:spacing w:after="0"/>
        <w:tabs>
          <w:tab w:leader="none" w:pos="2340"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Preliminary Proxy Statement</w:t>
      </w:r>
    </w:p>
    <w:p>
      <w:pPr>
        <w:spacing w:after="0" w:line="51" w:lineRule="exact"/>
        <w:rPr>
          <w:rFonts w:ascii="MS PGothic" w:cs="MS PGothic" w:eastAsia="MS PGothic" w:hAnsi="MS PGothic"/>
          <w:sz w:val="11"/>
          <w:szCs w:val="11"/>
          <w:color w:val="auto"/>
        </w:rPr>
      </w:pPr>
    </w:p>
    <w:p>
      <w:pPr>
        <w:ind w:left="1980" w:right="5280" w:hanging="8"/>
        <w:spacing w:after="0" w:line="169" w:lineRule="exact"/>
        <w:tabs>
          <w:tab w:leader="none" w:pos="2349"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 xml:space="preserve">Confidential, for Use of the Commission Only (as permitted by Rule 14a-6(e)(2)) </w:t>
      </w:r>
      <w:r>
        <w:rPr>
          <w:rFonts w:ascii="MS PGothic" w:cs="MS PGothic" w:eastAsia="MS PGothic" w:hAnsi="MS PGothic"/>
          <w:sz w:val="11"/>
          <w:szCs w:val="11"/>
          <w:color w:val="auto"/>
        </w:rPr>
        <w:t>☒</w:t>
      </w:r>
      <w:r>
        <w:rPr>
          <w:rFonts w:ascii="Arial" w:cs="Arial" w:eastAsia="Arial" w:hAnsi="Arial"/>
          <w:sz w:val="11"/>
          <w:szCs w:val="11"/>
          <w:color w:val="auto"/>
        </w:rPr>
        <w:t xml:space="preserve"> Definitive Proxy Statement</w:t>
      </w:r>
    </w:p>
    <w:p>
      <w:pPr>
        <w:spacing w:after="0" w:line="22" w:lineRule="exact"/>
        <w:rPr>
          <w:rFonts w:ascii="MS PGothic" w:cs="MS PGothic" w:eastAsia="MS PGothic" w:hAnsi="MS PGothic"/>
          <w:sz w:val="11"/>
          <w:szCs w:val="11"/>
          <w:color w:val="auto"/>
        </w:rPr>
      </w:pPr>
    </w:p>
    <w:p>
      <w:pPr>
        <w:ind w:left="2340" w:hanging="368"/>
        <w:spacing w:after="0"/>
        <w:tabs>
          <w:tab w:leader="none" w:pos="2340"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Definitive Additional Materials</w:t>
      </w:r>
    </w:p>
    <w:p>
      <w:pPr>
        <w:spacing w:after="0" w:line="53" w:lineRule="exact"/>
        <w:rPr>
          <w:rFonts w:ascii="MS PGothic" w:cs="MS PGothic" w:eastAsia="MS PGothic" w:hAnsi="MS PGothic"/>
          <w:sz w:val="11"/>
          <w:szCs w:val="11"/>
          <w:color w:val="auto"/>
        </w:rPr>
      </w:pPr>
    </w:p>
    <w:p>
      <w:pPr>
        <w:ind w:left="2340" w:hanging="368"/>
        <w:spacing w:after="0"/>
        <w:tabs>
          <w:tab w:leader="none" w:pos="2340"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Soliciting Material under § 240.14a-12</w:t>
      </w:r>
    </w:p>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33655</wp:posOffset>
            </wp:positionV>
            <wp:extent cx="46634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4" w:lineRule="exact"/>
        <w:rPr>
          <w:sz w:val="24"/>
          <w:szCs w:val="24"/>
          <w:color w:val="auto"/>
        </w:rPr>
      </w:pPr>
    </w:p>
    <w:p>
      <w:pPr>
        <w:jc w:val="center"/>
        <w:ind w:right="40"/>
        <w:spacing w:after="0"/>
        <w:rPr>
          <w:sz w:val="20"/>
          <w:szCs w:val="20"/>
          <w:color w:val="auto"/>
        </w:rPr>
      </w:pPr>
      <w:r>
        <w:rPr>
          <w:rFonts w:ascii="Arial" w:cs="Arial" w:eastAsia="Arial" w:hAnsi="Arial"/>
          <w:sz w:val="11"/>
          <w:szCs w:val="1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134620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14"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(Name of Person(s) Filing Proxy Statement, if Other Than the Registrant)</w:t>
      </w:r>
    </w:p>
    <w:p>
      <w:pPr>
        <w:spacing w:after="0" w:line="149" w:lineRule="exact"/>
        <w:rPr>
          <w:sz w:val="24"/>
          <w:szCs w:val="24"/>
          <w:color w:val="auto"/>
        </w:rPr>
      </w:pPr>
    </w:p>
    <w:p>
      <w:pPr>
        <w:ind w:left="1980"/>
        <w:spacing w:after="0"/>
        <w:rPr>
          <w:sz w:val="20"/>
          <w:szCs w:val="20"/>
          <w:color w:val="auto"/>
        </w:rPr>
      </w:pPr>
      <w:r>
        <w:rPr>
          <w:rFonts w:ascii="Arial" w:cs="Arial" w:eastAsia="Arial" w:hAnsi="Arial"/>
          <w:sz w:val="12"/>
          <w:szCs w:val="12"/>
          <w:color w:val="auto"/>
        </w:rPr>
        <w:t>Payment of Filing Fee (Check the appropriate box):</w:t>
      </w:r>
    </w:p>
    <w:p>
      <w:pPr>
        <w:spacing w:after="0" w:line="38" w:lineRule="exact"/>
        <w:rPr>
          <w:sz w:val="24"/>
          <w:szCs w:val="24"/>
          <w:color w:val="auto"/>
        </w:rPr>
      </w:pPr>
    </w:p>
    <w:p>
      <w:pPr>
        <w:ind w:left="2140" w:hanging="168"/>
        <w:spacing w:after="0"/>
        <w:tabs>
          <w:tab w:leader="none" w:pos="2140" w:val="left"/>
        </w:tabs>
        <w:numPr>
          <w:ilvl w:val="0"/>
          <w:numId w:val="4"/>
        </w:numPr>
        <w:rPr>
          <w:rFonts w:ascii="MS PGothic" w:cs="MS PGothic" w:eastAsia="MS PGothic" w:hAnsi="MS PGothic"/>
          <w:sz w:val="11"/>
          <w:szCs w:val="11"/>
          <w:color w:val="auto"/>
        </w:rPr>
      </w:pPr>
      <w:r>
        <w:rPr>
          <w:rFonts w:ascii="Arial" w:cs="Arial" w:eastAsia="Arial" w:hAnsi="Arial"/>
          <w:sz w:val="11"/>
          <w:szCs w:val="11"/>
          <w:color w:val="auto"/>
        </w:rPr>
        <w:t>No fee required.</w:t>
      </w:r>
    </w:p>
    <w:p>
      <w:pPr>
        <w:spacing w:after="0" w:line="108" w:lineRule="exact"/>
        <w:rPr>
          <w:sz w:val="24"/>
          <w:szCs w:val="24"/>
          <w:color w:val="auto"/>
        </w:rPr>
      </w:pPr>
    </w:p>
    <w:p>
      <w:pPr>
        <w:ind w:left="2140" w:hanging="168"/>
        <w:spacing w:after="0"/>
        <w:tabs>
          <w:tab w:leader="none" w:pos="214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Fee computed on table below per Exchange Act Rules 14a-6(i)(1) and 0-11.</w:t>
      </w:r>
    </w:p>
    <w:p>
      <w:pPr>
        <w:spacing w:after="0" w:line="18" w:lineRule="exact"/>
        <w:rPr>
          <w:rFonts w:ascii="MS PGothic" w:cs="MS PGothic" w:eastAsia="MS PGothic" w:hAnsi="MS PGothic"/>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Title of each class of securities to which transaction applies:</w:t>
      </w:r>
    </w:p>
    <w:p>
      <w:pPr>
        <w:spacing w:after="0" w:line="24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Aggregate number of securities to which transaction applies:</w:t>
      </w:r>
    </w:p>
    <w:p>
      <w:pPr>
        <w:spacing w:after="0" w:line="25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263" w:lineRule="exact"/>
        <w:rPr>
          <w:rFonts w:ascii="Arial" w:cs="Arial" w:eastAsia="Arial" w:hAnsi="Arial"/>
          <w:sz w:val="10"/>
          <w:szCs w:val="10"/>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Proposed maximum aggregate value of transaction:</w:t>
      </w:r>
    </w:p>
    <w:p>
      <w:pPr>
        <w:spacing w:after="0" w:line="25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Total fee paid:</w:t>
      </w:r>
    </w:p>
    <w:p>
      <w:pPr>
        <w:spacing w:after="0" w:line="170" w:lineRule="exact"/>
        <w:rPr>
          <w:rFonts w:ascii="Arial" w:cs="Arial" w:eastAsia="Arial" w:hAnsi="Arial"/>
          <w:sz w:val="11"/>
          <w:szCs w:val="11"/>
          <w:color w:val="auto"/>
        </w:rPr>
      </w:pPr>
    </w:p>
    <w:p>
      <w:pPr>
        <w:ind w:left="2140" w:hanging="168"/>
        <w:spacing w:after="0"/>
        <w:tabs>
          <w:tab w:leader="none" w:pos="2140" w:val="left"/>
        </w:tabs>
        <w:numPr>
          <w:ilvl w:val="0"/>
          <w:numId w:val="5"/>
        </w:numPr>
        <w:rPr>
          <w:rFonts w:ascii="MS PGothic" w:cs="MS PGothic" w:eastAsia="MS PGothic" w:hAnsi="MS PGothic"/>
          <w:sz w:val="11"/>
          <w:szCs w:val="11"/>
          <w:color w:val="auto"/>
        </w:rPr>
      </w:pPr>
      <w:r>
        <w:rPr>
          <w:rFonts w:ascii="Arial" w:cs="Arial" w:eastAsia="Arial" w:hAnsi="Arial"/>
          <w:sz w:val="11"/>
          <w:szCs w:val="11"/>
          <w:color w:val="auto"/>
        </w:rPr>
        <w:t>Fee paid previously with preliminary materials.</w:t>
      </w:r>
    </w:p>
    <w:p>
      <w:pPr>
        <w:spacing w:after="0" w:line="161" w:lineRule="exact"/>
        <w:rPr>
          <w:rFonts w:ascii="MS PGothic" w:cs="MS PGothic" w:eastAsia="MS PGothic" w:hAnsi="MS PGothic"/>
          <w:sz w:val="11"/>
          <w:szCs w:val="11"/>
          <w:color w:val="auto"/>
        </w:rPr>
      </w:pPr>
    </w:p>
    <w:p>
      <w:pPr>
        <w:ind w:left="2140" w:hanging="168"/>
        <w:spacing w:after="0"/>
        <w:tabs>
          <w:tab w:leader="none" w:pos="2140" w:val="left"/>
        </w:tabs>
        <w:numPr>
          <w:ilvl w:val="0"/>
          <w:numId w:val="5"/>
        </w:numPr>
        <w:rPr>
          <w:rFonts w:ascii="MS PGothic" w:cs="MS PGothic" w:eastAsia="MS PGothic" w:hAnsi="MS PGothic"/>
          <w:sz w:val="10"/>
          <w:szCs w:val="10"/>
          <w:color w:val="auto"/>
        </w:rPr>
      </w:pPr>
      <w:r>
        <w:rPr>
          <w:rFonts w:ascii="Arial" w:cs="Arial" w:eastAsia="Arial" w:hAnsi="Arial"/>
          <w:sz w:val="10"/>
          <w:szCs w:val="10"/>
          <w:color w:val="auto"/>
        </w:rPr>
        <w:t>Check box if any part of the fee is offset as provided by Exchange Act Rule 0-11(a)(2) and identify the filing for which the offsetting fee was paid previously. Identify the previous filing by registration s</w:t>
      </w:r>
    </w:p>
    <w:p>
      <w:pPr>
        <w:spacing w:after="0" w:line="30" w:lineRule="exact"/>
        <w:rPr>
          <w:rFonts w:ascii="MS PGothic" w:cs="MS PGothic" w:eastAsia="MS PGothic" w:hAnsi="MS PGothic"/>
          <w:sz w:val="10"/>
          <w:szCs w:val="10"/>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Amount Previously Paid:</w:t>
      </w:r>
    </w:p>
    <w:p>
      <w:pPr>
        <w:spacing w:after="0" w:line="24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Form, Schedule or Registration Statement No.:</w:t>
      </w:r>
    </w:p>
    <w:p>
      <w:pPr>
        <w:spacing w:after="0" w:line="16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Filing Party:</w:t>
      </w:r>
    </w:p>
    <w:p>
      <w:pPr>
        <w:spacing w:after="0" w:line="161" w:lineRule="exact"/>
        <w:rPr>
          <w:rFonts w:ascii="Arial" w:cs="Arial" w:eastAsia="Arial" w:hAnsi="Arial"/>
          <w:sz w:val="11"/>
          <w:szCs w:val="11"/>
          <w:color w:val="auto"/>
        </w:rPr>
      </w:pPr>
    </w:p>
    <w:p>
      <w:pPr>
        <w:ind w:left="2520" w:hanging="377"/>
        <w:spacing w:after="0"/>
        <w:tabs>
          <w:tab w:leader="none" w:pos="2520" w:val="left"/>
        </w:tabs>
        <w:numPr>
          <w:ilvl w:val="1"/>
          <w:numId w:val="5"/>
        </w:numPr>
        <w:rPr>
          <w:rFonts w:ascii="Arial" w:cs="Arial" w:eastAsia="Arial" w:hAnsi="Arial"/>
          <w:sz w:val="11"/>
          <w:szCs w:val="11"/>
          <w:color w:val="auto"/>
        </w:rPr>
      </w:pPr>
      <w:r>
        <w:rPr>
          <w:rFonts w:ascii="Arial" w:cs="Arial" w:eastAsia="Arial" w:hAnsi="Arial"/>
          <w:sz w:val="11"/>
          <w:szCs w:val="11"/>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1600835</wp:posOffset>
            </wp:positionH>
            <wp:positionV relativeFrom="paragraph">
              <wp:posOffset>-1866265</wp:posOffset>
            </wp:positionV>
            <wp:extent cx="56127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-1626235</wp:posOffset>
            </wp:positionV>
            <wp:extent cx="56127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-1386205</wp:posOffset>
            </wp:positionV>
            <wp:extent cx="56127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-1146175</wp:posOffset>
            </wp:positionV>
            <wp:extent cx="56127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-963295</wp:posOffset>
            </wp:positionV>
            <wp:extent cx="56127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-448945</wp:posOffset>
            </wp:positionV>
            <wp:extent cx="56127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-266065</wp:posOffset>
            </wp:positionV>
            <wp:extent cx="56127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-83185</wp:posOffset>
            </wp:positionV>
            <wp:extent cx="56127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2765" cy="5715"/>
                    </a:xfrm>
                    <a:prstGeom prst="rect">
                      <a:avLst/>
                    </a:prstGeom>
                    <a:noFill/>
                  </pic:spPr>
                </pic:pic>
              </a:graphicData>
            </a:graphic>
          </wp:anchor>
        </w:drawing>
        <w:drawing>
          <wp:anchor simplePos="0" relativeHeight="251657728" behindDoc="1" locked="0" layoutInCell="0" allowOverlap="1">
            <wp:simplePos x="0" y="0"/>
            <wp:positionH relativeFrom="column">
              <wp:posOffset>1600835</wp:posOffset>
            </wp:positionH>
            <wp:positionV relativeFrom="paragraph">
              <wp:posOffset>156210</wp:posOffset>
            </wp:positionV>
            <wp:extent cx="56127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2765" cy="5715"/>
                    </a:xfrm>
                    <a:prstGeom prst="rect">
                      <a:avLst/>
                    </a:prstGeom>
                    <a:noFill/>
                  </pic:spPr>
                </pic:pic>
              </a:graphicData>
            </a:graphic>
          </wp:anchor>
        </w:drawing>
      </w:r>
    </w:p>
    <w:p>
      <w:pPr>
        <w:sectPr>
          <w:pgSz w:w="11900" w:h="16838" w:orient="portrait"/>
          <w:cols w:equalWidth="0" w:num="1">
            <w:col w:w="11340"/>
          </w:cols>
          <w:pgMar w:left="300" w:top="201" w:right="259"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136525</wp:posOffset>
            </wp:positionV>
            <wp:extent cx="1331595" cy="234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159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Biodesix, Inc.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2970 Wilderness Place, Suite 100</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Boulder, CO 80301</w:t>
      </w:r>
    </w:p>
    <w:p>
      <w:pPr>
        <w:spacing w:after="0" w:line="135"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143FDD"/>
        </w:rPr>
        <w:t>Notice of 2021 Annual Meeting of Stockholders</w:t>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Dear Biodesix Stockholders: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You are invited to attend Biodesix, Inc.’s 2021 Annual Meeting of Stockholders (the “Annual Meeting”).</w:t>
      </w:r>
    </w:p>
    <w:p>
      <w:pPr>
        <w:spacing w:after="0" w:line="164" w:lineRule="exact"/>
        <w:rPr>
          <w:sz w:val="20"/>
          <w:szCs w:val="20"/>
          <w:color w:val="auto"/>
        </w:rPr>
      </w:pPr>
    </w:p>
    <w:tbl>
      <w:tblPr>
        <w:tblLayout w:type="fixed"/>
        <w:tblInd w:w="2100" w:type="dxa"/>
        <w:tblCellMar>
          <w:top w:w="0" w:type="dxa"/>
          <w:left w:w="0" w:type="dxa"/>
          <w:bottom w:w="0" w:type="dxa"/>
          <w:right w:w="0" w:type="dxa"/>
        </w:tblCellMar>
      </w:tblPr>
      <w:tr>
        <w:trPr>
          <w:trHeight w:val="157"/>
        </w:trPr>
        <w:tc>
          <w:tcPr>
            <w:tcW w:w="960" w:type="dxa"/>
            <w:vAlign w:val="bottom"/>
          </w:tcPr>
          <w:p>
            <w:pPr>
              <w:spacing w:after="0"/>
              <w:rPr>
                <w:sz w:val="20"/>
                <w:szCs w:val="20"/>
                <w:color w:val="auto"/>
              </w:rPr>
            </w:pPr>
            <w:r>
              <w:rPr>
                <w:rFonts w:ascii="Arial" w:cs="Arial" w:eastAsia="Arial" w:hAnsi="Arial"/>
                <w:sz w:val="12"/>
                <w:szCs w:val="12"/>
                <w:b w:val="1"/>
                <w:bCs w:val="1"/>
                <w:color w:val="143FDD"/>
              </w:rPr>
              <w:t>Date:</w:t>
            </w: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rPr>
              <w:t>May 26, 2021 (Wednesday)</w:t>
            </w: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2"/>
                <w:szCs w:val="12"/>
                <w:b w:val="1"/>
                <w:bCs w:val="1"/>
                <w:color w:val="143FDD"/>
              </w:rPr>
              <w:t>Time:</w:t>
            </w: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rPr>
              <w:t>1:00 p.m., Mountain Time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Arial" w:cs="Arial" w:eastAsia="Arial" w:hAnsi="Arial"/>
                <w:sz w:val="12"/>
                <w:szCs w:val="12"/>
                <w:b w:val="1"/>
                <w:bCs w:val="1"/>
                <w:color w:val="143FDD"/>
                <w:w w:val="99"/>
              </w:rPr>
              <w:t>Virtual Location:</w:t>
            </w: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w w:val="91"/>
              </w:rPr>
              <w:t xml:space="preserve">You can attend the Annual Meeting online, including to vote and/or submit questions, at </w:t>
            </w:r>
            <w:r>
              <w:rPr>
                <w:rFonts w:ascii="Arial" w:cs="Arial" w:eastAsia="Arial" w:hAnsi="Arial"/>
                <w:sz w:val="12"/>
                <w:szCs w:val="12"/>
                <w:color w:val="1E5EFF"/>
                <w:w w:val="91"/>
              </w:rPr>
              <w:t>www.proxydocs.com/BDSX</w:t>
            </w:r>
            <w:r>
              <w:rPr>
                <w:rFonts w:ascii="Arial" w:cs="Arial" w:eastAsia="Arial" w:hAnsi="Arial"/>
                <w:sz w:val="12"/>
                <w:szCs w:val="12"/>
                <w:color w:val="auto"/>
                <w:w w:val="91"/>
              </w:rPr>
              <w:t>. See page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380" w:type="dxa"/>
            <w:vAlign w:val="bottom"/>
            <w:shd w:val="clear" w:color="auto" w:fill="1E5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60" w:type="dxa"/>
            <w:vAlign w:val="bottom"/>
          </w:tcPr>
          <w:p>
            <w:pPr>
              <w:spacing w:after="0"/>
              <w:rPr>
                <w:sz w:val="13"/>
                <w:szCs w:val="13"/>
                <w:color w:val="auto"/>
              </w:rPr>
            </w:pP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rPr>
              <w:t>1 of the accompanying proxy statement for additional information regarding participation in the virtual meeting.</w:t>
            </w:r>
          </w:p>
        </w:tc>
        <w:tc>
          <w:tcPr>
            <w:tcW w:w="0" w:type="dxa"/>
            <w:vAlign w:val="bottom"/>
          </w:tcPr>
          <w:p>
            <w:pPr>
              <w:spacing w:after="0"/>
              <w:rPr>
                <w:sz w:val="1"/>
                <w:szCs w:val="1"/>
                <w:color w:val="auto"/>
              </w:rPr>
            </w:pPr>
          </w:p>
        </w:tc>
      </w:tr>
      <w:tr>
        <w:trPr>
          <w:trHeight w:val="248"/>
        </w:trPr>
        <w:tc>
          <w:tcPr>
            <w:tcW w:w="960" w:type="dxa"/>
            <w:vAlign w:val="bottom"/>
          </w:tcPr>
          <w:p>
            <w:pPr>
              <w:spacing w:after="0"/>
              <w:rPr>
                <w:sz w:val="20"/>
                <w:szCs w:val="20"/>
                <w:color w:val="auto"/>
              </w:rPr>
            </w:pPr>
            <w:r>
              <w:rPr>
                <w:rFonts w:ascii="Arial" w:cs="Arial" w:eastAsia="Arial" w:hAnsi="Arial"/>
                <w:sz w:val="12"/>
                <w:szCs w:val="12"/>
                <w:b w:val="1"/>
                <w:bCs w:val="1"/>
                <w:color w:val="143FDD"/>
              </w:rPr>
              <w:t>Items of</w:t>
            </w: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rPr>
              <w:t>At the Annual Meeting, stockholders will be asked to vote:</w:t>
            </w:r>
          </w:p>
        </w:tc>
        <w:tc>
          <w:tcPr>
            <w:tcW w:w="0" w:type="dxa"/>
            <w:vAlign w:val="bottom"/>
          </w:tcPr>
          <w:p>
            <w:pPr>
              <w:spacing w:after="0"/>
              <w:rPr>
                <w:sz w:val="1"/>
                <w:szCs w:val="1"/>
                <w:color w:val="auto"/>
              </w:rPr>
            </w:pPr>
          </w:p>
        </w:tc>
      </w:tr>
      <w:tr>
        <w:trPr>
          <w:trHeight w:val="157"/>
        </w:trPr>
        <w:tc>
          <w:tcPr>
            <w:tcW w:w="960" w:type="dxa"/>
            <w:vAlign w:val="bottom"/>
          </w:tcPr>
          <w:p>
            <w:pPr>
              <w:spacing w:after="0"/>
              <w:rPr>
                <w:sz w:val="20"/>
                <w:szCs w:val="20"/>
                <w:color w:val="auto"/>
              </w:rPr>
            </w:pPr>
            <w:r>
              <w:rPr>
                <w:rFonts w:ascii="Arial" w:cs="Arial" w:eastAsia="Arial" w:hAnsi="Arial"/>
                <w:sz w:val="12"/>
                <w:szCs w:val="12"/>
                <w:b w:val="1"/>
                <w:bCs w:val="1"/>
                <w:color w:val="143FDD"/>
              </w:rPr>
              <w:t>Business:</w:t>
            </w:r>
          </w:p>
        </w:tc>
        <w:tc>
          <w:tcPr>
            <w:tcW w:w="260" w:type="dxa"/>
            <w:vAlign w:val="bottom"/>
            <w:vMerge w:val="restart"/>
          </w:tcPr>
          <w:p>
            <w:pPr>
              <w:ind w:left="100"/>
              <w:spacing w:after="0"/>
              <w:rPr>
                <w:sz w:val="20"/>
                <w:szCs w:val="20"/>
                <w:color w:val="auto"/>
              </w:rPr>
            </w:pPr>
            <w:r>
              <w:rPr>
                <w:rFonts w:ascii="Arial" w:cs="Arial" w:eastAsia="Arial" w:hAnsi="Arial"/>
                <w:sz w:val="12"/>
                <w:szCs w:val="12"/>
                <w:color w:val="auto"/>
              </w:rPr>
              <w:t>1.</w:t>
            </w:r>
          </w:p>
        </w:tc>
        <w:tc>
          <w:tcPr>
            <w:tcW w:w="5980" w:type="dxa"/>
            <w:vAlign w:val="bottom"/>
            <w:gridSpan w:val="3"/>
            <w:vMerge w:val="restart"/>
          </w:tcPr>
          <w:p>
            <w:pPr>
              <w:ind w:left="60"/>
              <w:spacing w:after="0"/>
              <w:rPr>
                <w:sz w:val="20"/>
                <w:szCs w:val="20"/>
                <w:color w:val="auto"/>
              </w:rPr>
            </w:pPr>
            <w:r>
              <w:rPr>
                <w:rFonts w:ascii="Arial" w:cs="Arial" w:eastAsia="Arial" w:hAnsi="Arial"/>
                <w:sz w:val="12"/>
                <w:szCs w:val="12"/>
                <w:color w:val="auto"/>
              </w:rPr>
              <w:t>to elect the two Class I directors named in this proxy statement to hold office until the 2024 annual meeting of</w:t>
            </w:r>
          </w:p>
        </w:tc>
        <w:tc>
          <w:tcPr>
            <w:tcW w:w="0" w:type="dxa"/>
            <w:vAlign w:val="bottom"/>
          </w:tcPr>
          <w:p>
            <w:pPr>
              <w:spacing w:after="0"/>
              <w:rPr>
                <w:sz w:val="1"/>
                <w:szCs w:val="1"/>
                <w:color w:val="auto"/>
              </w:rPr>
            </w:pPr>
          </w:p>
        </w:tc>
      </w:tr>
      <w:tr>
        <w:trPr>
          <w:trHeight w:val="72"/>
        </w:trPr>
        <w:tc>
          <w:tcPr>
            <w:tcW w:w="9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5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80" w:type="dxa"/>
            <w:vAlign w:val="bottom"/>
            <w:gridSpan w:val="3"/>
          </w:tcPr>
          <w:p>
            <w:pPr>
              <w:ind w:left="80"/>
              <w:spacing w:after="0"/>
              <w:rPr>
                <w:sz w:val="20"/>
                <w:szCs w:val="20"/>
                <w:color w:val="auto"/>
              </w:rPr>
            </w:pPr>
            <w:r>
              <w:rPr>
                <w:rFonts w:ascii="Arial" w:cs="Arial" w:eastAsia="Arial" w:hAnsi="Arial"/>
                <w:sz w:val="12"/>
                <w:szCs w:val="12"/>
                <w:color w:val="auto"/>
              </w:rPr>
              <w:t>stockholders;</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12"/>
                <w:szCs w:val="12"/>
                <w:color w:val="auto"/>
              </w:rPr>
              <w:t>2.</w:t>
            </w:r>
          </w:p>
        </w:tc>
        <w:tc>
          <w:tcPr>
            <w:tcW w:w="5980" w:type="dxa"/>
            <w:vAlign w:val="bottom"/>
            <w:gridSpan w:val="3"/>
          </w:tcPr>
          <w:p>
            <w:pPr>
              <w:ind w:left="60"/>
              <w:spacing w:after="0"/>
              <w:rPr>
                <w:sz w:val="20"/>
                <w:szCs w:val="20"/>
                <w:color w:val="auto"/>
              </w:rPr>
            </w:pPr>
            <w:r>
              <w:rPr>
                <w:rFonts w:ascii="Arial" w:cs="Arial" w:eastAsia="Arial" w:hAnsi="Arial"/>
                <w:sz w:val="12"/>
                <w:szCs w:val="12"/>
                <w:color w:val="auto"/>
                <w:w w:val="99"/>
              </w:rPr>
              <w:t>to ratify the appointment of KPMG LLP as our independent registered public accounting firm for the year ending</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80" w:type="dxa"/>
            <w:vAlign w:val="bottom"/>
            <w:gridSpan w:val="3"/>
          </w:tcPr>
          <w:p>
            <w:pPr>
              <w:ind w:left="80"/>
              <w:spacing w:after="0"/>
              <w:rPr>
                <w:sz w:val="20"/>
                <w:szCs w:val="20"/>
                <w:color w:val="auto"/>
              </w:rPr>
            </w:pPr>
            <w:r>
              <w:rPr>
                <w:rFonts w:ascii="Arial" w:cs="Arial" w:eastAsia="Arial" w:hAnsi="Arial"/>
                <w:sz w:val="12"/>
                <w:szCs w:val="12"/>
                <w:color w:val="auto"/>
              </w:rPr>
              <w:t>December 31, 2021; and</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Arial" w:cs="Arial" w:eastAsia="Arial" w:hAnsi="Arial"/>
                <w:sz w:val="12"/>
                <w:szCs w:val="12"/>
                <w:color w:val="auto"/>
              </w:rPr>
              <w:t>3.</w:t>
            </w:r>
          </w:p>
        </w:tc>
        <w:tc>
          <w:tcPr>
            <w:tcW w:w="5980" w:type="dxa"/>
            <w:vAlign w:val="bottom"/>
            <w:gridSpan w:val="3"/>
          </w:tcPr>
          <w:p>
            <w:pPr>
              <w:ind w:left="60"/>
              <w:spacing w:after="0"/>
              <w:rPr>
                <w:sz w:val="20"/>
                <w:szCs w:val="20"/>
                <w:color w:val="auto"/>
              </w:rPr>
            </w:pPr>
            <w:r>
              <w:rPr>
                <w:rFonts w:ascii="Arial" w:cs="Arial" w:eastAsia="Arial" w:hAnsi="Arial"/>
                <w:sz w:val="12"/>
                <w:szCs w:val="12"/>
                <w:color w:val="auto"/>
                <w:w w:val="98"/>
              </w:rPr>
              <w:t>to conduct any other business properly brought before the meeting, or any adjournment or postponement thereof.</w:t>
            </w:r>
          </w:p>
        </w:tc>
        <w:tc>
          <w:tcPr>
            <w:tcW w:w="0" w:type="dxa"/>
            <w:vAlign w:val="bottom"/>
          </w:tcPr>
          <w:p>
            <w:pPr>
              <w:spacing w:after="0"/>
              <w:rPr>
                <w:sz w:val="1"/>
                <w:szCs w:val="1"/>
                <w:color w:val="auto"/>
              </w:rPr>
            </w:pPr>
          </w:p>
        </w:tc>
      </w:tr>
      <w:tr>
        <w:trPr>
          <w:trHeight w:val="261"/>
        </w:trPr>
        <w:tc>
          <w:tcPr>
            <w:tcW w:w="960" w:type="dxa"/>
            <w:vAlign w:val="bottom"/>
          </w:tcPr>
          <w:p>
            <w:pPr>
              <w:spacing w:after="0"/>
              <w:rPr>
                <w:sz w:val="20"/>
                <w:szCs w:val="20"/>
                <w:color w:val="auto"/>
              </w:rPr>
            </w:pPr>
            <w:r>
              <w:rPr>
                <w:rFonts w:ascii="Arial" w:cs="Arial" w:eastAsia="Arial" w:hAnsi="Arial"/>
                <w:sz w:val="12"/>
                <w:szCs w:val="12"/>
                <w:b w:val="1"/>
                <w:bCs w:val="1"/>
                <w:color w:val="143FDD"/>
              </w:rPr>
              <w:t>Record Date:</w:t>
            </w: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w w:val="91"/>
              </w:rPr>
              <w:t>You can participate in the Annual Meeting and vote if you were a stockholder of record as of the close of business on April 26,</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4340" w:type="dxa"/>
            <w:vAlign w:val="bottom"/>
            <w:gridSpan w:val="2"/>
          </w:tcPr>
          <w:p>
            <w:pPr>
              <w:ind w:left="100"/>
              <w:spacing w:after="0"/>
              <w:rPr>
                <w:sz w:val="20"/>
                <w:szCs w:val="20"/>
                <w:color w:val="auto"/>
              </w:rPr>
            </w:pPr>
            <w:r>
              <w:rPr>
                <w:rFonts w:ascii="Arial" w:cs="Arial" w:eastAsia="Arial" w:hAnsi="Arial"/>
                <w:sz w:val="12"/>
                <w:szCs w:val="12"/>
                <w:color w:val="auto"/>
              </w:rPr>
              <w:t>2021.</w:t>
            </w: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0"/>
                <w:szCs w:val="20"/>
                <w:color w:val="auto"/>
              </w:rPr>
            </w:pPr>
            <w:r>
              <w:rPr>
                <w:rFonts w:ascii="Arial" w:cs="Arial" w:eastAsia="Arial" w:hAnsi="Arial"/>
                <w:sz w:val="12"/>
                <w:szCs w:val="12"/>
                <w:b w:val="1"/>
                <w:bCs w:val="1"/>
                <w:color w:val="143FDD"/>
              </w:rPr>
              <w:t>Voting:</w:t>
            </w:r>
          </w:p>
        </w:tc>
        <w:tc>
          <w:tcPr>
            <w:tcW w:w="6240" w:type="dxa"/>
            <w:vAlign w:val="bottom"/>
            <w:gridSpan w:val="4"/>
          </w:tcPr>
          <w:p>
            <w:pPr>
              <w:ind w:left="100"/>
              <w:spacing w:after="0"/>
              <w:rPr>
                <w:sz w:val="20"/>
                <w:szCs w:val="20"/>
                <w:color w:val="auto"/>
              </w:rPr>
            </w:pPr>
            <w:r>
              <w:rPr>
                <w:rFonts w:ascii="Arial" w:cs="Arial" w:eastAsia="Arial" w:hAnsi="Arial"/>
                <w:sz w:val="12"/>
                <w:szCs w:val="12"/>
                <w:b w:val="1"/>
                <w:bCs w:val="1"/>
                <w:color w:val="auto"/>
                <w:w w:val="89"/>
              </w:rPr>
              <w:t xml:space="preserve">Your vote is very important to us. </w:t>
            </w:r>
            <w:r>
              <w:rPr>
                <w:rFonts w:ascii="Arial" w:cs="Arial" w:eastAsia="Arial" w:hAnsi="Arial"/>
                <w:sz w:val="12"/>
                <w:szCs w:val="12"/>
                <w:color w:val="auto"/>
                <w:w w:val="89"/>
              </w:rPr>
              <w:t>Whether or not you plan to attend the virtual Annual Meeting, please ensure your shares are</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w w:val="92"/>
              </w:rPr>
              <w:t>represented by voting promptly. For instructions on how to vote your shares, please refer to the instructions included with this</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6240" w:type="dxa"/>
            <w:vAlign w:val="bottom"/>
            <w:gridSpan w:val="4"/>
          </w:tcPr>
          <w:p>
            <w:pPr>
              <w:ind w:left="100"/>
              <w:spacing w:after="0"/>
              <w:rPr>
                <w:sz w:val="20"/>
                <w:szCs w:val="20"/>
                <w:color w:val="auto"/>
              </w:rPr>
            </w:pPr>
            <w:r>
              <w:rPr>
                <w:rFonts w:ascii="Arial" w:cs="Arial" w:eastAsia="Arial" w:hAnsi="Arial"/>
                <w:sz w:val="12"/>
                <w:szCs w:val="12"/>
                <w:color w:val="auto"/>
              </w:rPr>
              <w:t>proxy statement, your proxy card, and our Annual Report on Form 10-K for the year ended December 31, 2020.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112395</wp:posOffset>
            </wp:positionV>
            <wp:extent cx="91440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44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Robin Harper Cowie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Chief Financial Officer, Secretary and Treasurer</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April 29, 2021</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11"/>
          <w:szCs w:val="11"/>
          <w:i w:val="1"/>
          <w:iCs w:val="1"/>
          <w:color w:val="auto"/>
        </w:rPr>
        <w:t>This Notice of 2021 Annual Meeting of Stockholders, the accompanying proxy statement and our 2020 Annual Report on Form 10-K are available on</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 xml:space="preserve">our website at https://investors.biodesix.com/investor-relations in the SEC Filings section, as well as at </w:t>
      </w:r>
      <w:r>
        <w:rPr>
          <w:rFonts w:ascii="Arial" w:cs="Arial" w:eastAsia="Arial" w:hAnsi="Arial"/>
          <w:sz w:val="12"/>
          <w:szCs w:val="12"/>
          <w:i w:val="1"/>
          <w:iCs w:val="1"/>
          <w:u w:val="single" w:color="auto"/>
          <w:color w:val="1E5EFF"/>
        </w:rPr>
        <w:t>www.proxydocs.com/BDSX.</w:t>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7" w:lineRule="exact"/>
        <w:rPr>
          <w:sz w:val="20"/>
          <w:szCs w:val="20"/>
          <w:color w:val="auto"/>
        </w:rPr>
      </w:pPr>
    </w:p>
    <w:p>
      <w:pPr>
        <w:ind w:left="1980"/>
        <w:spacing w:after="0"/>
        <w:rPr>
          <w:sz w:val="20"/>
          <w:szCs w:val="20"/>
          <w:color w:val="auto"/>
        </w:rPr>
      </w:pPr>
      <w:r>
        <w:rPr>
          <w:rFonts w:ascii="Arial" w:cs="Arial" w:eastAsia="Arial" w:hAnsi="Arial"/>
          <w:sz w:val="24"/>
          <w:szCs w:val="24"/>
          <w:color w:val="143FDD"/>
        </w:rPr>
        <w:t>Table of Contents</w:t>
      </w:r>
    </w:p>
    <w:p>
      <w:pPr>
        <w:spacing w:after="0" w:line="159"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2260" w:type="dxa"/>
            <w:vAlign w:val="bottom"/>
            <w:tcBorders>
              <w:bottom w:val="single" w:sz="8" w:color="0000EE"/>
            </w:tcBorders>
            <w:gridSpan w:val="20"/>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ANNUAL MEETING INFORMATION</w:t>
              </w:r>
            </w:hyperlink>
          </w:p>
        </w:tc>
        <w:tc>
          <w:tcPr>
            <w:tcW w:w="3900" w:type="dxa"/>
            <w:vAlign w:val="bottom"/>
            <w:gridSpan w:val="14"/>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1</w:t>
            </w:r>
          </w:p>
        </w:tc>
      </w:tr>
      <w:tr>
        <w:trPr>
          <w:trHeight w:val="169"/>
        </w:trPr>
        <w:tc>
          <w:tcPr>
            <w:tcW w:w="3320" w:type="dxa"/>
            <w:vAlign w:val="bottom"/>
            <w:tcBorders>
              <w:bottom w:val="single" w:sz="8" w:color="0000EE"/>
            </w:tcBorders>
            <w:gridSpan w:val="30"/>
          </w:tcPr>
          <w:p>
            <w:pPr>
              <w:spacing w:after="0"/>
              <w:rPr>
                <w:rFonts w:ascii="Arial" w:cs="Arial" w:eastAsia="Arial" w:hAnsi="Arial"/>
                <w:sz w:val="13"/>
                <w:szCs w:val="13"/>
                <w:b w:val="1"/>
                <w:bCs w:val="1"/>
                <w:color w:val="0000EE"/>
              </w:rPr>
            </w:pPr>
            <w:hyperlink w:anchor="page11">
              <w:r>
                <w:rPr>
                  <w:rFonts w:ascii="Arial" w:cs="Arial" w:eastAsia="Arial" w:hAnsi="Arial"/>
                  <w:sz w:val="13"/>
                  <w:szCs w:val="13"/>
                  <w:b w:val="1"/>
                  <w:bCs w:val="1"/>
                  <w:color w:val="0000EE"/>
                </w:rPr>
                <w:t>BOARD AND CORPORATE GOVERNANCE MATTERS</w:t>
              </w:r>
            </w:hyperlink>
          </w:p>
        </w:tc>
        <w:tc>
          <w:tcPr>
            <w:tcW w:w="2840" w:type="dxa"/>
            <w:vAlign w:val="bottom"/>
            <w:gridSpan w:val="4"/>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7</w:t>
            </w:r>
          </w:p>
        </w:tc>
      </w:tr>
      <w:tr>
        <w:trPr>
          <w:trHeight w:val="169"/>
        </w:trPr>
        <w:tc>
          <w:tcPr>
            <w:tcW w:w="120" w:type="dxa"/>
            <w:vAlign w:val="bottom"/>
          </w:tcPr>
          <w:p>
            <w:pPr>
              <w:spacing w:after="0"/>
              <w:rPr>
                <w:sz w:val="14"/>
                <w:szCs w:val="14"/>
                <w:color w:val="auto"/>
              </w:rPr>
            </w:pPr>
          </w:p>
        </w:tc>
        <w:tc>
          <w:tcPr>
            <w:tcW w:w="1900" w:type="dxa"/>
            <w:vAlign w:val="bottom"/>
            <w:tcBorders>
              <w:bottom w:val="single" w:sz="8" w:color="0000EE"/>
            </w:tcBorders>
            <w:gridSpan w:val="14"/>
          </w:tcPr>
          <w:p>
            <w:pPr>
              <w:spacing w:after="0"/>
              <w:rPr>
                <w:rFonts w:ascii="Arial" w:cs="Arial" w:eastAsia="Arial" w:hAnsi="Arial"/>
                <w:sz w:val="13"/>
                <w:szCs w:val="13"/>
                <w:color w:val="0000EE"/>
                <w:w w:val="92"/>
              </w:rPr>
            </w:pPr>
            <w:hyperlink w:anchor="page11">
              <w:r>
                <w:rPr>
                  <w:rFonts w:ascii="Arial" w:cs="Arial" w:eastAsia="Arial" w:hAnsi="Arial"/>
                  <w:sz w:val="13"/>
                  <w:szCs w:val="13"/>
                  <w:color w:val="0000EE"/>
                  <w:w w:val="92"/>
                </w:rPr>
                <w:t>Proposal One: Election of Directors</w:t>
              </w:r>
            </w:hyperlink>
          </w:p>
        </w:tc>
        <w:tc>
          <w:tcPr>
            <w:tcW w:w="4140" w:type="dxa"/>
            <w:vAlign w:val="bottom"/>
            <w:gridSpan w:val="19"/>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69"/>
        </w:trPr>
        <w:tc>
          <w:tcPr>
            <w:tcW w:w="120" w:type="dxa"/>
            <w:vAlign w:val="bottom"/>
          </w:tcPr>
          <w:p>
            <w:pPr>
              <w:spacing w:after="0"/>
              <w:rPr>
                <w:sz w:val="14"/>
                <w:szCs w:val="14"/>
                <w:color w:val="auto"/>
              </w:rPr>
            </w:pPr>
          </w:p>
        </w:tc>
        <w:tc>
          <w:tcPr>
            <w:tcW w:w="2860" w:type="dxa"/>
            <w:vAlign w:val="bottom"/>
            <w:tcBorders>
              <w:bottom w:val="single" w:sz="8" w:color="0000EE"/>
            </w:tcBorders>
            <w:gridSpan w:val="27"/>
          </w:tcPr>
          <w:p>
            <w:pPr>
              <w:spacing w:after="0"/>
              <w:rPr>
                <w:rFonts w:ascii="Arial" w:cs="Arial" w:eastAsia="Arial" w:hAnsi="Arial"/>
                <w:sz w:val="13"/>
                <w:szCs w:val="13"/>
                <w:color w:val="0000EE"/>
                <w:w w:val="93"/>
              </w:rPr>
            </w:pPr>
            <w:hyperlink w:anchor="page12">
              <w:r>
                <w:rPr>
                  <w:rFonts w:ascii="Arial" w:cs="Arial" w:eastAsia="Arial" w:hAnsi="Arial"/>
                  <w:sz w:val="13"/>
                  <w:szCs w:val="13"/>
                  <w:color w:val="0000EE"/>
                  <w:w w:val="93"/>
                </w:rPr>
                <w:t>Overview of Our Nominees and Continuing Directors</w:t>
              </w:r>
            </w:hyperlink>
          </w:p>
        </w:tc>
        <w:tc>
          <w:tcPr>
            <w:tcW w:w="3180" w:type="dxa"/>
            <w:vAlign w:val="bottom"/>
            <w:gridSpan w:val="6"/>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15">
              <w:r>
                <w:rPr>
                  <w:rFonts w:ascii="Arial" w:cs="Arial" w:eastAsia="Arial" w:hAnsi="Arial"/>
                  <w:sz w:val="13"/>
                  <w:szCs w:val="13"/>
                  <w:color w:val="0000EE"/>
                </w:rPr>
                <w:t>Board Composition</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15">
              <w:r>
                <w:rPr>
                  <w:rFonts w:ascii="Arial" w:cs="Arial" w:eastAsia="Arial" w:hAnsi="Arial"/>
                  <w:sz w:val="13"/>
                  <w:szCs w:val="13"/>
                  <w:color w:val="0000EE"/>
                </w:rPr>
                <w:t>Director Independence</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15">
              <w:r>
                <w:rPr>
                  <w:rFonts w:ascii="Arial" w:cs="Arial" w:eastAsia="Arial" w:hAnsi="Arial"/>
                  <w:sz w:val="13"/>
                  <w:szCs w:val="13"/>
                  <w:color w:val="0000EE"/>
                </w:rPr>
                <w:t>Board Leadership Structure</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2600" w:type="dxa"/>
            <w:vAlign w:val="bottom"/>
            <w:tcBorders>
              <w:bottom w:val="single" w:sz="8" w:color="0000EE"/>
            </w:tcBorders>
            <w:gridSpan w:val="23"/>
          </w:tcPr>
          <w:p>
            <w:pPr>
              <w:spacing w:after="0"/>
              <w:rPr>
                <w:rFonts w:ascii="Arial" w:cs="Arial" w:eastAsia="Arial" w:hAnsi="Arial"/>
                <w:sz w:val="13"/>
                <w:szCs w:val="13"/>
                <w:color w:val="0000EE"/>
                <w:w w:val="94"/>
              </w:rPr>
            </w:pPr>
            <w:hyperlink w:anchor="page16">
              <w:r>
                <w:rPr>
                  <w:rFonts w:ascii="Arial" w:cs="Arial" w:eastAsia="Arial" w:hAnsi="Arial"/>
                  <w:sz w:val="13"/>
                  <w:szCs w:val="13"/>
                  <w:color w:val="0000EE"/>
                  <w:w w:val="94"/>
                </w:rPr>
                <w:t>Role of our Board of Directors in Risk Oversight</w:t>
              </w:r>
            </w:hyperlink>
          </w:p>
        </w:tc>
        <w:tc>
          <w:tcPr>
            <w:tcW w:w="3440" w:type="dxa"/>
            <w:vAlign w:val="bottom"/>
            <w:gridSpan w:val="10"/>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120" w:type="dxa"/>
            <w:vAlign w:val="bottom"/>
          </w:tcPr>
          <w:p>
            <w:pPr>
              <w:spacing w:after="0"/>
              <w:rPr>
                <w:sz w:val="14"/>
                <w:szCs w:val="14"/>
                <w:color w:val="auto"/>
              </w:rPr>
            </w:pPr>
          </w:p>
        </w:tc>
        <w:tc>
          <w:tcPr>
            <w:tcW w:w="1880" w:type="dxa"/>
            <w:vAlign w:val="bottom"/>
            <w:tcBorders>
              <w:bottom w:val="single" w:sz="8" w:color="0000EE"/>
            </w:tcBorders>
            <w:gridSpan w:val="13"/>
          </w:tcPr>
          <w:p>
            <w:pPr>
              <w:spacing w:after="0"/>
              <w:rPr>
                <w:rFonts w:ascii="Arial" w:cs="Arial" w:eastAsia="Arial" w:hAnsi="Arial"/>
                <w:sz w:val="13"/>
                <w:szCs w:val="13"/>
                <w:color w:val="0000EE"/>
                <w:w w:val="93"/>
              </w:rPr>
            </w:pPr>
            <w:hyperlink w:anchor="page16">
              <w:r>
                <w:rPr>
                  <w:rFonts w:ascii="Arial" w:cs="Arial" w:eastAsia="Arial" w:hAnsi="Arial"/>
                  <w:sz w:val="13"/>
                  <w:szCs w:val="13"/>
                  <w:color w:val="0000EE"/>
                  <w:w w:val="93"/>
                </w:rPr>
                <w:t>Meetings of our Board of Directors</w:t>
              </w:r>
            </w:hyperlink>
          </w:p>
        </w:tc>
        <w:tc>
          <w:tcPr>
            <w:tcW w:w="4160" w:type="dxa"/>
            <w:vAlign w:val="bottom"/>
            <w:gridSpan w:val="20"/>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120" w:type="dxa"/>
            <w:vAlign w:val="bottom"/>
          </w:tcPr>
          <w:p>
            <w:pPr>
              <w:spacing w:after="0"/>
              <w:rPr>
                <w:sz w:val="14"/>
                <w:szCs w:val="14"/>
                <w:color w:val="auto"/>
              </w:rPr>
            </w:pPr>
          </w:p>
        </w:tc>
        <w:tc>
          <w:tcPr>
            <w:tcW w:w="2020" w:type="dxa"/>
            <w:vAlign w:val="bottom"/>
            <w:tcBorders>
              <w:bottom w:val="single" w:sz="8" w:color="0000EE"/>
            </w:tcBorders>
            <w:gridSpan w:val="17"/>
          </w:tcPr>
          <w:p>
            <w:pPr>
              <w:spacing w:after="0"/>
              <w:rPr>
                <w:rFonts w:ascii="Arial" w:cs="Arial" w:eastAsia="Arial" w:hAnsi="Arial"/>
                <w:sz w:val="13"/>
                <w:szCs w:val="13"/>
                <w:color w:val="0000EE"/>
                <w:w w:val="93"/>
              </w:rPr>
            </w:pPr>
            <w:hyperlink w:anchor="page16">
              <w:r>
                <w:rPr>
                  <w:rFonts w:ascii="Arial" w:cs="Arial" w:eastAsia="Arial" w:hAnsi="Arial"/>
                  <w:sz w:val="13"/>
                  <w:szCs w:val="13"/>
                  <w:color w:val="0000EE"/>
                  <w:w w:val="93"/>
                </w:rPr>
                <w:t>Committees of our Board of Directors</w:t>
              </w:r>
            </w:hyperlink>
          </w:p>
        </w:tc>
        <w:tc>
          <w:tcPr>
            <w:tcW w:w="4020" w:type="dxa"/>
            <w:vAlign w:val="bottom"/>
            <w:gridSpan w:val="16"/>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gridSpan w:val="32"/>
          </w:tcPr>
          <w:p>
            <w:pPr>
              <w:spacing w:after="0"/>
              <w:rPr>
                <w:rFonts w:ascii="Arial" w:cs="Arial" w:eastAsia="Arial" w:hAnsi="Arial"/>
                <w:sz w:val="13"/>
                <w:szCs w:val="13"/>
                <w:color w:val="0000EE"/>
              </w:rPr>
            </w:pPr>
            <w:hyperlink w:anchor="page17">
              <w:r>
                <w:rPr>
                  <w:rFonts w:ascii="Arial" w:cs="Arial" w:eastAsia="Arial" w:hAnsi="Arial"/>
                  <w:sz w:val="13"/>
                  <w:szCs w:val="13"/>
                  <w:color w:val="0000EE"/>
                </w:rPr>
                <w:t>Committee Composition and Meetings</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0000EE"/>
              <w:bottom w:val="single" w:sz="8" w:color="0000EE"/>
            </w:tcBorders>
            <w:gridSpan w:val="3"/>
          </w:tcPr>
          <w:p>
            <w:pPr>
              <w:spacing w:after="0"/>
              <w:rPr>
                <w:rFonts w:ascii="Arial" w:cs="Arial" w:eastAsia="Arial" w:hAnsi="Arial"/>
                <w:sz w:val="13"/>
                <w:szCs w:val="13"/>
                <w:color w:val="0000EE"/>
                <w:w w:val="93"/>
              </w:rPr>
            </w:pPr>
            <w:hyperlink w:anchor="page17">
              <w:r>
                <w:rPr>
                  <w:rFonts w:ascii="Arial" w:cs="Arial" w:eastAsia="Arial" w:hAnsi="Arial"/>
                  <w:sz w:val="13"/>
                  <w:szCs w:val="13"/>
                  <w:color w:val="0000EE"/>
                  <w:w w:val="93"/>
                </w:rPr>
                <w:t>Audit Committee</w:t>
              </w:r>
            </w:hyperlink>
          </w:p>
        </w:tc>
        <w:tc>
          <w:tcPr>
            <w:tcW w:w="1120" w:type="dxa"/>
            <w:vAlign w:val="bottom"/>
            <w:tcBorders>
              <w:top w:val="single" w:sz="8" w:color="0000EE"/>
            </w:tcBorders>
            <w:gridSpan w:val="16"/>
          </w:tcPr>
          <w:p>
            <w:pPr>
              <w:spacing w:after="0"/>
              <w:rPr>
                <w:sz w:val="14"/>
                <w:szCs w:val="14"/>
                <w:color w:val="auto"/>
              </w:rPr>
            </w:pPr>
          </w:p>
        </w:tc>
        <w:tc>
          <w:tcPr>
            <w:tcW w:w="3860" w:type="dxa"/>
            <w:vAlign w:val="bottom"/>
            <w:gridSpan w:val="13"/>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0000EE"/>
            </w:tcBorders>
            <w:gridSpan w:val="6"/>
          </w:tcPr>
          <w:p>
            <w:pPr>
              <w:spacing w:after="0"/>
              <w:rPr>
                <w:rFonts w:ascii="Arial" w:cs="Arial" w:eastAsia="Arial" w:hAnsi="Arial"/>
                <w:sz w:val="13"/>
                <w:szCs w:val="13"/>
                <w:color w:val="0000EE"/>
                <w:w w:val="90"/>
              </w:rPr>
            </w:pPr>
            <w:hyperlink w:anchor="page18">
              <w:r>
                <w:rPr>
                  <w:rFonts w:ascii="Arial" w:cs="Arial" w:eastAsia="Arial" w:hAnsi="Arial"/>
                  <w:sz w:val="13"/>
                  <w:szCs w:val="13"/>
                  <w:color w:val="0000EE"/>
                  <w:w w:val="90"/>
                </w:rPr>
                <w:t>Compensation Committee</w:t>
              </w:r>
            </w:hyperlink>
          </w:p>
        </w:tc>
        <w:tc>
          <w:tcPr>
            <w:tcW w:w="4520" w:type="dxa"/>
            <w:vAlign w:val="bottom"/>
            <w:gridSpan w:val="26"/>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gridSpan w:val="32"/>
          </w:tcPr>
          <w:p>
            <w:pPr>
              <w:spacing w:after="0"/>
              <w:rPr>
                <w:rFonts w:ascii="Arial" w:cs="Arial" w:eastAsia="Arial" w:hAnsi="Arial"/>
                <w:sz w:val="13"/>
                <w:szCs w:val="13"/>
                <w:color w:val="0000EE"/>
              </w:rPr>
            </w:pPr>
            <w:hyperlink w:anchor="page18">
              <w:r>
                <w:rPr>
                  <w:rFonts w:ascii="Arial" w:cs="Arial" w:eastAsia="Arial" w:hAnsi="Arial"/>
                  <w:sz w:val="13"/>
                  <w:szCs w:val="13"/>
                  <w:color w:val="0000EE"/>
                </w:rPr>
                <w:t>Compensation Committee Interlocks and Insider Participation</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Borders>
              <w:top w:val="single" w:sz="8" w:color="0000EE"/>
              <w:bottom w:val="single" w:sz="8" w:color="0000EE"/>
            </w:tcBorders>
            <w:gridSpan w:val="25"/>
          </w:tcPr>
          <w:p>
            <w:pPr>
              <w:spacing w:after="0"/>
              <w:rPr>
                <w:rFonts w:ascii="Arial" w:cs="Arial" w:eastAsia="Arial" w:hAnsi="Arial"/>
                <w:sz w:val="13"/>
                <w:szCs w:val="13"/>
                <w:color w:val="0000EE"/>
                <w:w w:val="91"/>
              </w:rPr>
            </w:pPr>
            <w:hyperlink w:anchor="page18">
              <w:r>
                <w:rPr>
                  <w:rFonts w:ascii="Arial" w:cs="Arial" w:eastAsia="Arial" w:hAnsi="Arial"/>
                  <w:sz w:val="13"/>
                  <w:szCs w:val="13"/>
                  <w:color w:val="0000EE"/>
                  <w:w w:val="91"/>
                </w:rPr>
                <w:t>Nominating and Corporate Governance Committee</w:t>
              </w:r>
            </w:hyperlink>
          </w:p>
        </w:tc>
        <w:tc>
          <w:tcPr>
            <w:tcW w:w="560" w:type="dxa"/>
            <w:vAlign w:val="bottom"/>
            <w:tcBorders>
              <w:top w:val="single" w:sz="8" w:color="0000EE"/>
            </w:tcBorders>
            <w:gridSpan w:val="4"/>
          </w:tcPr>
          <w:p>
            <w:pPr>
              <w:spacing w:after="0"/>
              <w:rPr>
                <w:sz w:val="14"/>
                <w:szCs w:val="14"/>
                <w:color w:val="auto"/>
              </w:rPr>
            </w:pPr>
          </w:p>
        </w:tc>
        <w:tc>
          <w:tcPr>
            <w:tcW w:w="2640" w:type="dxa"/>
            <w:vAlign w:val="bottom"/>
            <w:gridSpan w:val="3"/>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19">
              <w:r>
                <w:rPr>
                  <w:rFonts w:ascii="Arial" w:cs="Arial" w:eastAsia="Arial" w:hAnsi="Arial"/>
                  <w:sz w:val="13"/>
                  <w:szCs w:val="13"/>
                  <w:color w:val="0000EE"/>
                </w:rPr>
                <w:t>Director Nomination Process</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2000" w:type="dxa"/>
            <w:vAlign w:val="bottom"/>
            <w:tcBorders>
              <w:bottom w:val="single" w:sz="8" w:color="0000EE"/>
            </w:tcBorders>
            <w:gridSpan w:val="16"/>
          </w:tcPr>
          <w:p>
            <w:pPr>
              <w:spacing w:after="0"/>
              <w:rPr>
                <w:rFonts w:ascii="Arial" w:cs="Arial" w:eastAsia="Arial" w:hAnsi="Arial"/>
                <w:sz w:val="13"/>
                <w:szCs w:val="13"/>
                <w:color w:val="0000EE"/>
                <w:w w:val="90"/>
              </w:rPr>
            </w:pPr>
            <w:hyperlink w:anchor="page20">
              <w:r>
                <w:rPr>
                  <w:rFonts w:ascii="Arial" w:cs="Arial" w:eastAsia="Arial" w:hAnsi="Arial"/>
                  <w:sz w:val="13"/>
                  <w:szCs w:val="13"/>
                  <w:color w:val="0000EE"/>
                  <w:w w:val="90"/>
                </w:rPr>
                <w:t>Code of Ethics and Business Conduct</w:t>
              </w:r>
            </w:hyperlink>
          </w:p>
        </w:tc>
        <w:tc>
          <w:tcPr>
            <w:tcW w:w="4040" w:type="dxa"/>
            <w:vAlign w:val="bottom"/>
            <w:gridSpan w:val="17"/>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20">
              <w:r>
                <w:rPr>
                  <w:rFonts w:ascii="Arial" w:cs="Arial" w:eastAsia="Arial" w:hAnsi="Arial"/>
                  <w:sz w:val="13"/>
                  <w:szCs w:val="13"/>
                  <w:color w:val="0000EE"/>
                </w:rPr>
                <w:t>Corporate Governance Guidelines</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2120" w:type="dxa"/>
            <w:vAlign w:val="bottom"/>
            <w:tcBorders>
              <w:bottom w:val="single" w:sz="8" w:color="0000EE"/>
            </w:tcBorders>
            <w:gridSpan w:val="18"/>
          </w:tcPr>
          <w:p>
            <w:pPr>
              <w:spacing w:after="0"/>
              <w:rPr>
                <w:rFonts w:ascii="Arial" w:cs="Arial" w:eastAsia="Arial" w:hAnsi="Arial"/>
                <w:sz w:val="13"/>
                <w:szCs w:val="13"/>
                <w:color w:val="0000EE"/>
                <w:w w:val="95"/>
              </w:rPr>
            </w:pPr>
            <w:hyperlink w:anchor="page20">
              <w:r>
                <w:rPr>
                  <w:rFonts w:ascii="Arial" w:cs="Arial" w:eastAsia="Arial" w:hAnsi="Arial"/>
                  <w:sz w:val="13"/>
                  <w:szCs w:val="13"/>
                  <w:color w:val="0000EE"/>
                  <w:w w:val="95"/>
                </w:rPr>
                <w:t>Anti-Hedging and Anti-Pledging Policy</w:t>
              </w:r>
            </w:hyperlink>
          </w:p>
        </w:tc>
        <w:tc>
          <w:tcPr>
            <w:tcW w:w="3920" w:type="dxa"/>
            <w:vAlign w:val="bottom"/>
            <w:gridSpan w:val="15"/>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120" w:type="dxa"/>
            <w:vAlign w:val="bottom"/>
          </w:tcPr>
          <w:p>
            <w:pPr>
              <w:spacing w:after="0"/>
              <w:rPr>
                <w:sz w:val="14"/>
                <w:szCs w:val="14"/>
                <w:color w:val="auto"/>
              </w:rPr>
            </w:pPr>
          </w:p>
        </w:tc>
        <w:tc>
          <w:tcPr>
            <w:tcW w:w="3080" w:type="dxa"/>
            <w:vAlign w:val="bottom"/>
            <w:tcBorders>
              <w:bottom w:val="single" w:sz="8" w:color="0000EE"/>
            </w:tcBorders>
            <w:gridSpan w:val="28"/>
          </w:tcPr>
          <w:p>
            <w:pPr>
              <w:spacing w:after="0"/>
              <w:rPr>
                <w:rFonts w:ascii="Arial" w:cs="Arial" w:eastAsia="Arial" w:hAnsi="Arial"/>
                <w:sz w:val="13"/>
                <w:szCs w:val="13"/>
                <w:color w:val="0000EE"/>
                <w:w w:val="93"/>
              </w:rPr>
            </w:pPr>
            <w:hyperlink w:anchor="page21">
              <w:r>
                <w:rPr>
                  <w:rFonts w:ascii="Arial" w:cs="Arial" w:eastAsia="Arial" w:hAnsi="Arial"/>
                  <w:sz w:val="13"/>
                  <w:szCs w:val="13"/>
                  <w:color w:val="0000EE"/>
                  <w:w w:val="93"/>
                </w:rPr>
                <w:t>Stockholder Communications with our Board of Directors</w:t>
              </w:r>
            </w:hyperlink>
          </w:p>
        </w:tc>
        <w:tc>
          <w:tcPr>
            <w:tcW w:w="2960" w:type="dxa"/>
            <w:vAlign w:val="bottom"/>
            <w:gridSpan w:val="5"/>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120" w:type="dxa"/>
            <w:vAlign w:val="bottom"/>
          </w:tcPr>
          <w:p>
            <w:pPr>
              <w:spacing w:after="0"/>
              <w:rPr>
                <w:sz w:val="14"/>
                <w:szCs w:val="14"/>
                <w:color w:val="auto"/>
              </w:rPr>
            </w:pPr>
          </w:p>
        </w:tc>
        <w:tc>
          <w:tcPr>
            <w:tcW w:w="2820" w:type="dxa"/>
            <w:vAlign w:val="bottom"/>
            <w:tcBorders>
              <w:bottom w:val="single" w:sz="8" w:color="0000EE"/>
            </w:tcBorders>
            <w:gridSpan w:val="25"/>
          </w:tcPr>
          <w:p>
            <w:pPr>
              <w:spacing w:after="0"/>
              <w:rPr>
                <w:rFonts w:ascii="Arial" w:cs="Arial" w:eastAsia="Arial" w:hAnsi="Arial"/>
                <w:sz w:val="13"/>
                <w:szCs w:val="13"/>
                <w:color w:val="0000EE"/>
                <w:w w:val="90"/>
              </w:rPr>
            </w:pPr>
            <w:hyperlink w:anchor="page21">
              <w:r>
                <w:rPr>
                  <w:rFonts w:ascii="Arial" w:cs="Arial" w:eastAsia="Arial" w:hAnsi="Arial"/>
                  <w:sz w:val="13"/>
                  <w:szCs w:val="13"/>
                  <w:color w:val="0000EE"/>
                  <w:w w:val="90"/>
                </w:rPr>
                <w:t>Certain Relationships and Related Party Transactions</w:t>
              </w:r>
            </w:hyperlink>
          </w:p>
        </w:tc>
        <w:tc>
          <w:tcPr>
            <w:tcW w:w="3220" w:type="dxa"/>
            <w:vAlign w:val="bottom"/>
            <w:gridSpan w:val="8"/>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1820" w:type="dxa"/>
            <w:vAlign w:val="bottom"/>
            <w:tcBorders>
              <w:bottom w:val="single" w:sz="8" w:color="0000EE"/>
            </w:tcBorders>
            <w:gridSpan w:val="11"/>
          </w:tcPr>
          <w:p>
            <w:pPr>
              <w:spacing w:after="0"/>
              <w:rPr>
                <w:rFonts w:ascii="Arial" w:cs="Arial" w:eastAsia="Arial" w:hAnsi="Arial"/>
                <w:sz w:val="13"/>
                <w:szCs w:val="13"/>
                <w:b w:val="1"/>
                <w:bCs w:val="1"/>
                <w:color w:val="0000EE"/>
              </w:rPr>
            </w:pPr>
            <w:hyperlink w:anchor="page23">
              <w:r>
                <w:rPr>
                  <w:rFonts w:ascii="Arial" w:cs="Arial" w:eastAsia="Arial" w:hAnsi="Arial"/>
                  <w:sz w:val="13"/>
                  <w:szCs w:val="13"/>
                  <w:b w:val="1"/>
                  <w:bCs w:val="1"/>
                  <w:color w:val="0000EE"/>
                </w:rPr>
                <w:t>DIRECTOR COMPENSATION</w:t>
              </w:r>
            </w:hyperlink>
          </w:p>
        </w:tc>
        <w:tc>
          <w:tcPr>
            <w:tcW w:w="4340" w:type="dxa"/>
            <w:vAlign w:val="bottom"/>
            <w:gridSpan w:val="23"/>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19</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23">
              <w:r>
                <w:rPr>
                  <w:rFonts w:ascii="Arial" w:cs="Arial" w:eastAsia="Arial" w:hAnsi="Arial"/>
                  <w:sz w:val="13"/>
                  <w:szCs w:val="13"/>
                  <w:color w:val="0000EE"/>
                </w:rPr>
                <w:t>Non-Employee Director Compensation Policy</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120" w:type="dxa"/>
            <w:vAlign w:val="bottom"/>
          </w:tcPr>
          <w:p>
            <w:pPr>
              <w:spacing w:after="0"/>
              <w:rPr>
                <w:sz w:val="14"/>
                <w:szCs w:val="14"/>
                <w:color w:val="auto"/>
              </w:rPr>
            </w:pPr>
          </w:p>
        </w:tc>
        <w:tc>
          <w:tcPr>
            <w:tcW w:w="1860" w:type="dxa"/>
            <w:vAlign w:val="bottom"/>
            <w:tcBorders>
              <w:top w:val="single" w:sz="8" w:color="0000EE"/>
              <w:bottom w:val="single" w:sz="8" w:color="0000EE"/>
            </w:tcBorders>
            <w:gridSpan w:val="12"/>
          </w:tcPr>
          <w:p>
            <w:pPr>
              <w:spacing w:after="0"/>
              <w:rPr>
                <w:rFonts w:ascii="Arial" w:cs="Arial" w:eastAsia="Arial" w:hAnsi="Arial"/>
                <w:sz w:val="13"/>
                <w:szCs w:val="13"/>
                <w:color w:val="0000EE"/>
                <w:w w:val="91"/>
              </w:rPr>
            </w:pPr>
            <w:hyperlink w:anchor="page23">
              <w:r>
                <w:rPr>
                  <w:rFonts w:ascii="Arial" w:cs="Arial" w:eastAsia="Arial" w:hAnsi="Arial"/>
                  <w:sz w:val="13"/>
                  <w:szCs w:val="13"/>
                  <w:color w:val="0000EE"/>
                  <w:w w:val="91"/>
                </w:rPr>
                <w:t>2020 Director Compensation Table</w:t>
              </w:r>
            </w:hyperlink>
          </w:p>
        </w:tc>
        <w:tc>
          <w:tcPr>
            <w:tcW w:w="580" w:type="dxa"/>
            <w:vAlign w:val="bottom"/>
            <w:tcBorders>
              <w:top w:val="single" w:sz="8" w:color="0000EE"/>
            </w:tcBorders>
            <w:gridSpan w:val="10"/>
          </w:tcPr>
          <w:p>
            <w:pPr>
              <w:spacing w:after="0"/>
              <w:rPr>
                <w:sz w:val="14"/>
                <w:szCs w:val="14"/>
                <w:color w:val="auto"/>
              </w:rPr>
            </w:pPr>
          </w:p>
        </w:tc>
        <w:tc>
          <w:tcPr>
            <w:tcW w:w="3600" w:type="dxa"/>
            <w:vAlign w:val="bottom"/>
            <w:gridSpan w:val="11"/>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1920" w:type="dxa"/>
            <w:vAlign w:val="bottom"/>
            <w:tcBorders>
              <w:bottom w:val="single" w:sz="8" w:color="0000EE"/>
            </w:tcBorders>
            <w:gridSpan w:val="12"/>
          </w:tcPr>
          <w:p>
            <w:pPr>
              <w:spacing w:after="0"/>
              <w:rPr>
                <w:rFonts w:ascii="Arial" w:cs="Arial" w:eastAsia="Arial" w:hAnsi="Arial"/>
                <w:sz w:val="13"/>
                <w:szCs w:val="13"/>
                <w:b w:val="1"/>
                <w:bCs w:val="1"/>
                <w:color w:val="0000EE"/>
              </w:rPr>
            </w:pPr>
            <w:hyperlink w:anchor="page24">
              <w:r>
                <w:rPr>
                  <w:rFonts w:ascii="Arial" w:cs="Arial" w:eastAsia="Arial" w:hAnsi="Arial"/>
                  <w:sz w:val="13"/>
                  <w:szCs w:val="13"/>
                  <w:b w:val="1"/>
                  <w:bCs w:val="1"/>
                  <w:color w:val="0000EE"/>
                </w:rPr>
                <w:t>EXECUTIVE COMPENSATION</w:t>
              </w:r>
            </w:hyperlink>
          </w:p>
        </w:tc>
        <w:tc>
          <w:tcPr>
            <w:tcW w:w="4240" w:type="dxa"/>
            <w:vAlign w:val="bottom"/>
            <w:gridSpan w:val="22"/>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20</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24">
              <w:r>
                <w:rPr>
                  <w:rFonts w:ascii="Arial" w:cs="Arial" w:eastAsia="Arial" w:hAnsi="Arial"/>
                  <w:sz w:val="13"/>
                  <w:szCs w:val="13"/>
                  <w:color w:val="0000EE"/>
                </w:rPr>
                <w:t>Overview</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20"/>
        </w:trPr>
        <w:tc>
          <w:tcPr>
            <w:tcW w:w="1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25">
              <w:r>
                <w:rPr>
                  <w:rFonts w:ascii="Arial" w:cs="Arial" w:eastAsia="Arial" w:hAnsi="Arial"/>
                  <w:sz w:val="13"/>
                  <w:szCs w:val="13"/>
                  <w:color w:val="0000EE"/>
                </w:rPr>
                <w:t>Compensation of Named Executive Officers</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120" w:type="dxa"/>
            <w:vAlign w:val="bottom"/>
          </w:tcPr>
          <w:p>
            <w:pPr>
              <w:spacing w:after="0"/>
              <w:rPr>
                <w:sz w:val="14"/>
                <w:szCs w:val="14"/>
                <w:color w:val="auto"/>
              </w:rPr>
            </w:pPr>
          </w:p>
        </w:tc>
        <w:tc>
          <w:tcPr>
            <w:tcW w:w="1940" w:type="dxa"/>
            <w:vAlign w:val="bottom"/>
            <w:tcBorders>
              <w:top w:val="single" w:sz="8" w:color="0000EE"/>
              <w:bottom w:val="single" w:sz="8" w:color="0000EE"/>
            </w:tcBorders>
            <w:gridSpan w:val="15"/>
          </w:tcPr>
          <w:p>
            <w:pPr>
              <w:spacing w:after="0"/>
              <w:rPr>
                <w:rFonts w:ascii="Arial" w:cs="Arial" w:eastAsia="Arial" w:hAnsi="Arial"/>
                <w:sz w:val="13"/>
                <w:szCs w:val="13"/>
                <w:color w:val="0000EE"/>
                <w:w w:val="90"/>
              </w:rPr>
            </w:pPr>
            <w:hyperlink w:anchor="page28">
              <w:r>
                <w:rPr>
                  <w:rFonts w:ascii="Arial" w:cs="Arial" w:eastAsia="Arial" w:hAnsi="Arial"/>
                  <w:sz w:val="13"/>
                  <w:szCs w:val="13"/>
                  <w:color w:val="0000EE"/>
                  <w:w w:val="90"/>
                </w:rPr>
                <w:t>2020 Summary Compensation Table</w:t>
              </w:r>
            </w:hyperlink>
          </w:p>
        </w:tc>
        <w:tc>
          <w:tcPr>
            <w:tcW w:w="400" w:type="dxa"/>
            <w:vAlign w:val="bottom"/>
            <w:tcBorders>
              <w:top w:val="single" w:sz="8" w:color="0000EE"/>
            </w:tcBorders>
            <w:gridSpan w:val="6"/>
          </w:tcPr>
          <w:p>
            <w:pPr>
              <w:spacing w:after="0"/>
              <w:rPr>
                <w:sz w:val="14"/>
                <w:szCs w:val="14"/>
                <w:color w:val="auto"/>
              </w:rPr>
            </w:pPr>
          </w:p>
        </w:tc>
        <w:tc>
          <w:tcPr>
            <w:tcW w:w="3700" w:type="dxa"/>
            <w:vAlign w:val="bottom"/>
            <w:gridSpan w:val="12"/>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29">
              <w:r>
                <w:rPr>
                  <w:rFonts w:ascii="Arial" w:cs="Arial" w:eastAsia="Arial" w:hAnsi="Arial"/>
                  <w:sz w:val="13"/>
                  <w:szCs w:val="13"/>
                  <w:color w:val="0000EE"/>
                </w:rPr>
                <w:t>Outstanding Equity Awards at 2020 Fiscal Year-End</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69"/>
        </w:trPr>
        <w:tc>
          <w:tcPr>
            <w:tcW w:w="120" w:type="dxa"/>
            <w:vAlign w:val="bottom"/>
          </w:tcPr>
          <w:p>
            <w:pPr>
              <w:spacing w:after="0"/>
              <w:rPr>
                <w:sz w:val="14"/>
                <w:szCs w:val="14"/>
                <w:color w:val="auto"/>
              </w:rPr>
            </w:pPr>
          </w:p>
        </w:tc>
        <w:tc>
          <w:tcPr>
            <w:tcW w:w="2760" w:type="dxa"/>
            <w:vAlign w:val="bottom"/>
            <w:tcBorders>
              <w:top w:val="single" w:sz="8" w:color="0000EE"/>
            </w:tcBorders>
            <w:gridSpan w:val="24"/>
          </w:tcPr>
          <w:p>
            <w:pPr>
              <w:spacing w:after="0"/>
              <w:rPr>
                <w:rFonts w:ascii="Arial" w:cs="Arial" w:eastAsia="Arial" w:hAnsi="Arial"/>
                <w:sz w:val="13"/>
                <w:szCs w:val="13"/>
                <w:color w:val="0000EE"/>
              </w:rPr>
            </w:pPr>
            <w:hyperlink w:anchor="page30">
              <w:r>
                <w:rPr>
                  <w:rFonts w:ascii="Arial" w:cs="Arial" w:eastAsia="Arial" w:hAnsi="Arial"/>
                  <w:sz w:val="13"/>
                  <w:szCs w:val="13"/>
                  <w:color w:val="0000EE"/>
                </w:rPr>
                <w:t>Additional Matters</w:t>
              </w:r>
            </w:hyperlink>
          </w:p>
        </w:tc>
        <w:tc>
          <w:tcPr>
            <w:tcW w:w="3280" w:type="dxa"/>
            <w:vAlign w:val="bottom"/>
            <w:gridSpan w:val="9"/>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0"/>
        </w:trPr>
        <w:tc>
          <w:tcPr>
            <w:tcW w:w="120" w:type="dxa"/>
            <w:vAlign w:val="bottom"/>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80" w:type="dxa"/>
            <w:vAlign w:val="bottom"/>
            <w:gridSpan w:val="2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6160" w:type="dxa"/>
            <w:vAlign w:val="bottom"/>
            <w:gridSpan w:val="34"/>
          </w:tcPr>
          <w:p>
            <w:pPr>
              <w:spacing w:after="0"/>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STOCK OWNERSHIP</w:t>
              </w:r>
            </w:hyperlink>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28</w:t>
            </w:r>
          </w:p>
        </w:tc>
      </w:tr>
      <w:tr>
        <w:trPr>
          <w:trHeight w:val="20"/>
        </w:trPr>
        <w:tc>
          <w:tcPr>
            <w:tcW w:w="12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80" w:type="dxa"/>
            <w:vAlign w:val="bottom"/>
            <w:gridSpan w:val="2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32">
              <w:r>
                <w:rPr>
                  <w:rFonts w:ascii="Arial" w:cs="Arial" w:eastAsia="Arial" w:hAnsi="Arial"/>
                  <w:sz w:val="13"/>
                  <w:szCs w:val="13"/>
                  <w:color w:val="0000EE"/>
                </w:rPr>
                <w:t>Security Ownership of Certain Beneficial Owners and Management</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12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11"/>
          </w:tcPr>
          <w:p>
            <w:pPr>
              <w:spacing w:after="0"/>
              <w:rPr>
                <w:rFonts w:ascii="Arial" w:cs="Arial" w:eastAsia="Arial" w:hAnsi="Arial"/>
                <w:sz w:val="13"/>
                <w:szCs w:val="13"/>
                <w:color w:val="0000EE"/>
                <w:w w:val="91"/>
              </w:rPr>
            </w:pPr>
            <w:hyperlink w:anchor="page34">
              <w:r>
                <w:rPr>
                  <w:rFonts w:ascii="Arial" w:cs="Arial" w:eastAsia="Arial" w:hAnsi="Arial"/>
                  <w:sz w:val="13"/>
                  <w:szCs w:val="13"/>
                  <w:color w:val="0000EE"/>
                  <w:w w:val="91"/>
                </w:rPr>
                <w:t>Delinquent Section 16(a) Reports</w:t>
              </w:r>
            </w:hyperlink>
          </w:p>
        </w:tc>
        <w:tc>
          <w:tcPr>
            <w:tcW w:w="1780" w:type="dxa"/>
            <w:vAlign w:val="bottom"/>
            <w:tcBorders>
              <w:top w:val="single" w:sz="8" w:color="0000EE"/>
            </w:tcBorders>
            <w:gridSpan w:val="20"/>
          </w:tcPr>
          <w:p>
            <w:pPr>
              <w:spacing w:after="0"/>
              <w:rPr>
                <w:sz w:val="14"/>
                <w:szCs w:val="14"/>
                <w:color w:val="auto"/>
              </w:rPr>
            </w:pPr>
          </w:p>
        </w:tc>
        <w:tc>
          <w:tcPr>
            <w:tcW w:w="2460" w:type="dxa"/>
            <w:vAlign w:val="bottom"/>
            <w:gridSpan w:val="2"/>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69"/>
        </w:trPr>
        <w:tc>
          <w:tcPr>
            <w:tcW w:w="1120" w:type="dxa"/>
            <w:vAlign w:val="bottom"/>
            <w:tcBorders>
              <w:bottom w:val="single" w:sz="8" w:color="0000EE"/>
            </w:tcBorders>
            <w:gridSpan w:val="4"/>
          </w:tcPr>
          <w:p>
            <w:pPr>
              <w:spacing w:after="0"/>
              <w:rPr>
                <w:rFonts w:ascii="Arial" w:cs="Arial" w:eastAsia="Arial" w:hAnsi="Arial"/>
                <w:sz w:val="13"/>
                <w:szCs w:val="13"/>
                <w:b w:val="1"/>
                <w:bCs w:val="1"/>
                <w:color w:val="0000EE"/>
              </w:rPr>
            </w:pPr>
            <w:hyperlink w:anchor="page35">
              <w:r>
                <w:rPr>
                  <w:rFonts w:ascii="Arial" w:cs="Arial" w:eastAsia="Arial" w:hAnsi="Arial"/>
                  <w:sz w:val="13"/>
                  <w:szCs w:val="13"/>
                  <w:b w:val="1"/>
                  <w:bCs w:val="1"/>
                  <w:color w:val="0000EE"/>
                </w:rPr>
                <w:t>AUDIT MATTERS</w:t>
              </w:r>
            </w:hyperlink>
          </w:p>
        </w:tc>
        <w:tc>
          <w:tcPr>
            <w:tcW w:w="5040" w:type="dxa"/>
            <w:vAlign w:val="bottom"/>
            <w:gridSpan w:val="30"/>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143FDD"/>
              </w:rPr>
              <w:t>31</w:t>
            </w:r>
          </w:p>
        </w:tc>
      </w:tr>
      <w:tr>
        <w:trPr>
          <w:trHeight w:val="169"/>
        </w:trPr>
        <w:tc>
          <w:tcPr>
            <w:tcW w:w="120" w:type="dxa"/>
            <w:vAlign w:val="bottom"/>
          </w:tcPr>
          <w:p>
            <w:pPr>
              <w:spacing w:after="0"/>
              <w:rPr>
                <w:sz w:val="14"/>
                <w:szCs w:val="14"/>
                <w:color w:val="auto"/>
              </w:rPr>
            </w:pPr>
          </w:p>
        </w:tc>
        <w:tc>
          <w:tcPr>
            <w:tcW w:w="6040" w:type="dxa"/>
            <w:vAlign w:val="bottom"/>
            <w:gridSpan w:val="33"/>
          </w:tcPr>
          <w:p>
            <w:pPr>
              <w:spacing w:after="0"/>
              <w:rPr>
                <w:rFonts w:ascii="Arial" w:cs="Arial" w:eastAsia="Arial" w:hAnsi="Arial"/>
                <w:sz w:val="13"/>
                <w:szCs w:val="13"/>
                <w:color w:val="0000EE"/>
              </w:rPr>
            </w:pPr>
            <w:hyperlink w:anchor="page35">
              <w:r>
                <w:rPr>
                  <w:rFonts w:ascii="Arial" w:cs="Arial" w:eastAsia="Arial" w:hAnsi="Arial"/>
                  <w:sz w:val="13"/>
                  <w:szCs w:val="13"/>
                  <w:color w:val="0000EE"/>
                </w:rPr>
                <w:t>Proposal Two: Ratification of Appointment of Independent Registered Public Accounting Firm</w:t>
              </w:r>
            </w:hyperlink>
          </w:p>
        </w:tc>
        <w:tc>
          <w:tcPr>
            <w:tcW w:w="114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69"/>
        </w:trPr>
        <w:tc>
          <w:tcPr>
            <w:tcW w:w="12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3"/>
                <w:szCs w:val="13"/>
                <w:color w:val="0000EE"/>
                <w:w w:val="93"/>
              </w:rPr>
            </w:pPr>
            <w:hyperlink w:anchor="page36">
              <w:r>
                <w:rPr>
                  <w:rFonts w:ascii="Arial" w:cs="Arial" w:eastAsia="Arial" w:hAnsi="Arial"/>
                  <w:sz w:val="13"/>
                  <w:szCs w:val="13"/>
                  <w:color w:val="0000EE"/>
                  <w:w w:val="93"/>
                </w:rPr>
                <w:t>Report of the Audit Committee</w:t>
              </w:r>
            </w:hyperlink>
          </w:p>
        </w:tc>
        <w:tc>
          <w:tcPr>
            <w:tcW w:w="3360" w:type="dxa"/>
            <w:vAlign w:val="bottom"/>
            <w:tcBorders>
              <w:top w:val="single" w:sz="8" w:color="0000EE"/>
            </w:tcBorders>
            <w:gridSpan w:val="23"/>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w:t>
            </w:r>
          </w:p>
        </w:tc>
      </w:tr>
    </w:tbl>
    <w:p>
      <w:pPr>
        <w:sectPr>
          <w:pgSz w:w="11900" w:h="16838" w:orient="portrait"/>
          <w:cols w:equalWidth="0" w:num="1">
            <w:col w:w="10159"/>
          </w:cols>
          <w:pgMar w:left="300" w:top="354" w:right="1440"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27"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1860" w:type="dxa"/>
            <w:vAlign w:val="bottom"/>
            <w:tcBorders>
              <w:bottom w:val="single" w:sz="8" w:color="0000EE"/>
            </w:tcBorders>
            <w:gridSpan w:val="3"/>
          </w:tcPr>
          <w:p>
            <w:pPr>
              <w:spacing w:after="0"/>
              <w:rPr>
                <w:rFonts w:ascii="Arial" w:cs="Arial" w:eastAsia="Arial" w:hAnsi="Arial"/>
                <w:sz w:val="13"/>
                <w:szCs w:val="13"/>
                <w:b w:val="1"/>
                <w:bCs w:val="1"/>
                <w:color w:val="0000EE"/>
              </w:rPr>
            </w:pPr>
            <w:hyperlink w:anchor="page37">
              <w:r>
                <w:rPr>
                  <w:rFonts w:ascii="Arial" w:cs="Arial" w:eastAsia="Arial" w:hAnsi="Arial"/>
                  <w:sz w:val="13"/>
                  <w:szCs w:val="13"/>
                  <w:b w:val="1"/>
                  <w:bCs w:val="1"/>
                  <w:color w:val="0000EE"/>
                </w:rPr>
                <w:t>ADDITIONAL INFORMATION</w:t>
              </w:r>
            </w:hyperlink>
          </w:p>
        </w:tc>
        <w:tc>
          <w:tcPr>
            <w:tcW w:w="4140" w:type="dxa"/>
            <w:vAlign w:val="bottom"/>
            <w:gridSpan w:val="3"/>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143FDD"/>
              </w:rPr>
              <w:t>33</w:t>
            </w:r>
          </w:p>
        </w:tc>
      </w:tr>
      <w:tr>
        <w:trPr>
          <w:trHeight w:val="169"/>
        </w:trPr>
        <w:tc>
          <w:tcPr>
            <w:tcW w:w="120" w:type="dxa"/>
            <w:vAlign w:val="bottom"/>
          </w:tcPr>
          <w:p>
            <w:pPr>
              <w:spacing w:after="0"/>
              <w:rPr>
                <w:sz w:val="14"/>
                <w:szCs w:val="14"/>
                <w:color w:val="auto"/>
              </w:rPr>
            </w:pPr>
          </w:p>
        </w:tc>
        <w:tc>
          <w:tcPr>
            <w:tcW w:w="5880" w:type="dxa"/>
            <w:vAlign w:val="bottom"/>
            <w:gridSpan w:val="5"/>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Other Matters</w:t>
              </w:r>
            </w:hyperlink>
          </w:p>
        </w:tc>
        <w:tc>
          <w:tcPr>
            <w:tcW w:w="13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5880" w:type="dxa"/>
            <w:vAlign w:val="bottom"/>
            <w:gridSpan w:val="5"/>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Stockholder Proposals and Nominations for Next Year’s Annual Meeting of Stockholders</w:t>
              </w:r>
            </w:hyperlink>
          </w:p>
        </w:tc>
        <w:tc>
          <w:tcPr>
            <w:tcW w:w="13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120" w:type="dxa"/>
            <w:vAlign w:val="bottom"/>
          </w:tcPr>
          <w:p>
            <w:pPr>
              <w:spacing w:after="0"/>
              <w:rPr>
                <w:sz w:val="14"/>
                <w:szCs w:val="14"/>
                <w:color w:val="auto"/>
              </w:rPr>
            </w:pPr>
          </w:p>
        </w:tc>
        <w:tc>
          <w:tcPr>
            <w:tcW w:w="4720" w:type="dxa"/>
            <w:vAlign w:val="bottom"/>
            <w:tcBorders>
              <w:top w:val="single" w:sz="8" w:color="0000EE"/>
            </w:tcBorders>
            <w:gridSpan w:val="4"/>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Availability of Annual Report on Form 10-K</w:t>
              </w:r>
            </w:hyperlink>
          </w:p>
        </w:tc>
        <w:tc>
          <w:tcPr>
            <w:tcW w:w="1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136525</wp:posOffset>
            </wp:positionV>
            <wp:extent cx="1331595" cy="234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159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40"/>
        <w:spacing w:after="0"/>
        <w:rPr>
          <w:sz w:val="20"/>
          <w:szCs w:val="20"/>
          <w:color w:val="auto"/>
        </w:rPr>
      </w:pPr>
      <w:r>
        <w:rPr>
          <w:rFonts w:ascii="Arial" w:cs="Arial" w:eastAsia="Arial" w:hAnsi="Arial"/>
          <w:sz w:val="34"/>
          <w:szCs w:val="34"/>
          <w:color w:val="143FDD"/>
        </w:rPr>
        <w:t>Proxy Statement</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2021 Annual Meeting of Stockholders</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May 26, 2021</w:t>
      </w:r>
    </w:p>
    <w:p>
      <w:pPr>
        <w:spacing w:after="0" w:line="128"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143FDD"/>
        </w:rPr>
        <w:t>ANNUAL MEETING INFORMATION</w:t>
      </w:r>
    </w:p>
    <w:p>
      <w:pPr>
        <w:spacing w:after="0" w:line="164" w:lineRule="exact"/>
        <w:rPr>
          <w:sz w:val="20"/>
          <w:szCs w:val="20"/>
          <w:color w:val="auto"/>
        </w:rPr>
      </w:pPr>
    </w:p>
    <w:p>
      <w:pPr>
        <w:ind w:left="1980" w:right="839" w:firstLine="514"/>
        <w:spacing w:after="0" w:line="278" w:lineRule="auto"/>
        <w:rPr>
          <w:sz w:val="20"/>
          <w:szCs w:val="20"/>
          <w:color w:val="auto"/>
        </w:rPr>
      </w:pPr>
      <w:r>
        <w:rPr>
          <w:rFonts w:ascii="Arial" w:cs="Arial" w:eastAsia="Arial" w:hAnsi="Arial"/>
          <w:sz w:val="11"/>
          <w:szCs w:val="11"/>
          <w:color w:val="auto"/>
        </w:rPr>
        <w:t xml:space="preserve">Our board of directors is soliciting your proxy for the 2021 Annual Meeting of Stockholders (the “Annual Meeting”) of Biodesix, Inc. (“Biodesix,” the “Company,” “we,” “us” or “our) and at any adjournment, continuation or postponement of the meeting for the purposes described in this proxy statement and the accompanying Notice of 2021 Annual Meeting of Stockholders. The Annual Meeting will take place on May 26, 2021 at 1:00 p.m. Mountain Time. Due to ongoing public health concerns regarding the COVID-19 pandemic and for the health and well-being of our stockholders and employees, this year’s Annual Meeting will be held via live audio webcast at </w:t>
      </w:r>
      <w:r>
        <w:rPr>
          <w:rFonts w:ascii="Arial" w:cs="Arial" w:eastAsia="Arial" w:hAnsi="Arial"/>
          <w:sz w:val="11"/>
          <w:szCs w:val="11"/>
          <w:u w:val="single" w:color="auto"/>
          <w:color w:val="1E5EFF"/>
        </w:rPr>
        <w:t>www.proxydocs.com/BDSX</w:t>
      </w:r>
      <w:r>
        <w:rPr>
          <w:rFonts w:ascii="Arial" w:cs="Arial" w:eastAsia="Arial" w:hAnsi="Arial"/>
          <w:sz w:val="11"/>
          <w:szCs w:val="11"/>
          <w:color w:val="auto"/>
        </w:rPr>
        <w:t xml:space="preserve">. If you held shares of our common stock as of the close of business on April 26, 2021, you will be able to vote on the proposals described in this proxy statement and submit questions online through the virtual meeting platform during the Annual Meeting. On or about April 30, 2021, we will be mailing a copy of our Annual Report on Form 10-K for the year ended December 31, 2020 (the “2020 Form 10-K Report”), this Proxy Statement and the proxy card (together, the “Proxy Materials”). The documents will be available at </w:t>
      </w:r>
      <w:r>
        <w:rPr>
          <w:rFonts w:ascii="Arial" w:cs="Arial" w:eastAsia="Arial" w:hAnsi="Arial"/>
          <w:sz w:val="11"/>
          <w:szCs w:val="11"/>
          <w:u w:val="single" w:color="auto"/>
          <w:color w:val="1E5EFF"/>
        </w:rPr>
        <w:t>www.proxydocs.com/BDSX</w:t>
      </w:r>
      <w:r>
        <w:rPr>
          <w:rFonts w:ascii="Arial" w:cs="Arial" w:eastAsia="Arial" w:hAnsi="Arial"/>
          <w:sz w:val="11"/>
          <w:szCs w:val="11"/>
          <w:color w:val="auto"/>
        </w:rPr>
        <w:t>. The proxy card will also include information on how to vote online or by telephone or by returning your proxy card by mail.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Who can vote?</w:t>
      </w:r>
    </w:p>
    <w:p>
      <w:pPr>
        <w:spacing w:after="0" w:line="154" w:lineRule="exact"/>
        <w:rPr>
          <w:sz w:val="20"/>
          <w:szCs w:val="20"/>
          <w:color w:val="auto"/>
        </w:rPr>
      </w:pPr>
    </w:p>
    <w:p>
      <w:pPr>
        <w:ind w:left="1980" w:right="859" w:firstLine="514"/>
        <w:spacing w:after="0" w:line="263" w:lineRule="auto"/>
        <w:rPr>
          <w:sz w:val="20"/>
          <w:szCs w:val="20"/>
          <w:color w:val="auto"/>
        </w:rPr>
      </w:pPr>
      <w:r>
        <w:rPr>
          <w:rFonts w:ascii="Arial" w:cs="Arial" w:eastAsia="Arial" w:hAnsi="Arial"/>
          <w:sz w:val="12"/>
          <w:szCs w:val="12"/>
          <w:color w:val="auto"/>
        </w:rPr>
        <w:t>If you were a stockholder of record as of the close of business on April 26, 2021 (the “record date”), you are entitled to vote your shares at the Annual Meeting. As of the record date, 26,858,322 shares of our common stock were issued and outstanding. Each share of our common stock is entitled to one vote on each matter properly brought before to the meeting.</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What am I voting on?</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You are being asked to vote on two proposals:</w:t>
      </w:r>
    </w:p>
    <w:p>
      <w:pPr>
        <w:spacing w:after="0" w:line="164" w:lineRule="exact"/>
        <w:rPr>
          <w:sz w:val="20"/>
          <w:szCs w:val="20"/>
          <w:color w:val="auto"/>
        </w:rPr>
      </w:pPr>
    </w:p>
    <w:p>
      <w:pPr>
        <w:ind w:left="2700" w:right="1379" w:hanging="368"/>
        <w:spacing w:after="0" w:line="283" w:lineRule="auto"/>
        <w:tabs>
          <w:tab w:leader="none" w:pos="2700" w:val="left"/>
        </w:tabs>
        <w:numPr>
          <w:ilvl w:val="0"/>
          <w:numId w:val="6"/>
        </w:numPr>
        <w:rPr>
          <w:rFonts w:ascii="Arial" w:cs="Arial" w:eastAsia="Arial" w:hAnsi="Arial"/>
          <w:sz w:val="12"/>
          <w:szCs w:val="12"/>
          <w:color w:val="143FDD"/>
        </w:rPr>
      </w:pPr>
      <w:r>
        <w:rPr>
          <w:rFonts w:ascii="Arial" w:cs="Arial" w:eastAsia="Arial" w:hAnsi="Arial"/>
          <w:sz w:val="12"/>
          <w:szCs w:val="12"/>
          <w:b w:val="1"/>
          <w:bCs w:val="1"/>
          <w:color w:val="auto"/>
        </w:rPr>
        <w:t xml:space="preserve">Proposal One: </w:t>
      </w:r>
      <w:r>
        <w:rPr>
          <w:rFonts w:ascii="Arial" w:cs="Arial" w:eastAsia="Arial" w:hAnsi="Arial"/>
          <w:sz w:val="12"/>
          <w:szCs w:val="12"/>
          <w:color w:val="auto"/>
        </w:rPr>
        <w:t>To elect the two Class I directors named in this proxy statement to hold office until the 2024 annual meeting of</w:t>
      </w:r>
      <w:r>
        <w:rPr>
          <w:rFonts w:ascii="Arial" w:cs="Arial" w:eastAsia="Arial" w:hAnsi="Arial"/>
          <w:sz w:val="12"/>
          <w:szCs w:val="12"/>
          <w:b w:val="1"/>
          <w:bCs w:val="1"/>
          <w:color w:val="auto"/>
        </w:rPr>
        <w:t xml:space="preserve"> </w:t>
      </w:r>
      <w:r>
        <w:rPr>
          <w:rFonts w:ascii="Arial" w:cs="Arial" w:eastAsia="Arial" w:hAnsi="Arial"/>
          <w:sz w:val="12"/>
          <w:szCs w:val="12"/>
          <w:color w:val="auto"/>
        </w:rPr>
        <w:t>stockholders; and</w:t>
      </w:r>
    </w:p>
    <w:p>
      <w:pPr>
        <w:spacing w:after="0" w:line="124" w:lineRule="exact"/>
        <w:rPr>
          <w:rFonts w:ascii="Arial" w:cs="Arial" w:eastAsia="Arial" w:hAnsi="Arial"/>
          <w:sz w:val="12"/>
          <w:szCs w:val="12"/>
          <w:color w:val="143FDD"/>
        </w:rPr>
      </w:pPr>
    </w:p>
    <w:p>
      <w:pPr>
        <w:ind w:left="2700" w:hanging="368"/>
        <w:spacing w:after="0"/>
        <w:tabs>
          <w:tab w:leader="none" w:pos="2700" w:val="left"/>
        </w:tabs>
        <w:numPr>
          <w:ilvl w:val="0"/>
          <w:numId w:val="6"/>
        </w:numPr>
        <w:rPr>
          <w:rFonts w:ascii="Arial" w:cs="Arial" w:eastAsia="Arial" w:hAnsi="Arial"/>
          <w:sz w:val="12"/>
          <w:szCs w:val="12"/>
          <w:color w:val="143FDD"/>
        </w:rPr>
      </w:pPr>
      <w:r>
        <w:rPr>
          <w:rFonts w:ascii="Arial" w:cs="Arial" w:eastAsia="Arial" w:hAnsi="Arial"/>
          <w:sz w:val="12"/>
          <w:szCs w:val="12"/>
          <w:b w:val="1"/>
          <w:bCs w:val="1"/>
          <w:color w:val="auto"/>
        </w:rPr>
        <w:t xml:space="preserve">Proposal Two: </w:t>
      </w:r>
      <w:r>
        <w:rPr>
          <w:rFonts w:ascii="Arial" w:cs="Arial" w:eastAsia="Arial" w:hAnsi="Arial"/>
          <w:sz w:val="12"/>
          <w:szCs w:val="12"/>
          <w:color w:val="auto"/>
        </w:rPr>
        <w:t>To ratify the appointment of KPMG LLP as our independent registered public accounting firm for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How does the board of directors recommend that I vote on each proposal?</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The board of directors recommends that our stockholders vote:</w:t>
      </w:r>
    </w:p>
    <w:p>
      <w:pPr>
        <w:spacing w:after="0" w:line="164" w:lineRule="exact"/>
        <w:rPr>
          <w:sz w:val="20"/>
          <w:szCs w:val="20"/>
          <w:color w:val="auto"/>
        </w:rPr>
      </w:pPr>
    </w:p>
    <w:p>
      <w:pPr>
        <w:ind w:left="2780" w:right="1419" w:hanging="295"/>
        <w:spacing w:after="0" w:line="283" w:lineRule="auto"/>
        <w:tabs>
          <w:tab w:leader="none" w:pos="2780" w:val="left"/>
        </w:tabs>
        <w:numPr>
          <w:ilvl w:val="0"/>
          <w:numId w:val="7"/>
        </w:numPr>
        <w:rPr>
          <w:rFonts w:ascii="Arial" w:cs="Arial" w:eastAsia="Arial" w:hAnsi="Arial"/>
          <w:sz w:val="12"/>
          <w:szCs w:val="12"/>
          <w:color w:val="143FDD"/>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election of the two Class I directors named in this proxy statement to hold office until the 2024 annual meeting of</w:t>
      </w:r>
      <w:r>
        <w:rPr>
          <w:rFonts w:ascii="Arial" w:cs="Arial" w:eastAsia="Arial" w:hAnsi="Arial"/>
          <w:sz w:val="12"/>
          <w:szCs w:val="12"/>
          <w:b w:val="1"/>
          <w:bCs w:val="1"/>
          <w:color w:val="auto"/>
        </w:rPr>
        <w:t xml:space="preserve"> </w:t>
      </w:r>
      <w:r>
        <w:rPr>
          <w:rFonts w:ascii="Arial" w:cs="Arial" w:eastAsia="Arial" w:hAnsi="Arial"/>
          <w:sz w:val="12"/>
          <w:szCs w:val="12"/>
          <w:color w:val="auto"/>
        </w:rPr>
        <w:t>stockholders; and</w:t>
      </w:r>
    </w:p>
    <w:p>
      <w:pPr>
        <w:spacing w:after="0" w:line="124" w:lineRule="exact"/>
        <w:rPr>
          <w:rFonts w:ascii="Arial" w:cs="Arial" w:eastAsia="Arial" w:hAnsi="Arial"/>
          <w:sz w:val="12"/>
          <w:szCs w:val="12"/>
          <w:color w:val="143FDD"/>
        </w:rPr>
      </w:pPr>
    </w:p>
    <w:p>
      <w:pPr>
        <w:ind w:left="2780" w:hanging="295"/>
        <w:spacing w:after="0"/>
        <w:tabs>
          <w:tab w:leader="none" w:pos="2780" w:val="left"/>
        </w:tabs>
        <w:numPr>
          <w:ilvl w:val="0"/>
          <w:numId w:val="7"/>
        </w:numPr>
        <w:rPr>
          <w:rFonts w:ascii="Arial" w:cs="Arial" w:eastAsia="Arial" w:hAnsi="Arial"/>
          <w:sz w:val="12"/>
          <w:szCs w:val="12"/>
          <w:color w:val="143FDD"/>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ratification of the appointment of KPMG LLP as our independent registered public accounting firm for 2021.</w:t>
      </w:r>
    </w:p>
    <w:p>
      <w:pPr>
        <w:spacing w:after="0" w:line="109"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1</w:t>
            </w:r>
          </w:p>
        </w:tc>
      </w:tr>
    </w:tbl>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What if another matter is properly brought before the meeting?</w:t>
      </w:r>
    </w:p>
    <w:p>
      <w:pPr>
        <w:spacing w:after="0" w:line="154" w:lineRule="exact"/>
        <w:rPr>
          <w:sz w:val="20"/>
          <w:szCs w:val="20"/>
          <w:color w:val="auto"/>
        </w:rPr>
      </w:pPr>
    </w:p>
    <w:p>
      <w:pPr>
        <w:ind w:left="1980" w:right="879" w:firstLine="514"/>
        <w:spacing w:after="0" w:line="263" w:lineRule="auto"/>
        <w:rPr>
          <w:sz w:val="20"/>
          <w:szCs w:val="20"/>
          <w:color w:val="auto"/>
        </w:rPr>
      </w:pPr>
      <w:r>
        <w:rPr>
          <w:rFonts w:ascii="Arial" w:cs="Arial" w:eastAsia="Arial" w:hAnsi="Arial"/>
          <w:sz w:val="12"/>
          <w:szCs w:val="12"/>
          <w:color w:val="auto"/>
        </w:rPr>
        <w:t>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How do I vote?</w:t>
      </w:r>
    </w:p>
    <w:p>
      <w:pPr>
        <w:spacing w:after="0" w:line="154" w:lineRule="exact"/>
        <w:rPr>
          <w:sz w:val="20"/>
          <w:szCs w:val="20"/>
          <w:color w:val="auto"/>
        </w:rPr>
      </w:pPr>
    </w:p>
    <w:p>
      <w:pPr>
        <w:ind w:left="1980" w:right="879" w:firstLine="514"/>
        <w:spacing w:after="0" w:line="259" w:lineRule="auto"/>
        <w:rPr>
          <w:sz w:val="20"/>
          <w:szCs w:val="20"/>
          <w:color w:val="auto"/>
        </w:rPr>
      </w:pPr>
      <w:r>
        <w:rPr>
          <w:rFonts w:ascii="Arial" w:cs="Arial" w:eastAsia="Arial" w:hAnsi="Arial"/>
          <w:sz w:val="12"/>
          <w:szCs w:val="12"/>
          <w:color w:val="auto"/>
        </w:rPr>
        <w:t>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w:t>
      </w:r>
    </w:p>
    <w:p>
      <w:pPr>
        <w:spacing w:after="0" w:line="138" w:lineRule="exact"/>
        <w:rPr>
          <w:sz w:val="20"/>
          <w:szCs w:val="20"/>
          <w:color w:val="auto"/>
        </w:rPr>
      </w:pPr>
    </w:p>
    <w:p>
      <w:pPr>
        <w:ind w:left="2480" w:hanging="220"/>
        <w:spacing w:after="0"/>
        <w:tabs>
          <w:tab w:leader="none" w:pos="2480" w:val="left"/>
        </w:tabs>
        <w:numPr>
          <w:ilvl w:val="0"/>
          <w:numId w:val="8"/>
        </w:numPr>
        <w:rPr>
          <w:rFonts w:ascii="Arial" w:cs="Arial" w:eastAsia="Arial" w:hAnsi="Arial"/>
          <w:sz w:val="12"/>
          <w:szCs w:val="12"/>
          <w:color w:val="143FDD"/>
        </w:rPr>
      </w:pPr>
      <w:r>
        <w:rPr>
          <w:rFonts w:ascii="Arial" w:cs="Arial" w:eastAsia="Arial" w:hAnsi="Arial"/>
          <w:sz w:val="12"/>
          <w:szCs w:val="12"/>
          <w:b w:val="1"/>
          <w:bCs w:val="1"/>
          <w:color w:val="auto"/>
        </w:rPr>
        <w:t>Stockholders of Record: Shares Registered in Your Name</w:t>
      </w:r>
    </w:p>
    <w:p>
      <w:pPr>
        <w:spacing w:after="0" w:line="154" w:lineRule="exact"/>
        <w:rPr>
          <w:sz w:val="20"/>
          <w:szCs w:val="20"/>
          <w:color w:val="auto"/>
        </w:rPr>
      </w:pPr>
    </w:p>
    <w:p>
      <w:pPr>
        <w:jc w:val="both"/>
        <w:ind w:left="2640" w:right="859"/>
        <w:spacing w:after="0" w:line="263" w:lineRule="auto"/>
        <w:rPr>
          <w:sz w:val="20"/>
          <w:szCs w:val="20"/>
          <w:color w:val="auto"/>
        </w:rPr>
      </w:pPr>
      <w:r>
        <w:rPr>
          <w:rFonts w:ascii="Arial" w:cs="Arial" w:eastAsia="Arial" w:hAnsi="Arial"/>
          <w:sz w:val="12"/>
          <w:szCs w:val="12"/>
          <w:u w:val="single" w:color="auto"/>
          <w:color w:val="auto"/>
        </w:rPr>
        <w:t>Vote by Proxy in Advance of the Annual Meeting</w:t>
      </w:r>
      <w:r>
        <w:rPr>
          <w:rFonts w:ascii="Arial" w:cs="Arial" w:eastAsia="Arial" w:hAnsi="Arial"/>
          <w:sz w:val="12"/>
          <w:szCs w:val="12"/>
          <w:color w:val="auto"/>
        </w:rPr>
        <w:t>: If, on the record date, your shares were registered directly in your name with Biodesix’s transfer agent, Computershare Trust Company, N.A., then you are a “stockholder of record.” As a stockholder of record, you may vote by proxy in advance of the Annual Meeting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157480</wp:posOffset>
            </wp:positionV>
            <wp:extent cx="57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168910</wp:posOffset>
            </wp:positionV>
            <wp:extent cx="57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180340</wp:posOffset>
            </wp:positionV>
            <wp:extent cx="57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191770</wp:posOffset>
            </wp:positionV>
            <wp:extent cx="57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203200</wp:posOffset>
            </wp:positionV>
            <wp:extent cx="57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214630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226060</wp:posOffset>
            </wp:positionV>
            <wp:extent cx="57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237490</wp:posOffset>
            </wp:positionV>
            <wp:extent cx="57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248920</wp:posOffset>
            </wp:positionV>
            <wp:extent cx="57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260350</wp:posOffset>
            </wp:positionV>
            <wp:extent cx="57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271780</wp:posOffset>
            </wp:positionV>
            <wp:extent cx="57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283210</wp:posOffset>
            </wp:positionV>
            <wp:extent cx="57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294640</wp:posOffset>
            </wp:positionV>
            <wp:extent cx="57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306070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317500</wp:posOffset>
            </wp:positionV>
            <wp:extent cx="57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328930</wp:posOffset>
            </wp:positionV>
            <wp:extent cx="5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340360</wp:posOffset>
            </wp:positionV>
            <wp:extent cx="571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351790</wp:posOffset>
            </wp:positionV>
            <wp:extent cx="57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363220</wp:posOffset>
            </wp:positionV>
            <wp:extent cx="57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374650</wp:posOffset>
            </wp:positionV>
            <wp:extent cx="571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386080</wp:posOffset>
            </wp:positionV>
            <wp:extent cx="57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397510</wp:posOffset>
            </wp:positionV>
            <wp:extent cx="57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408940</wp:posOffset>
            </wp:positionV>
            <wp:extent cx="57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420370</wp:posOffset>
            </wp:positionV>
            <wp:extent cx="571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431800</wp:posOffset>
            </wp:positionV>
            <wp:extent cx="57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443230</wp:posOffset>
            </wp:positionV>
            <wp:extent cx="571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454660</wp:posOffset>
            </wp:positionV>
            <wp:extent cx="57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466090</wp:posOffset>
            </wp:positionV>
            <wp:extent cx="57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477520</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488950</wp:posOffset>
            </wp:positionV>
            <wp:extent cx="57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500380</wp:posOffset>
            </wp:positionV>
            <wp:extent cx="571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511810</wp:posOffset>
            </wp:positionV>
            <wp:extent cx="571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523240</wp:posOffset>
            </wp:positionV>
            <wp:extent cx="571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534670</wp:posOffset>
            </wp:positionV>
            <wp:extent cx="571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546100</wp:posOffset>
            </wp:positionV>
            <wp:extent cx="57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557530</wp:posOffset>
            </wp:positionV>
            <wp:extent cx="57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568960</wp:posOffset>
            </wp:positionV>
            <wp:extent cx="57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580390</wp:posOffset>
            </wp:positionV>
            <wp:extent cx="57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157480</wp:posOffset>
            </wp:positionV>
            <wp:extent cx="57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168910</wp:posOffset>
            </wp:positionV>
            <wp:extent cx="57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180340</wp:posOffset>
            </wp:positionV>
            <wp:extent cx="571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191770</wp:posOffset>
            </wp:positionV>
            <wp:extent cx="57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203200</wp:posOffset>
            </wp:positionV>
            <wp:extent cx="571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214630</wp:posOffset>
            </wp:positionV>
            <wp:extent cx="57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226060</wp:posOffset>
            </wp:positionV>
            <wp:extent cx="571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237490</wp:posOffset>
            </wp:positionV>
            <wp:extent cx="571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248920</wp:posOffset>
            </wp:positionV>
            <wp:extent cx="57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260350</wp:posOffset>
            </wp:positionV>
            <wp:extent cx="571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271780</wp:posOffset>
            </wp:positionV>
            <wp:extent cx="57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283210</wp:posOffset>
            </wp:positionV>
            <wp:extent cx="57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294640</wp:posOffset>
            </wp:positionV>
            <wp:extent cx="57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306070</wp:posOffset>
            </wp:positionV>
            <wp:extent cx="57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317500</wp:posOffset>
            </wp:positionV>
            <wp:extent cx="57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328930</wp:posOffset>
            </wp:positionV>
            <wp:extent cx="571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340360</wp:posOffset>
            </wp:positionV>
            <wp:extent cx="57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351790</wp:posOffset>
            </wp:positionV>
            <wp:extent cx="571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363220</wp:posOffset>
            </wp:positionV>
            <wp:extent cx="57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374650</wp:posOffset>
            </wp:positionV>
            <wp:extent cx="571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386080</wp:posOffset>
            </wp:positionV>
            <wp:extent cx="571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397510</wp:posOffset>
            </wp:positionV>
            <wp:extent cx="57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408940</wp:posOffset>
            </wp:positionV>
            <wp:extent cx="57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420370</wp:posOffset>
            </wp:positionV>
            <wp:extent cx="571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431800</wp:posOffset>
            </wp:positionV>
            <wp:extent cx="57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443230</wp:posOffset>
            </wp:positionV>
            <wp:extent cx="57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454660</wp:posOffset>
            </wp:positionV>
            <wp:extent cx="57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466090</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477520</wp:posOffset>
            </wp:positionV>
            <wp:extent cx="57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488950</wp:posOffset>
            </wp:positionV>
            <wp:extent cx="57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500380</wp:posOffset>
            </wp:positionV>
            <wp:extent cx="57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511810</wp:posOffset>
            </wp:positionV>
            <wp:extent cx="57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523240</wp:posOffset>
            </wp:positionV>
            <wp:extent cx="57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534670</wp:posOffset>
            </wp:positionV>
            <wp:extent cx="57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546100</wp:posOffset>
            </wp:positionV>
            <wp:extent cx="57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557530</wp:posOffset>
            </wp:positionV>
            <wp:extent cx="57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568960</wp:posOffset>
            </wp:positionV>
            <wp:extent cx="57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580390</wp:posOffset>
            </wp:positionV>
            <wp:extent cx="571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111760</wp:posOffset>
            </wp:positionV>
            <wp:extent cx="57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123190</wp:posOffset>
            </wp:positionV>
            <wp:extent cx="571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134620</wp:posOffset>
            </wp:positionV>
            <wp:extent cx="57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111760</wp:posOffset>
            </wp:positionV>
            <wp:extent cx="57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123190</wp:posOffset>
            </wp:positionV>
            <wp:extent cx="57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134620</wp:posOffset>
            </wp:positionV>
            <wp:extent cx="57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94615</wp:posOffset>
            </wp:positionV>
            <wp:extent cx="4246245" cy="1577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46245" cy="157734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94615</wp:posOffset>
            </wp:positionV>
            <wp:extent cx="4246245" cy="1577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46245" cy="157734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Vote by Internet</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Go to</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http://www.proxypush.com/</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1"/>
          <w:szCs w:val="11"/>
          <w:color w:val="auto"/>
        </w:rPr>
        <w:t>BDSX to complete an electronic</w:t>
      </w:r>
    </w:p>
    <w:p>
      <w:pPr>
        <w:spacing w:after="0" w:line="18" w:lineRule="exact"/>
        <w:rPr>
          <w:sz w:val="20"/>
          <w:szCs w:val="20"/>
          <w:color w:val="auto"/>
        </w:rPr>
      </w:pPr>
    </w:p>
    <w:p>
      <w:pPr>
        <w:ind w:left="2740"/>
        <w:spacing w:after="0"/>
        <w:rPr>
          <w:sz w:val="20"/>
          <w:szCs w:val="20"/>
          <w:color w:val="auto"/>
        </w:rPr>
      </w:pPr>
      <w:r>
        <w:rPr>
          <w:rFonts w:ascii="Arial" w:cs="Arial" w:eastAsia="Arial" w:hAnsi="Arial"/>
          <w:sz w:val="11"/>
          <w:szCs w:val="11"/>
          <w:color w:val="auto"/>
        </w:rPr>
        <w:t>proxy card. You will be asked to</w:t>
      </w:r>
    </w:p>
    <w:p>
      <w:pPr>
        <w:spacing w:after="0" w:line="18"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provide the company number</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1"/>
          <w:szCs w:val="11"/>
          <w:color w:val="auto"/>
        </w:rPr>
        <w:t>and control number from your</w:t>
      </w:r>
    </w:p>
    <w:p>
      <w:pPr>
        <w:spacing w:after="0" w:line="18" w:lineRule="exact"/>
        <w:rPr>
          <w:sz w:val="20"/>
          <w:szCs w:val="20"/>
          <w:color w:val="auto"/>
        </w:rPr>
      </w:pPr>
    </w:p>
    <w:p>
      <w:pPr>
        <w:ind w:left="2740"/>
        <w:spacing w:after="0"/>
        <w:rPr>
          <w:sz w:val="20"/>
          <w:szCs w:val="20"/>
          <w:color w:val="auto"/>
        </w:rPr>
      </w:pPr>
      <w:r>
        <w:rPr>
          <w:rFonts w:ascii="Arial" w:cs="Arial" w:eastAsia="Arial" w:hAnsi="Arial"/>
          <w:sz w:val="11"/>
          <w:szCs w:val="11"/>
          <w:color w:val="auto"/>
        </w:rPr>
        <w:t>proxy card. Your vote must be</w:t>
      </w:r>
    </w:p>
    <w:p>
      <w:pPr>
        <w:spacing w:after="0" w:line="18"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received prior to the meeting</w:t>
      </w:r>
    </w:p>
    <w:p>
      <w:pPr>
        <w:spacing w:after="0" w:line="6" w:lineRule="exact"/>
        <w:rPr>
          <w:sz w:val="20"/>
          <w:szCs w:val="20"/>
          <w:color w:val="auto"/>
        </w:rPr>
      </w:pPr>
    </w:p>
    <w:p>
      <w:pPr>
        <w:ind w:left="2740"/>
        <w:spacing w:after="0"/>
        <w:rPr>
          <w:sz w:val="20"/>
          <w:szCs w:val="20"/>
          <w:color w:val="auto"/>
        </w:rPr>
      </w:pPr>
      <w:r>
        <w:rPr>
          <w:rFonts w:ascii="Arial" w:cs="Arial" w:eastAsia="Arial" w:hAnsi="Arial"/>
          <w:sz w:val="12"/>
          <w:szCs w:val="12"/>
          <w:color w:val="auto"/>
        </w:rPr>
        <w:t>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Vote by telephone</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Dial toll-free 1-866-291-6774 using a touch-tone phone and follow the recorded instructions.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40005</wp:posOffset>
            </wp:positionV>
            <wp:extent cx="124015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4015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879"/>
        <w:spacing w:after="0"/>
        <w:rPr>
          <w:sz w:val="20"/>
          <w:szCs w:val="20"/>
          <w:color w:val="auto"/>
        </w:rPr>
      </w:pPr>
      <w:r>
        <w:rPr>
          <w:rFonts w:ascii="Arial" w:cs="Arial" w:eastAsia="Arial" w:hAnsi="Arial"/>
          <w:sz w:val="12"/>
          <w:szCs w:val="12"/>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-84455</wp:posOffset>
            </wp:positionV>
            <wp:extent cx="5715" cy="1080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5" cy="108013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-84455</wp:posOffset>
            </wp:positionV>
            <wp:extent cx="11430" cy="10801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430" cy="108013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Complete, date sign and date the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proxy card you received as part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of the Proxy Materials,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return it promptly in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envelope provided. If your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signed proxy card is received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prior to the meeting date, we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will vote your shares as you</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55245</wp:posOffset>
            </wp:positionV>
            <wp:extent cx="158305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3">
            <w:col w:w="4300" w:space="600"/>
            <w:col w:w="1560" w:space="720"/>
            <w:col w:w="2979"/>
          </w:cols>
          <w:pgMar w:left="300" w:top="354" w:right="1440" w:bottom="1440" w:gutter="0" w:footer="0" w:header="0"/>
          <w:type w:val="continuous"/>
        </w:sectPr>
      </w:pPr>
    </w:p>
    <w:p>
      <w:pPr>
        <w:spacing w:after="0" w:line="21" w:lineRule="exact"/>
        <w:rPr>
          <w:sz w:val="20"/>
          <w:szCs w:val="20"/>
          <w:color w:val="auto"/>
        </w:rPr>
      </w:pPr>
    </w:p>
    <w:p>
      <w:pPr>
        <w:ind w:left="2480" w:hanging="220"/>
        <w:spacing w:after="0"/>
        <w:tabs>
          <w:tab w:leader="none" w:pos="2480" w:val="left"/>
        </w:tabs>
        <w:numPr>
          <w:ilvl w:val="0"/>
          <w:numId w:val="9"/>
        </w:numPr>
        <w:rPr>
          <w:rFonts w:ascii="Arial" w:cs="Arial" w:eastAsia="Arial" w:hAnsi="Arial"/>
          <w:sz w:val="12"/>
          <w:szCs w:val="12"/>
          <w:color w:val="143FDD"/>
        </w:rPr>
      </w:pPr>
      <w:r>
        <w:rPr>
          <w:rFonts w:ascii="Arial" w:cs="Arial" w:eastAsia="Arial" w:hAnsi="Arial"/>
          <w:sz w:val="12"/>
          <w:szCs w:val="12"/>
          <w:b w:val="1"/>
          <w:bCs w:val="1"/>
          <w:color w:val="auto"/>
        </w:rPr>
        <w:t>Beneficial Owner: Shares Registered in the Name of Broker, Bank or Other Nominee</w:t>
      </w:r>
    </w:p>
    <w:p>
      <w:pPr>
        <w:spacing w:after="0" w:line="154" w:lineRule="exact"/>
        <w:rPr>
          <w:sz w:val="20"/>
          <w:szCs w:val="20"/>
          <w:color w:val="auto"/>
        </w:rPr>
      </w:pPr>
    </w:p>
    <w:p>
      <w:pPr>
        <w:ind w:left="2640" w:right="859"/>
        <w:spacing w:after="0" w:line="285" w:lineRule="auto"/>
        <w:rPr>
          <w:sz w:val="20"/>
          <w:szCs w:val="20"/>
          <w:color w:val="auto"/>
        </w:rPr>
      </w:pPr>
      <w:r>
        <w:rPr>
          <w:rFonts w:ascii="Arial" w:cs="Arial" w:eastAsia="Arial" w:hAnsi="Arial"/>
          <w:sz w:val="11"/>
          <w:szCs w:val="11"/>
          <w:color w:val="auto"/>
        </w:rPr>
        <w:t>If, on the record date, your shares were held not in your name, but in an account with a broker, bank or other nominee as custodian on your behalf, then you are considered the “beneficial owner” of shares held in “street name.” The Proxy Materials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w:t>
      </w:r>
    </w:p>
    <w:p>
      <w:pPr>
        <w:spacing w:after="0" w:line="68"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2</w:t>
            </w:r>
          </w:p>
        </w:tc>
      </w:tr>
    </w:tbl>
    <w:p>
      <w:pPr>
        <w:sectPr>
          <w:pgSz w:w="11900" w:h="16838" w:orient="portrait"/>
          <w:cols w:equalWidth="0" w:num="1">
            <w:col w:w="10159"/>
          </w:cols>
          <w:pgMar w:left="300" w:top="354" w:right="1440" w:bottom="1440" w:gutter="0" w:footer="0" w:header="0"/>
          <w:type w:val="continuous"/>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143FDD"/>
        </w:rPr>
        <w:t>What is the effect of giving a proxy? What if I return a proxy card or otherwise vote but do not make specific choices?</w:t>
      </w:r>
    </w:p>
    <w:p>
      <w:pPr>
        <w:spacing w:after="0" w:line="154" w:lineRule="exact"/>
        <w:rPr>
          <w:sz w:val="20"/>
          <w:szCs w:val="20"/>
          <w:color w:val="auto"/>
        </w:rPr>
      </w:pPr>
    </w:p>
    <w:p>
      <w:pPr>
        <w:jc w:val="both"/>
        <w:ind w:left="1980" w:right="979" w:firstLine="514"/>
        <w:spacing w:after="0" w:line="263" w:lineRule="auto"/>
        <w:rPr>
          <w:sz w:val="20"/>
          <w:szCs w:val="20"/>
          <w:color w:val="auto"/>
        </w:rPr>
      </w:pPr>
      <w:r>
        <w:rPr>
          <w:rFonts w:ascii="Arial" w:cs="Arial" w:eastAsia="Arial" w:hAnsi="Arial"/>
          <w:sz w:val="12"/>
          <w:szCs w:val="12"/>
          <w:color w:val="auto"/>
        </w:rPr>
        <w:t>Proxies are solicited by and on behalf of the board of directors. Robin Harper Cowie (our Chief Financial Officer, Secretary and Treasurer) and Ryan H. Siurek (our Chief Accounting Officer) have been designated as proxy holders by the board of directors. If you properly grant your proxy, your shares will be voted as you instruct.</w:t>
      </w:r>
    </w:p>
    <w:p>
      <w:pPr>
        <w:spacing w:after="0" w:line="122" w:lineRule="exact"/>
        <w:rPr>
          <w:sz w:val="20"/>
          <w:szCs w:val="20"/>
          <w:color w:val="auto"/>
        </w:rPr>
      </w:pPr>
    </w:p>
    <w:p>
      <w:pPr>
        <w:ind w:left="1980" w:right="1039" w:firstLine="514"/>
        <w:spacing w:after="0" w:line="259" w:lineRule="auto"/>
        <w:rPr>
          <w:sz w:val="20"/>
          <w:szCs w:val="20"/>
          <w:color w:val="auto"/>
        </w:rPr>
      </w:pPr>
      <w:r>
        <w:rPr>
          <w:rFonts w:ascii="Arial" w:cs="Arial" w:eastAsia="Arial" w:hAnsi="Arial"/>
          <w:sz w:val="12"/>
          <w:szCs w:val="12"/>
          <w:color w:val="auto"/>
        </w:rPr>
        <w:t>If you return a signed proxy card or otherwise vote without marking specific voting selections, your shares will be voted as the board of directors recommends: “For” the election of two Class I directors (Proposal One); “For” the ratification of the appointment of KPMG LLP as our independent registered public accounting firm for 2021 (Proposal Two); and in accordance with the best judgment of your proxy holder for any other matters properly brought before the meeting, if any.</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Can I change my vote or revoke my proxy?</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1"/>
          <w:szCs w:val="11"/>
          <w:color w:val="auto"/>
        </w:rPr>
        <w:t>Yes. If you are a stockholder of record, you can change your vote or revoke your proxy before the Annual Meeting in any of these ways:</w:t>
      </w:r>
    </w:p>
    <w:p>
      <w:pPr>
        <w:spacing w:after="0" w:line="162" w:lineRule="exact"/>
        <w:rPr>
          <w:sz w:val="20"/>
          <w:szCs w:val="20"/>
          <w:color w:val="auto"/>
        </w:rPr>
      </w:pPr>
    </w:p>
    <w:p>
      <w:pPr>
        <w:ind w:left="2560" w:right="1119" w:hanging="203"/>
        <w:spacing w:after="0" w:line="276" w:lineRule="auto"/>
        <w:tabs>
          <w:tab w:leader="none" w:pos="2460" w:val="left"/>
        </w:tabs>
        <w:numPr>
          <w:ilvl w:val="0"/>
          <w:numId w:val="10"/>
        </w:numPr>
        <w:rPr>
          <w:rFonts w:ascii="Arial" w:cs="Arial" w:eastAsia="Arial" w:hAnsi="Arial"/>
          <w:sz w:val="12"/>
          <w:szCs w:val="12"/>
          <w:color w:val="143FDD"/>
        </w:rPr>
      </w:pPr>
      <w:r>
        <w:rPr>
          <w:rFonts w:ascii="Arial" w:cs="Arial" w:eastAsia="Arial" w:hAnsi="Arial"/>
          <w:sz w:val="12"/>
          <w:szCs w:val="12"/>
          <w:color w:val="auto"/>
        </w:rPr>
        <w:t>Vote again over the Internet or by telephone as instructed above before 11:59 Eastern Time on May 25, 2021. Only your latest Internet or telephone vote is counted.</w:t>
      </w:r>
    </w:p>
    <w:p>
      <w:pPr>
        <w:spacing w:after="0" w:line="114" w:lineRule="exact"/>
        <w:rPr>
          <w:rFonts w:ascii="Arial" w:cs="Arial" w:eastAsia="Arial" w:hAnsi="Arial"/>
          <w:sz w:val="12"/>
          <w:szCs w:val="12"/>
          <w:color w:val="143FDD"/>
        </w:rPr>
      </w:pPr>
    </w:p>
    <w:p>
      <w:pPr>
        <w:ind w:left="2560" w:right="1119" w:hanging="203"/>
        <w:spacing w:after="0" w:line="276" w:lineRule="auto"/>
        <w:tabs>
          <w:tab w:leader="none" w:pos="2460" w:val="left"/>
        </w:tabs>
        <w:numPr>
          <w:ilvl w:val="0"/>
          <w:numId w:val="10"/>
        </w:numPr>
        <w:rPr>
          <w:rFonts w:ascii="Arial" w:cs="Arial" w:eastAsia="Arial" w:hAnsi="Arial"/>
          <w:sz w:val="12"/>
          <w:szCs w:val="12"/>
          <w:color w:val="143FDD"/>
        </w:rPr>
      </w:pPr>
      <w:r>
        <w:rPr>
          <w:rFonts w:ascii="Arial" w:cs="Arial" w:eastAsia="Arial" w:hAnsi="Arial"/>
          <w:sz w:val="12"/>
          <w:szCs w:val="12"/>
          <w:color w:val="auto"/>
        </w:rPr>
        <w:t>Submit a properly signed proxy card with a later date that is received no later than 11:59 Eastern Time on May 25, 2021. Only your latest dated proxy card will be counted.</w:t>
      </w:r>
    </w:p>
    <w:p>
      <w:pPr>
        <w:spacing w:after="0" w:line="114" w:lineRule="exact"/>
        <w:rPr>
          <w:rFonts w:ascii="Arial" w:cs="Arial" w:eastAsia="Arial" w:hAnsi="Arial"/>
          <w:sz w:val="12"/>
          <w:szCs w:val="12"/>
          <w:color w:val="143FDD"/>
        </w:rPr>
      </w:pPr>
    </w:p>
    <w:p>
      <w:pPr>
        <w:ind w:left="2560" w:right="859" w:hanging="203"/>
        <w:spacing w:after="0" w:line="276" w:lineRule="auto"/>
        <w:tabs>
          <w:tab w:leader="none" w:pos="2460" w:val="left"/>
        </w:tabs>
        <w:numPr>
          <w:ilvl w:val="0"/>
          <w:numId w:val="10"/>
        </w:numPr>
        <w:rPr>
          <w:rFonts w:ascii="Arial" w:cs="Arial" w:eastAsia="Arial" w:hAnsi="Arial"/>
          <w:sz w:val="12"/>
          <w:szCs w:val="12"/>
          <w:color w:val="143FDD"/>
        </w:rPr>
      </w:pPr>
      <w:r>
        <w:rPr>
          <w:rFonts w:ascii="Arial" w:cs="Arial" w:eastAsia="Arial" w:hAnsi="Arial"/>
          <w:sz w:val="12"/>
          <w:szCs w:val="12"/>
          <w:color w:val="auto"/>
        </w:rPr>
        <w:t>Send a timely written notice that you are revoking your proxy to Biodesix’s Corporate Secretary at 2970 Wilderness Place, Suite 100, Boulder, CO 80301.</w:t>
      </w:r>
    </w:p>
    <w:p>
      <w:pPr>
        <w:spacing w:after="0" w:line="114" w:lineRule="exact"/>
        <w:rPr>
          <w:rFonts w:ascii="Arial" w:cs="Arial" w:eastAsia="Arial" w:hAnsi="Arial"/>
          <w:sz w:val="12"/>
          <w:szCs w:val="12"/>
          <w:color w:val="143FDD"/>
        </w:rPr>
      </w:pPr>
    </w:p>
    <w:p>
      <w:pPr>
        <w:ind w:left="2560" w:right="1019" w:hanging="203"/>
        <w:spacing w:after="0" w:line="276" w:lineRule="auto"/>
        <w:tabs>
          <w:tab w:leader="none" w:pos="2460" w:val="left"/>
        </w:tabs>
        <w:numPr>
          <w:ilvl w:val="0"/>
          <w:numId w:val="10"/>
        </w:numPr>
        <w:rPr>
          <w:rFonts w:ascii="Arial" w:cs="Arial" w:eastAsia="Arial" w:hAnsi="Arial"/>
          <w:sz w:val="12"/>
          <w:szCs w:val="12"/>
          <w:color w:val="143FDD"/>
        </w:rPr>
      </w:pPr>
      <w:r>
        <w:rPr>
          <w:rFonts w:ascii="Arial" w:cs="Arial" w:eastAsia="Arial" w:hAnsi="Arial"/>
          <w:sz w:val="12"/>
          <w:szCs w:val="12"/>
          <w:color w:val="auto"/>
        </w:rPr>
        <w:t>Attend the virtual Annual Meeting and vote electronically during the meeting. Simply attending the meeting will not, by itself, revoke your proxy.</w:t>
      </w:r>
    </w:p>
    <w:p>
      <w:pPr>
        <w:spacing w:after="0" w:line="115" w:lineRule="exact"/>
        <w:rPr>
          <w:sz w:val="20"/>
          <w:szCs w:val="20"/>
          <w:color w:val="auto"/>
        </w:rPr>
      </w:pPr>
    </w:p>
    <w:p>
      <w:pPr>
        <w:ind w:left="1980" w:right="1199" w:firstLine="514"/>
        <w:spacing w:after="0" w:line="276" w:lineRule="auto"/>
        <w:rPr>
          <w:sz w:val="20"/>
          <w:szCs w:val="20"/>
          <w:color w:val="auto"/>
        </w:rPr>
      </w:pPr>
      <w:r>
        <w:rPr>
          <w:rFonts w:ascii="Arial" w:cs="Arial" w:eastAsia="Arial" w:hAnsi="Arial"/>
          <w:sz w:val="12"/>
          <w:szCs w:val="12"/>
          <w:color w:val="auto"/>
        </w:rPr>
        <w:t>If you are the beneficial owner of shares held in street name, you should follow the instructions provided by your broker, bank or other nominee to revoke previously submitted voting instructions.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What are broker non-votes?</w:t>
      </w:r>
    </w:p>
    <w:p>
      <w:pPr>
        <w:spacing w:after="0" w:line="154" w:lineRule="exact"/>
        <w:rPr>
          <w:sz w:val="20"/>
          <w:szCs w:val="20"/>
          <w:color w:val="auto"/>
        </w:rPr>
      </w:pPr>
    </w:p>
    <w:p>
      <w:pPr>
        <w:jc w:val="both"/>
        <w:ind w:left="1980" w:right="859" w:firstLine="514"/>
        <w:spacing w:after="0" w:line="285" w:lineRule="auto"/>
        <w:rPr>
          <w:sz w:val="20"/>
          <w:szCs w:val="20"/>
          <w:color w:val="auto"/>
        </w:rPr>
      </w:pPr>
      <w:r>
        <w:rPr>
          <w:rFonts w:ascii="Arial" w:cs="Arial" w:eastAsia="Arial" w:hAnsi="Arial"/>
          <w:sz w:val="11"/>
          <w:szCs w:val="11"/>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2021 (Proposal Two). The election of two Class I directors (Proposal One) is a non-routine matter.</w:t>
      </w:r>
    </w:p>
    <w:p>
      <w:pPr>
        <w:spacing w:after="0" w:line="113" w:lineRule="exact"/>
        <w:rPr>
          <w:sz w:val="20"/>
          <w:szCs w:val="20"/>
          <w:color w:val="auto"/>
        </w:rPr>
      </w:pPr>
    </w:p>
    <w:p>
      <w:pPr>
        <w:ind w:left="1980" w:right="859" w:firstLine="514"/>
        <w:spacing w:after="0" w:line="289" w:lineRule="auto"/>
        <w:rPr>
          <w:sz w:val="20"/>
          <w:szCs w:val="20"/>
          <w:color w:val="auto"/>
        </w:rPr>
      </w:pPr>
      <w:r>
        <w:rPr>
          <w:rFonts w:ascii="Arial" w:cs="Arial" w:eastAsia="Arial" w:hAnsi="Arial"/>
          <w:sz w:val="11"/>
          <w:szCs w:val="11"/>
          <w:color w:val="auto"/>
        </w:rPr>
        <w:t>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or any other non-routine matters that are properly presented at the Annual Meeting. Broker non-votes will have no impact on the voting results.</w:t>
      </w:r>
    </w:p>
    <w:p>
      <w:pPr>
        <w:spacing w:after="0" w:line="66"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3</w:t>
            </w:r>
          </w:p>
        </w:tc>
      </w:tr>
    </w:tbl>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E5EFF"/>
        </w:rPr>
        <w:t>How many shares must be present to hold the Annual Meeting?</w:t>
      </w:r>
    </w:p>
    <w:p>
      <w:pPr>
        <w:spacing w:after="0" w:line="154" w:lineRule="exact"/>
        <w:rPr>
          <w:sz w:val="20"/>
          <w:szCs w:val="20"/>
          <w:color w:val="auto"/>
        </w:rPr>
      </w:pPr>
    </w:p>
    <w:p>
      <w:pPr>
        <w:ind w:left="1980" w:right="879" w:firstLine="514"/>
        <w:spacing w:after="0" w:line="255" w:lineRule="auto"/>
        <w:rPr>
          <w:sz w:val="20"/>
          <w:szCs w:val="20"/>
          <w:color w:val="auto"/>
        </w:rPr>
      </w:pPr>
      <w:r>
        <w:rPr>
          <w:rFonts w:ascii="Arial" w:cs="Arial" w:eastAsia="Arial" w:hAnsi="Arial"/>
          <w:sz w:val="12"/>
          <w:szCs w:val="12"/>
          <w:color w:val="auto"/>
        </w:rPr>
        <w:t>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26,858,322 shares of our common stock outstanding and entitled to vote. Therefore, the holders of 13,429,162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w:t>
      </w:r>
    </w:p>
    <w:p>
      <w:pPr>
        <w:spacing w:after="0" w:line="124" w:lineRule="exact"/>
        <w:rPr>
          <w:sz w:val="20"/>
          <w:szCs w:val="20"/>
          <w:color w:val="auto"/>
        </w:rPr>
      </w:pPr>
    </w:p>
    <w:p>
      <w:pPr>
        <w:ind w:left="1980" w:right="1219"/>
        <w:spacing w:after="0" w:line="283" w:lineRule="auto"/>
        <w:rPr>
          <w:sz w:val="20"/>
          <w:szCs w:val="20"/>
          <w:color w:val="auto"/>
        </w:rPr>
      </w:pPr>
      <w:r>
        <w:rPr>
          <w:rFonts w:ascii="Arial" w:cs="Arial" w:eastAsia="Arial" w:hAnsi="Arial"/>
          <w:sz w:val="12"/>
          <w:szCs w:val="12"/>
          <w:b w:val="1"/>
          <w:bCs w:val="1"/>
          <w:color w:val="143FDD"/>
        </w:rPr>
        <w:t>What vote is required for the approval of each proposal? What effect do “withhold” votes, abstentions and broker non-votes have on the proposals?</w:t>
      </w:r>
    </w:p>
    <w:p>
      <w:pPr>
        <w:spacing w:after="0" w:line="111" w:lineRule="exact"/>
        <w:rPr>
          <w:sz w:val="20"/>
          <w:szCs w:val="20"/>
          <w:color w:val="auto"/>
        </w:rPr>
      </w:pPr>
    </w:p>
    <w:p>
      <w:pPr>
        <w:ind w:left="1980" w:right="979" w:firstLine="514"/>
        <w:spacing w:after="0" w:line="276" w:lineRule="auto"/>
        <w:rPr>
          <w:sz w:val="20"/>
          <w:szCs w:val="20"/>
          <w:color w:val="auto"/>
        </w:rPr>
      </w:pPr>
      <w:r>
        <w:rPr>
          <w:rFonts w:ascii="Arial" w:cs="Arial" w:eastAsia="Arial" w:hAnsi="Arial"/>
          <w:sz w:val="12"/>
          <w:szCs w:val="12"/>
          <w:color w:val="auto"/>
        </w:rPr>
        <w:t>The following chart summarizes the proposals to be considered at the Annual Meeting, the vote required for approval of each proposal, and the manner in which votes will be counted:</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40" w:type="dxa"/>
            <w:vAlign w:val="bottom"/>
          </w:tcPr>
          <w:p>
            <w:pPr>
              <w:ind w:left="620"/>
              <w:spacing w:after="0"/>
              <w:rPr>
                <w:sz w:val="20"/>
                <w:szCs w:val="20"/>
                <w:color w:val="auto"/>
              </w:rPr>
            </w:pPr>
            <w:r>
              <w:rPr>
                <w:rFonts w:ascii="Arial" w:cs="Arial" w:eastAsia="Arial" w:hAnsi="Arial"/>
                <w:sz w:val="10"/>
                <w:szCs w:val="10"/>
                <w:b w:val="1"/>
                <w:bCs w:val="1"/>
                <w:color w:val="auto"/>
              </w:rPr>
              <w:t>Vote Required to Adopt the</w:t>
            </w:r>
          </w:p>
        </w:tc>
        <w:tc>
          <w:tcPr>
            <w:tcW w:w="1480" w:type="dxa"/>
            <w:vAlign w:val="bottom"/>
          </w:tcPr>
          <w:p>
            <w:pPr>
              <w:ind w:left="400"/>
              <w:spacing w:after="0"/>
              <w:rPr>
                <w:sz w:val="20"/>
                <w:szCs w:val="20"/>
                <w:color w:val="auto"/>
              </w:rPr>
            </w:pPr>
            <w:r>
              <w:rPr>
                <w:rFonts w:ascii="Arial" w:cs="Arial" w:eastAsia="Arial" w:hAnsi="Arial"/>
                <w:sz w:val="10"/>
                <w:szCs w:val="10"/>
                <w:b w:val="1"/>
                <w:bCs w:val="1"/>
                <w:color w:val="auto"/>
              </w:rPr>
              <w:t>Effect of “Withheld”</w:t>
            </w:r>
          </w:p>
        </w:tc>
        <w:tc>
          <w:tcPr>
            <w:tcW w:w="1500" w:type="dxa"/>
            <w:vAlign w:val="bottom"/>
          </w:tcPr>
          <w:p>
            <w:pPr>
              <w:ind w:left="600"/>
              <w:spacing w:after="0"/>
              <w:rPr>
                <w:sz w:val="20"/>
                <w:szCs w:val="20"/>
                <w:color w:val="auto"/>
              </w:rPr>
            </w:pPr>
            <w:r>
              <w:rPr>
                <w:rFonts w:ascii="Arial" w:cs="Arial" w:eastAsia="Arial" w:hAnsi="Arial"/>
                <w:sz w:val="10"/>
                <w:szCs w:val="10"/>
                <w:b w:val="1"/>
                <w:bCs w:val="1"/>
                <w:color w:val="auto"/>
              </w:rPr>
              <w:t>Effect of “Broker</w:t>
            </w:r>
          </w:p>
        </w:tc>
      </w:tr>
      <w:tr>
        <w:trPr>
          <w:trHeight w:val="113"/>
        </w:trPr>
        <w:tc>
          <w:tcPr>
            <w:tcW w:w="1140" w:type="dxa"/>
            <w:vAlign w:val="bottom"/>
            <w:tcBorders>
              <w:bottom w:val="single" w:sz="8" w:color="143FDD"/>
            </w:tcBorders>
          </w:tcPr>
          <w:p>
            <w:pPr>
              <w:ind w:left="380"/>
              <w:spacing w:after="0" w:line="114" w:lineRule="exact"/>
              <w:rPr>
                <w:sz w:val="20"/>
                <w:szCs w:val="20"/>
                <w:color w:val="auto"/>
              </w:rPr>
            </w:pPr>
            <w:r>
              <w:rPr>
                <w:rFonts w:ascii="Arial" w:cs="Arial" w:eastAsia="Arial" w:hAnsi="Arial"/>
                <w:sz w:val="10"/>
                <w:szCs w:val="10"/>
                <w:b w:val="1"/>
                <w:bCs w:val="1"/>
                <w:color w:val="auto"/>
              </w:rPr>
              <w:t>Proposal</w:t>
            </w:r>
          </w:p>
        </w:tc>
        <w:tc>
          <w:tcPr>
            <w:tcW w:w="1180" w:type="dxa"/>
            <w:vAlign w:val="bottom"/>
            <w:tcBorders>
              <w:bottom w:val="single" w:sz="8" w:color="143FDD"/>
            </w:tcBorders>
          </w:tcPr>
          <w:p>
            <w:pPr>
              <w:ind w:left="380"/>
              <w:spacing w:after="0" w:line="114" w:lineRule="exact"/>
              <w:rPr>
                <w:sz w:val="20"/>
                <w:szCs w:val="20"/>
                <w:color w:val="auto"/>
              </w:rPr>
            </w:pPr>
            <w:r>
              <w:rPr>
                <w:rFonts w:ascii="Arial" w:cs="Arial" w:eastAsia="Arial" w:hAnsi="Arial"/>
                <w:sz w:val="10"/>
                <w:szCs w:val="10"/>
                <w:b w:val="1"/>
                <w:bCs w:val="1"/>
                <w:color w:val="auto"/>
              </w:rPr>
              <w:t>Voting Options</w:t>
            </w:r>
          </w:p>
        </w:tc>
        <w:tc>
          <w:tcPr>
            <w:tcW w:w="2040" w:type="dxa"/>
            <w:vAlign w:val="bottom"/>
            <w:tcBorders>
              <w:bottom w:val="single" w:sz="8" w:color="143FDD"/>
            </w:tcBorders>
          </w:tcPr>
          <w:p>
            <w:pPr>
              <w:ind w:left="1000"/>
              <w:spacing w:after="0" w:line="114" w:lineRule="exact"/>
              <w:rPr>
                <w:sz w:val="20"/>
                <w:szCs w:val="20"/>
                <w:color w:val="auto"/>
              </w:rPr>
            </w:pPr>
            <w:r>
              <w:rPr>
                <w:rFonts w:ascii="Arial" w:cs="Arial" w:eastAsia="Arial" w:hAnsi="Arial"/>
                <w:sz w:val="10"/>
                <w:szCs w:val="10"/>
                <w:b w:val="1"/>
                <w:bCs w:val="1"/>
                <w:color w:val="auto"/>
              </w:rPr>
              <w:t>Proposal</w:t>
            </w:r>
          </w:p>
        </w:tc>
        <w:tc>
          <w:tcPr>
            <w:tcW w:w="1480" w:type="dxa"/>
            <w:vAlign w:val="bottom"/>
            <w:tcBorders>
              <w:bottom w:val="single" w:sz="8" w:color="143FDD"/>
            </w:tcBorders>
          </w:tcPr>
          <w:p>
            <w:pPr>
              <w:ind w:left="420"/>
              <w:spacing w:after="0" w:line="114" w:lineRule="exact"/>
              <w:rPr>
                <w:sz w:val="20"/>
                <w:szCs w:val="20"/>
                <w:color w:val="auto"/>
              </w:rPr>
            </w:pPr>
            <w:r>
              <w:rPr>
                <w:rFonts w:ascii="Arial" w:cs="Arial" w:eastAsia="Arial" w:hAnsi="Arial"/>
                <w:sz w:val="10"/>
                <w:szCs w:val="10"/>
                <w:b w:val="1"/>
                <w:bCs w:val="1"/>
                <w:color w:val="auto"/>
              </w:rPr>
              <w:t>Votes or Abstentions</w:t>
            </w:r>
          </w:p>
        </w:tc>
        <w:tc>
          <w:tcPr>
            <w:tcW w:w="1500" w:type="dxa"/>
            <w:vAlign w:val="bottom"/>
            <w:tcBorders>
              <w:bottom w:val="single" w:sz="8" w:color="143FDD"/>
            </w:tcBorders>
          </w:tcPr>
          <w:p>
            <w:pPr>
              <w:ind w:left="720"/>
              <w:spacing w:after="0" w:line="114" w:lineRule="exact"/>
              <w:rPr>
                <w:sz w:val="20"/>
                <w:szCs w:val="20"/>
                <w:color w:val="auto"/>
              </w:rPr>
            </w:pPr>
            <w:r>
              <w:rPr>
                <w:rFonts w:ascii="Arial" w:cs="Arial" w:eastAsia="Arial" w:hAnsi="Arial"/>
                <w:sz w:val="10"/>
                <w:szCs w:val="10"/>
                <w:b w:val="1"/>
                <w:bCs w:val="1"/>
                <w:color w:val="auto"/>
              </w:rPr>
              <w:t>Non-Votes”</w:t>
            </w:r>
          </w:p>
        </w:tc>
      </w:tr>
      <w:tr>
        <w:trPr>
          <w:trHeight w:val="128"/>
        </w:trPr>
        <w:tc>
          <w:tcPr>
            <w:tcW w:w="1140" w:type="dxa"/>
            <w:vAlign w:val="bottom"/>
          </w:tcPr>
          <w:p>
            <w:pPr>
              <w:ind w:left="80"/>
              <w:spacing w:after="0"/>
              <w:rPr>
                <w:sz w:val="20"/>
                <w:szCs w:val="20"/>
                <w:color w:val="auto"/>
              </w:rPr>
            </w:pPr>
            <w:r>
              <w:rPr>
                <w:rFonts w:ascii="Arial" w:cs="Arial" w:eastAsia="Arial" w:hAnsi="Arial"/>
                <w:sz w:val="11"/>
                <w:szCs w:val="11"/>
                <w:b w:val="1"/>
                <w:bCs w:val="1"/>
                <w:color w:val="143FDD"/>
              </w:rPr>
              <w:t>Proposal One:</w:t>
            </w:r>
          </w:p>
        </w:tc>
        <w:tc>
          <w:tcPr>
            <w:tcW w:w="1180" w:type="dxa"/>
            <w:vAlign w:val="bottom"/>
          </w:tcPr>
          <w:p>
            <w:pPr>
              <w:ind w:left="200"/>
              <w:spacing w:after="0"/>
              <w:rPr>
                <w:sz w:val="20"/>
                <w:szCs w:val="20"/>
                <w:color w:val="auto"/>
              </w:rPr>
            </w:pPr>
            <w:r>
              <w:rPr>
                <w:rFonts w:ascii="Arial" w:cs="Arial" w:eastAsia="Arial" w:hAnsi="Arial"/>
                <w:sz w:val="11"/>
                <w:szCs w:val="11"/>
                <w:color w:val="auto"/>
              </w:rPr>
              <w:t>For or</w:t>
            </w:r>
          </w:p>
        </w:tc>
        <w:tc>
          <w:tcPr>
            <w:tcW w:w="2040" w:type="dxa"/>
            <w:vAlign w:val="bottom"/>
          </w:tcPr>
          <w:p>
            <w:pPr>
              <w:ind w:left="340"/>
              <w:spacing w:after="0"/>
              <w:rPr>
                <w:sz w:val="20"/>
                <w:szCs w:val="20"/>
                <w:color w:val="auto"/>
              </w:rPr>
            </w:pPr>
            <w:r>
              <w:rPr>
                <w:rFonts w:ascii="Arial" w:cs="Arial" w:eastAsia="Arial" w:hAnsi="Arial"/>
                <w:sz w:val="11"/>
                <w:szCs w:val="11"/>
                <w:color w:val="auto"/>
              </w:rPr>
              <w:t>Plurality of the votes cast.</w:t>
            </w:r>
          </w:p>
        </w:tc>
        <w:tc>
          <w:tcPr>
            <w:tcW w:w="1480" w:type="dxa"/>
            <w:vAlign w:val="bottom"/>
          </w:tcPr>
          <w:p>
            <w:pPr>
              <w:ind w:left="200"/>
              <w:spacing w:after="0"/>
              <w:rPr>
                <w:sz w:val="20"/>
                <w:szCs w:val="20"/>
                <w:color w:val="auto"/>
              </w:rPr>
            </w:pPr>
            <w:r>
              <w:rPr>
                <w:rFonts w:ascii="Arial" w:cs="Arial" w:eastAsia="Arial" w:hAnsi="Arial"/>
                <w:sz w:val="11"/>
                <w:szCs w:val="11"/>
                <w:color w:val="auto"/>
              </w:rPr>
              <w:t>“Withheld” votes</w:t>
            </w:r>
          </w:p>
        </w:tc>
        <w:tc>
          <w:tcPr>
            <w:tcW w:w="1500" w:type="dxa"/>
            <w:vAlign w:val="bottom"/>
          </w:tcPr>
          <w:p>
            <w:pPr>
              <w:ind w:left="420"/>
              <w:spacing w:after="0"/>
              <w:rPr>
                <w:sz w:val="20"/>
                <w:szCs w:val="20"/>
                <w:color w:val="auto"/>
              </w:rPr>
            </w:pPr>
            <w:r>
              <w:rPr>
                <w:rFonts w:ascii="Arial" w:cs="Arial" w:eastAsia="Arial" w:hAnsi="Arial"/>
                <w:sz w:val="11"/>
                <w:szCs w:val="11"/>
                <w:color w:val="auto"/>
              </w:rPr>
              <w:t>Brokers do not</w:t>
            </w:r>
          </w:p>
        </w:tc>
      </w:tr>
      <w:tr>
        <w:trPr>
          <w:trHeight w:val="135"/>
        </w:trPr>
        <w:tc>
          <w:tcPr>
            <w:tcW w:w="1140" w:type="dxa"/>
            <w:vAlign w:val="bottom"/>
          </w:tcPr>
          <w:p>
            <w:pPr>
              <w:ind w:left="80"/>
              <w:spacing w:after="0"/>
              <w:rPr>
                <w:sz w:val="20"/>
                <w:szCs w:val="20"/>
                <w:color w:val="auto"/>
              </w:rPr>
            </w:pPr>
            <w:r>
              <w:rPr>
                <w:rFonts w:ascii="Arial" w:cs="Arial" w:eastAsia="Arial" w:hAnsi="Arial"/>
                <w:sz w:val="11"/>
                <w:szCs w:val="11"/>
                <w:color w:val="auto"/>
              </w:rPr>
              <w:t>Election of the two</w:t>
            </w:r>
          </w:p>
        </w:tc>
        <w:tc>
          <w:tcPr>
            <w:tcW w:w="1180" w:type="dxa"/>
            <w:vAlign w:val="bottom"/>
          </w:tcPr>
          <w:p>
            <w:pPr>
              <w:ind w:left="200"/>
              <w:spacing w:after="0"/>
              <w:rPr>
                <w:sz w:val="20"/>
                <w:szCs w:val="20"/>
                <w:color w:val="auto"/>
              </w:rPr>
            </w:pPr>
            <w:r>
              <w:rPr>
                <w:rFonts w:ascii="Arial" w:cs="Arial" w:eastAsia="Arial" w:hAnsi="Arial"/>
                <w:sz w:val="11"/>
                <w:szCs w:val="11"/>
                <w:color w:val="auto"/>
              </w:rPr>
              <w:t>Withhold on</w:t>
            </w:r>
          </w:p>
        </w:tc>
        <w:tc>
          <w:tcPr>
            <w:tcW w:w="2040" w:type="dxa"/>
            <w:vAlign w:val="bottom"/>
          </w:tcPr>
          <w:p>
            <w:pPr>
              <w:ind w:left="340"/>
              <w:spacing w:after="0"/>
              <w:rPr>
                <w:sz w:val="20"/>
                <w:szCs w:val="20"/>
                <w:color w:val="auto"/>
              </w:rPr>
            </w:pPr>
            <w:r>
              <w:rPr>
                <w:rFonts w:ascii="Arial" w:cs="Arial" w:eastAsia="Arial" w:hAnsi="Arial"/>
                <w:sz w:val="11"/>
                <w:szCs w:val="11"/>
                <w:color w:val="auto"/>
              </w:rPr>
              <w:t>This means that the two</w:t>
            </w:r>
          </w:p>
        </w:tc>
        <w:tc>
          <w:tcPr>
            <w:tcW w:w="1480" w:type="dxa"/>
            <w:vAlign w:val="bottom"/>
          </w:tcPr>
          <w:p>
            <w:pPr>
              <w:ind w:left="200"/>
              <w:spacing w:after="0"/>
              <w:rPr>
                <w:sz w:val="20"/>
                <w:szCs w:val="20"/>
                <w:color w:val="auto"/>
              </w:rPr>
            </w:pPr>
            <w:r>
              <w:rPr>
                <w:rFonts w:ascii="Arial" w:cs="Arial" w:eastAsia="Arial" w:hAnsi="Arial"/>
                <w:sz w:val="11"/>
                <w:szCs w:val="11"/>
                <w:color w:val="auto"/>
              </w:rPr>
              <w:t>have no effect;</w:t>
            </w:r>
          </w:p>
        </w:tc>
        <w:tc>
          <w:tcPr>
            <w:tcW w:w="1500" w:type="dxa"/>
            <w:vAlign w:val="bottom"/>
          </w:tcPr>
          <w:p>
            <w:pPr>
              <w:ind w:left="420"/>
              <w:spacing w:after="0"/>
              <w:rPr>
                <w:sz w:val="20"/>
                <w:szCs w:val="20"/>
                <w:color w:val="auto"/>
              </w:rPr>
            </w:pPr>
            <w:r>
              <w:rPr>
                <w:rFonts w:ascii="Arial" w:cs="Arial" w:eastAsia="Arial" w:hAnsi="Arial"/>
                <w:sz w:val="11"/>
                <w:szCs w:val="11"/>
                <w:color w:val="auto"/>
              </w:rPr>
              <w:t>have discretion</w:t>
            </w:r>
          </w:p>
        </w:tc>
      </w:tr>
      <w:tr>
        <w:trPr>
          <w:trHeight w:val="135"/>
        </w:trPr>
        <w:tc>
          <w:tcPr>
            <w:tcW w:w="1140" w:type="dxa"/>
            <w:vAlign w:val="bottom"/>
          </w:tcPr>
          <w:p>
            <w:pPr>
              <w:ind w:left="80"/>
              <w:spacing w:after="0"/>
              <w:rPr>
                <w:sz w:val="20"/>
                <w:szCs w:val="20"/>
                <w:color w:val="auto"/>
              </w:rPr>
            </w:pPr>
            <w:r>
              <w:rPr>
                <w:rFonts w:ascii="Arial" w:cs="Arial" w:eastAsia="Arial" w:hAnsi="Arial"/>
                <w:sz w:val="11"/>
                <w:szCs w:val="11"/>
                <w:color w:val="auto"/>
                <w:w w:val="88"/>
              </w:rPr>
              <w:t>Class I directors named</w:t>
            </w:r>
          </w:p>
        </w:tc>
        <w:tc>
          <w:tcPr>
            <w:tcW w:w="1180" w:type="dxa"/>
            <w:vAlign w:val="bottom"/>
          </w:tcPr>
          <w:p>
            <w:pPr>
              <w:ind w:left="200"/>
              <w:spacing w:after="0"/>
              <w:rPr>
                <w:sz w:val="20"/>
                <w:szCs w:val="20"/>
                <w:color w:val="auto"/>
              </w:rPr>
            </w:pPr>
            <w:r>
              <w:rPr>
                <w:rFonts w:ascii="Arial" w:cs="Arial" w:eastAsia="Arial" w:hAnsi="Arial"/>
                <w:sz w:val="11"/>
                <w:szCs w:val="11"/>
                <w:color w:val="auto"/>
              </w:rPr>
              <w:t>each nominee</w:t>
            </w:r>
          </w:p>
        </w:tc>
        <w:tc>
          <w:tcPr>
            <w:tcW w:w="2040" w:type="dxa"/>
            <w:vAlign w:val="bottom"/>
          </w:tcPr>
          <w:p>
            <w:pPr>
              <w:ind w:left="340"/>
              <w:spacing w:after="0"/>
              <w:rPr>
                <w:sz w:val="20"/>
                <w:szCs w:val="20"/>
                <w:color w:val="auto"/>
              </w:rPr>
            </w:pPr>
            <w:r>
              <w:rPr>
                <w:rFonts w:ascii="Arial" w:cs="Arial" w:eastAsia="Arial" w:hAnsi="Arial"/>
                <w:sz w:val="11"/>
                <w:szCs w:val="11"/>
                <w:color w:val="auto"/>
              </w:rPr>
              <w:t>nominees receiving the</w:t>
            </w:r>
          </w:p>
        </w:tc>
        <w:tc>
          <w:tcPr>
            <w:tcW w:w="1480" w:type="dxa"/>
            <w:vAlign w:val="bottom"/>
          </w:tcPr>
          <w:p>
            <w:pPr>
              <w:ind w:left="200"/>
              <w:spacing w:after="0"/>
              <w:rPr>
                <w:sz w:val="20"/>
                <w:szCs w:val="20"/>
                <w:color w:val="auto"/>
              </w:rPr>
            </w:pPr>
            <w:r>
              <w:rPr>
                <w:rFonts w:ascii="Arial" w:cs="Arial" w:eastAsia="Arial" w:hAnsi="Arial"/>
                <w:sz w:val="11"/>
                <w:szCs w:val="11"/>
                <w:color w:val="auto"/>
              </w:rPr>
              <w:t>only “For” votes</w:t>
            </w:r>
          </w:p>
        </w:tc>
        <w:tc>
          <w:tcPr>
            <w:tcW w:w="1500" w:type="dxa"/>
            <w:vAlign w:val="bottom"/>
          </w:tcPr>
          <w:p>
            <w:pPr>
              <w:ind w:left="420"/>
              <w:spacing w:after="0"/>
              <w:rPr>
                <w:sz w:val="20"/>
                <w:szCs w:val="20"/>
                <w:color w:val="auto"/>
              </w:rPr>
            </w:pPr>
            <w:r>
              <w:rPr>
                <w:rFonts w:ascii="Arial" w:cs="Arial" w:eastAsia="Arial" w:hAnsi="Arial"/>
                <w:sz w:val="11"/>
                <w:szCs w:val="11"/>
                <w:color w:val="auto"/>
              </w:rPr>
              <w:t>to vote. Broker</w:t>
            </w:r>
          </w:p>
        </w:tc>
      </w:tr>
      <w:tr>
        <w:trPr>
          <w:trHeight w:val="135"/>
        </w:trPr>
        <w:tc>
          <w:tcPr>
            <w:tcW w:w="1140" w:type="dxa"/>
            <w:vAlign w:val="bottom"/>
          </w:tcPr>
          <w:p>
            <w:pPr>
              <w:ind w:left="80"/>
              <w:spacing w:after="0"/>
              <w:rPr>
                <w:sz w:val="20"/>
                <w:szCs w:val="20"/>
                <w:color w:val="auto"/>
              </w:rPr>
            </w:pPr>
            <w:r>
              <w:rPr>
                <w:rFonts w:ascii="Arial" w:cs="Arial" w:eastAsia="Arial" w:hAnsi="Arial"/>
                <w:sz w:val="11"/>
                <w:szCs w:val="11"/>
                <w:color w:val="auto"/>
                <w:w w:val="92"/>
              </w:rPr>
              <w:t>in this proxy statement</w:t>
            </w: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highest number of “For”</w:t>
            </w:r>
          </w:p>
        </w:tc>
        <w:tc>
          <w:tcPr>
            <w:tcW w:w="1480" w:type="dxa"/>
            <w:vAlign w:val="bottom"/>
          </w:tcPr>
          <w:p>
            <w:pPr>
              <w:ind w:left="200"/>
              <w:spacing w:after="0"/>
              <w:rPr>
                <w:sz w:val="20"/>
                <w:szCs w:val="20"/>
                <w:color w:val="auto"/>
              </w:rPr>
            </w:pPr>
            <w:r>
              <w:rPr>
                <w:rFonts w:ascii="Arial" w:cs="Arial" w:eastAsia="Arial" w:hAnsi="Arial"/>
                <w:sz w:val="11"/>
                <w:szCs w:val="11"/>
                <w:color w:val="auto"/>
              </w:rPr>
              <w:t>affect the outcome</w:t>
            </w:r>
          </w:p>
        </w:tc>
        <w:tc>
          <w:tcPr>
            <w:tcW w:w="1500" w:type="dxa"/>
            <w:vAlign w:val="bottom"/>
          </w:tcPr>
          <w:p>
            <w:pPr>
              <w:ind w:left="420"/>
              <w:spacing w:after="0"/>
              <w:rPr>
                <w:sz w:val="20"/>
                <w:szCs w:val="20"/>
                <w:color w:val="auto"/>
              </w:rPr>
            </w:pPr>
            <w:r>
              <w:rPr>
                <w:rFonts w:ascii="Arial" w:cs="Arial" w:eastAsia="Arial" w:hAnsi="Arial"/>
                <w:sz w:val="11"/>
                <w:szCs w:val="11"/>
                <w:color w:val="auto"/>
              </w:rPr>
              <w:t>non-votes will</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votes (from the holders of</w:t>
            </w:r>
          </w:p>
        </w:tc>
        <w:tc>
          <w:tcPr>
            <w:tcW w:w="1480" w:type="dxa"/>
            <w:vAlign w:val="bottom"/>
          </w:tcPr>
          <w:p>
            <w:pPr>
              <w:ind w:left="200"/>
              <w:spacing w:after="0"/>
              <w:rPr>
                <w:sz w:val="20"/>
                <w:szCs w:val="20"/>
                <w:color w:val="auto"/>
              </w:rPr>
            </w:pPr>
            <w:r>
              <w:rPr>
                <w:rFonts w:ascii="Arial" w:cs="Arial" w:eastAsia="Arial" w:hAnsi="Arial"/>
                <w:sz w:val="11"/>
                <w:szCs w:val="11"/>
                <w:color w:val="auto"/>
              </w:rPr>
              <w:t>of the election.</w:t>
            </w:r>
          </w:p>
        </w:tc>
        <w:tc>
          <w:tcPr>
            <w:tcW w:w="1500" w:type="dxa"/>
            <w:vAlign w:val="bottom"/>
          </w:tcPr>
          <w:p>
            <w:pPr>
              <w:ind w:left="420"/>
              <w:spacing w:after="0"/>
              <w:rPr>
                <w:sz w:val="20"/>
                <w:szCs w:val="20"/>
                <w:color w:val="auto"/>
              </w:rPr>
            </w:pPr>
            <w:r>
              <w:rPr>
                <w:rFonts w:ascii="Arial" w:cs="Arial" w:eastAsia="Arial" w:hAnsi="Arial"/>
                <w:sz w:val="11"/>
                <w:szCs w:val="11"/>
                <w:color w:val="auto"/>
              </w:rPr>
              <w:t>have no effect;</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votes of shares present or</w:t>
            </w:r>
          </w:p>
        </w:tc>
        <w:tc>
          <w:tcPr>
            <w:tcW w:w="1480" w:type="dxa"/>
            <w:vAlign w:val="bottom"/>
          </w:tcPr>
          <w:p>
            <w:pPr>
              <w:spacing w:after="0"/>
              <w:rPr>
                <w:sz w:val="11"/>
                <w:szCs w:val="11"/>
                <w:color w:val="auto"/>
              </w:rPr>
            </w:pPr>
          </w:p>
        </w:tc>
        <w:tc>
          <w:tcPr>
            <w:tcW w:w="1500" w:type="dxa"/>
            <w:vAlign w:val="bottom"/>
          </w:tcPr>
          <w:p>
            <w:pPr>
              <w:ind w:left="420"/>
              <w:spacing w:after="0"/>
              <w:rPr>
                <w:sz w:val="20"/>
                <w:szCs w:val="20"/>
                <w:color w:val="auto"/>
              </w:rPr>
            </w:pPr>
            <w:r>
              <w:rPr>
                <w:rFonts w:ascii="Arial" w:cs="Arial" w:eastAsia="Arial" w:hAnsi="Arial"/>
                <w:sz w:val="11"/>
                <w:szCs w:val="11"/>
                <w:color w:val="auto"/>
              </w:rPr>
              <w:t>only “For”</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represented by proxy and</w:t>
            </w:r>
          </w:p>
        </w:tc>
        <w:tc>
          <w:tcPr>
            <w:tcW w:w="1480" w:type="dxa"/>
            <w:vAlign w:val="bottom"/>
          </w:tcPr>
          <w:p>
            <w:pPr>
              <w:spacing w:after="0"/>
              <w:rPr>
                <w:sz w:val="11"/>
                <w:szCs w:val="11"/>
                <w:color w:val="auto"/>
              </w:rPr>
            </w:pPr>
          </w:p>
        </w:tc>
        <w:tc>
          <w:tcPr>
            <w:tcW w:w="1500" w:type="dxa"/>
            <w:vAlign w:val="bottom"/>
          </w:tcPr>
          <w:p>
            <w:pPr>
              <w:ind w:left="420"/>
              <w:spacing w:after="0"/>
              <w:rPr>
                <w:sz w:val="20"/>
                <w:szCs w:val="20"/>
                <w:color w:val="auto"/>
              </w:rPr>
            </w:pPr>
            <w:r>
              <w:rPr>
                <w:rFonts w:ascii="Arial" w:cs="Arial" w:eastAsia="Arial" w:hAnsi="Arial"/>
                <w:sz w:val="11"/>
                <w:szCs w:val="11"/>
                <w:color w:val="auto"/>
              </w:rPr>
              <w:t>votes affect the</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entitled to vote on the</w:t>
            </w:r>
          </w:p>
        </w:tc>
        <w:tc>
          <w:tcPr>
            <w:tcW w:w="1480" w:type="dxa"/>
            <w:vAlign w:val="bottom"/>
          </w:tcPr>
          <w:p>
            <w:pPr>
              <w:spacing w:after="0"/>
              <w:rPr>
                <w:sz w:val="11"/>
                <w:szCs w:val="11"/>
                <w:color w:val="auto"/>
              </w:rPr>
            </w:pPr>
          </w:p>
        </w:tc>
        <w:tc>
          <w:tcPr>
            <w:tcW w:w="1500" w:type="dxa"/>
            <w:vAlign w:val="bottom"/>
          </w:tcPr>
          <w:p>
            <w:pPr>
              <w:ind w:left="420"/>
              <w:spacing w:after="0"/>
              <w:rPr>
                <w:sz w:val="20"/>
                <w:szCs w:val="20"/>
                <w:color w:val="auto"/>
              </w:rPr>
            </w:pPr>
            <w:r>
              <w:rPr>
                <w:rFonts w:ascii="Arial" w:cs="Arial" w:eastAsia="Arial" w:hAnsi="Arial"/>
                <w:sz w:val="11"/>
                <w:szCs w:val="11"/>
                <w:color w:val="auto"/>
              </w:rPr>
              <w:t>outcome of the</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election of directors) will</w:t>
            </w:r>
          </w:p>
        </w:tc>
        <w:tc>
          <w:tcPr>
            <w:tcW w:w="1480" w:type="dxa"/>
            <w:vAlign w:val="bottom"/>
          </w:tcPr>
          <w:p>
            <w:pPr>
              <w:spacing w:after="0"/>
              <w:rPr>
                <w:sz w:val="11"/>
                <w:szCs w:val="11"/>
                <w:color w:val="auto"/>
              </w:rPr>
            </w:pPr>
          </w:p>
        </w:tc>
        <w:tc>
          <w:tcPr>
            <w:tcW w:w="1500" w:type="dxa"/>
            <w:vAlign w:val="bottom"/>
          </w:tcPr>
          <w:p>
            <w:pPr>
              <w:ind w:left="420"/>
              <w:spacing w:after="0"/>
              <w:rPr>
                <w:sz w:val="20"/>
                <w:szCs w:val="20"/>
                <w:color w:val="auto"/>
              </w:rPr>
            </w:pPr>
            <w:r>
              <w:rPr>
                <w:rFonts w:ascii="Arial" w:cs="Arial" w:eastAsia="Arial" w:hAnsi="Arial"/>
                <w:sz w:val="11"/>
                <w:szCs w:val="11"/>
                <w:color w:val="auto"/>
              </w:rPr>
              <w:t>election.</w:t>
            </w:r>
          </w:p>
        </w:tc>
      </w:tr>
      <w:tr>
        <w:trPr>
          <w:trHeight w:val="135"/>
        </w:trPr>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ind w:left="340"/>
              <w:spacing w:after="0"/>
              <w:rPr>
                <w:sz w:val="20"/>
                <w:szCs w:val="20"/>
                <w:color w:val="auto"/>
              </w:rPr>
            </w:pPr>
            <w:r>
              <w:rPr>
                <w:rFonts w:ascii="Arial" w:cs="Arial" w:eastAsia="Arial" w:hAnsi="Arial"/>
                <w:sz w:val="11"/>
                <w:szCs w:val="11"/>
                <w:color w:val="auto"/>
              </w:rPr>
              <w:t>be elected as Class I</w:t>
            </w:r>
          </w:p>
        </w:tc>
        <w:tc>
          <w:tcPr>
            <w:tcW w:w="14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31"/>
        </w:trPr>
        <w:tc>
          <w:tcPr>
            <w:tcW w:w="1140" w:type="dxa"/>
            <w:vAlign w:val="bottom"/>
            <w:tcBorders>
              <w:bottom w:val="single" w:sz="8" w:color="143FDD"/>
            </w:tcBorders>
          </w:tcPr>
          <w:p>
            <w:pPr>
              <w:spacing w:after="0"/>
              <w:rPr>
                <w:sz w:val="11"/>
                <w:szCs w:val="11"/>
                <w:color w:val="auto"/>
              </w:rPr>
            </w:pPr>
          </w:p>
        </w:tc>
        <w:tc>
          <w:tcPr>
            <w:tcW w:w="1180" w:type="dxa"/>
            <w:vAlign w:val="bottom"/>
            <w:tcBorders>
              <w:bottom w:val="single" w:sz="8" w:color="143FDD"/>
            </w:tcBorders>
          </w:tcPr>
          <w:p>
            <w:pPr>
              <w:spacing w:after="0"/>
              <w:rPr>
                <w:sz w:val="11"/>
                <w:szCs w:val="11"/>
                <w:color w:val="auto"/>
              </w:rPr>
            </w:pPr>
          </w:p>
        </w:tc>
        <w:tc>
          <w:tcPr>
            <w:tcW w:w="2040" w:type="dxa"/>
            <w:vAlign w:val="bottom"/>
            <w:tcBorders>
              <w:bottom w:val="single" w:sz="8" w:color="143FDD"/>
            </w:tcBorders>
          </w:tcPr>
          <w:p>
            <w:pPr>
              <w:ind w:left="340"/>
              <w:spacing w:after="0"/>
              <w:rPr>
                <w:sz w:val="20"/>
                <w:szCs w:val="20"/>
                <w:color w:val="auto"/>
              </w:rPr>
            </w:pPr>
            <w:r>
              <w:rPr>
                <w:rFonts w:ascii="Arial" w:cs="Arial" w:eastAsia="Arial" w:hAnsi="Arial"/>
                <w:sz w:val="11"/>
                <w:szCs w:val="11"/>
                <w:color w:val="auto"/>
              </w:rPr>
              <w:t>directors.</w:t>
            </w:r>
          </w:p>
        </w:tc>
        <w:tc>
          <w:tcPr>
            <w:tcW w:w="1480" w:type="dxa"/>
            <w:vAlign w:val="bottom"/>
            <w:tcBorders>
              <w:bottom w:val="single" w:sz="8" w:color="143FDD"/>
            </w:tcBorders>
          </w:tcPr>
          <w:p>
            <w:pPr>
              <w:spacing w:after="0"/>
              <w:rPr>
                <w:sz w:val="11"/>
                <w:szCs w:val="11"/>
                <w:color w:val="auto"/>
              </w:rPr>
            </w:pPr>
          </w:p>
        </w:tc>
        <w:tc>
          <w:tcPr>
            <w:tcW w:w="1500" w:type="dxa"/>
            <w:vAlign w:val="bottom"/>
            <w:tcBorders>
              <w:bottom w:val="single" w:sz="8" w:color="143FDD"/>
            </w:tcBorders>
          </w:tcPr>
          <w:p>
            <w:pPr>
              <w:spacing w:after="0"/>
              <w:rPr>
                <w:sz w:val="11"/>
                <w:szCs w:val="11"/>
                <w:color w:val="auto"/>
              </w:rPr>
            </w:pPr>
          </w:p>
        </w:tc>
      </w:tr>
      <w:tr>
        <w:trPr>
          <w:trHeight w:val="128"/>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b w:val="1"/>
                <w:bCs w:val="1"/>
                <w:color w:val="143FDD"/>
              </w:rPr>
              <w:t>Proposal Two:</w:t>
            </w:r>
          </w:p>
        </w:tc>
        <w:tc>
          <w:tcPr>
            <w:tcW w:w="11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For, Against or</w:t>
            </w:r>
          </w:p>
        </w:tc>
        <w:tc>
          <w:tcPr>
            <w:tcW w:w="2040" w:type="dxa"/>
            <w:vAlign w:val="bottom"/>
            <w:tcBorders>
              <w:right w:val="single" w:sz="8" w:color="143FDD"/>
            </w:tcBorders>
          </w:tcPr>
          <w:p>
            <w:pPr>
              <w:ind w:left="340"/>
              <w:spacing w:after="0"/>
              <w:rPr>
                <w:sz w:val="20"/>
                <w:szCs w:val="20"/>
                <w:color w:val="auto"/>
              </w:rPr>
            </w:pPr>
            <w:r>
              <w:rPr>
                <w:rFonts w:ascii="Arial" w:cs="Arial" w:eastAsia="Arial" w:hAnsi="Arial"/>
                <w:sz w:val="11"/>
                <w:szCs w:val="11"/>
                <w:color w:val="auto"/>
              </w:rPr>
              <w:t>Affirmative vote of a</w:t>
            </w: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Abstentions are</w:t>
            </w:r>
          </w:p>
        </w:tc>
        <w:tc>
          <w:tcPr>
            <w:tcW w:w="1500" w:type="dxa"/>
            <w:vAlign w:val="bottom"/>
          </w:tcPr>
          <w:p>
            <w:pPr>
              <w:ind w:left="420"/>
              <w:spacing w:after="0"/>
              <w:rPr>
                <w:sz w:val="20"/>
                <w:szCs w:val="20"/>
                <w:color w:val="auto"/>
              </w:rPr>
            </w:pPr>
            <w:r>
              <w:rPr>
                <w:rFonts w:ascii="Arial" w:cs="Arial" w:eastAsia="Arial" w:hAnsi="Arial"/>
                <w:sz w:val="11"/>
                <w:szCs w:val="11"/>
                <w:color w:val="auto"/>
              </w:rPr>
              <w:t>Brokers have</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rPr>
              <w:t>Ratification of</w:t>
            </w:r>
          </w:p>
        </w:tc>
        <w:tc>
          <w:tcPr>
            <w:tcW w:w="11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Abstain</w:t>
            </w:r>
          </w:p>
        </w:tc>
        <w:tc>
          <w:tcPr>
            <w:tcW w:w="2040" w:type="dxa"/>
            <w:vAlign w:val="bottom"/>
            <w:tcBorders>
              <w:right w:val="single" w:sz="8" w:color="143FDD"/>
            </w:tcBorders>
          </w:tcPr>
          <w:p>
            <w:pPr>
              <w:ind w:left="340"/>
              <w:spacing w:after="0"/>
              <w:rPr>
                <w:sz w:val="20"/>
                <w:szCs w:val="20"/>
                <w:color w:val="auto"/>
              </w:rPr>
            </w:pPr>
            <w:r>
              <w:rPr>
                <w:rFonts w:ascii="Arial" w:cs="Arial" w:eastAsia="Arial" w:hAnsi="Arial"/>
                <w:sz w:val="11"/>
                <w:szCs w:val="11"/>
                <w:color w:val="auto"/>
              </w:rPr>
              <w:t>majority of the shares</w:t>
            </w: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considered shares</w:t>
            </w:r>
          </w:p>
        </w:tc>
        <w:tc>
          <w:tcPr>
            <w:tcW w:w="1500" w:type="dxa"/>
            <w:vAlign w:val="bottom"/>
          </w:tcPr>
          <w:p>
            <w:pPr>
              <w:ind w:left="420"/>
              <w:spacing w:after="0"/>
              <w:rPr>
                <w:sz w:val="20"/>
                <w:szCs w:val="20"/>
                <w:color w:val="auto"/>
              </w:rPr>
            </w:pPr>
            <w:r>
              <w:rPr>
                <w:rFonts w:ascii="Arial" w:cs="Arial" w:eastAsia="Arial" w:hAnsi="Arial"/>
                <w:sz w:val="11"/>
                <w:szCs w:val="11"/>
                <w:color w:val="auto"/>
              </w:rPr>
              <w:t>discretion to</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w w:val="94"/>
              </w:rPr>
              <w:t>appointment of KPMG</w:t>
            </w:r>
          </w:p>
        </w:tc>
        <w:tc>
          <w:tcPr>
            <w:tcW w:w="1180" w:type="dxa"/>
            <w:vAlign w:val="bottom"/>
            <w:tcBorders>
              <w:right w:val="single" w:sz="8" w:color="143FDD"/>
            </w:tcBorders>
          </w:tcPr>
          <w:p>
            <w:pPr>
              <w:spacing w:after="0"/>
              <w:rPr>
                <w:sz w:val="11"/>
                <w:szCs w:val="11"/>
                <w:color w:val="auto"/>
              </w:rPr>
            </w:pPr>
          </w:p>
        </w:tc>
        <w:tc>
          <w:tcPr>
            <w:tcW w:w="2040" w:type="dxa"/>
            <w:vAlign w:val="bottom"/>
            <w:tcBorders>
              <w:right w:val="single" w:sz="8" w:color="143FDD"/>
            </w:tcBorders>
          </w:tcPr>
          <w:p>
            <w:pPr>
              <w:ind w:left="340"/>
              <w:spacing w:after="0"/>
              <w:rPr>
                <w:sz w:val="20"/>
                <w:szCs w:val="20"/>
                <w:color w:val="auto"/>
              </w:rPr>
            </w:pPr>
            <w:r>
              <w:rPr>
                <w:rFonts w:ascii="Arial" w:cs="Arial" w:eastAsia="Arial" w:hAnsi="Arial"/>
                <w:sz w:val="11"/>
                <w:szCs w:val="11"/>
                <w:color w:val="auto"/>
              </w:rPr>
              <w:t>present or represented by</w:t>
            </w: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present and entitled</w:t>
            </w:r>
          </w:p>
        </w:tc>
        <w:tc>
          <w:tcPr>
            <w:tcW w:w="1500" w:type="dxa"/>
            <w:vAlign w:val="bottom"/>
          </w:tcPr>
          <w:p>
            <w:pPr>
              <w:ind w:left="420"/>
              <w:spacing w:after="0"/>
              <w:rPr>
                <w:sz w:val="20"/>
                <w:szCs w:val="20"/>
                <w:color w:val="auto"/>
              </w:rPr>
            </w:pPr>
            <w:r>
              <w:rPr>
                <w:rFonts w:ascii="Arial" w:cs="Arial" w:eastAsia="Arial" w:hAnsi="Arial"/>
                <w:sz w:val="11"/>
                <w:szCs w:val="11"/>
                <w:color w:val="auto"/>
              </w:rPr>
              <w:t>vote. Therefore,</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w w:val="87"/>
              </w:rPr>
              <w:t>LLP as our independent</w:t>
            </w:r>
          </w:p>
        </w:tc>
        <w:tc>
          <w:tcPr>
            <w:tcW w:w="1180" w:type="dxa"/>
            <w:vAlign w:val="bottom"/>
            <w:tcBorders>
              <w:right w:val="single" w:sz="8" w:color="143FDD"/>
            </w:tcBorders>
          </w:tcPr>
          <w:p>
            <w:pPr>
              <w:spacing w:after="0"/>
              <w:rPr>
                <w:sz w:val="11"/>
                <w:szCs w:val="11"/>
                <w:color w:val="auto"/>
              </w:rPr>
            </w:pPr>
          </w:p>
        </w:tc>
        <w:tc>
          <w:tcPr>
            <w:tcW w:w="2040" w:type="dxa"/>
            <w:vAlign w:val="bottom"/>
            <w:tcBorders>
              <w:right w:val="single" w:sz="8" w:color="143FDD"/>
            </w:tcBorders>
          </w:tcPr>
          <w:p>
            <w:pPr>
              <w:ind w:left="340"/>
              <w:spacing w:after="0"/>
              <w:rPr>
                <w:sz w:val="20"/>
                <w:szCs w:val="20"/>
                <w:color w:val="auto"/>
              </w:rPr>
            </w:pPr>
            <w:r>
              <w:rPr>
                <w:rFonts w:ascii="Arial" w:cs="Arial" w:eastAsia="Arial" w:hAnsi="Arial"/>
                <w:sz w:val="11"/>
                <w:szCs w:val="11"/>
                <w:color w:val="auto"/>
              </w:rPr>
              <w:t>proxy and entitled to vote</w:t>
            </w: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to vote, and</w:t>
            </w:r>
          </w:p>
        </w:tc>
        <w:tc>
          <w:tcPr>
            <w:tcW w:w="1500" w:type="dxa"/>
            <w:vAlign w:val="bottom"/>
          </w:tcPr>
          <w:p>
            <w:pPr>
              <w:ind w:left="420"/>
              <w:spacing w:after="0"/>
              <w:rPr>
                <w:sz w:val="20"/>
                <w:szCs w:val="20"/>
                <w:color w:val="auto"/>
              </w:rPr>
            </w:pPr>
            <w:r>
              <w:rPr>
                <w:rFonts w:ascii="Arial" w:cs="Arial" w:eastAsia="Arial" w:hAnsi="Arial"/>
                <w:sz w:val="11"/>
                <w:szCs w:val="11"/>
                <w:color w:val="auto"/>
              </w:rPr>
              <w:t>we do not</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rPr>
              <w:t>registered public</w:t>
            </w:r>
          </w:p>
        </w:tc>
        <w:tc>
          <w:tcPr>
            <w:tcW w:w="1180" w:type="dxa"/>
            <w:vAlign w:val="bottom"/>
            <w:tcBorders>
              <w:right w:val="single" w:sz="8" w:color="143FDD"/>
            </w:tcBorders>
          </w:tcPr>
          <w:p>
            <w:pPr>
              <w:spacing w:after="0"/>
              <w:rPr>
                <w:sz w:val="11"/>
                <w:szCs w:val="11"/>
                <w:color w:val="auto"/>
              </w:rPr>
            </w:pPr>
          </w:p>
        </w:tc>
        <w:tc>
          <w:tcPr>
            <w:tcW w:w="2040" w:type="dxa"/>
            <w:vAlign w:val="bottom"/>
            <w:tcBorders>
              <w:right w:val="single" w:sz="8" w:color="143FDD"/>
            </w:tcBorders>
          </w:tcPr>
          <w:p>
            <w:pPr>
              <w:ind w:left="340"/>
              <w:spacing w:after="0"/>
              <w:rPr>
                <w:sz w:val="20"/>
                <w:szCs w:val="20"/>
                <w:color w:val="auto"/>
              </w:rPr>
            </w:pPr>
            <w:r>
              <w:rPr>
                <w:rFonts w:ascii="Arial" w:cs="Arial" w:eastAsia="Arial" w:hAnsi="Arial"/>
                <w:sz w:val="11"/>
                <w:szCs w:val="11"/>
                <w:color w:val="auto"/>
              </w:rPr>
              <w:t>on the proposal.</w:t>
            </w: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therefore have the</w:t>
            </w:r>
          </w:p>
        </w:tc>
        <w:tc>
          <w:tcPr>
            <w:tcW w:w="1500" w:type="dxa"/>
            <w:vAlign w:val="bottom"/>
          </w:tcPr>
          <w:p>
            <w:pPr>
              <w:ind w:left="420"/>
              <w:spacing w:after="0"/>
              <w:rPr>
                <w:sz w:val="20"/>
                <w:szCs w:val="20"/>
                <w:color w:val="auto"/>
              </w:rPr>
            </w:pPr>
            <w:r>
              <w:rPr>
                <w:rFonts w:ascii="Arial" w:cs="Arial" w:eastAsia="Arial" w:hAnsi="Arial"/>
                <w:sz w:val="11"/>
                <w:szCs w:val="11"/>
                <w:color w:val="auto"/>
              </w:rPr>
              <w:t>expect any</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w w:val="93"/>
              </w:rPr>
              <w:t>accounting firm for the</w:t>
            </w:r>
          </w:p>
        </w:tc>
        <w:tc>
          <w:tcPr>
            <w:tcW w:w="1180" w:type="dxa"/>
            <w:vAlign w:val="bottom"/>
            <w:tcBorders>
              <w:right w:val="single" w:sz="8" w:color="143FDD"/>
            </w:tcBorders>
          </w:tcPr>
          <w:p>
            <w:pPr>
              <w:spacing w:after="0"/>
              <w:rPr>
                <w:sz w:val="11"/>
                <w:szCs w:val="11"/>
                <w:color w:val="auto"/>
              </w:rPr>
            </w:pPr>
          </w:p>
        </w:tc>
        <w:tc>
          <w:tcPr>
            <w:tcW w:w="2040" w:type="dxa"/>
            <w:vAlign w:val="bottom"/>
            <w:tcBorders>
              <w:right w:val="single" w:sz="8" w:color="143FDD"/>
            </w:tcBorders>
          </w:tcPr>
          <w:p>
            <w:pPr>
              <w:spacing w:after="0"/>
              <w:rPr>
                <w:sz w:val="11"/>
                <w:szCs w:val="11"/>
                <w:color w:val="auto"/>
              </w:rPr>
            </w:pP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same impact as</w:t>
            </w:r>
          </w:p>
        </w:tc>
        <w:tc>
          <w:tcPr>
            <w:tcW w:w="1500" w:type="dxa"/>
            <w:vAlign w:val="bottom"/>
          </w:tcPr>
          <w:p>
            <w:pPr>
              <w:ind w:left="420"/>
              <w:spacing w:after="0"/>
              <w:rPr>
                <w:sz w:val="20"/>
                <w:szCs w:val="20"/>
                <w:color w:val="auto"/>
              </w:rPr>
            </w:pPr>
            <w:r>
              <w:rPr>
                <w:rFonts w:ascii="Arial" w:cs="Arial" w:eastAsia="Arial" w:hAnsi="Arial"/>
                <w:sz w:val="11"/>
                <w:szCs w:val="11"/>
                <w:color w:val="auto"/>
              </w:rPr>
              <w:t>broker</w:t>
            </w:r>
          </w:p>
        </w:tc>
      </w:tr>
      <w:tr>
        <w:trPr>
          <w:trHeight w:val="135"/>
        </w:trPr>
        <w:tc>
          <w:tcPr>
            <w:tcW w:w="1140" w:type="dxa"/>
            <w:vAlign w:val="bottom"/>
            <w:tcBorders>
              <w:right w:val="single" w:sz="8" w:color="143FDD"/>
            </w:tcBorders>
          </w:tcPr>
          <w:p>
            <w:pPr>
              <w:ind w:left="80"/>
              <w:spacing w:after="0"/>
              <w:rPr>
                <w:sz w:val="20"/>
                <w:szCs w:val="20"/>
                <w:color w:val="auto"/>
              </w:rPr>
            </w:pPr>
            <w:r>
              <w:rPr>
                <w:rFonts w:ascii="Arial" w:cs="Arial" w:eastAsia="Arial" w:hAnsi="Arial"/>
                <w:sz w:val="11"/>
                <w:szCs w:val="11"/>
                <w:color w:val="auto"/>
              </w:rPr>
              <w:t>year ended</w:t>
            </w:r>
          </w:p>
        </w:tc>
        <w:tc>
          <w:tcPr>
            <w:tcW w:w="1180" w:type="dxa"/>
            <w:vAlign w:val="bottom"/>
            <w:tcBorders>
              <w:right w:val="single" w:sz="8" w:color="143FDD"/>
            </w:tcBorders>
          </w:tcPr>
          <w:p>
            <w:pPr>
              <w:spacing w:after="0"/>
              <w:rPr>
                <w:sz w:val="11"/>
                <w:szCs w:val="11"/>
                <w:color w:val="auto"/>
              </w:rPr>
            </w:pPr>
          </w:p>
        </w:tc>
        <w:tc>
          <w:tcPr>
            <w:tcW w:w="2040" w:type="dxa"/>
            <w:vAlign w:val="bottom"/>
            <w:tcBorders>
              <w:right w:val="single" w:sz="8" w:color="143FDD"/>
            </w:tcBorders>
          </w:tcPr>
          <w:p>
            <w:pPr>
              <w:spacing w:after="0"/>
              <w:rPr>
                <w:sz w:val="11"/>
                <w:szCs w:val="11"/>
                <w:color w:val="auto"/>
              </w:rPr>
            </w:pPr>
          </w:p>
        </w:tc>
        <w:tc>
          <w:tcPr>
            <w:tcW w:w="1480" w:type="dxa"/>
            <w:vAlign w:val="bottom"/>
            <w:tcBorders>
              <w:right w:val="single" w:sz="8" w:color="143FDD"/>
            </w:tcBorders>
          </w:tcPr>
          <w:p>
            <w:pPr>
              <w:ind w:left="200"/>
              <w:spacing w:after="0"/>
              <w:rPr>
                <w:sz w:val="20"/>
                <w:szCs w:val="20"/>
                <w:color w:val="auto"/>
              </w:rPr>
            </w:pPr>
            <w:r>
              <w:rPr>
                <w:rFonts w:ascii="Arial" w:cs="Arial" w:eastAsia="Arial" w:hAnsi="Arial"/>
                <w:sz w:val="11"/>
                <w:szCs w:val="11"/>
                <w:color w:val="auto"/>
              </w:rPr>
              <w:t>votes “Against” the</w:t>
            </w:r>
          </w:p>
        </w:tc>
        <w:tc>
          <w:tcPr>
            <w:tcW w:w="1500" w:type="dxa"/>
            <w:vAlign w:val="bottom"/>
          </w:tcPr>
          <w:p>
            <w:pPr>
              <w:ind w:left="420"/>
              <w:spacing w:after="0"/>
              <w:rPr>
                <w:sz w:val="20"/>
                <w:szCs w:val="20"/>
                <w:color w:val="auto"/>
              </w:rPr>
            </w:pPr>
            <w:r>
              <w:rPr>
                <w:rFonts w:ascii="Arial" w:cs="Arial" w:eastAsia="Arial" w:hAnsi="Arial"/>
                <w:sz w:val="11"/>
                <w:szCs w:val="11"/>
                <w:color w:val="auto"/>
              </w:rPr>
              <w:t>non-votes.</w:t>
            </w:r>
          </w:p>
        </w:tc>
      </w:tr>
      <w:tr>
        <w:trPr>
          <w:trHeight w:val="138"/>
        </w:trPr>
        <w:tc>
          <w:tcPr>
            <w:tcW w:w="1140" w:type="dxa"/>
            <w:vAlign w:val="bottom"/>
            <w:tcBorders>
              <w:bottom w:val="single" w:sz="8" w:color="143FDD"/>
              <w:right w:val="single" w:sz="8" w:color="143FDD"/>
            </w:tcBorders>
          </w:tcPr>
          <w:p>
            <w:pPr>
              <w:ind w:left="80"/>
              <w:spacing w:after="0"/>
              <w:rPr>
                <w:sz w:val="20"/>
                <w:szCs w:val="20"/>
                <w:color w:val="auto"/>
              </w:rPr>
            </w:pPr>
            <w:r>
              <w:rPr>
                <w:rFonts w:ascii="Arial" w:cs="Arial" w:eastAsia="Arial" w:hAnsi="Arial"/>
                <w:sz w:val="11"/>
                <w:szCs w:val="11"/>
                <w:color w:val="auto"/>
              </w:rPr>
              <w:t>December 31, 2021</w:t>
            </w:r>
          </w:p>
        </w:tc>
        <w:tc>
          <w:tcPr>
            <w:tcW w:w="1180" w:type="dxa"/>
            <w:vAlign w:val="bottom"/>
            <w:tcBorders>
              <w:bottom w:val="single" w:sz="8" w:color="143FDD"/>
              <w:right w:val="single" w:sz="8" w:color="143FDD"/>
            </w:tcBorders>
          </w:tcPr>
          <w:p>
            <w:pPr>
              <w:spacing w:after="0"/>
              <w:rPr>
                <w:sz w:val="12"/>
                <w:szCs w:val="12"/>
                <w:color w:val="auto"/>
              </w:rPr>
            </w:pPr>
          </w:p>
        </w:tc>
        <w:tc>
          <w:tcPr>
            <w:tcW w:w="2040" w:type="dxa"/>
            <w:vAlign w:val="bottom"/>
            <w:tcBorders>
              <w:bottom w:val="single" w:sz="8" w:color="143FDD"/>
              <w:right w:val="single" w:sz="8" w:color="143FDD"/>
            </w:tcBorders>
          </w:tcPr>
          <w:p>
            <w:pPr>
              <w:spacing w:after="0"/>
              <w:rPr>
                <w:sz w:val="12"/>
                <w:szCs w:val="12"/>
                <w:color w:val="auto"/>
              </w:rPr>
            </w:pPr>
          </w:p>
        </w:tc>
        <w:tc>
          <w:tcPr>
            <w:tcW w:w="1480" w:type="dxa"/>
            <w:vAlign w:val="bottom"/>
            <w:tcBorders>
              <w:bottom w:val="single" w:sz="8" w:color="143FDD"/>
              <w:right w:val="single" w:sz="8" w:color="143FDD"/>
            </w:tcBorders>
          </w:tcPr>
          <w:p>
            <w:pPr>
              <w:ind w:left="200"/>
              <w:spacing w:after="0"/>
              <w:rPr>
                <w:sz w:val="20"/>
                <w:szCs w:val="20"/>
                <w:color w:val="auto"/>
              </w:rPr>
            </w:pPr>
            <w:r>
              <w:rPr>
                <w:rFonts w:ascii="Arial" w:cs="Arial" w:eastAsia="Arial" w:hAnsi="Arial"/>
                <w:sz w:val="11"/>
                <w:szCs w:val="11"/>
                <w:color w:val="auto"/>
              </w:rPr>
              <w:t>proposal.</w:t>
            </w:r>
          </w:p>
        </w:tc>
        <w:tc>
          <w:tcPr>
            <w:tcW w:w="1500" w:type="dxa"/>
            <w:vAlign w:val="bottom"/>
            <w:tcBorders>
              <w:bottom w:val="single" w:sz="8" w:color="143FDD"/>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-1639570</wp:posOffset>
            </wp:positionV>
            <wp:extent cx="57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-1628140</wp:posOffset>
            </wp:positionV>
            <wp:extent cx="57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-1616710</wp:posOffset>
            </wp:positionV>
            <wp:extent cx="57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-1605280</wp:posOffset>
            </wp:positionV>
            <wp:extent cx="571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-1593850</wp:posOffset>
            </wp:positionV>
            <wp:extent cx="57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-1582420</wp:posOffset>
            </wp:positionV>
            <wp:extent cx="57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-1570990</wp:posOffset>
            </wp:positionV>
            <wp:extent cx="57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-1559560</wp:posOffset>
            </wp:positionV>
            <wp:extent cx="571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-1548130</wp:posOffset>
            </wp:positionV>
            <wp:extent cx="57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-1536700</wp:posOffset>
            </wp:positionV>
            <wp:extent cx="57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-1525270</wp:posOffset>
            </wp:positionV>
            <wp:extent cx="57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-1513840</wp:posOffset>
            </wp:positionV>
            <wp:extent cx="57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-1502410</wp:posOffset>
            </wp:positionV>
            <wp:extent cx="571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-1490980</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-1479550</wp:posOffset>
            </wp:positionV>
            <wp:extent cx="57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-1468120</wp:posOffset>
            </wp:positionV>
            <wp:extent cx="57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-1456690</wp:posOffset>
            </wp:positionV>
            <wp:extent cx="57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-1445260</wp:posOffset>
            </wp:positionV>
            <wp:extent cx="57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-1433830</wp:posOffset>
            </wp:positionV>
            <wp:extent cx="57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-1422400</wp:posOffset>
            </wp:positionV>
            <wp:extent cx="57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-1410970</wp:posOffset>
            </wp:positionV>
            <wp:extent cx="571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-1399540</wp:posOffset>
            </wp:positionV>
            <wp:extent cx="57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-1388110</wp:posOffset>
            </wp:positionV>
            <wp:extent cx="57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-1376680</wp:posOffset>
            </wp:positionV>
            <wp:extent cx="571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-1365250</wp:posOffset>
            </wp:positionV>
            <wp:extent cx="571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-1353820</wp:posOffset>
            </wp:positionV>
            <wp:extent cx="57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-1342390</wp:posOffset>
            </wp:positionV>
            <wp:extent cx="57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-1330960</wp:posOffset>
            </wp:positionV>
            <wp:extent cx="57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-1319530</wp:posOffset>
            </wp:positionV>
            <wp:extent cx="57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-1308100</wp:posOffset>
            </wp:positionV>
            <wp:extent cx="57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-1296670</wp:posOffset>
            </wp:positionV>
            <wp:extent cx="57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-1285240</wp:posOffset>
            </wp:positionV>
            <wp:extent cx="57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-1273810</wp:posOffset>
            </wp:positionV>
            <wp:extent cx="57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-1262380</wp:posOffset>
            </wp:positionV>
            <wp:extent cx="57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-1250950</wp:posOffset>
            </wp:positionV>
            <wp:extent cx="57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-1239520</wp:posOffset>
            </wp:positionV>
            <wp:extent cx="57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-1228090</wp:posOffset>
            </wp:positionV>
            <wp:extent cx="571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-1216660</wp:posOffset>
            </wp:positionV>
            <wp:extent cx="57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-1205230</wp:posOffset>
            </wp:positionV>
            <wp:extent cx="57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-1193800</wp:posOffset>
            </wp:positionV>
            <wp:extent cx="57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-1182370</wp:posOffset>
            </wp:positionV>
            <wp:extent cx="57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-1170940</wp:posOffset>
            </wp:positionV>
            <wp:extent cx="571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-1159510</wp:posOffset>
            </wp:positionV>
            <wp:extent cx="57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-1148080</wp:posOffset>
            </wp:positionV>
            <wp:extent cx="57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-1136650</wp:posOffset>
            </wp:positionV>
            <wp:extent cx="57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-1125220</wp:posOffset>
            </wp:positionV>
            <wp:extent cx="57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-1113790</wp:posOffset>
            </wp:positionV>
            <wp:extent cx="57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-1102360</wp:posOffset>
            </wp:positionV>
            <wp:extent cx="57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-1090930</wp:posOffset>
            </wp:positionV>
            <wp:extent cx="57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-1079500</wp:posOffset>
            </wp:positionV>
            <wp:extent cx="57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-1068070</wp:posOffset>
            </wp:positionV>
            <wp:extent cx="57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-1056640</wp:posOffset>
            </wp:positionV>
            <wp:extent cx="57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-1045210</wp:posOffset>
            </wp:positionV>
            <wp:extent cx="57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-1033780</wp:posOffset>
            </wp:positionV>
            <wp:extent cx="57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-1022350</wp:posOffset>
            </wp:positionV>
            <wp:extent cx="57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-1010920</wp:posOffset>
            </wp:positionV>
            <wp:extent cx="57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-999490</wp:posOffset>
            </wp:positionV>
            <wp:extent cx="57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-988060</wp:posOffset>
            </wp:positionV>
            <wp:extent cx="57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-976630</wp:posOffset>
            </wp:positionV>
            <wp:extent cx="57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-965200</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-953770</wp:posOffset>
            </wp:positionV>
            <wp:extent cx="57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-942340</wp:posOffset>
            </wp:positionV>
            <wp:extent cx="57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-930910</wp:posOffset>
            </wp:positionV>
            <wp:extent cx="57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-919480</wp:posOffset>
            </wp:positionV>
            <wp:extent cx="57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-908050</wp:posOffset>
            </wp:positionV>
            <wp:extent cx="57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-896620</wp:posOffset>
            </wp:positionV>
            <wp:extent cx="57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-885190</wp:posOffset>
            </wp:positionV>
            <wp:extent cx="57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-873760</wp:posOffset>
            </wp:positionV>
            <wp:extent cx="571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-862330</wp:posOffset>
            </wp:positionV>
            <wp:extent cx="57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-850900</wp:posOffset>
            </wp:positionV>
            <wp:extent cx="57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-839470</wp:posOffset>
            </wp:positionV>
            <wp:extent cx="57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-828040</wp:posOffset>
            </wp:positionV>
            <wp:extent cx="571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-816610</wp:posOffset>
            </wp:positionV>
            <wp:extent cx="57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-805180</wp:posOffset>
            </wp:positionV>
            <wp:extent cx="57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-793750</wp:posOffset>
            </wp:positionV>
            <wp:extent cx="57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-782320</wp:posOffset>
            </wp:positionV>
            <wp:extent cx="57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-770890</wp:posOffset>
            </wp:positionV>
            <wp:extent cx="571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-759460</wp:posOffset>
            </wp:positionV>
            <wp:extent cx="57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-748030</wp:posOffset>
            </wp:positionV>
            <wp:extent cx="57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-736600</wp:posOffset>
            </wp:positionV>
            <wp:extent cx="571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-725170</wp:posOffset>
            </wp:positionV>
            <wp:extent cx="571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-713740</wp:posOffset>
            </wp:positionV>
            <wp:extent cx="57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-1639570</wp:posOffset>
            </wp:positionV>
            <wp:extent cx="57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-1628140</wp:posOffset>
            </wp:positionV>
            <wp:extent cx="57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-1616710</wp:posOffset>
            </wp:positionV>
            <wp:extent cx="571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-1605280</wp:posOffset>
            </wp:positionV>
            <wp:extent cx="57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-1593850</wp:posOffset>
            </wp:positionV>
            <wp:extent cx="57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-1582420</wp:posOffset>
            </wp:positionV>
            <wp:extent cx="57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-1570990</wp:posOffset>
            </wp:positionV>
            <wp:extent cx="57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-1559560</wp:posOffset>
            </wp:positionV>
            <wp:extent cx="57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-1548130</wp:posOffset>
            </wp:positionV>
            <wp:extent cx="571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-1536700</wp:posOffset>
            </wp:positionV>
            <wp:extent cx="57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-1525270</wp:posOffset>
            </wp:positionV>
            <wp:extent cx="57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-1513840</wp:posOffset>
            </wp:positionV>
            <wp:extent cx="571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-1502410</wp:posOffset>
            </wp:positionV>
            <wp:extent cx="57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-1490980</wp:posOffset>
            </wp:positionV>
            <wp:extent cx="57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-1479550</wp:posOffset>
            </wp:positionV>
            <wp:extent cx="571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-1468120</wp:posOffset>
            </wp:positionV>
            <wp:extent cx="571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-1456690</wp:posOffset>
            </wp:positionV>
            <wp:extent cx="57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-1445260</wp:posOffset>
            </wp:positionV>
            <wp:extent cx="571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-1433830</wp:posOffset>
            </wp:positionV>
            <wp:extent cx="57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-1422400</wp:posOffset>
            </wp:positionV>
            <wp:extent cx="57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-1410970</wp:posOffset>
            </wp:positionV>
            <wp:extent cx="57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-1399540</wp:posOffset>
            </wp:positionV>
            <wp:extent cx="57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-1388110</wp:posOffset>
            </wp:positionV>
            <wp:extent cx="57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-1376680</wp:posOffset>
            </wp:positionV>
            <wp:extent cx="57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-1365250</wp:posOffset>
            </wp:positionV>
            <wp:extent cx="57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-1353820</wp:posOffset>
            </wp:positionV>
            <wp:extent cx="57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-1342390</wp:posOffset>
            </wp:positionV>
            <wp:extent cx="57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-1330960</wp:posOffset>
            </wp:positionV>
            <wp:extent cx="571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-1319530</wp:posOffset>
            </wp:positionV>
            <wp:extent cx="57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-1308100</wp:posOffset>
            </wp:positionV>
            <wp:extent cx="571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-1296670</wp:posOffset>
            </wp:positionV>
            <wp:extent cx="571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-1285240</wp:posOffset>
            </wp:positionV>
            <wp:extent cx="571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-1273810</wp:posOffset>
            </wp:positionV>
            <wp:extent cx="57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-1262380</wp:posOffset>
            </wp:positionV>
            <wp:extent cx="57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-1250950</wp:posOffset>
            </wp:positionV>
            <wp:extent cx="57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-1239520</wp:posOffset>
            </wp:positionV>
            <wp:extent cx="571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-1228090</wp:posOffset>
            </wp:positionV>
            <wp:extent cx="571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-1216660</wp:posOffset>
            </wp:positionV>
            <wp:extent cx="571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-1205230</wp:posOffset>
            </wp:positionV>
            <wp:extent cx="571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-1193800</wp:posOffset>
            </wp:positionV>
            <wp:extent cx="57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-1182370</wp:posOffset>
            </wp:positionV>
            <wp:extent cx="571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-1170940</wp:posOffset>
            </wp:positionV>
            <wp:extent cx="571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-1159510</wp:posOffset>
            </wp:positionV>
            <wp:extent cx="571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-1148080</wp:posOffset>
            </wp:positionV>
            <wp:extent cx="57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-1136650</wp:posOffset>
            </wp:positionV>
            <wp:extent cx="57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-1125220</wp:posOffset>
            </wp:positionV>
            <wp:extent cx="571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-1113790</wp:posOffset>
            </wp:positionV>
            <wp:extent cx="571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-1102360</wp:posOffset>
            </wp:positionV>
            <wp:extent cx="571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-1090930</wp:posOffset>
            </wp:positionV>
            <wp:extent cx="571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-1079500</wp:posOffset>
            </wp:positionV>
            <wp:extent cx="57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-1068070</wp:posOffset>
            </wp:positionV>
            <wp:extent cx="57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-1056640</wp:posOffset>
            </wp:positionV>
            <wp:extent cx="571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-1045210</wp:posOffset>
            </wp:positionV>
            <wp:extent cx="57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-1033780</wp:posOffset>
            </wp:positionV>
            <wp:extent cx="571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-1022350</wp:posOffset>
            </wp:positionV>
            <wp:extent cx="571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-1010920</wp:posOffset>
            </wp:positionV>
            <wp:extent cx="571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-999490</wp:posOffset>
            </wp:positionV>
            <wp:extent cx="571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-988060</wp:posOffset>
            </wp:positionV>
            <wp:extent cx="571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-976630</wp:posOffset>
            </wp:positionV>
            <wp:extent cx="571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-965200</wp:posOffset>
            </wp:positionV>
            <wp:extent cx="571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-953770</wp:posOffset>
            </wp:positionV>
            <wp:extent cx="57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-942340</wp:posOffset>
            </wp:positionV>
            <wp:extent cx="57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-930910</wp:posOffset>
            </wp:positionV>
            <wp:extent cx="57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-919480</wp:posOffset>
            </wp:positionV>
            <wp:extent cx="571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-908050</wp:posOffset>
            </wp:positionV>
            <wp:extent cx="571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-896620</wp:posOffset>
            </wp:positionV>
            <wp:extent cx="571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-885190</wp:posOffset>
            </wp:positionV>
            <wp:extent cx="571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-873760</wp:posOffset>
            </wp:positionV>
            <wp:extent cx="571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-862330</wp:posOffset>
            </wp:positionV>
            <wp:extent cx="571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-850900</wp:posOffset>
            </wp:positionV>
            <wp:extent cx="571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-839470</wp:posOffset>
            </wp:positionV>
            <wp:extent cx="57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-828040</wp:posOffset>
            </wp:positionV>
            <wp:extent cx="571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-816610</wp:posOffset>
            </wp:positionV>
            <wp:extent cx="571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-805180</wp:posOffset>
            </wp:positionV>
            <wp:extent cx="571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-793750</wp:posOffset>
            </wp:positionV>
            <wp:extent cx="57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-782320</wp:posOffset>
            </wp:positionV>
            <wp:extent cx="571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-770890</wp:posOffset>
            </wp:positionV>
            <wp:extent cx="57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-759460</wp:posOffset>
            </wp:positionV>
            <wp:extent cx="57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-748030</wp:posOffset>
            </wp:positionV>
            <wp:extent cx="571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-736600</wp:posOffset>
            </wp:positionV>
            <wp:extent cx="571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-725170</wp:posOffset>
            </wp:positionV>
            <wp:extent cx="57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-713740</wp:posOffset>
            </wp:positionV>
            <wp:extent cx="571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-1639570</wp:posOffset>
            </wp:positionV>
            <wp:extent cx="571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-1628140</wp:posOffset>
            </wp:positionV>
            <wp:extent cx="571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-1616710</wp:posOffset>
            </wp:positionV>
            <wp:extent cx="57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-1605280</wp:posOffset>
            </wp:positionV>
            <wp:extent cx="571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-1593850</wp:posOffset>
            </wp:positionV>
            <wp:extent cx="571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-1582420</wp:posOffset>
            </wp:positionV>
            <wp:extent cx="571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-1570990</wp:posOffset>
            </wp:positionV>
            <wp:extent cx="571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-1559560</wp:posOffset>
            </wp:positionV>
            <wp:extent cx="571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-1548130</wp:posOffset>
            </wp:positionV>
            <wp:extent cx="571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-1536700</wp:posOffset>
            </wp:positionV>
            <wp:extent cx="57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-1525270</wp:posOffset>
            </wp:positionV>
            <wp:extent cx="571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-1513840</wp:posOffset>
            </wp:positionV>
            <wp:extent cx="571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-1502410</wp:posOffset>
            </wp:positionV>
            <wp:extent cx="571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-1490980</wp:posOffset>
            </wp:positionV>
            <wp:extent cx="57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-1479550</wp:posOffset>
            </wp:positionV>
            <wp:extent cx="571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-1468120</wp:posOffset>
            </wp:positionV>
            <wp:extent cx="571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-1456690</wp:posOffset>
            </wp:positionV>
            <wp:extent cx="571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-1445260</wp:posOffset>
            </wp:positionV>
            <wp:extent cx="571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-1433830</wp:posOffset>
            </wp:positionV>
            <wp:extent cx="571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-1422400</wp:posOffset>
            </wp:positionV>
            <wp:extent cx="571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-1410970</wp:posOffset>
            </wp:positionV>
            <wp:extent cx="571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-1399540</wp:posOffset>
            </wp:positionV>
            <wp:extent cx="571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-1388110</wp:posOffset>
            </wp:positionV>
            <wp:extent cx="571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-1376680</wp:posOffset>
            </wp:positionV>
            <wp:extent cx="571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-1365250</wp:posOffset>
            </wp:positionV>
            <wp:extent cx="571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-1353820</wp:posOffset>
            </wp:positionV>
            <wp:extent cx="571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-1342390</wp:posOffset>
            </wp:positionV>
            <wp:extent cx="571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-1330960</wp:posOffset>
            </wp:positionV>
            <wp:extent cx="571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-1319530</wp:posOffset>
            </wp:positionV>
            <wp:extent cx="571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-1308100</wp:posOffset>
            </wp:positionV>
            <wp:extent cx="571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-1296670</wp:posOffset>
            </wp:positionV>
            <wp:extent cx="571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-1285240</wp:posOffset>
            </wp:positionV>
            <wp:extent cx="571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-1273810</wp:posOffset>
            </wp:positionV>
            <wp:extent cx="571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-1262380</wp:posOffset>
            </wp:positionV>
            <wp:extent cx="571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-1250950</wp:posOffset>
            </wp:positionV>
            <wp:extent cx="571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-1239520</wp:posOffset>
            </wp:positionV>
            <wp:extent cx="571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-1228090</wp:posOffset>
            </wp:positionV>
            <wp:extent cx="571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-1216660</wp:posOffset>
            </wp:positionV>
            <wp:extent cx="571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-1205230</wp:posOffset>
            </wp:positionV>
            <wp:extent cx="571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-1193800</wp:posOffset>
            </wp:positionV>
            <wp:extent cx="571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-1182370</wp:posOffset>
            </wp:positionV>
            <wp:extent cx="571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-1170940</wp:posOffset>
            </wp:positionV>
            <wp:extent cx="571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-1159510</wp:posOffset>
            </wp:positionV>
            <wp:extent cx="571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-1148080</wp:posOffset>
            </wp:positionV>
            <wp:extent cx="571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-1136650</wp:posOffset>
            </wp:positionV>
            <wp:extent cx="57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-1125220</wp:posOffset>
            </wp:positionV>
            <wp:extent cx="571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-1113790</wp:posOffset>
            </wp:positionV>
            <wp:extent cx="571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-1102360</wp:posOffset>
            </wp:positionV>
            <wp:extent cx="571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-1090930</wp:posOffset>
            </wp:positionV>
            <wp:extent cx="571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-1079500</wp:posOffset>
            </wp:positionV>
            <wp:extent cx="571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-1068070</wp:posOffset>
            </wp:positionV>
            <wp:extent cx="571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-1056640</wp:posOffset>
            </wp:positionV>
            <wp:extent cx="571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-1045210</wp:posOffset>
            </wp:positionV>
            <wp:extent cx="571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-1033780</wp:posOffset>
            </wp:positionV>
            <wp:extent cx="571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-1022350</wp:posOffset>
            </wp:positionV>
            <wp:extent cx="571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-1010920</wp:posOffset>
            </wp:positionV>
            <wp:extent cx="571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-999490</wp:posOffset>
            </wp:positionV>
            <wp:extent cx="571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-988060</wp:posOffset>
            </wp:positionV>
            <wp:extent cx="571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-976630</wp:posOffset>
            </wp:positionV>
            <wp:extent cx="571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-965200</wp:posOffset>
            </wp:positionV>
            <wp:extent cx="571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-953770</wp:posOffset>
            </wp:positionV>
            <wp:extent cx="57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-942340</wp:posOffset>
            </wp:positionV>
            <wp:extent cx="571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-930910</wp:posOffset>
            </wp:positionV>
            <wp:extent cx="571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-919480</wp:posOffset>
            </wp:positionV>
            <wp:extent cx="571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-908050</wp:posOffset>
            </wp:positionV>
            <wp:extent cx="571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-896620</wp:posOffset>
            </wp:positionV>
            <wp:extent cx="571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-885190</wp:posOffset>
            </wp:positionV>
            <wp:extent cx="571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-873760</wp:posOffset>
            </wp:positionV>
            <wp:extent cx="571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-862330</wp:posOffset>
            </wp:positionV>
            <wp:extent cx="571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-850900</wp:posOffset>
            </wp:positionV>
            <wp:extent cx="571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-839470</wp:posOffset>
            </wp:positionV>
            <wp:extent cx="571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-828040</wp:posOffset>
            </wp:positionV>
            <wp:extent cx="571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-816610</wp:posOffset>
            </wp:positionV>
            <wp:extent cx="571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-805180</wp:posOffset>
            </wp:positionV>
            <wp:extent cx="571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-793750</wp:posOffset>
            </wp:positionV>
            <wp:extent cx="571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-782320</wp:posOffset>
            </wp:positionV>
            <wp:extent cx="571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-770890</wp:posOffset>
            </wp:positionV>
            <wp:extent cx="571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-759460</wp:posOffset>
            </wp:positionV>
            <wp:extent cx="57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-748030</wp:posOffset>
            </wp:positionV>
            <wp:extent cx="571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-736600</wp:posOffset>
            </wp:positionV>
            <wp:extent cx="57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-725170</wp:posOffset>
            </wp:positionV>
            <wp:extent cx="571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-713740</wp:posOffset>
            </wp:positionV>
            <wp:extent cx="571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-1639570</wp:posOffset>
            </wp:positionV>
            <wp:extent cx="571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-1628140</wp:posOffset>
            </wp:positionV>
            <wp:extent cx="571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-1616710</wp:posOffset>
            </wp:positionV>
            <wp:extent cx="571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-1605280</wp:posOffset>
            </wp:positionV>
            <wp:extent cx="571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-1593850</wp:posOffset>
            </wp:positionV>
            <wp:extent cx="571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-1582420</wp:posOffset>
            </wp:positionV>
            <wp:extent cx="571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-1570990</wp:posOffset>
            </wp:positionV>
            <wp:extent cx="571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-1559560</wp:posOffset>
            </wp:positionV>
            <wp:extent cx="571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-1548130</wp:posOffset>
            </wp:positionV>
            <wp:extent cx="571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-1536700</wp:posOffset>
            </wp:positionV>
            <wp:extent cx="571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-1525270</wp:posOffset>
            </wp:positionV>
            <wp:extent cx="571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-1513840</wp:posOffset>
            </wp:positionV>
            <wp:extent cx="571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-1502410</wp:posOffset>
            </wp:positionV>
            <wp:extent cx="571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-1490980</wp:posOffset>
            </wp:positionV>
            <wp:extent cx="571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-1479550</wp:posOffset>
            </wp:positionV>
            <wp:extent cx="571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-1468120</wp:posOffset>
            </wp:positionV>
            <wp:extent cx="571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-1456690</wp:posOffset>
            </wp:positionV>
            <wp:extent cx="571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-1445260</wp:posOffset>
            </wp:positionV>
            <wp:extent cx="571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-1433830</wp:posOffset>
            </wp:positionV>
            <wp:extent cx="571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-1422400</wp:posOffset>
            </wp:positionV>
            <wp:extent cx="571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-1410970</wp:posOffset>
            </wp:positionV>
            <wp:extent cx="571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-1399540</wp:posOffset>
            </wp:positionV>
            <wp:extent cx="571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-1388110</wp:posOffset>
            </wp:positionV>
            <wp:extent cx="571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-1376680</wp:posOffset>
            </wp:positionV>
            <wp:extent cx="571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-1365250</wp:posOffset>
            </wp:positionV>
            <wp:extent cx="571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-1353820</wp:posOffset>
            </wp:positionV>
            <wp:extent cx="571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-1342390</wp:posOffset>
            </wp:positionV>
            <wp:extent cx="571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-1330960</wp:posOffset>
            </wp:positionV>
            <wp:extent cx="571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-1319530</wp:posOffset>
            </wp:positionV>
            <wp:extent cx="571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-1308100</wp:posOffset>
            </wp:positionV>
            <wp:extent cx="571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-1296670</wp:posOffset>
            </wp:positionV>
            <wp:extent cx="571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-1285240</wp:posOffset>
            </wp:positionV>
            <wp:extent cx="571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-1273810</wp:posOffset>
            </wp:positionV>
            <wp:extent cx="571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-1262380</wp:posOffset>
            </wp:positionV>
            <wp:extent cx="571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-1250950</wp:posOffset>
            </wp:positionV>
            <wp:extent cx="571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-1239520</wp:posOffset>
            </wp:positionV>
            <wp:extent cx="571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-1228090</wp:posOffset>
            </wp:positionV>
            <wp:extent cx="571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-1216660</wp:posOffset>
            </wp:positionV>
            <wp:extent cx="571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-1205230</wp:posOffset>
            </wp:positionV>
            <wp:extent cx="571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-1193800</wp:posOffset>
            </wp:positionV>
            <wp:extent cx="571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-1182370</wp:posOffset>
            </wp:positionV>
            <wp:extent cx="571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-1170940</wp:posOffset>
            </wp:positionV>
            <wp:extent cx="571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-1159510</wp:posOffset>
            </wp:positionV>
            <wp:extent cx="571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-1148080</wp:posOffset>
            </wp:positionV>
            <wp:extent cx="571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-1136650</wp:posOffset>
            </wp:positionV>
            <wp:extent cx="571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-1125220</wp:posOffset>
            </wp:positionV>
            <wp:extent cx="571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-1113790</wp:posOffset>
            </wp:positionV>
            <wp:extent cx="571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-1102360</wp:posOffset>
            </wp:positionV>
            <wp:extent cx="571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-1090930</wp:posOffset>
            </wp:positionV>
            <wp:extent cx="571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-1079500</wp:posOffset>
            </wp:positionV>
            <wp:extent cx="571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-1068070</wp:posOffset>
            </wp:positionV>
            <wp:extent cx="571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-1056640</wp:posOffset>
            </wp:positionV>
            <wp:extent cx="571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-1045210</wp:posOffset>
            </wp:positionV>
            <wp:extent cx="571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-1033780</wp:posOffset>
            </wp:positionV>
            <wp:extent cx="571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-1022350</wp:posOffset>
            </wp:positionV>
            <wp:extent cx="571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-1010920</wp:posOffset>
            </wp:positionV>
            <wp:extent cx="571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-999490</wp:posOffset>
            </wp:positionV>
            <wp:extent cx="571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-988060</wp:posOffset>
            </wp:positionV>
            <wp:extent cx="571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-976630</wp:posOffset>
            </wp:positionV>
            <wp:extent cx="571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-965200</wp:posOffset>
            </wp:positionV>
            <wp:extent cx="571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-953770</wp:posOffset>
            </wp:positionV>
            <wp:extent cx="571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-942340</wp:posOffset>
            </wp:positionV>
            <wp:extent cx="571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-930910</wp:posOffset>
            </wp:positionV>
            <wp:extent cx="571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-919480</wp:posOffset>
            </wp:positionV>
            <wp:extent cx="571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-908050</wp:posOffset>
            </wp:positionV>
            <wp:extent cx="571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-896620</wp:posOffset>
            </wp:positionV>
            <wp:extent cx="571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-885190</wp:posOffset>
            </wp:positionV>
            <wp:extent cx="571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-873760</wp:posOffset>
            </wp:positionV>
            <wp:extent cx="571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-862330</wp:posOffset>
            </wp:positionV>
            <wp:extent cx="571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-850900</wp:posOffset>
            </wp:positionV>
            <wp:extent cx="571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-839470</wp:posOffset>
            </wp:positionV>
            <wp:extent cx="571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-828040</wp:posOffset>
            </wp:positionV>
            <wp:extent cx="571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-816610</wp:posOffset>
            </wp:positionV>
            <wp:extent cx="571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-805180</wp:posOffset>
            </wp:positionV>
            <wp:extent cx="571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-793750</wp:posOffset>
            </wp:positionV>
            <wp:extent cx="571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-782320</wp:posOffset>
            </wp:positionV>
            <wp:extent cx="571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-770890</wp:posOffset>
            </wp:positionV>
            <wp:extent cx="571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-759460</wp:posOffset>
            </wp:positionV>
            <wp:extent cx="571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-748030</wp:posOffset>
            </wp:positionV>
            <wp:extent cx="571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-736600</wp:posOffset>
            </wp:positionV>
            <wp:extent cx="571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-725170</wp:posOffset>
            </wp:positionV>
            <wp:extent cx="571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1972310</wp:posOffset>
            </wp:positionH>
            <wp:positionV relativeFrom="paragraph">
              <wp:posOffset>-713740</wp:posOffset>
            </wp:positionV>
            <wp:extent cx="571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Important Information About Our Virtual Annual Meeting:</w:t>
      </w:r>
    </w:p>
    <w:p>
      <w:pPr>
        <w:spacing w:after="0" w:line="168" w:lineRule="exact"/>
        <w:rPr>
          <w:sz w:val="20"/>
          <w:szCs w:val="20"/>
          <w:color w:val="auto"/>
        </w:rPr>
      </w:pPr>
    </w:p>
    <w:p>
      <w:pPr>
        <w:ind w:left="2180" w:right="959" w:hanging="208"/>
        <w:spacing w:after="0" w:line="287" w:lineRule="auto"/>
        <w:tabs>
          <w:tab w:leader="none" w:pos="2180" w:val="left"/>
        </w:tabs>
        <w:numPr>
          <w:ilvl w:val="0"/>
          <w:numId w:val="11"/>
        </w:numPr>
        <w:rPr>
          <w:rFonts w:ascii="Arial" w:cs="Arial" w:eastAsia="Arial" w:hAnsi="Arial"/>
          <w:sz w:val="11"/>
          <w:szCs w:val="11"/>
          <w:color w:val="auto"/>
        </w:rPr>
      </w:pPr>
      <w:r>
        <w:rPr>
          <w:rFonts w:ascii="Arial" w:cs="Arial" w:eastAsia="Arial" w:hAnsi="Arial"/>
          <w:sz w:val="11"/>
          <w:szCs w:val="11"/>
          <w:b w:val="1"/>
          <w:bCs w:val="1"/>
          <w:color w:val="143FDD"/>
        </w:rPr>
        <w:t xml:space="preserve">Why is the Annual Meeting being held in a virtual format this year? </w:t>
      </w:r>
      <w:r>
        <w:rPr>
          <w:rFonts w:ascii="Arial" w:cs="Arial" w:eastAsia="Arial" w:hAnsi="Arial"/>
          <w:sz w:val="11"/>
          <w:szCs w:val="11"/>
          <w:color w:val="000000"/>
        </w:rPr>
        <w:t>In light of health and safety concerns as well as travel restrictions related</w:t>
      </w:r>
      <w:r>
        <w:rPr>
          <w:rFonts w:ascii="Arial" w:cs="Arial" w:eastAsia="Arial" w:hAnsi="Arial"/>
          <w:sz w:val="11"/>
          <w:szCs w:val="11"/>
          <w:b w:val="1"/>
          <w:bCs w:val="1"/>
          <w:color w:val="143FDD"/>
        </w:rPr>
        <w:t xml:space="preserve"> </w:t>
      </w:r>
      <w:r>
        <w:rPr>
          <w:rFonts w:ascii="Arial" w:cs="Arial" w:eastAsia="Arial" w:hAnsi="Arial"/>
          <w:sz w:val="11"/>
          <w:szCs w:val="11"/>
          <w:color w:val="000000"/>
        </w:rPr>
        <w:t>to the ongoing coronavirus (“COVID-19”) pandemic, the Annual Meeting will be held in a virtual meeting format via live audio webcast. The virtual format will enable us to support the health and well-being of our stockholders, employees and directors, while providing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w:t>
      </w:r>
    </w:p>
    <w:p>
      <w:pPr>
        <w:spacing w:after="0" w:line="125" w:lineRule="exact"/>
        <w:rPr>
          <w:rFonts w:ascii="Arial" w:cs="Arial" w:eastAsia="Arial" w:hAnsi="Arial"/>
          <w:sz w:val="11"/>
          <w:szCs w:val="11"/>
          <w:color w:val="auto"/>
        </w:rPr>
      </w:pPr>
    </w:p>
    <w:p>
      <w:pPr>
        <w:ind w:left="2180" w:right="959" w:hanging="208"/>
        <w:spacing w:after="0" w:line="302" w:lineRule="auto"/>
        <w:tabs>
          <w:tab w:leader="none" w:pos="2180" w:val="left"/>
        </w:tabs>
        <w:numPr>
          <w:ilvl w:val="0"/>
          <w:numId w:val="11"/>
        </w:numPr>
        <w:rPr>
          <w:rFonts w:ascii="Arial" w:cs="Arial" w:eastAsia="Arial" w:hAnsi="Arial"/>
          <w:sz w:val="11"/>
          <w:szCs w:val="11"/>
          <w:color w:val="auto"/>
        </w:rPr>
      </w:pPr>
      <w:r>
        <w:rPr>
          <w:rFonts w:ascii="Arial" w:cs="Arial" w:eastAsia="Arial" w:hAnsi="Arial"/>
          <w:sz w:val="11"/>
          <w:szCs w:val="11"/>
          <w:b w:val="1"/>
          <w:bCs w:val="1"/>
          <w:color w:val="143FDD"/>
        </w:rPr>
        <w:t xml:space="preserve">How can I attend Annual Meeting online? </w:t>
      </w:r>
      <w:r>
        <w:rPr>
          <w:rFonts w:ascii="Arial" w:cs="Arial" w:eastAsia="Arial" w:hAnsi="Arial"/>
          <w:sz w:val="11"/>
          <w:szCs w:val="11"/>
          <w:color w:val="000000"/>
        </w:rPr>
        <w:t>To join the Annual Meeting online, visit</w:t>
      </w:r>
      <w:r>
        <w:rPr>
          <w:rFonts w:ascii="Arial" w:cs="Arial" w:eastAsia="Arial" w:hAnsi="Arial"/>
          <w:sz w:val="11"/>
          <w:szCs w:val="11"/>
          <w:b w:val="1"/>
          <w:bCs w:val="1"/>
          <w:color w:val="143FDD"/>
        </w:rPr>
        <w:t xml:space="preserve"> </w:t>
      </w:r>
      <w:r>
        <w:rPr>
          <w:rFonts w:ascii="Arial" w:cs="Arial" w:eastAsia="Arial" w:hAnsi="Arial"/>
          <w:sz w:val="11"/>
          <w:szCs w:val="11"/>
          <w:u w:val="single" w:color="auto"/>
          <w:color w:val="1E5EFF"/>
        </w:rPr>
        <w:t>www.proxydocs.com/BDSX</w:t>
      </w:r>
      <w:r>
        <w:rPr>
          <w:rFonts w:ascii="Arial" w:cs="Arial" w:eastAsia="Arial" w:hAnsi="Arial"/>
          <w:sz w:val="11"/>
          <w:szCs w:val="11"/>
          <w:b w:val="1"/>
          <w:bCs w:val="1"/>
          <w:color w:val="143FDD"/>
        </w:rPr>
        <w:t xml:space="preserve"> </w:t>
      </w:r>
      <w:r>
        <w:rPr>
          <w:rFonts w:ascii="Arial" w:cs="Arial" w:eastAsia="Arial" w:hAnsi="Arial"/>
          <w:sz w:val="11"/>
          <w:szCs w:val="11"/>
          <w:color w:val="000000"/>
        </w:rPr>
        <w:t>and register using your control</w:t>
      </w:r>
      <w:r>
        <w:rPr>
          <w:rFonts w:ascii="Arial" w:cs="Arial" w:eastAsia="Arial" w:hAnsi="Arial"/>
          <w:sz w:val="11"/>
          <w:szCs w:val="11"/>
          <w:b w:val="1"/>
          <w:bCs w:val="1"/>
          <w:color w:val="143FDD"/>
        </w:rPr>
        <w:t xml:space="preserve"> </w:t>
      </w:r>
      <w:r>
        <w:rPr>
          <w:rFonts w:ascii="Arial" w:cs="Arial" w:eastAsia="Arial" w:hAnsi="Arial"/>
          <w:sz w:val="11"/>
          <w:szCs w:val="11"/>
          <w:color w:val="000000"/>
        </w:rPr>
        <w:t>number on your proxy card or on the instructions that accompanied your Proxy Materials, and following the instructions received via email, including a unique link that will allow you access to the Annual Meeting, to vote, and submit questions during the meeting.</w:t>
      </w:r>
    </w:p>
    <w:p>
      <w:pPr>
        <w:spacing w:after="0" w:line="58"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4</w:t>
            </w:r>
          </w:p>
        </w:tc>
      </w:tr>
    </w:tbl>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180" w:right="1019" w:hanging="208"/>
        <w:spacing w:after="0" w:line="266"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When can I join the virtual Annual Meeting? </w:t>
      </w:r>
      <w:r>
        <w:rPr>
          <w:rFonts w:ascii="Arial" w:cs="Arial" w:eastAsia="Arial" w:hAnsi="Arial"/>
          <w:sz w:val="12"/>
          <w:szCs w:val="12"/>
          <w:color w:val="000000"/>
        </w:rPr>
        <w:t>The meeting will begin promptly at 1:00 p.m. Mountain Time on Thursday, May 26, 2021. You</w:t>
      </w:r>
      <w:r>
        <w:rPr>
          <w:rFonts w:ascii="Arial" w:cs="Arial" w:eastAsia="Arial" w:hAnsi="Arial"/>
          <w:sz w:val="12"/>
          <w:szCs w:val="12"/>
          <w:b w:val="1"/>
          <w:bCs w:val="1"/>
          <w:color w:val="143FDD"/>
        </w:rPr>
        <w:t xml:space="preserve"> </w:t>
      </w:r>
      <w:r>
        <w:rPr>
          <w:rFonts w:ascii="Arial" w:cs="Arial" w:eastAsia="Arial" w:hAnsi="Arial"/>
          <w:sz w:val="12"/>
          <w:szCs w:val="12"/>
          <w:color w:val="000000"/>
        </w:rPr>
        <w:t>may access the meeting platform 15 minutes earlier, and we encourage you to join in advance of the meeting start time to allow sufficient time to log in and confirm your connection and audio are working properly.</w:t>
      </w:r>
    </w:p>
    <w:p>
      <w:pPr>
        <w:spacing w:after="0" w:line="135" w:lineRule="exact"/>
        <w:rPr>
          <w:rFonts w:ascii="Arial" w:cs="Arial" w:eastAsia="Arial" w:hAnsi="Arial"/>
          <w:sz w:val="12"/>
          <w:szCs w:val="12"/>
          <w:color w:val="auto"/>
        </w:rPr>
      </w:pPr>
    </w:p>
    <w:p>
      <w:pPr>
        <w:ind w:left="2180" w:right="999" w:hanging="208"/>
        <w:spacing w:after="0" w:line="258"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Can I ask questions during the virtual Annual Meeting? </w:t>
      </w:r>
      <w:r>
        <w:rPr>
          <w:rFonts w:ascii="Arial" w:cs="Arial" w:eastAsia="Arial" w:hAnsi="Arial"/>
          <w:sz w:val="12"/>
          <w:szCs w:val="12"/>
          <w:color w:val="000000"/>
        </w:rPr>
        <w:t>Yes. If you are logged in as a “stockholder” at the virtual Annual Meeting, you will</w:t>
      </w:r>
      <w:r>
        <w:rPr>
          <w:rFonts w:ascii="Arial" w:cs="Arial" w:eastAsia="Arial" w:hAnsi="Arial"/>
          <w:sz w:val="12"/>
          <w:szCs w:val="12"/>
          <w:b w:val="1"/>
          <w:bCs w:val="1"/>
          <w:color w:val="143FDD"/>
        </w:rPr>
        <w:t xml:space="preserve"> </w:t>
      </w:r>
      <w:r>
        <w:rPr>
          <w:rFonts w:ascii="Arial" w:cs="Arial" w:eastAsia="Arial" w:hAnsi="Arial"/>
          <w:sz w:val="12"/>
          <w:szCs w:val="12"/>
          <w:color w:val="000000"/>
        </w:rPr>
        <w:t>have an opportunity to submit questions live via the Internet during a designated portion of the virtual Annual Meeting. Once you are logged in, type your question into the question box and click “submit.</w:t>
      </w:r>
      <w:r>
        <w:rPr>
          <w:rFonts w:ascii="Arial" w:cs="Arial" w:eastAsia="Arial" w:hAnsi="Arial"/>
          <w:sz w:val="12"/>
          <w:szCs w:val="12"/>
          <w:b w:val="1"/>
          <w:bCs w:val="1"/>
          <w:color w:val="000000"/>
        </w:rPr>
        <w:t>”</w:t>
      </w:r>
      <w:r>
        <w:rPr>
          <w:rFonts w:ascii="Arial" w:cs="Arial" w:eastAsia="Arial" w:hAnsi="Arial"/>
          <w:sz w:val="12"/>
          <w:szCs w:val="12"/>
          <w:color w:val="000000"/>
        </w:rPr>
        <w:t xml:space="preserve"> 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140" w:lineRule="exact"/>
        <w:rPr>
          <w:rFonts w:ascii="Arial" w:cs="Arial" w:eastAsia="Arial" w:hAnsi="Arial"/>
          <w:sz w:val="12"/>
          <w:szCs w:val="12"/>
          <w:color w:val="auto"/>
        </w:rPr>
      </w:pPr>
    </w:p>
    <w:p>
      <w:pPr>
        <w:ind w:left="2180" w:right="859" w:hanging="208"/>
        <w:spacing w:after="0" w:line="266"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How do I vote during the virtual Annual Meeting? </w:t>
      </w:r>
      <w:r>
        <w:rPr>
          <w:rFonts w:ascii="Arial" w:cs="Arial" w:eastAsia="Arial" w:hAnsi="Arial"/>
          <w:sz w:val="12"/>
          <w:szCs w:val="12"/>
          <w:color w:val="000000"/>
        </w:rPr>
        <w:t>You will have an opportunity to vote your shares electronically during a designated portion of</w:t>
      </w:r>
      <w:r>
        <w:rPr>
          <w:rFonts w:ascii="Arial" w:cs="Arial" w:eastAsia="Arial" w:hAnsi="Arial"/>
          <w:sz w:val="12"/>
          <w:szCs w:val="12"/>
          <w:b w:val="1"/>
          <w:bCs w:val="1"/>
          <w:color w:val="143FDD"/>
        </w:rPr>
        <w:t xml:space="preserve"> </w:t>
      </w:r>
      <w:r>
        <w:rPr>
          <w:rFonts w:ascii="Arial" w:cs="Arial" w:eastAsia="Arial" w:hAnsi="Arial"/>
          <w:sz w:val="12"/>
          <w:szCs w:val="12"/>
          <w:color w:val="000000"/>
        </w:rPr>
        <w:t>the virtual Annual Meeting after logging in. Whether or not you plan to join the Annual Meeting, we encourage you to vote and submit your proxy in advance of the meeting by one of the methods described in these Proxy Materials.</w:t>
      </w:r>
    </w:p>
    <w:p>
      <w:pPr>
        <w:spacing w:after="0" w:line="135" w:lineRule="exact"/>
        <w:rPr>
          <w:rFonts w:ascii="Arial" w:cs="Arial" w:eastAsia="Arial" w:hAnsi="Arial"/>
          <w:sz w:val="12"/>
          <w:szCs w:val="12"/>
          <w:color w:val="auto"/>
        </w:rPr>
      </w:pPr>
    </w:p>
    <w:p>
      <w:pPr>
        <w:ind w:left="2180" w:right="959" w:hanging="208"/>
        <w:spacing w:after="0" w:line="266"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What if I have technical difficulties? </w:t>
      </w:r>
      <w:r>
        <w:rPr>
          <w:rFonts w:ascii="Arial" w:cs="Arial" w:eastAsia="Arial" w:hAnsi="Arial"/>
          <w:sz w:val="12"/>
          <w:szCs w:val="12"/>
          <w:color w:val="000000"/>
        </w:rPr>
        <w:t>On the day of the Annual Meeting, if you have trouble accessing the virtual meeting platform or encounter</w:t>
      </w:r>
      <w:r>
        <w:rPr>
          <w:rFonts w:ascii="Arial" w:cs="Arial" w:eastAsia="Arial" w:hAnsi="Arial"/>
          <w:sz w:val="12"/>
          <w:szCs w:val="12"/>
          <w:b w:val="1"/>
          <w:bCs w:val="1"/>
          <w:color w:val="143FDD"/>
        </w:rPr>
        <w:t xml:space="preserve"> </w:t>
      </w:r>
      <w:r>
        <w:rPr>
          <w:rFonts w:ascii="Arial" w:cs="Arial" w:eastAsia="Arial" w:hAnsi="Arial"/>
          <w:sz w:val="12"/>
          <w:szCs w:val="12"/>
          <w:color w:val="000000"/>
        </w:rPr>
        <w:t>other technical difficulties with the platform before or during the meeting, please call the technical support number provided in your email instructions.</w:t>
      </w:r>
    </w:p>
    <w:p>
      <w:pPr>
        <w:spacing w:after="0" w:line="135" w:lineRule="exact"/>
        <w:rPr>
          <w:rFonts w:ascii="Arial" w:cs="Arial" w:eastAsia="Arial" w:hAnsi="Arial"/>
          <w:sz w:val="12"/>
          <w:szCs w:val="12"/>
          <w:color w:val="auto"/>
        </w:rPr>
      </w:pPr>
    </w:p>
    <w:p>
      <w:pPr>
        <w:ind w:left="2180" w:right="999" w:hanging="208"/>
        <w:spacing w:after="0" w:line="266"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Will a list of stockholders be available for inspection prior to and during the meeting? </w:t>
      </w:r>
      <w:r>
        <w:rPr>
          <w:rFonts w:ascii="Arial" w:cs="Arial" w:eastAsia="Arial" w:hAnsi="Arial"/>
          <w:sz w:val="12"/>
          <w:szCs w:val="12"/>
          <w:color w:val="000000"/>
        </w:rPr>
        <w:t>Yes. A complete list of stockholders of record will be</w:t>
      </w:r>
      <w:r>
        <w:rPr>
          <w:rFonts w:ascii="Arial" w:cs="Arial" w:eastAsia="Arial" w:hAnsi="Arial"/>
          <w:sz w:val="12"/>
          <w:szCs w:val="12"/>
          <w:b w:val="1"/>
          <w:bCs w:val="1"/>
          <w:color w:val="143FDD"/>
        </w:rPr>
        <w:t xml:space="preserve"> </w:t>
      </w:r>
      <w:r>
        <w:rPr>
          <w:rFonts w:ascii="Arial" w:cs="Arial" w:eastAsia="Arial" w:hAnsi="Arial"/>
          <w:sz w:val="12"/>
          <w:szCs w:val="12"/>
          <w:color w:val="000000"/>
        </w:rPr>
        <w:t>available for inspection, by appointment only, by any stockholder for at least ten (10) days prior to the Annual Meeting during ordinary business hours at our headquarters located at 2970 Wilderness Place, Suite 100, Boulder, CO 80301.</w:t>
      </w:r>
    </w:p>
    <w:p>
      <w:pPr>
        <w:spacing w:after="0" w:line="135" w:lineRule="exact"/>
        <w:rPr>
          <w:rFonts w:ascii="Arial" w:cs="Arial" w:eastAsia="Arial" w:hAnsi="Arial"/>
          <w:sz w:val="12"/>
          <w:szCs w:val="12"/>
          <w:color w:val="auto"/>
        </w:rPr>
      </w:pPr>
    </w:p>
    <w:p>
      <w:pPr>
        <w:ind w:left="2180" w:right="1659" w:hanging="208"/>
        <w:spacing w:after="0" w:line="283" w:lineRule="auto"/>
        <w:tabs>
          <w:tab w:leader="none" w:pos="218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143FDD"/>
        </w:rPr>
        <w:t xml:space="preserve">Will a recording of the meeting be available? </w:t>
      </w:r>
      <w:r>
        <w:rPr>
          <w:rFonts w:ascii="Arial" w:cs="Arial" w:eastAsia="Arial" w:hAnsi="Arial"/>
          <w:sz w:val="12"/>
          <w:szCs w:val="12"/>
          <w:color w:val="000000"/>
        </w:rPr>
        <w:t>Yes, following the Annual Meeting, a recording of the meeting will be available on</w:t>
      </w:r>
      <w:r>
        <w:rPr>
          <w:rFonts w:ascii="Arial" w:cs="Arial" w:eastAsia="Arial" w:hAnsi="Arial"/>
          <w:sz w:val="12"/>
          <w:szCs w:val="12"/>
          <w:b w:val="1"/>
          <w:bCs w:val="1"/>
          <w:color w:val="143FDD"/>
        </w:rPr>
        <w:t xml:space="preserve"> </w:t>
      </w:r>
      <w:r>
        <w:rPr>
          <w:rFonts w:ascii="Arial" w:cs="Arial" w:eastAsia="Arial" w:hAnsi="Arial"/>
          <w:sz w:val="12"/>
          <w:szCs w:val="12"/>
          <w:u w:val="single" w:color="auto"/>
          <w:color w:val="1E5EFF"/>
        </w:rPr>
        <w:t>www.proxydocs.com/BDSX</w:t>
      </w:r>
      <w:r>
        <w:rPr>
          <w:rFonts w:ascii="Arial" w:cs="Arial" w:eastAsia="Arial" w:hAnsi="Arial"/>
          <w:sz w:val="12"/>
          <w:szCs w:val="12"/>
          <w:color w:val="1E5EFF"/>
        </w:rPr>
        <w:t xml:space="preserve"> </w:t>
      </w:r>
      <w:r>
        <w:rPr>
          <w:rFonts w:ascii="Arial" w:cs="Arial" w:eastAsia="Arial" w:hAnsi="Arial"/>
          <w:sz w:val="12"/>
          <w:szCs w:val="12"/>
          <w:color w:val="000000"/>
        </w:rPr>
        <w:t>for one year following the meeting date.</w:t>
      </w:r>
    </w:p>
    <w:p>
      <w:pPr>
        <w:spacing w:after="0" w:line="1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Who will count the votes?</w:t>
      </w:r>
    </w:p>
    <w:p>
      <w:pPr>
        <w:spacing w:after="0" w:line="109" w:lineRule="exact"/>
        <w:rPr>
          <w:sz w:val="20"/>
          <w:szCs w:val="20"/>
          <w:color w:val="auto"/>
        </w:rPr>
      </w:pPr>
    </w:p>
    <w:p>
      <w:pPr>
        <w:ind w:left="2480"/>
        <w:spacing w:after="0"/>
        <w:rPr>
          <w:sz w:val="20"/>
          <w:szCs w:val="20"/>
          <w:color w:val="auto"/>
        </w:rPr>
      </w:pPr>
      <w:r>
        <w:rPr>
          <w:rFonts w:ascii="Arial" w:cs="Arial" w:eastAsia="Arial" w:hAnsi="Arial"/>
          <w:sz w:val="11"/>
          <w:szCs w:val="11"/>
          <w:color w:val="auto"/>
        </w:rPr>
        <w:t>Representatives of Mediant Communications Inc. (“Mediant”) will tabulate the votes, and a representative of Mediant will act as inspector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election.</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Who is paying for this proxy solicitation?</w:t>
      </w:r>
    </w:p>
    <w:p>
      <w:pPr>
        <w:spacing w:after="0" w:line="154" w:lineRule="exact"/>
        <w:rPr>
          <w:sz w:val="20"/>
          <w:szCs w:val="20"/>
          <w:color w:val="auto"/>
        </w:rPr>
      </w:pPr>
    </w:p>
    <w:p>
      <w:pPr>
        <w:ind w:left="1980" w:right="919" w:firstLine="514"/>
        <w:spacing w:after="0" w:line="340" w:lineRule="auto"/>
        <w:rPr>
          <w:sz w:val="20"/>
          <w:szCs w:val="20"/>
          <w:color w:val="auto"/>
        </w:rPr>
      </w:pPr>
      <w:r>
        <w:rPr>
          <w:rFonts w:ascii="Arial" w:cs="Arial" w:eastAsia="Arial" w:hAnsi="Arial"/>
          <w:sz w:val="10"/>
          <w:szCs w:val="10"/>
          <w:color w:val="auto"/>
        </w:rPr>
        <w:t>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What does it mean if I receive more than one set of Proxy Materials?</w:t>
      </w:r>
    </w:p>
    <w:p>
      <w:pPr>
        <w:spacing w:after="0" w:line="154" w:lineRule="exact"/>
        <w:rPr>
          <w:sz w:val="20"/>
          <w:szCs w:val="20"/>
          <w:color w:val="auto"/>
        </w:rPr>
      </w:pPr>
    </w:p>
    <w:p>
      <w:pPr>
        <w:ind w:left="1980" w:right="1059" w:firstLine="514"/>
        <w:spacing w:after="0" w:line="276" w:lineRule="auto"/>
        <w:rPr>
          <w:sz w:val="20"/>
          <w:szCs w:val="20"/>
          <w:color w:val="auto"/>
        </w:rPr>
      </w:pPr>
      <w:r>
        <w:rPr>
          <w:rFonts w:ascii="Arial" w:cs="Arial" w:eastAsia="Arial" w:hAnsi="Arial"/>
          <w:sz w:val="12"/>
          <w:szCs w:val="12"/>
          <w:color w:val="auto"/>
        </w:rPr>
        <w:t>If you receive more than one set of Proxy Materials, your shares may be registered in more than one name or in different accounts. Please follow the voting instructions included in each set of Proxy Materials to ensure that all of your shares are voted.</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How can I find out the results of the voting at the Annual Meeting?</w:t>
      </w:r>
    </w:p>
    <w:p>
      <w:pPr>
        <w:spacing w:after="0" w:line="154" w:lineRule="exact"/>
        <w:rPr>
          <w:sz w:val="20"/>
          <w:szCs w:val="20"/>
          <w:color w:val="auto"/>
        </w:rPr>
      </w:pPr>
    </w:p>
    <w:p>
      <w:pPr>
        <w:ind w:left="1980" w:right="979" w:firstLine="514"/>
        <w:spacing w:after="0" w:line="276" w:lineRule="auto"/>
        <w:rPr>
          <w:sz w:val="20"/>
          <w:szCs w:val="20"/>
          <w:color w:val="auto"/>
        </w:rPr>
      </w:pPr>
      <w:r>
        <w:rPr>
          <w:rFonts w:ascii="Arial" w:cs="Arial" w:eastAsia="Arial" w:hAnsi="Arial"/>
          <w:sz w:val="12"/>
          <w:szCs w:val="12"/>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5</w:t>
            </w:r>
          </w:p>
        </w:tc>
      </w:tr>
    </w:tbl>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879"/>
        <w:spacing w:after="0" w:line="283" w:lineRule="auto"/>
        <w:rPr>
          <w:sz w:val="20"/>
          <w:szCs w:val="20"/>
          <w:color w:val="auto"/>
        </w:rPr>
      </w:pPr>
      <w:r>
        <w:rPr>
          <w:rFonts w:ascii="Arial" w:cs="Arial" w:eastAsia="Arial" w:hAnsi="Arial"/>
          <w:sz w:val="12"/>
          <w:szCs w:val="12"/>
          <w:b w:val="1"/>
          <w:bCs w:val="1"/>
          <w:color w:val="143FDD"/>
        </w:rPr>
        <w:t>Why were my Proxy Materials included in the same envelope as other people at my address? How may I obtain an additional copy of the Proxy Materials?</w:t>
      </w:r>
    </w:p>
    <w:p>
      <w:pPr>
        <w:spacing w:after="0" w:line="111" w:lineRule="exact"/>
        <w:rPr>
          <w:sz w:val="20"/>
          <w:szCs w:val="20"/>
          <w:color w:val="auto"/>
        </w:rPr>
      </w:pPr>
    </w:p>
    <w:p>
      <w:pPr>
        <w:ind w:left="1980" w:right="859" w:firstLine="514"/>
        <w:spacing w:after="0" w:line="253" w:lineRule="auto"/>
        <w:rPr>
          <w:sz w:val="20"/>
          <w:szCs w:val="20"/>
          <w:color w:val="auto"/>
        </w:rPr>
      </w:pPr>
      <w:r>
        <w:rPr>
          <w:rFonts w:ascii="Arial" w:cs="Arial" w:eastAsia="Arial" w:hAnsi="Arial"/>
          <w:sz w:val="12"/>
          <w:szCs w:val="12"/>
          <w:color w:val="auto"/>
        </w:rPr>
        <w:t xml:space="preserve">We have adopted a procedure approved by the SEC called “householding.” Under this procedure, we deliver a single copy our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our Proxy Materials, but would like to request a separate copy of these materials, please contact our mailing agent, Mediant, by calling 1-866-8133 or e-mailing </w:t>
      </w:r>
      <w:r>
        <w:rPr>
          <w:rFonts w:ascii="Arial" w:cs="Arial" w:eastAsia="Arial" w:hAnsi="Arial"/>
          <w:sz w:val="12"/>
          <w:szCs w:val="12"/>
          <w:u w:val="single" w:color="auto"/>
          <w:color w:val="1E5EFF"/>
        </w:rPr>
        <w:t>paper@investorelections.com</w:t>
      </w:r>
      <w:r>
        <w:rPr>
          <w:rFonts w:ascii="Arial" w:cs="Arial" w:eastAsia="Arial" w:hAnsi="Arial"/>
          <w:sz w:val="12"/>
          <w:szCs w:val="12"/>
          <w:color w:val="auto"/>
        </w:rPr>
        <w:t xml:space="preserve"> and an additional copy of the materials will be promptly delivered to you. Similarly, if you receive multiple copies of the Proxy Materials but would prefer to receive a single copy in the future, you may also contact Mediant at the above telephone number or address. Beneficial owners should contact their broker, bank or other nominee to request information about householding procedures.</w:t>
      </w:r>
    </w:p>
    <w:p>
      <w:pPr>
        <w:spacing w:after="0" w:line="86"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6</w:t>
            </w:r>
          </w:p>
        </w:tc>
      </w:tr>
    </w:tbl>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3220"/>
        <w:spacing w:after="0"/>
        <w:rPr>
          <w:sz w:val="20"/>
          <w:szCs w:val="20"/>
          <w:color w:val="auto"/>
        </w:rPr>
      </w:pPr>
      <w:r>
        <w:rPr>
          <w:rFonts w:ascii="Arial" w:cs="Arial" w:eastAsia="Arial" w:hAnsi="Arial"/>
          <w:sz w:val="19"/>
          <w:szCs w:val="19"/>
          <w:b w:val="1"/>
          <w:bCs w:val="1"/>
          <w:color w:val="143FDD"/>
        </w:rPr>
        <w:t>BOARD AND CORPORATE GOVERNANCE MATTERS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Proposal One: Election of Directors</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ind w:left="1980" w:right="879" w:firstLine="514"/>
        <w:spacing w:after="0" w:line="285" w:lineRule="auto"/>
        <w:rPr>
          <w:sz w:val="20"/>
          <w:szCs w:val="20"/>
          <w:color w:val="auto"/>
        </w:rPr>
      </w:pPr>
      <w:r>
        <w:rPr>
          <w:rFonts w:ascii="Arial" w:cs="Arial" w:eastAsia="Arial" w:hAnsi="Arial"/>
          <w:sz w:val="11"/>
          <w:szCs w:val="11"/>
          <w:color w:val="auto"/>
        </w:rPr>
        <w:t>The primary responsibilities of our board of directors are to provide oversight, strategic guidance, counseling and direction to our management. Our board of directors currently consists of seven directors and is divided into three classes of directors that serve staggered three-year terms, currently Class I, with a term expiring in 2021, Class II, with a term expiring in 2022 and Class III, with a term expiring in 2023. At the Annual Meeting, our stockholders will vote on the election of two Class I directors whose terms will expire at our 2024 annual meeting of stockholders. Each of our other current directors will continue to serve as a director until the election and qualification of his or her successor.</w:t>
      </w:r>
    </w:p>
    <w:p>
      <w:pPr>
        <w:spacing w:after="0" w:line="113" w:lineRule="exact"/>
        <w:rPr>
          <w:sz w:val="20"/>
          <w:szCs w:val="20"/>
          <w:color w:val="auto"/>
        </w:rPr>
      </w:pPr>
    </w:p>
    <w:p>
      <w:pPr>
        <w:ind w:left="1980" w:right="859" w:firstLine="514"/>
        <w:spacing w:after="0" w:line="285" w:lineRule="auto"/>
        <w:rPr>
          <w:sz w:val="20"/>
          <w:szCs w:val="20"/>
          <w:color w:val="auto"/>
        </w:rPr>
      </w:pPr>
      <w:r>
        <w:rPr>
          <w:rFonts w:ascii="Arial" w:cs="Arial" w:eastAsia="Arial" w:hAnsi="Arial"/>
          <w:sz w:val="11"/>
          <w:szCs w:val="11"/>
          <w:color w:val="auto"/>
        </w:rPr>
        <w:t>The two directors currently serving on our board of directors in Class I, the class whose term of office expires in 2021, have each been nominated by our board of directors, upon the recommendation of our nominating and corporate governance committee, to stand for election at the Annual Meeting: Scott Hutton and John Patience. Mr. Patience has served on our board of directors since June 2008, and as the chairman of the board of directors since September 2020. Each of these two nominees has consented to being named as a nominee in this proxy statement and has agreed to serve, if elected, until our 2024 annual meeting of stockholders and until the election and qualification of his successor.</w:t>
      </w:r>
    </w:p>
    <w:p>
      <w:pPr>
        <w:spacing w:after="0" w:line="113" w:lineRule="exact"/>
        <w:rPr>
          <w:sz w:val="20"/>
          <w:szCs w:val="20"/>
          <w:color w:val="auto"/>
        </w:rPr>
      </w:pPr>
    </w:p>
    <w:p>
      <w:pPr>
        <w:ind w:left="1980" w:right="1059" w:firstLine="514"/>
        <w:spacing w:after="0" w:line="263" w:lineRule="auto"/>
        <w:rPr>
          <w:sz w:val="20"/>
          <w:szCs w:val="20"/>
          <w:color w:val="auto"/>
        </w:rPr>
      </w:pPr>
      <w:r>
        <w:rPr>
          <w:rFonts w:ascii="Arial" w:cs="Arial" w:eastAsia="Arial" w:hAnsi="Arial"/>
          <w:sz w:val="12"/>
          <w:szCs w:val="12"/>
          <w:color w:val="auto"/>
        </w:rPr>
        <w:t>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w:t>
      </w:r>
    </w:p>
    <w:p>
      <w:pPr>
        <w:sectPr>
          <w:pgSz w:w="11900" w:h="16838" w:orient="portrait"/>
          <w:cols w:equalWidth="0" w:num="1">
            <w:col w:w="10159"/>
          </w:cols>
          <w:pgMar w:left="300" w:top="354" w:right="1440" w:bottom="1440" w:gutter="0" w:footer="0" w:header="0"/>
        </w:sectPr>
      </w:pP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Vote Required:</w:t>
      </w:r>
    </w:p>
    <w:p>
      <w:pPr>
        <w:spacing w:after="0" w:line="200" w:lineRule="exact"/>
        <w:rPr>
          <w:sz w:val="20"/>
          <w:szCs w:val="20"/>
          <w:color w:val="auto"/>
        </w:rPr>
      </w:pPr>
    </w:p>
    <w:p>
      <w:pPr>
        <w:spacing w:after="0" w:line="3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Recommendation:</w:t>
      </w:r>
    </w:p>
    <w:p>
      <w:pPr>
        <w:spacing w:after="0" w:line="207" w:lineRule="exact"/>
        <w:rPr>
          <w:sz w:val="20"/>
          <w:szCs w:val="20"/>
          <w:color w:val="auto"/>
        </w:rPr>
      </w:pPr>
    </w:p>
    <w:p>
      <w:pPr>
        <w:ind w:left="1980"/>
        <w:spacing w:after="0"/>
        <w:rPr>
          <w:sz w:val="20"/>
          <w:szCs w:val="20"/>
          <w:color w:val="auto"/>
        </w:rPr>
      </w:pPr>
      <w:r>
        <w:rPr>
          <w:rFonts w:ascii="Arial" w:cs="Arial" w:eastAsia="Arial" w:hAnsi="Arial"/>
          <w:sz w:val="8"/>
          <w:szCs w:val="8"/>
          <w:b w:val="1"/>
          <w:bCs w:val="1"/>
          <w:color w:val="143FDD"/>
        </w:rPr>
        <w:t>2021 Proxy Statement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879"/>
        <w:spacing w:after="0" w:line="259" w:lineRule="auto"/>
        <w:rPr>
          <w:sz w:val="20"/>
          <w:szCs w:val="20"/>
          <w:color w:val="auto"/>
        </w:rPr>
      </w:pPr>
      <w:r>
        <w:rPr>
          <w:rFonts w:ascii="Arial" w:cs="Arial" w:eastAsia="Arial" w:hAnsi="Arial"/>
          <w:sz w:val="12"/>
          <w:szCs w:val="12"/>
          <w:color w:val="auto"/>
        </w:rPr>
        <w:t>Directors are elected by a plurality of the votes cast by our stockholders at the Annual Meeting. This means that the two nominees receiving the highest number of affirmative votes (from the holders of votes of shares present or represented by proxy and entitled to vote on the election of directors) will be elected. Broker non-votes and “Withheld” 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55880</wp:posOffset>
            </wp:positionV>
            <wp:extent cx="165735" cy="2343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65735" cy="234315"/>
                    </a:xfrm>
                    <a:prstGeom prst="rect">
                      <a:avLst/>
                    </a:prstGeom>
                    <a:noFill/>
                  </pic:spPr>
                </pic:pic>
              </a:graphicData>
            </a:graphic>
          </wp:anchor>
        </w:drawing>
      </w:r>
    </w:p>
    <w:p>
      <w:pPr>
        <w:spacing w:after="0" w:line="145" w:lineRule="exact"/>
        <w:rPr>
          <w:sz w:val="20"/>
          <w:szCs w:val="20"/>
          <w:color w:val="auto"/>
        </w:rPr>
      </w:pPr>
    </w:p>
    <w:p>
      <w:pPr>
        <w:ind w:right="1879"/>
        <w:spacing w:after="0" w:line="283" w:lineRule="auto"/>
        <w:rPr>
          <w:sz w:val="20"/>
          <w:szCs w:val="20"/>
          <w:color w:val="auto"/>
        </w:rPr>
      </w:pPr>
      <w:r>
        <w:rPr>
          <w:rFonts w:ascii="Arial" w:cs="Arial" w:eastAsia="Arial" w:hAnsi="Arial"/>
          <w:sz w:val="12"/>
          <w:szCs w:val="12"/>
          <w:b w:val="1"/>
          <w:bCs w:val="1"/>
          <w:color w:val="143FDD"/>
        </w:rPr>
        <w:t>OUR BOARD OF DIRECTORS UNANIMOUSLY RECOMMENDS A VOTE “FOR” THE ELECTION OF EACH OF THE TWO CLASS I DIRECTOR NOMINEES NAMED ABOVE.</w:t>
      </w:r>
    </w:p>
    <w:p>
      <w:pPr>
        <w:spacing w:after="0" w:line="66" w:lineRule="exact"/>
        <w:rPr>
          <w:sz w:val="20"/>
          <w:szCs w:val="20"/>
          <w:color w:val="auto"/>
        </w:rPr>
      </w:pPr>
    </w:p>
    <w:p>
      <w:pPr>
        <w:ind w:left="2400"/>
        <w:spacing w:after="0"/>
        <w:rPr>
          <w:sz w:val="20"/>
          <w:szCs w:val="20"/>
          <w:color w:val="auto"/>
        </w:rPr>
      </w:pPr>
      <w:r>
        <w:rPr>
          <w:rFonts w:ascii="Arial" w:cs="Arial" w:eastAsia="Arial" w:hAnsi="Arial"/>
          <w:sz w:val="10"/>
          <w:szCs w:val="10"/>
          <w:b w:val="1"/>
          <w:bCs w:val="1"/>
          <w:color w:val="143FDD"/>
        </w:rPr>
        <w:t>7</w:t>
      </w:r>
    </w:p>
    <w:p>
      <w:pPr>
        <w:sectPr>
          <w:pgSz w:w="11900" w:h="16838" w:orient="portrait"/>
          <w:cols w:equalWidth="0" w:num="2">
            <w:col w:w="2960" w:space="480"/>
            <w:col w:w="6719"/>
          </w:cols>
          <w:pgMar w:left="300" w:top="354" w:right="1440" w:bottom="1440" w:gutter="0" w:footer="0" w:header="0"/>
          <w:type w:val="continuous"/>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Overview of Our Nominees and Continuing Directors</w:t>
      </w:r>
    </w:p>
    <w:p>
      <w:pPr>
        <w:spacing w:after="0" w:line="148" w:lineRule="exact"/>
        <w:rPr>
          <w:sz w:val="20"/>
          <w:szCs w:val="20"/>
          <w:color w:val="auto"/>
        </w:rPr>
      </w:pPr>
    </w:p>
    <w:p>
      <w:pPr>
        <w:ind w:left="1980" w:right="1139" w:firstLine="514"/>
        <w:spacing w:after="0" w:line="276" w:lineRule="auto"/>
        <w:rPr>
          <w:sz w:val="20"/>
          <w:szCs w:val="20"/>
          <w:color w:val="auto"/>
        </w:rPr>
      </w:pPr>
      <w:r>
        <w:rPr>
          <w:rFonts w:ascii="Arial" w:cs="Arial" w:eastAsia="Arial" w:hAnsi="Arial"/>
          <w:sz w:val="12"/>
          <w:szCs w:val="12"/>
          <w:color w:val="auto"/>
        </w:rPr>
        <w:t>The following table and the brief biographies that follow provide information, as of the date of this proxy statement, about each director nominee and each continuing director:</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89"/>
              </w:rPr>
              <w:t>Expiration</w:t>
            </w:r>
          </w:p>
        </w:tc>
        <w:tc>
          <w:tcPr>
            <w:tcW w:w="660" w:type="dxa"/>
            <w:vAlign w:val="bottom"/>
          </w:tcPr>
          <w:p>
            <w:pPr>
              <w:spacing w:after="0"/>
              <w:rPr>
                <w:sz w:val="10"/>
                <w:szCs w:val="10"/>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85"/>
              </w:rPr>
              <w:t>Committee</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vMerge w:val="restart"/>
          </w:tcPr>
          <w:p>
            <w:pPr>
              <w:jc w:val="center"/>
              <w:spacing w:after="0" w:line="99" w:lineRule="exact"/>
              <w:rPr>
                <w:sz w:val="20"/>
                <w:szCs w:val="20"/>
                <w:color w:val="auto"/>
              </w:rPr>
            </w:pPr>
            <w:r>
              <w:rPr>
                <w:rFonts w:ascii="Arial" w:cs="Arial" w:eastAsia="Arial" w:hAnsi="Arial"/>
                <w:sz w:val="10"/>
                <w:szCs w:val="10"/>
                <w:b w:val="1"/>
                <w:bCs w:val="1"/>
                <w:color w:val="auto"/>
                <w:w w:val="88"/>
              </w:rPr>
              <w:t>Current</w:t>
            </w:r>
          </w:p>
        </w:tc>
        <w:tc>
          <w:tcPr>
            <w:tcW w:w="600" w:type="dxa"/>
            <w:vAlign w:val="bottom"/>
            <w:vMerge w:val="restart"/>
          </w:tcPr>
          <w:p>
            <w:pPr>
              <w:jc w:val="center"/>
              <w:spacing w:after="0" w:line="99" w:lineRule="exact"/>
              <w:rPr>
                <w:sz w:val="20"/>
                <w:szCs w:val="20"/>
                <w:color w:val="auto"/>
              </w:rPr>
            </w:pPr>
            <w:r>
              <w:rPr>
                <w:rFonts w:ascii="Arial" w:cs="Arial" w:eastAsia="Arial" w:hAnsi="Arial"/>
                <w:sz w:val="10"/>
                <w:szCs w:val="10"/>
                <w:b w:val="1"/>
                <w:bCs w:val="1"/>
                <w:color w:val="auto"/>
                <w:w w:val="87"/>
              </w:rPr>
              <w:t>of Term for</w:t>
            </w:r>
          </w:p>
        </w:tc>
        <w:tc>
          <w:tcPr>
            <w:tcW w:w="6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3"/>
            <w:vMerge w:val="restart"/>
          </w:tcPr>
          <w:p>
            <w:pPr>
              <w:jc w:val="center"/>
              <w:spacing w:after="0" w:line="114" w:lineRule="exact"/>
              <w:rPr>
                <w:sz w:val="20"/>
                <w:szCs w:val="20"/>
                <w:color w:val="auto"/>
              </w:rPr>
            </w:pPr>
            <w:r>
              <w:rPr>
                <w:rFonts w:ascii="Arial" w:cs="Arial" w:eastAsia="Arial" w:hAnsi="Arial"/>
                <w:sz w:val="10"/>
                <w:szCs w:val="10"/>
                <w:b w:val="1"/>
                <w:bCs w:val="1"/>
                <w:color w:val="auto"/>
                <w:w w:val="89"/>
              </w:rPr>
              <w:t>Membership*</w:t>
            </w:r>
          </w:p>
        </w:tc>
        <w:tc>
          <w:tcPr>
            <w:tcW w:w="0" w:type="dxa"/>
            <w:vAlign w:val="bottom"/>
          </w:tcPr>
          <w:p>
            <w:pPr>
              <w:spacing w:after="0"/>
              <w:rPr>
                <w:sz w:val="1"/>
                <w:szCs w:val="1"/>
                <w:color w:val="auto"/>
              </w:rPr>
            </w:pPr>
          </w:p>
        </w:tc>
      </w:tr>
      <w:tr>
        <w:trPr>
          <w:trHeight w:val="84"/>
        </w:trPr>
        <w:tc>
          <w:tcPr>
            <w:tcW w:w="2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6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Director</w:t>
            </w:r>
          </w:p>
        </w:tc>
        <w:tc>
          <w:tcPr>
            <w:tcW w:w="320" w:type="dxa"/>
            <w:vAlign w:val="bottom"/>
          </w:tcPr>
          <w:p>
            <w:pPr>
              <w:spacing w:after="0"/>
              <w:rPr>
                <w:sz w:val="6"/>
                <w:szCs w:val="6"/>
                <w:color w:val="auto"/>
              </w:rPr>
            </w:pPr>
          </w:p>
        </w:tc>
        <w:tc>
          <w:tcPr>
            <w:tcW w:w="46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Term</w:t>
            </w:r>
          </w:p>
        </w:tc>
        <w:tc>
          <w:tcPr>
            <w:tcW w:w="60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which</w:t>
            </w:r>
          </w:p>
        </w:tc>
        <w:tc>
          <w:tcPr>
            <w:tcW w:w="660" w:type="dxa"/>
            <w:vAlign w:val="bottom"/>
          </w:tcPr>
          <w:p>
            <w:pPr>
              <w:spacing w:after="0"/>
              <w:rPr>
                <w:sz w:val="6"/>
                <w:szCs w:val="6"/>
                <w:color w:val="auto"/>
              </w:rPr>
            </w:pPr>
          </w:p>
        </w:tc>
        <w:tc>
          <w:tcPr>
            <w:tcW w:w="920" w:type="dxa"/>
            <w:vAlign w:val="bottom"/>
            <w:tcBorders>
              <w:bottom w:val="single" w:sz="8" w:color="BFBFBF"/>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200" w:type="dxa"/>
            <w:vAlign w:val="bottom"/>
            <w:tcBorders>
              <w:bottom w:val="single" w:sz="8" w:color="143FDD"/>
            </w:tcBorders>
          </w:tcPr>
          <w:p>
            <w:pPr>
              <w:spacing w:after="0"/>
              <w:rPr>
                <w:sz w:val="10"/>
                <w:szCs w:val="10"/>
                <w:color w:val="auto"/>
              </w:rPr>
            </w:pPr>
          </w:p>
        </w:tc>
        <w:tc>
          <w:tcPr>
            <w:tcW w:w="260" w:type="dxa"/>
            <w:vAlign w:val="bottom"/>
            <w:tcBorders>
              <w:bottom w:val="single" w:sz="8" w:color="143FDD"/>
            </w:tcBorders>
          </w:tcPr>
          <w:p>
            <w:pPr>
              <w:ind w:left="80"/>
              <w:spacing w:after="0"/>
              <w:rPr>
                <w:sz w:val="20"/>
                <w:szCs w:val="20"/>
                <w:color w:val="auto"/>
              </w:rPr>
            </w:pPr>
            <w:r>
              <w:rPr>
                <w:rFonts w:ascii="Arial" w:cs="Arial" w:eastAsia="Arial" w:hAnsi="Arial"/>
                <w:sz w:val="10"/>
                <w:szCs w:val="10"/>
                <w:b w:val="1"/>
                <w:bCs w:val="1"/>
                <w:color w:val="auto"/>
                <w:w w:val="73"/>
              </w:rPr>
              <w:t>Age</w:t>
            </w:r>
          </w:p>
        </w:tc>
        <w:tc>
          <w:tcPr>
            <w:tcW w:w="1460" w:type="dxa"/>
            <w:vAlign w:val="bottom"/>
            <w:tcBorders>
              <w:bottom w:val="single" w:sz="8" w:color="143FDD"/>
            </w:tcBorders>
          </w:tcPr>
          <w:p>
            <w:pPr>
              <w:ind w:left="540"/>
              <w:spacing w:after="0"/>
              <w:rPr>
                <w:sz w:val="20"/>
                <w:szCs w:val="20"/>
                <w:color w:val="auto"/>
              </w:rPr>
            </w:pPr>
            <w:r>
              <w:rPr>
                <w:rFonts w:ascii="Arial" w:cs="Arial" w:eastAsia="Arial" w:hAnsi="Arial"/>
                <w:sz w:val="10"/>
                <w:szCs w:val="10"/>
                <w:b w:val="1"/>
                <w:bCs w:val="1"/>
                <w:color w:val="auto"/>
              </w:rPr>
              <w:t>Position(s)</w:t>
            </w:r>
          </w:p>
        </w:tc>
        <w:tc>
          <w:tcPr>
            <w:tcW w:w="46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82"/>
              </w:rPr>
              <w:t>Since</w:t>
            </w:r>
          </w:p>
        </w:tc>
        <w:tc>
          <w:tcPr>
            <w:tcW w:w="32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74"/>
              </w:rPr>
              <w:t>Class</w:t>
            </w:r>
          </w:p>
        </w:tc>
        <w:tc>
          <w:tcPr>
            <w:tcW w:w="46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88"/>
              </w:rPr>
              <w:t>Expires</w:t>
            </w:r>
          </w:p>
        </w:tc>
        <w:tc>
          <w:tcPr>
            <w:tcW w:w="60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88"/>
              </w:rPr>
              <w:t>Nominated</w:t>
            </w:r>
          </w:p>
        </w:tc>
        <w:tc>
          <w:tcPr>
            <w:tcW w:w="66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87"/>
              </w:rPr>
              <w:t>Independent</w:t>
            </w:r>
          </w:p>
        </w:tc>
        <w:tc>
          <w:tcPr>
            <w:tcW w:w="300" w:type="dxa"/>
            <w:vAlign w:val="bottom"/>
            <w:tcBorders>
              <w:bottom w:val="single" w:sz="8" w:color="143FDD"/>
            </w:tcBorders>
          </w:tcPr>
          <w:p>
            <w:pPr>
              <w:jc w:val="center"/>
              <w:spacing w:after="0"/>
              <w:rPr>
                <w:sz w:val="20"/>
                <w:szCs w:val="20"/>
                <w:color w:val="auto"/>
              </w:rPr>
            </w:pPr>
            <w:r>
              <w:rPr>
                <w:rFonts w:ascii="Arial" w:cs="Arial" w:eastAsia="Arial" w:hAnsi="Arial"/>
                <w:sz w:val="10"/>
                <w:szCs w:val="10"/>
                <w:b w:val="1"/>
                <w:bCs w:val="1"/>
                <w:color w:val="auto"/>
                <w:w w:val="96"/>
              </w:rPr>
              <w:t>AC</w:t>
            </w:r>
          </w:p>
        </w:tc>
        <w:tc>
          <w:tcPr>
            <w:tcW w:w="620" w:type="dxa"/>
            <w:vAlign w:val="bottom"/>
            <w:tcBorders>
              <w:bottom w:val="single" w:sz="8" w:color="143FDD"/>
            </w:tcBorders>
            <w:gridSpan w:val="2"/>
          </w:tcPr>
          <w:p>
            <w:pPr>
              <w:ind w:left="120"/>
              <w:spacing w:after="0"/>
              <w:rPr>
                <w:sz w:val="20"/>
                <w:szCs w:val="20"/>
                <w:color w:val="auto"/>
              </w:rPr>
            </w:pPr>
            <w:r>
              <w:rPr>
                <w:rFonts w:ascii="Arial" w:cs="Arial" w:eastAsia="Arial" w:hAnsi="Arial"/>
                <w:sz w:val="10"/>
                <w:szCs w:val="10"/>
                <w:b w:val="1"/>
                <w:bCs w:val="1"/>
                <w:color w:val="auto"/>
              </w:rPr>
              <w:t>CC   NCG</w:t>
            </w:r>
          </w:p>
        </w:tc>
        <w:tc>
          <w:tcPr>
            <w:tcW w:w="0" w:type="dxa"/>
            <w:vAlign w:val="bottom"/>
          </w:tcPr>
          <w:p>
            <w:pPr>
              <w:spacing w:after="0"/>
              <w:rPr>
                <w:sz w:val="1"/>
                <w:szCs w:val="1"/>
                <w:color w:val="auto"/>
              </w:rPr>
            </w:pPr>
          </w:p>
        </w:tc>
      </w:tr>
      <w:tr>
        <w:trPr>
          <w:trHeight w:val="97"/>
        </w:trPr>
        <w:tc>
          <w:tcPr>
            <w:tcW w:w="2200" w:type="dxa"/>
            <w:vAlign w:val="bottom"/>
            <w:tcBorders>
              <w:bottom w:val="single" w:sz="8" w:color="143FDD"/>
            </w:tcBorders>
          </w:tcPr>
          <w:p>
            <w:pPr>
              <w:spacing w:after="0" w:line="97" w:lineRule="exact"/>
              <w:rPr>
                <w:sz w:val="20"/>
                <w:szCs w:val="20"/>
                <w:color w:val="auto"/>
              </w:rPr>
            </w:pPr>
            <w:r>
              <w:rPr>
                <w:rFonts w:ascii="Arial" w:cs="Arial" w:eastAsia="Arial" w:hAnsi="Arial"/>
                <w:sz w:val="10"/>
                <w:szCs w:val="10"/>
                <w:b w:val="1"/>
                <w:bCs w:val="1"/>
                <w:color w:val="143FDD"/>
              </w:rPr>
              <w:t>DIRECTOR NOMINEES</w:t>
            </w:r>
          </w:p>
        </w:tc>
        <w:tc>
          <w:tcPr>
            <w:tcW w:w="260" w:type="dxa"/>
            <w:vAlign w:val="bottom"/>
            <w:tcBorders>
              <w:bottom w:val="single" w:sz="8" w:color="143FDD"/>
            </w:tcBorders>
          </w:tcPr>
          <w:p>
            <w:pPr>
              <w:spacing w:after="0"/>
              <w:rPr>
                <w:sz w:val="8"/>
                <w:szCs w:val="8"/>
                <w:color w:val="auto"/>
              </w:rPr>
            </w:pPr>
          </w:p>
        </w:tc>
        <w:tc>
          <w:tcPr>
            <w:tcW w:w="1460" w:type="dxa"/>
            <w:vAlign w:val="bottom"/>
            <w:tcBorders>
              <w:bottom w:val="single" w:sz="8" w:color="143FDD"/>
            </w:tcBorders>
          </w:tcPr>
          <w:p>
            <w:pPr>
              <w:spacing w:after="0"/>
              <w:rPr>
                <w:sz w:val="8"/>
                <w:szCs w:val="8"/>
                <w:color w:val="auto"/>
              </w:rPr>
            </w:pPr>
          </w:p>
        </w:tc>
        <w:tc>
          <w:tcPr>
            <w:tcW w:w="460" w:type="dxa"/>
            <w:vAlign w:val="bottom"/>
            <w:tcBorders>
              <w:bottom w:val="single" w:sz="8" w:color="143FDD"/>
            </w:tcBorders>
          </w:tcPr>
          <w:p>
            <w:pPr>
              <w:spacing w:after="0"/>
              <w:rPr>
                <w:sz w:val="8"/>
                <w:szCs w:val="8"/>
                <w:color w:val="auto"/>
              </w:rPr>
            </w:pPr>
          </w:p>
        </w:tc>
        <w:tc>
          <w:tcPr>
            <w:tcW w:w="320" w:type="dxa"/>
            <w:vAlign w:val="bottom"/>
            <w:tcBorders>
              <w:bottom w:val="single" w:sz="8" w:color="143FDD"/>
            </w:tcBorders>
          </w:tcPr>
          <w:p>
            <w:pPr>
              <w:spacing w:after="0"/>
              <w:rPr>
                <w:sz w:val="8"/>
                <w:szCs w:val="8"/>
                <w:color w:val="auto"/>
              </w:rPr>
            </w:pPr>
          </w:p>
        </w:tc>
        <w:tc>
          <w:tcPr>
            <w:tcW w:w="460" w:type="dxa"/>
            <w:vAlign w:val="bottom"/>
            <w:tcBorders>
              <w:bottom w:val="single" w:sz="8" w:color="143FDD"/>
            </w:tcBorders>
          </w:tcPr>
          <w:p>
            <w:pPr>
              <w:spacing w:after="0"/>
              <w:rPr>
                <w:sz w:val="8"/>
                <w:szCs w:val="8"/>
                <w:color w:val="auto"/>
              </w:rPr>
            </w:pPr>
          </w:p>
        </w:tc>
        <w:tc>
          <w:tcPr>
            <w:tcW w:w="600" w:type="dxa"/>
            <w:vAlign w:val="bottom"/>
            <w:tcBorders>
              <w:bottom w:val="single" w:sz="8" w:color="143FDD"/>
            </w:tcBorders>
          </w:tcPr>
          <w:p>
            <w:pPr>
              <w:spacing w:after="0"/>
              <w:rPr>
                <w:sz w:val="8"/>
                <w:szCs w:val="8"/>
                <w:color w:val="auto"/>
              </w:rPr>
            </w:pPr>
          </w:p>
        </w:tc>
        <w:tc>
          <w:tcPr>
            <w:tcW w:w="660" w:type="dxa"/>
            <w:vAlign w:val="bottom"/>
            <w:tcBorders>
              <w:bottom w:val="single" w:sz="8" w:color="143FDD"/>
            </w:tcBorders>
          </w:tcPr>
          <w:p>
            <w:pPr>
              <w:spacing w:after="0"/>
              <w:rPr>
                <w:sz w:val="8"/>
                <w:szCs w:val="8"/>
                <w:color w:val="auto"/>
              </w:rPr>
            </w:pPr>
          </w:p>
        </w:tc>
        <w:tc>
          <w:tcPr>
            <w:tcW w:w="300" w:type="dxa"/>
            <w:vAlign w:val="bottom"/>
            <w:tcBorders>
              <w:bottom w:val="single" w:sz="8" w:color="143FDD"/>
            </w:tcBorders>
          </w:tcPr>
          <w:p>
            <w:pPr>
              <w:spacing w:after="0"/>
              <w:rPr>
                <w:sz w:val="8"/>
                <w:szCs w:val="8"/>
                <w:color w:val="auto"/>
              </w:rPr>
            </w:pPr>
          </w:p>
        </w:tc>
        <w:tc>
          <w:tcPr>
            <w:tcW w:w="320" w:type="dxa"/>
            <w:vAlign w:val="bottom"/>
            <w:tcBorders>
              <w:bottom w:val="single" w:sz="8" w:color="143FDD"/>
            </w:tcBorders>
          </w:tcPr>
          <w:p>
            <w:pPr>
              <w:spacing w:after="0"/>
              <w:rPr>
                <w:sz w:val="8"/>
                <w:szCs w:val="8"/>
                <w:color w:val="auto"/>
              </w:rPr>
            </w:pPr>
          </w:p>
        </w:tc>
        <w:tc>
          <w:tcPr>
            <w:tcW w:w="300" w:type="dxa"/>
            <w:vAlign w:val="bottom"/>
            <w:tcBorders>
              <w:bottom w:val="single" w:sz="8" w:color="143FDD"/>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200" w:type="dxa"/>
            <w:vAlign w:val="bottom"/>
            <w:tcBorders>
              <w:right w:val="single" w:sz="8" w:color="143FDD"/>
            </w:tcBorders>
          </w:tcPr>
          <w:p>
            <w:pPr>
              <w:ind w:left="80"/>
              <w:spacing w:after="0" w:line="76" w:lineRule="exact"/>
              <w:rPr>
                <w:sz w:val="20"/>
                <w:szCs w:val="20"/>
                <w:color w:val="auto"/>
              </w:rPr>
            </w:pPr>
            <w:r>
              <w:rPr>
                <w:rFonts w:ascii="Arial" w:cs="Arial" w:eastAsia="Arial" w:hAnsi="Arial"/>
                <w:sz w:val="8"/>
                <w:szCs w:val="8"/>
                <w:color w:val="auto"/>
              </w:rPr>
              <w:t>Scott Hutton</w:t>
            </w:r>
          </w:p>
        </w:tc>
        <w:tc>
          <w:tcPr>
            <w:tcW w:w="260" w:type="dxa"/>
            <w:vAlign w:val="bottom"/>
            <w:tcBorders>
              <w:right w:val="single" w:sz="8" w:color="143FDD"/>
            </w:tcBorders>
          </w:tcPr>
          <w:p>
            <w:pPr>
              <w:ind w:left="60"/>
              <w:spacing w:after="0" w:line="76" w:lineRule="exact"/>
              <w:rPr>
                <w:sz w:val="20"/>
                <w:szCs w:val="20"/>
                <w:color w:val="auto"/>
              </w:rPr>
            </w:pPr>
            <w:r>
              <w:rPr>
                <w:rFonts w:ascii="Arial" w:cs="Arial" w:eastAsia="Arial" w:hAnsi="Arial"/>
                <w:sz w:val="8"/>
                <w:szCs w:val="8"/>
                <w:color w:val="auto"/>
              </w:rPr>
              <w:t>49</w:t>
            </w:r>
          </w:p>
        </w:tc>
        <w:tc>
          <w:tcPr>
            <w:tcW w:w="1460" w:type="dxa"/>
            <w:vAlign w:val="bottom"/>
            <w:tcBorders>
              <w:right w:val="single" w:sz="8" w:color="143FDD"/>
            </w:tcBorders>
          </w:tcPr>
          <w:p>
            <w:pPr>
              <w:ind w:left="60"/>
              <w:spacing w:after="0" w:line="76" w:lineRule="exact"/>
              <w:rPr>
                <w:sz w:val="20"/>
                <w:szCs w:val="20"/>
                <w:color w:val="auto"/>
              </w:rPr>
            </w:pPr>
            <w:r>
              <w:rPr>
                <w:rFonts w:ascii="Arial" w:cs="Arial" w:eastAsia="Arial" w:hAnsi="Arial"/>
                <w:sz w:val="8"/>
                <w:szCs w:val="8"/>
                <w:color w:val="auto"/>
              </w:rPr>
              <w:t>President, Chief Executive</w:t>
            </w:r>
          </w:p>
        </w:tc>
        <w:tc>
          <w:tcPr>
            <w:tcW w:w="460" w:type="dxa"/>
            <w:vAlign w:val="bottom"/>
            <w:tcBorders>
              <w:right w:val="single" w:sz="8" w:color="143FDD"/>
            </w:tcBorders>
          </w:tcPr>
          <w:p>
            <w:pPr>
              <w:jc w:val="center"/>
              <w:spacing w:after="0" w:line="76" w:lineRule="exact"/>
              <w:rPr>
                <w:sz w:val="20"/>
                <w:szCs w:val="20"/>
                <w:color w:val="auto"/>
              </w:rPr>
            </w:pPr>
            <w:r>
              <w:rPr>
                <w:rFonts w:ascii="Arial" w:cs="Arial" w:eastAsia="Arial" w:hAnsi="Arial"/>
                <w:sz w:val="8"/>
                <w:szCs w:val="8"/>
                <w:color w:val="auto"/>
              </w:rPr>
              <w:t>2020</w:t>
            </w:r>
          </w:p>
        </w:tc>
        <w:tc>
          <w:tcPr>
            <w:tcW w:w="320" w:type="dxa"/>
            <w:vAlign w:val="bottom"/>
            <w:tcBorders>
              <w:right w:val="single" w:sz="8" w:color="143FDD"/>
            </w:tcBorders>
          </w:tcPr>
          <w:p>
            <w:pPr>
              <w:jc w:val="center"/>
              <w:spacing w:after="0" w:line="76" w:lineRule="exact"/>
              <w:rPr>
                <w:sz w:val="20"/>
                <w:szCs w:val="20"/>
                <w:color w:val="auto"/>
              </w:rPr>
            </w:pPr>
            <w:r>
              <w:rPr>
                <w:rFonts w:ascii="Arial" w:cs="Arial" w:eastAsia="Arial" w:hAnsi="Arial"/>
                <w:sz w:val="8"/>
                <w:szCs w:val="8"/>
                <w:color w:val="auto"/>
              </w:rPr>
              <w:t>I</w:t>
            </w:r>
          </w:p>
        </w:tc>
        <w:tc>
          <w:tcPr>
            <w:tcW w:w="460" w:type="dxa"/>
            <w:vAlign w:val="bottom"/>
            <w:tcBorders>
              <w:right w:val="single" w:sz="8" w:color="143FDD"/>
            </w:tcBorders>
          </w:tcPr>
          <w:p>
            <w:pPr>
              <w:jc w:val="center"/>
              <w:spacing w:after="0" w:line="76" w:lineRule="exact"/>
              <w:rPr>
                <w:sz w:val="20"/>
                <w:szCs w:val="20"/>
                <w:color w:val="auto"/>
              </w:rPr>
            </w:pPr>
            <w:r>
              <w:rPr>
                <w:rFonts w:ascii="Arial" w:cs="Arial" w:eastAsia="Arial" w:hAnsi="Arial"/>
                <w:sz w:val="8"/>
                <w:szCs w:val="8"/>
                <w:color w:val="auto"/>
              </w:rPr>
              <w:t>2021</w:t>
            </w:r>
          </w:p>
        </w:tc>
        <w:tc>
          <w:tcPr>
            <w:tcW w:w="600" w:type="dxa"/>
            <w:vAlign w:val="bottom"/>
            <w:tcBorders>
              <w:right w:val="single" w:sz="8" w:color="143FDD"/>
            </w:tcBorders>
          </w:tcPr>
          <w:p>
            <w:pPr>
              <w:jc w:val="center"/>
              <w:spacing w:after="0" w:line="76" w:lineRule="exact"/>
              <w:rPr>
                <w:sz w:val="20"/>
                <w:szCs w:val="20"/>
                <w:color w:val="auto"/>
              </w:rPr>
            </w:pPr>
            <w:r>
              <w:rPr>
                <w:rFonts w:ascii="Arial" w:cs="Arial" w:eastAsia="Arial" w:hAnsi="Arial"/>
                <w:sz w:val="8"/>
                <w:szCs w:val="8"/>
                <w:color w:val="auto"/>
              </w:rPr>
              <w:t>2024</w:t>
            </w:r>
          </w:p>
        </w:tc>
        <w:tc>
          <w:tcPr>
            <w:tcW w:w="660" w:type="dxa"/>
            <w:vAlign w:val="bottom"/>
            <w:tcBorders>
              <w:right w:val="single" w:sz="8" w:color="143FDD"/>
            </w:tcBorders>
          </w:tcPr>
          <w:p>
            <w:pPr>
              <w:jc w:val="center"/>
              <w:spacing w:after="0" w:line="76" w:lineRule="exact"/>
              <w:rPr>
                <w:sz w:val="20"/>
                <w:szCs w:val="20"/>
                <w:color w:val="auto"/>
              </w:rPr>
            </w:pPr>
            <w:r>
              <w:rPr>
                <w:rFonts w:ascii="Arial" w:cs="Arial" w:eastAsia="Arial" w:hAnsi="Arial"/>
                <w:sz w:val="8"/>
                <w:szCs w:val="8"/>
                <w:color w:val="auto"/>
              </w:rPr>
              <w:t>No</w:t>
            </w:r>
          </w:p>
        </w:tc>
        <w:tc>
          <w:tcPr>
            <w:tcW w:w="300" w:type="dxa"/>
            <w:vAlign w:val="bottom"/>
            <w:tcBorders>
              <w:right w:val="single" w:sz="8" w:color="143FDD"/>
            </w:tcBorders>
          </w:tcPr>
          <w:p>
            <w:pPr>
              <w:spacing w:after="0"/>
              <w:rPr>
                <w:sz w:val="6"/>
                <w:szCs w:val="6"/>
                <w:color w:val="auto"/>
              </w:rPr>
            </w:pPr>
          </w:p>
        </w:tc>
        <w:tc>
          <w:tcPr>
            <w:tcW w:w="320" w:type="dxa"/>
            <w:vAlign w:val="bottom"/>
            <w:tcBorders>
              <w:right w:val="single" w:sz="8" w:color="143FDD"/>
            </w:tcBorders>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200" w:type="dxa"/>
            <w:vAlign w:val="bottom"/>
            <w:tcBorders>
              <w:bottom w:val="single" w:sz="8" w:color="143FDD"/>
              <w:right w:val="single" w:sz="8" w:color="143FDD"/>
            </w:tcBorders>
          </w:tcPr>
          <w:p>
            <w:pPr>
              <w:spacing w:after="0"/>
              <w:rPr>
                <w:sz w:val="10"/>
                <w:szCs w:val="10"/>
                <w:color w:val="auto"/>
              </w:rPr>
            </w:pPr>
          </w:p>
        </w:tc>
        <w:tc>
          <w:tcPr>
            <w:tcW w:w="260" w:type="dxa"/>
            <w:vAlign w:val="bottom"/>
            <w:tcBorders>
              <w:bottom w:val="single" w:sz="8" w:color="143FDD"/>
              <w:right w:val="single" w:sz="8" w:color="143FDD"/>
            </w:tcBorders>
          </w:tcPr>
          <w:p>
            <w:pPr>
              <w:spacing w:after="0"/>
              <w:rPr>
                <w:sz w:val="10"/>
                <w:szCs w:val="10"/>
                <w:color w:val="auto"/>
              </w:rPr>
            </w:pPr>
          </w:p>
        </w:tc>
        <w:tc>
          <w:tcPr>
            <w:tcW w:w="1460" w:type="dxa"/>
            <w:vAlign w:val="bottom"/>
            <w:tcBorders>
              <w:bottom w:val="single" w:sz="8" w:color="143FDD"/>
              <w:right w:val="single" w:sz="8" w:color="143FDD"/>
            </w:tcBorders>
          </w:tcPr>
          <w:p>
            <w:pPr>
              <w:ind w:left="60"/>
              <w:spacing w:after="0"/>
              <w:rPr>
                <w:sz w:val="20"/>
                <w:szCs w:val="20"/>
                <w:color w:val="auto"/>
              </w:rPr>
            </w:pPr>
            <w:r>
              <w:rPr>
                <w:rFonts w:ascii="Arial" w:cs="Arial" w:eastAsia="Arial" w:hAnsi="Arial"/>
                <w:sz w:val="10"/>
                <w:szCs w:val="10"/>
                <w:color w:val="auto"/>
              </w:rPr>
              <w:t>Officer and Director</w:t>
            </w:r>
          </w:p>
        </w:tc>
        <w:tc>
          <w:tcPr>
            <w:tcW w:w="460" w:type="dxa"/>
            <w:vAlign w:val="bottom"/>
            <w:tcBorders>
              <w:bottom w:val="single" w:sz="8" w:color="143FDD"/>
              <w:right w:val="single" w:sz="8" w:color="143FDD"/>
            </w:tcBorders>
          </w:tcPr>
          <w:p>
            <w:pPr>
              <w:spacing w:after="0"/>
              <w:rPr>
                <w:sz w:val="10"/>
                <w:szCs w:val="10"/>
                <w:color w:val="auto"/>
              </w:rPr>
            </w:pPr>
          </w:p>
        </w:tc>
        <w:tc>
          <w:tcPr>
            <w:tcW w:w="320" w:type="dxa"/>
            <w:vAlign w:val="bottom"/>
            <w:tcBorders>
              <w:bottom w:val="single" w:sz="8" w:color="143FDD"/>
              <w:right w:val="single" w:sz="8" w:color="143FDD"/>
            </w:tcBorders>
          </w:tcPr>
          <w:p>
            <w:pPr>
              <w:spacing w:after="0"/>
              <w:rPr>
                <w:sz w:val="10"/>
                <w:szCs w:val="10"/>
                <w:color w:val="auto"/>
              </w:rPr>
            </w:pPr>
          </w:p>
        </w:tc>
        <w:tc>
          <w:tcPr>
            <w:tcW w:w="460" w:type="dxa"/>
            <w:vAlign w:val="bottom"/>
            <w:tcBorders>
              <w:bottom w:val="single" w:sz="8" w:color="143FDD"/>
              <w:right w:val="single" w:sz="8" w:color="143FDD"/>
            </w:tcBorders>
          </w:tcPr>
          <w:p>
            <w:pPr>
              <w:spacing w:after="0"/>
              <w:rPr>
                <w:sz w:val="10"/>
                <w:szCs w:val="10"/>
                <w:color w:val="auto"/>
              </w:rPr>
            </w:pPr>
          </w:p>
        </w:tc>
        <w:tc>
          <w:tcPr>
            <w:tcW w:w="600" w:type="dxa"/>
            <w:vAlign w:val="bottom"/>
            <w:tcBorders>
              <w:bottom w:val="single" w:sz="8" w:color="143FDD"/>
              <w:right w:val="single" w:sz="8" w:color="143FDD"/>
            </w:tcBorders>
          </w:tcPr>
          <w:p>
            <w:pPr>
              <w:spacing w:after="0"/>
              <w:rPr>
                <w:sz w:val="10"/>
                <w:szCs w:val="10"/>
                <w:color w:val="auto"/>
              </w:rPr>
            </w:pPr>
          </w:p>
        </w:tc>
        <w:tc>
          <w:tcPr>
            <w:tcW w:w="660" w:type="dxa"/>
            <w:vAlign w:val="bottom"/>
            <w:tcBorders>
              <w:bottom w:val="single" w:sz="8" w:color="143FDD"/>
              <w:right w:val="single" w:sz="8" w:color="143FDD"/>
            </w:tcBorders>
          </w:tcPr>
          <w:p>
            <w:pPr>
              <w:spacing w:after="0"/>
              <w:rPr>
                <w:sz w:val="10"/>
                <w:szCs w:val="10"/>
                <w:color w:val="auto"/>
              </w:rPr>
            </w:pPr>
          </w:p>
        </w:tc>
        <w:tc>
          <w:tcPr>
            <w:tcW w:w="300" w:type="dxa"/>
            <w:vAlign w:val="bottom"/>
            <w:tcBorders>
              <w:bottom w:val="single" w:sz="8" w:color="143FDD"/>
              <w:right w:val="single" w:sz="8" w:color="143FDD"/>
            </w:tcBorders>
          </w:tcPr>
          <w:p>
            <w:pPr>
              <w:spacing w:after="0"/>
              <w:rPr>
                <w:sz w:val="10"/>
                <w:szCs w:val="10"/>
                <w:color w:val="auto"/>
              </w:rPr>
            </w:pPr>
          </w:p>
        </w:tc>
        <w:tc>
          <w:tcPr>
            <w:tcW w:w="320" w:type="dxa"/>
            <w:vAlign w:val="bottom"/>
            <w:tcBorders>
              <w:bottom w:val="single" w:sz="8" w:color="143FDD"/>
              <w:right w:val="single" w:sz="8" w:color="143FDD"/>
            </w:tcBorders>
          </w:tcPr>
          <w:p>
            <w:pPr>
              <w:spacing w:after="0"/>
              <w:rPr>
                <w:sz w:val="10"/>
                <w:szCs w:val="10"/>
                <w:color w:val="auto"/>
              </w:rPr>
            </w:pPr>
          </w:p>
        </w:tc>
        <w:tc>
          <w:tcPr>
            <w:tcW w:w="300" w:type="dxa"/>
            <w:vAlign w:val="bottom"/>
            <w:tcBorders>
              <w:bottom w:val="single" w:sz="8" w:color="143FDD"/>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143FDD"/>
              <w:right w:val="single" w:sz="8" w:color="143FDD"/>
            </w:tcBorders>
          </w:tcPr>
          <w:p>
            <w:pPr>
              <w:ind w:left="80"/>
              <w:spacing w:after="0" w:line="88" w:lineRule="exact"/>
              <w:rPr>
                <w:sz w:val="20"/>
                <w:szCs w:val="20"/>
                <w:color w:val="auto"/>
              </w:rPr>
            </w:pPr>
            <w:r>
              <w:rPr>
                <w:rFonts w:ascii="Arial" w:cs="Arial" w:eastAsia="Arial" w:hAnsi="Arial"/>
                <w:sz w:val="10"/>
                <w:szCs w:val="10"/>
                <w:color w:val="auto"/>
              </w:rPr>
              <w:t>John Patience</w:t>
            </w:r>
          </w:p>
        </w:tc>
        <w:tc>
          <w:tcPr>
            <w:tcW w:w="2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73</w:t>
            </w:r>
          </w:p>
        </w:tc>
        <w:tc>
          <w:tcPr>
            <w:tcW w:w="14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Chairman of the Board</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2008</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rPr>
              <w:t>I</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2021</w:t>
            </w:r>
          </w:p>
        </w:tc>
        <w:tc>
          <w:tcPr>
            <w:tcW w:w="6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2024</w:t>
            </w:r>
          </w:p>
        </w:tc>
        <w:tc>
          <w:tcPr>
            <w:tcW w:w="6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Yes</w:t>
            </w:r>
          </w:p>
        </w:tc>
        <w:tc>
          <w:tcPr>
            <w:tcW w:w="300" w:type="dxa"/>
            <w:vAlign w:val="bottom"/>
            <w:tcBorders>
              <w:bottom w:val="single" w:sz="8" w:color="143FDD"/>
              <w:right w:val="single" w:sz="8" w:color="143FDD"/>
            </w:tcBorders>
          </w:tcPr>
          <w:p>
            <w:pPr>
              <w:spacing w:after="0"/>
              <w:rPr>
                <w:sz w:val="7"/>
                <w:szCs w:val="7"/>
                <w:color w:val="auto"/>
              </w:rPr>
            </w:pP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rPr>
              <w:t>X</w:t>
            </w:r>
          </w:p>
        </w:tc>
        <w:tc>
          <w:tcPr>
            <w:tcW w:w="300" w:type="dxa"/>
            <w:vAlign w:val="bottom"/>
            <w:tcBorders>
              <w:bottom w:val="single" w:sz="8" w:color="143FDD"/>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143FDD"/>
            </w:tcBorders>
          </w:tcPr>
          <w:p>
            <w:pPr>
              <w:spacing w:after="0" w:line="88" w:lineRule="exact"/>
              <w:rPr>
                <w:sz w:val="20"/>
                <w:szCs w:val="20"/>
                <w:color w:val="auto"/>
              </w:rPr>
            </w:pPr>
            <w:r>
              <w:rPr>
                <w:rFonts w:ascii="Arial" w:cs="Arial" w:eastAsia="Arial" w:hAnsi="Arial"/>
                <w:sz w:val="10"/>
                <w:szCs w:val="10"/>
                <w:b w:val="1"/>
                <w:bCs w:val="1"/>
                <w:color w:val="143FDD"/>
              </w:rPr>
              <w:t>CONTINUING DIRECTORS</w:t>
            </w:r>
          </w:p>
        </w:tc>
        <w:tc>
          <w:tcPr>
            <w:tcW w:w="260" w:type="dxa"/>
            <w:vAlign w:val="bottom"/>
            <w:tcBorders>
              <w:bottom w:val="single" w:sz="8" w:color="143FDD"/>
            </w:tcBorders>
          </w:tcPr>
          <w:p>
            <w:pPr>
              <w:spacing w:after="0"/>
              <w:rPr>
                <w:sz w:val="7"/>
                <w:szCs w:val="7"/>
                <w:color w:val="auto"/>
              </w:rPr>
            </w:pPr>
          </w:p>
        </w:tc>
        <w:tc>
          <w:tcPr>
            <w:tcW w:w="1460" w:type="dxa"/>
            <w:vAlign w:val="bottom"/>
            <w:tcBorders>
              <w:bottom w:val="single" w:sz="8" w:color="143FDD"/>
            </w:tcBorders>
          </w:tcPr>
          <w:p>
            <w:pPr>
              <w:spacing w:after="0"/>
              <w:rPr>
                <w:sz w:val="7"/>
                <w:szCs w:val="7"/>
                <w:color w:val="auto"/>
              </w:rPr>
            </w:pPr>
          </w:p>
        </w:tc>
        <w:tc>
          <w:tcPr>
            <w:tcW w:w="460" w:type="dxa"/>
            <w:vAlign w:val="bottom"/>
            <w:tcBorders>
              <w:bottom w:val="single" w:sz="8" w:color="143FDD"/>
            </w:tcBorders>
          </w:tcPr>
          <w:p>
            <w:pPr>
              <w:spacing w:after="0"/>
              <w:rPr>
                <w:sz w:val="7"/>
                <w:szCs w:val="7"/>
                <w:color w:val="auto"/>
              </w:rPr>
            </w:pPr>
          </w:p>
        </w:tc>
        <w:tc>
          <w:tcPr>
            <w:tcW w:w="320" w:type="dxa"/>
            <w:vAlign w:val="bottom"/>
            <w:tcBorders>
              <w:bottom w:val="single" w:sz="8" w:color="143FDD"/>
            </w:tcBorders>
          </w:tcPr>
          <w:p>
            <w:pPr>
              <w:spacing w:after="0"/>
              <w:rPr>
                <w:sz w:val="7"/>
                <w:szCs w:val="7"/>
                <w:color w:val="auto"/>
              </w:rPr>
            </w:pPr>
          </w:p>
        </w:tc>
        <w:tc>
          <w:tcPr>
            <w:tcW w:w="460" w:type="dxa"/>
            <w:vAlign w:val="bottom"/>
            <w:tcBorders>
              <w:bottom w:val="single" w:sz="8" w:color="143FDD"/>
            </w:tcBorders>
          </w:tcPr>
          <w:p>
            <w:pPr>
              <w:spacing w:after="0"/>
              <w:rPr>
                <w:sz w:val="7"/>
                <w:szCs w:val="7"/>
                <w:color w:val="auto"/>
              </w:rPr>
            </w:pPr>
          </w:p>
        </w:tc>
        <w:tc>
          <w:tcPr>
            <w:tcW w:w="600" w:type="dxa"/>
            <w:vAlign w:val="bottom"/>
            <w:tcBorders>
              <w:bottom w:val="single" w:sz="8" w:color="143FDD"/>
            </w:tcBorders>
          </w:tcPr>
          <w:p>
            <w:pPr>
              <w:spacing w:after="0"/>
              <w:rPr>
                <w:sz w:val="7"/>
                <w:szCs w:val="7"/>
                <w:color w:val="auto"/>
              </w:rPr>
            </w:pPr>
          </w:p>
        </w:tc>
        <w:tc>
          <w:tcPr>
            <w:tcW w:w="660" w:type="dxa"/>
            <w:vAlign w:val="bottom"/>
            <w:tcBorders>
              <w:bottom w:val="single" w:sz="8" w:color="143FDD"/>
            </w:tcBorders>
          </w:tcPr>
          <w:p>
            <w:pPr>
              <w:spacing w:after="0"/>
              <w:rPr>
                <w:sz w:val="7"/>
                <w:szCs w:val="7"/>
                <w:color w:val="auto"/>
              </w:rPr>
            </w:pPr>
          </w:p>
        </w:tc>
        <w:tc>
          <w:tcPr>
            <w:tcW w:w="300" w:type="dxa"/>
            <w:vAlign w:val="bottom"/>
            <w:tcBorders>
              <w:bottom w:val="single" w:sz="8" w:color="143FDD"/>
            </w:tcBorders>
          </w:tcPr>
          <w:p>
            <w:pPr>
              <w:spacing w:after="0"/>
              <w:rPr>
                <w:sz w:val="7"/>
                <w:szCs w:val="7"/>
                <w:color w:val="auto"/>
              </w:rPr>
            </w:pPr>
          </w:p>
        </w:tc>
        <w:tc>
          <w:tcPr>
            <w:tcW w:w="320" w:type="dxa"/>
            <w:vAlign w:val="bottom"/>
            <w:tcBorders>
              <w:bottom w:val="single" w:sz="8" w:color="143FDD"/>
            </w:tcBorders>
          </w:tcPr>
          <w:p>
            <w:pPr>
              <w:spacing w:after="0"/>
              <w:rPr>
                <w:sz w:val="7"/>
                <w:szCs w:val="7"/>
                <w:color w:val="auto"/>
              </w:rPr>
            </w:pPr>
          </w:p>
        </w:tc>
        <w:tc>
          <w:tcPr>
            <w:tcW w:w="300" w:type="dxa"/>
            <w:vAlign w:val="bottom"/>
            <w:tcBorders>
              <w:bottom w:val="single" w:sz="8" w:color="143FDD"/>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143FDD"/>
              <w:right w:val="single" w:sz="8" w:color="143FDD"/>
            </w:tcBorders>
          </w:tcPr>
          <w:p>
            <w:pPr>
              <w:ind w:left="80"/>
              <w:spacing w:after="0" w:line="88" w:lineRule="exact"/>
              <w:rPr>
                <w:sz w:val="20"/>
                <w:szCs w:val="20"/>
                <w:color w:val="auto"/>
              </w:rPr>
            </w:pPr>
            <w:r>
              <w:rPr>
                <w:rFonts w:ascii="Arial" w:cs="Arial" w:eastAsia="Arial" w:hAnsi="Arial"/>
                <w:sz w:val="10"/>
                <w:szCs w:val="10"/>
                <w:color w:val="auto"/>
              </w:rPr>
              <w:t>Matthew Strobeck, Ph.D.</w:t>
            </w:r>
          </w:p>
        </w:tc>
        <w:tc>
          <w:tcPr>
            <w:tcW w:w="2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48</w:t>
            </w:r>
          </w:p>
        </w:tc>
        <w:tc>
          <w:tcPr>
            <w:tcW w:w="14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Director</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2012</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rPr>
              <w:t>II</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2022</w:t>
            </w:r>
          </w:p>
        </w:tc>
        <w:tc>
          <w:tcPr>
            <w:tcW w:w="6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Yes</w:t>
            </w:r>
          </w:p>
        </w:tc>
        <w:tc>
          <w:tcPr>
            <w:tcW w:w="3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X</w:t>
            </w:r>
          </w:p>
        </w:tc>
        <w:tc>
          <w:tcPr>
            <w:tcW w:w="320" w:type="dxa"/>
            <w:vAlign w:val="bottom"/>
            <w:tcBorders>
              <w:bottom w:val="single" w:sz="8" w:color="143FDD"/>
              <w:right w:val="single" w:sz="8" w:color="143FDD"/>
            </w:tcBorders>
          </w:tcPr>
          <w:p>
            <w:pPr>
              <w:spacing w:after="0"/>
              <w:rPr>
                <w:sz w:val="7"/>
                <w:szCs w:val="7"/>
                <w:color w:val="auto"/>
              </w:rPr>
            </w:pPr>
          </w:p>
        </w:tc>
        <w:tc>
          <w:tcPr>
            <w:tcW w:w="300" w:type="dxa"/>
            <w:vAlign w:val="bottom"/>
            <w:tcBorders>
              <w:bottom w:val="single" w:sz="8" w:color="143FDD"/>
            </w:tcBorders>
          </w:tcPr>
          <w:p>
            <w:pPr>
              <w:jc w:val="center"/>
              <w:spacing w:after="0" w:line="88" w:lineRule="exact"/>
              <w:rPr>
                <w:sz w:val="20"/>
                <w:szCs w:val="20"/>
                <w:color w:val="auto"/>
              </w:rPr>
            </w:pPr>
            <w:r>
              <w:rPr>
                <w:rFonts w:ascii="Arial" w:cs="Arial" w:eastAsia="Arial" w:hAnsi="Arial"/>
                <w:sz w:val="10"/>
                <w:szCs w:val="10"/>
                <w:color w:val="auto"/>
                <w:w w:val="91"/>
              </w:rPr>
              <w:t>Chair</w:t>
            </w:r>
          </w:p>
        </w:tc>
        <w:tc>
          <w:tcPr>
            <w:tcW w:w="0" w:type="dxa"/>
            <w:vAlign w:val="bottom"/>
          </w:tcPr>
          <w:p>
            <w:pPr>
              <w:spacing w:after="0"/>
              <w:rPr>
                <w:sz w:val="1"/>
                <w:szCs w:val="1"/>
                <w:color w:val="auto"/>
              </w:rPr>
            </w:pPr>
          </w:p>
        </w:tc>
      </w:tr>
      <w:tr>
        <w:trPr>
          <w:trHeight w:val="88"/>
        </w:trPr>
        <w:tc>
          <w:tcPr>
            <w:tcW w:w="2200" w:type="dxa"/>
            <w:vAlign w:val="bottom"/>
            <w:tcBorders>
              <w:bottom w:val="single" w:sz="8" w:color="143FDD"/>
              <w:right w:val="single" w:sz="8" w:color="143FDD"/>
            </w:tcBorders>
          </w:tcPr>
          <w:p>
            <w:pPr>
              <w:ind w:left="80"/>
              <w:spacing w:after="0" w:line="88" w:lineRule="exact"/>
              <w:rPr>
                <w:sz w:val="20"/>
                <w:szCs w:val="20"/>
                <w:color w:val="auto"/>
              </w:rPr>
            </w:pPr>
            <w:r>
              <w:rPr>
                <w:rFonts w:ascii="Arial" w:cs="Arial" w:eastAsia="Arial" w:hAnsi="Arial"/>
                <w:sz w:val="10"/>
                <w:szCs w:val="10"/>
                <w:color w:val="auto"/>
              </w:rPr>
              <w:t>Charles Watts, M.D.</w:t>
            </w:r>
          </w:p>
        </w:tc>
        <w:tc>
          <w:tcPr>
            <w:tcW w:w="2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78</w:t>
            </w:r>
          </w:p>
        </w:tc>
        <w:tc>
          <w:tcPr>
            <w:tcW w:w="14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Director</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2019</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rPr>
              <w:t>II</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2022</w:t>
            </w:r>
          </w:p>
        </w:tc>
        <w:tc>
          <w:tcPr>
            <w:tcW w:w="600" w:type="dxa"/>
            <w:vAlign w:val="bottom"/>
            <w:tcBorders>
              <w:bottom w:val="single" w:sz="8" w:color="143FDD"/>
              <w:right w:val="single" w:sz="8" w:color="143FDD"/>
            </w:tcBorders>
          </w:tcPr>
          <w:p>
            <w:pPr>
              <w:spacing w:after="0"/>
              <w:rPr>
                <w:sz w:val="7"/>
                <w:szCs w:val="7"/>
                <w:color w:val="auto"/>
              </w:rPr>
            </w:pPr>
          </w:p>
        </w:tc>
        <w:tc>
          <w:tcPr>
            <w:tcW w:w="6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Yes</w:t>
            </w:r>
          </w:p>
        </w:tc>
        <w:tc>
          <w:tcPr>
            <w:tcW w:w="300" w:type="dxa"/>
            <w:vAlign w:val="bottom"/>
            <w:tcBorders>
              <w:bottom w:val="single" w:sz="8" w:color="143FDD"/>
              <w:right w:val="single" w:sz="8" w:color="143FDD"/>
            </w:tcBorders>
          </w:tcPr>
          <w:p>
            <w:pPr>
              <w:spacing w:after="0"/>
              <w:rPr>
                <w:sz w:val="7"/>
                <w:szCs w:val="7"/>
                <w:color w:val="auto"/>
              </w:rPr>
            </w:pP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rPr>
              <w:t>X</w:t>
            </w:r>
          </w:p>
        </w:tc>
        <w:tc>
          <w:tcPr>
            <w:tcW w:w="300" w:type="dxa"/>
            <w:vAlign w:val="bottom"/>
            <w:tcBorders>
              <w:bottom w:val="single" w:sz="8" w:color="143FDD"/>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tcBorders>
              <w:bottom w:val="single" w:sz="8" w:color="143FDD"/>
              <w:right w:val="single" w:sz="8" w:color="143FDD"/>
            </w:tcBorders>
          </w:tcPr>
          <w:p>
            <w:pPr>
              <w:ind w:left="80"/>
              <w:spacing w:after="0" w:line="88" w:lineRule="exact"/>
              <w:rPr>
                <w:sz w:val="20"/>
                <w:szCs w:val="20"/>
                <w:color w:val="auto"/>
              </w:rPr>
            </w:pPr>
            <w:r>
              <w:rPr>
                <w:rFonts w:ascii="Arial" w:cs="Arial" w:eastAsia="Arial" w:hAnsi="Arial"/>
                <w:sz w:val="10"/>
                <w:szCs w:val="10"/>
                <w:color w:val="auto"/>
              </w:rPr>
              <w:t>Jean Franchi</w:t>
            </w:r>
          </w:p>
        </w:tc>
        <w:tc>
          <w:tcPr>
            <w:tcW w:w="2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54</w:t>
            </w:r>
          </w:p>
        </w:tc>
        <w:tc>
          <w:tcPr>
            <w:tcW w:w="14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Director</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2020</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5"/>
              </w:rPr>
              <w:t>III</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2023</w:t>
            </w:r>
          </w:p>
        </w:tc>
        <w:tc>
          <w:tcPr>
            <w:tcW w:w="6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Yes</w:t>
            </w:r>
          </w:p>
        </w:tc>
        <w:tc>
          <w:tcPr>
            <w:tcW w:w="3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1"/>
              </w:rPr>
              <w:t>Chair</w:t>
            </w:r>
          </w:p>
        </w:tc>
        <w:tc>
          <w:tcPr>
            <w:tcW w:w="320" w:type="dxa"/>
            <w:vAlign w:val="bottom"/>
            <w:tcBorders>
              <w:bottom w:val="single" w:sz="8" w:color="143FDD"/>
              <w:right w:val="single" w:sz="8" w:color="143FDD"/>
            </w:tcBorders>
          </w:tcPr>
          <w:p>
            <w:pPr>
              <w:spacing w:after="0"/>
              <w:rPr>
                <w:sz w:val="7"/>
                <w:szCs w:val="7"/>
                <w:color w:val="auto"/>
              </w:rPr>
            </w:pPr>
          </w:p>
        </w:tc>
        <w:tc>
          <w:tcPr>
            <w:tcW w:w="300" w:type="dxa"/>
            <w:vAlign w:val="bottom"/>
            <w:tcBorders>
              <w:bottom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X</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143FDD"/>
              <w:right w:val="single" w:sz="8" w:color="143FDD"/>
            </w:tcBorders>
          </w:tcPr>
          <w:p>
            <w:pPr>
              <w:ind w:left="80"/>
              <w:spacing w:after="0" w:line="88" w:lineRule="exact"/>
              <w:rPr>
                <w:sz w:val="20"/>
                <w:szCs w:val="20"/>
                <w:color w:val="auto"/>
              </w:rPr>
            </w:pPr>
            <w:r>
              <w:rPr>
                <w:rFonts w:ascii="Arial" w:cs="Arial" w:eastAsia="Arial" w:hAnsi="Arial"/>
                <w:sz w:val="10"/>
                <w:szCs w:val="10"/>
                <w:color w:val="auto"/>
              </w:rPr>
              <w:t>Hany Massarany</w:t>
            </w:r>
          </w:p>
        </w:tc>
        <w:tc>
          <w:tcPr>
            <w:tcW w:w="2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59</w:t>
            </w:r>
          </w:p>
        </w:tc>
        <w:tc>
          <w:tcPr>
            <w:tcW w:w="1460" w:type="dxa"/>
            <w:vAlign w:val="bottom"/>
            <w:tcBorders>
              <w:bottom w:val="single" w:sz="8" w:color="143FDD"/>
              <w:right w:val="single" w:sz="8" w:color="143FDD"/>
            </w:tcBorders>
          </w:tcPr>
          <w:p>
            <w:pPr>
              <w:ind w:left="60"/>
              <w:spacing w:after="0" w:line="88" w:lineRule="exact"/>
              <w:rPr>
                <w:sz w:val="20"/>
                <w:szCs w:val="20"/>
                <w:color w:val="auto"/>
              </w:rPr>
            </w:pPr>
            <w:r>
              <w:rPr>
                <w:rFonts w:ascii="Arial" w:cs="Arial" w:eastAsia="Arial" w:hAnsi="Arial"/>
                <w:sz w:val="10"/>
                <w:szCs w:val="10"/>
                <w:color w:val="auto"/>
              </w:rPr>
              <w:t>Director</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2020</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5"/>
              </w:rPr>
              <w:t>III</w:t>
            </w:r>
          </w:p>
        </w:tc>
        <w:tc>
          <w:tcPr>
            <w:tcW w:w="4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2023</w:t>
            </w:r>
          </w:p>
        </w:tc>
        <w:tc>
          <w:tcPr>
            <w:tcW w:w="6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99"/>
              </w:rPr>
              <w:t>—</w:t>
            </w:r>
          </w:p>
        </w:tc>
        <w:tc>
          <w:tcPr>
            <w:tcW w:w="66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0"/>
              </w:rPr>
              <w:t>Yes</w:t>
            </w:r>
          </w:p>
        </w:tc>
        <w:tc>
          <w:tcPr>
            <w:tcW w:w="30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9"/>
              </w:rPr>
              <w:t>X</w:t>
            </w:r>
          </w:p>
        </w:tc>
        <w:tc>
          <w:tcPr>
            <w:tcW w:w="320" w:type="dxa"/>
            <w:vAlign w:val="bottom"/>
            <w:tcBorders>
              <w:bottom w:val="single" w:sz="8" w:color="143FDD"/>
              <w:right w:val="single" w:sz="8" w:color="143FDD"/>
            </w:tcBorders>
          </w:tcPr>
          <w:p>
            <w:pPr>
              <w:jc w:val="center"/>
              <w:spacing w:after="0" w:line="88" w:lineRule="exact"/>
              <w:rPr>
                <w:sz w:val="20"/>
                <w:szCs w:val="20"/>
                <w:color w:val="auto"/>
              </w:rPr>
            </w:pPr>
            <w:r>
              <w:rPr>
                <w:rFonts w:ascii="Arial" w:cs="Arial" w:eastAsia="Arial" w:hAnsi="Arial"/>
                <w:sz w:val="10"/>
                <w:szCs w:val="10"/>
                <w:color w:val="auto"/>
                <w:w w:val="83"/>
              </w:rPr>
              <w:t>Chair</w:t>
            </w:r>
          </w:p>
        </w:tc>
        <w:tc>
          <w:tcPr>
            <w:tcW w:w="300" w:type="dxa"/>
            <w:vAlign w:val="bottom"/>
            <w:tcBorders>
              <w:bottom w:val="single" w:sz="8" w:color="143FDD"/>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0" w:type="dxa"/>
            <w:vAlign w:val="bottom"/>
            <w:tcBorders>
              <w:bottom w:val="single" w:sz="8" w:color="143FDD"/>
            </w:tcBorders>
          </w:tcPr>
          <w:p>
            <w:pPr>
              <w:ind w:left="80"/>
              <w:spacing w:after="0" w:line="68" w:lineRule="exact"/>
              <w:rPr>
                <w:sz w:val="20"/>
                <w:szCs w:val="20"/>
                <w:color w:val="auto"/>
              </w:rPr>
            </w:pPr>
            <w:r>
              <w:rPr>
                <w:rFonts w:ascii="Arial" w:cs="Arial" w:eastAsia="Arial" w:hAnsi="Arial"/>
                <w:sz w:val="7"/>
                <w:szCs w:val="7"/>
                <w:color w:val="auto"/>
              </w:rPr>
              <w:t>Jack Schuler</w:t>
            </w:r>
          </w:p>
        </w:tc>
        <w:tc>
          <w:tcPr>
            <w:tcW w:w="260" w:type="dxa"/>
            <w:vAlign w:val="bottom"/>
            <w:tcBorders>
              <w:bottom w:val="single" w:sz="8" w:color="143FDD"/>
            </w:tcBorders>
          </w:tcPr>
          <w:p>
            <w:pPr>
              <w:ind w:left="60"/>
              <w:spacing w:after="0" w:line="68" w:lineRule="exact"/>
              <w:rPr>
                <w:sz w:val="20"/>
                <w:szCs w:val="20"/>
                <w:color w:val="auto"/>
              </w:rPr>
            </w:pPr>
            <w:r>
              <w:rPr>
                <w:rFonts w:ascii="Arial" w:cs="Arial" w:eastAsia="Arial" w:hAnsi="Arial"/>
                <w:sz w:val="7"/>
                <w:szCs w:val="7"/>
                <w:color w:val="auto"/>
              </w:rPr>
              <w:t>80</w:t>
            </w:r>
          </w:p>
        </w:tc>
        <w:tc>
          <w:tcPr>
            <w:tcW w:w="1460" w:type="dxa"/>
            <w:vAlign w:val="bottom"/>
            <w:tcBorders>
              <w:bottom w:val="single" w:sz="8" w:color="143FDD"/>
            </w:tcBorders>
          </w:tcPr>
          <w:p>
            <w:pPr>
              <w:ind w:left="60"/>
              <w:spacing w:after="0" w:line="68" w:lineRule="exact"/>
              <w:rPr>
                <w:sz w:val="20"/>
                <w:szCs w:val="20"/>
                <w:color w:val="auto"/>
              </w:rPr>
            </w:pPr>
            <w:r>
              <w:rPr>
                <w:rFonts w:ascii="Arial" w:cs="Arial" w:eastAsia="Arial" w:hAnsi="Arial"/>
                <w:sz w:val="7"/>
                <w:szCs w:val="7"/>
                <w:color w:val="auto"/>
              </w:rPr>
              <w:t>Director</w:t>
            </w:r>
          </w:p>
        </w:tc>
        <w:tc>
          <w:tcPr>
            <w:tcW w:w="46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2008</w:t>
            </w:r>
          </w:p>
        </w:tc>
        <w:tc>
          <w:tcPr>
            <w:tcW w:w="32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III</w:t>
            </w:r>
          </w:p>
        </w:tc>
        <w:tc>
          <w:tcPr>
            <w:tcW w:w="46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2023</w:t>
            </w:r>
          </w:p>
        </w:tc>
        <w:tc>
          <w:tcPr>
            <w:tcW w:w="60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w:t>
            </w:r>
          </w:p>
        </w:tc>
        <w:tc>
          <w:tcPr>
            <w:tcW w:w="66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Yes</w:t>
            </w:r>
          </w:p>
        </w:tc>
        <w:tc>
          <w:tcPr>
            <w:tcW w:w="300" w:type="dxa"/>
            <w:vAlign w:val="bottom"/>
            <w:tcBorders>
              <w:bottom w:val="single" w:sz="8" w:color="143FDD"/>
            </w:tcBorders>
          </w:tcPr>
          <w:p>
            <w:pPr>
              <w:spacing w:after="0"/>
              <w:rPr>
                <w:sz w:val="5"/>
                <w:szCs w:val="5"/>
                <w:color w:val="auto"/>
              </w:rPr>
            </w:pPr>
          </w:p>
        </w:tc>
        <w:tc>
          <w:tcPr>
            <w:tcW w:w="320" w:type="dxa"/>
            <w:vAlign w:val="bottom"/>
            <w:tcBorders>
              <w:bottom w:val="single" w:sz="8" w:color="143FDD"/>
            </w:tcBorders>
          </w:tcPr>
          <w:p>
            <w:pPr>
              <w:spacing w:after="0"/>
              <w:rPr>
                <w:sz w:val="5"/>
                <w:szCs w:val="5"/>
                <w:color w:val="auto"/>
              </w:rPr>
            </w:pPr>
          </w:p>
        </w:tc>
        <w:tc>
          <w:tcPr>
            <w:tcW w:w="300" w:type="dxa"/>
            <w:vAlign w:val="bottom"/>
            <w:tcBorders>
              <w:bottom w:val="single" w:sz="8" w:color="143FDD"/>
            </w:tcBorders>
          </w:tcPr>
          <w:p>
            <w:pPr>
              <w:jc w:val="center"/>
              <w:spacing w:after="0" w:line="68" w:lineRule="exact"/>
              <w:rPr>
                <w:sz w:val="20"/>
                <w:szCs w:val="20"/>
                <w:color w:val="auto"/>
              </w:rPr>
            </w:pPr>
            <w:r>
              <w:rPr>
                <w:rFonts w:ascii="Arial" w:cs="Arial" w:eastAsia="Arial" w:hAnsi="Arial"/>
                <w:sz w:val="7"/>
                <w:szCs w:val="7"/>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-56515</wp:posOffset>
            </wp:positionV>
            <wp:extent cx="571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-45085</wp:posOffset>
            </wp:positionV>
            <wp:extent cx="571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-33655</wp:posOffset>
            </wp:positionV>
            <wp:extent cx="571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-22225</wp:posOffset>
            </wp:positionV>
            <wp:extent cx="571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5715635</wp:posOffset>
            </wp:positionH>
            <wp:positionV relativeFrom="paragraph">
              <wp:posOffset>-10795</wp:posOffset>
            </wp:positionV>
            <wp:extent cx="571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-56515</wp:posOffset>
            </wp:positionV>
            <wp:extent cx="571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-45085</wp:posOffset>
            </wp:positionV>
            <wp:extent cx="571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-33655</wp:posOffset>
            </wp:positionV>
            <wp:extent cx="571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-22225</wp:posOffset>
            </wp:positionV>
            <wp:extent cx="571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-10795</wp:posOffset>
            </wp:positionV>
            <wp:extent cx="571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-56515</wp:posOffset>
            </wp:positionV>
            <wp:extent cx="571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-45085</wp:posOffset>
            </wp:positionV>
            <wp:extent cx="571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-33655</wp:posOffset>
            </wp:positionV>
            <wp:extent cx="57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-22225</wp:posOffset>
            </wp:positionV>
            <wp:extent cx="571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-10795</wp:posOffset>
            </wp:positionV>
            <wp:extent cx="571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-56515</wp:posOffset>
            </wp:positionV>
            <wp:extent cx="571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-45085</wp:posOffset>
            </wp:positionV>
            <wp:extent cx="571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-33655</wp:posOffset>
            </wp:positionV>
            <wp:extent cx="571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-22225</wp:posOffset>
            </wp:positionV>
            <wp:extent cx="571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-10795</wp:posOffset>
            </wp:positionV>
            <wp:extent cx="571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-56515</wp:posOffset>
            </wp:positionV>
            <wp:extent cx="57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-45085</wp:posOffset>
            </wp:positionV>
            <wp:extent cx="571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-33655</wp:posOffset>
            </wp:positionV>
            <wp:extent cx="571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-22225</wp:posOffset>
            </wp:positionV>
            <wp:extent cx="571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-10795</wp:posOffset>
            </wp:positionV>
            <wp:extent cx="571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-56515</wp:posOffset>
            </wp:positionV>
            <wp:extent cx="5715"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-45085</wp:posOffset>
            </wp:positionV>
            <wp:extent cx="571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-33655</wp:posOffset>
            </wp:positionV>
            <wp:extent cx="571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-22225</wp:posOffset>
            </wp:positionV>
            <wp:extent cx="571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-10795</wp:posOffset>
            </wp:positionV>
            <wp:extent cx="571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-56515</wp:posOffset>
            </wp:positionV>
            <wp:extent cx="571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-45085</wp:posOffset>
            </wp:positionV>
            <wp:extent cx="571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-33655</wp:posOffset>
            </wp:positionV>
            <wp:extent cx="571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-22225</wp:posOffset>
            </wp:positionV>
            <wp:extent cx="571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-10795</wp:posOffset>
            </wp:positionV>
            <wp:extent cx="571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-56515</wp:posOffset>
            </wp:positionV>
            <wp:extent cx="571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-45085</wp:posOffset>
            </wp:positionV>
            <wp:extent cx="571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-33655</wp:posOffset>
            </wp:positionV>
            <wp:extent cx="5715"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-22225</wp:posOffset>
            </wp:positionV>
            <wp:extent cx="571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-10795</wp:posOffset>
            </wp:positionV>
            <wp:extent cx="5715"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-56515</wp:posOffset>
            </wp:positionV>
            <wp:extent cx="571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-45085</wp:posOffset>
            </wp:positionV>
            <wp:extent cx="571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-33655</wp:posOffset>
            </wp:positionV>
            <wp:extent cx="571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-22225</wp:posOffset>
            </wp:positionV>
            <wp:extent cx="571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-10795</wp:posOffset>
            </wp:positionV>
            <wp:extent cx="571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-56515</wp:posOffset>
            </wp:positionV>
            <wp:extent cx="571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-45085</wp:posOffset>
            </wp:positionV>
            <wp:extent cx="571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-33655</wp:posOffset>
            </wp:positionV>
            <wp:extent cx="571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-22225</wp:posOffset>
            </wp:positionV>
            <wp:extent cx="571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-10795</wp:posOffset>
            </wp:positionV>
            <wp:extent cx="5715"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spacing w:after="0" w:line="110" w:lineRule="exact"/>
        <w:rPr>
          <w:sz w:val="20"/>
          <w:szCs w:val="20"/>
          <w:color w:val="auto"/>
        </w:rPr>
      </w:pPr>
    </w:p>
    <w:p>
      <w:pPr>
        <w:ind w:left="2340" w:hanging="74"/>
        <w:spacing w:after="0"/>
        <w:tabs>
          <w:tab w:leader="none" w:pos="2340" w:val="left"/>
        </w:tabs>
        <w:numPr>
          <w:ilvl w:val="0"/>
          <w:numId w:val="1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AC </w:t>
      </w:r>
      <w:r>
        <w:rPr>
          <w:rFonts w:ascii="Arial" w:cs="Arial" w:eastAsia="Arial" w:hAnsi="Arial"/>
          <w:sz w:val="10"/>
          <w:szCs w:val="10"/>
          <w:color w:val="auto"/>
        </w:rPr>
        <w:t>- Audit Committee;</w:t>
      </w:r>
      <w:r>
        <w:rPr>
          <w:rFonts w:ascii="Arial" w:cs="Arial" w:eastAsia="Arial" w:hAnsi="Arial"/>
          <w:sz w:val="10"/>
          <w:szCs w:val="10"/>
          <w:b w:val="1"/>
          <w:bCs w:val="1"/>
          <w:color w:val="auto"/>
        </w:rPr>
        <w:t xml:space="preserve"> CC </w:t>
      </w:r>
      <w:r>
        <w:rPr>
          <w:rFonts w:ascii="Arial" w:cs="Arial" w:eastAsia="Arial" w:hAnsi="Arial"/>
          <w:sz w:val="10"/>
          <w:szCs w:val="10"/>
          <w:color w:val="auto"/>
        </w:rPr>
        <w:t>- Compensation Committee;</w:t>
      </w:r>
      <w:r>
        <w:rPr>
          <w:rFonts w:ascii="Arial" w:cs="Arial" w:eastAsia="Arial" w:hAnsi="Arial"/>
          <w:sz w:val="10"/>
          <w:szCs w:val="10"/>
          <w:b w:val="1"/>
          <w:bCs w:val="1"/>
          <w:color w:val="auto"/>
        </w:rPr>
        <w:t xml:space="preserve"> NCG </w:t>
      </w:r>
      <w:r>
        <w:rPr>
          <w:rFonts w:ascii="Arial" w:cs="Arial" w:eastAsia="Arial" w:hAnsi="Arial"/>
          <w:sz w:val="10"/>
          <w:szCs w:val="10"/>
          <w:color w:val="auto"/>
        </w:rPr>
        <w:t>- Nominating and Corporate Governance Committee</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Director Nominees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143FDD"/>
        </w:rPr>
        <w:t>Class I Directors – Nominees for Election at the Annual Meeting</w:t>
      </w:r>
    </w:p>
    <w:p>
      <w:pPr>
        <w:spacing w:after="0" w:line="22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b w:val="1"/>
          <w:bCs w:val="1"/>
          <w:i w:val="1"/>
          <w:iCs w:val="1"/>
          <w:color w:val="auto"/>
        </w:rPr>
        <w:t xml:space="preserve">Scott Hutton </w:t>
      </w:r>
      <w:r>
        <w:rPr>
          <w:rFonts w:ascii="Arial" w:cs="Arial" w:eastAsia="Arial" w:hAnsi="Arial"/>
          <w:sz w:val="11"/>
          <w:szCs w:val="11"/>
          <w:color w:val="auto"/>
        </w:rPr>
        <w:t>has served as our President, Chief Executive Officer and Director since January 2020, and previously held the role of Chief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 xml:space="preserve">Operating Officer from March 2018 to December 2019. Additionally, Mr. Hutton has served on the board of directors of Eximis Surgical, Inc. since February 2018 and was on the Board of the Colorado BioScience Association from April 2011 to April 2013. Mr. Hutton was an Observer on the board of directors of Aqueduct Critical Care from September 2014 to January 2017, and an Observer on the Board of Visualase, Inc. from October 2012 to July 2014.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Bachelor of Arts degree from the College of Health and Human Sciences, Department of Health and Kinesiology at Purdue University. In March 2021, Mr. Hutton was named a Significant Sig by Sigma Chi International Fraternity. In February 2021, Mr. Hutton was named a Top 25 Biotech CEO of 2021 by the Healthcare Technology Report. In January 2021, Mr. Hutton was named 2020 CEO of the Year-USA by CEO Monthly Magazine. In July 2011, Mr. Hutton received the </w:t>
      </w:r>
      <w:r>
        <w:rPr>
          <w:rFonts w:ascii="Arial" w:cs="Arial" w:eastAsia="Arial" w:hAnsi="Arial"/>
          <w:sz w:val="11"/>
          <w:szCs w:val="11"/>
          <w:i w:val="1"/>
          <w:iCs w:val="1"/>
          <w:color w:val="auto"/>
        </w:rPr>
        <w:t>Medtronic Wallin Leadership Award</w:t>
      </w:r>
      <w:r>
        <w:rPr>
          <w:rFonts w:ascii="Arial" w:cs="Arial" w:eastAsia="Arial" w:hAnsi="Arial"/>
          <w:sz w:val="11"/>
          <w:szCs w:val="11"/>
          <w:color w:val="auto"/>
        </w:rPr>
        <w:t xml:space="preserve"> for his focus on talent development, business performance, and his personal and intentional demonstration of leadership.</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8</w:t>
            </w:r>
          </w:p>
        </w:tc>
      </w:tr>
    </w:tbl>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43" w:lineRule="exact"/>
        <w:rPr>
          <w:sz w:val="20"/>
          <w:szCs w:val="20"/>
          <w:color w:val="auto"/>
        </w:rPr>
      </w:pPr>
    </w:p>
    <w:p>
      <w:pPr>
        <w:ind w:left="1980" w:right="939" w:firstLine="294"/>
        <w:spacing w:after="0" w:line="279" w:lineRule="auto"/>
        <w:rPr>
          <w:sz w:val="20"/>
          <w:szCs w:val="20"/>
          <w:color w:val="auto"/>
        </w:rPr>
      </w:pPr>
      <w:r>
        <w:rPr>
          <w:rFonts w:ascii="Arial" w:cs="Arial" w:eastAsia="Arial" w:hAnsi="Arial"/>
          <w:sz w:val="11"/>
          <w:szCs w:val="11"/>
          <w:b w:val="1"/>
          <w:bCs w:val="1"/>
          <w:i w:val="1"/>
          <w:iCs w:val="1"/>
          <w:color w:val="auto"/>
        </w:rPr>
        <w:t xml:space="preserve">John Patience </w:t>
      </w:r>
      <w:r>
        <w:rPr>
          <w:rFonts w:ascii="Arial" w:cs="Arial" w:eastAsia="Arial" w:hAnsi="Arial"/>
          <w:sz w:val="11"/>
          <w:szCs w:val="11"/>
          <w:color w:val="auto"/>
        </w:rPr>
        <w:t>has served as a Director of the Company since June 2008 and as Chairman of the Board since September 2020. Mr. Patience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currently serves as both a Director and Chairman of the board of Accelerate Diagnostics, Inc. (“Accelerate Diagnostics”) (NASDAQ: AXDX) and has served in that capacity since joining the Accelerate Diagnostics’ board in 2012. Mr. Patience served as a director of Ventana Medical Systems, Inc. (“Ventana”), from 1989 and as Vice Chairman from 1999 until Ventana’s acquisition by Roche in 2008. Mr. Patience also served as a director of Stericycle, Inc. (NASDAQ: SRCL) since its founding in 1989 to June 2018. Mr. Patience is a founding partner of Crabtree Partners, a private equity investment partnership in Lake Forest, Illinois. He was also previously a partner of a venture capital investment firm that provided both Ventana and Stericycle, Inc. with early-stage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17"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2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Continuing Directors</w:t>
      </w:r>
    </w:p>
    <w:p>
      <w:pPr>
        <w:spacing w:after="0" w:line="29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143FDD"/>
        </w:rPr>
        <w:t>Class II Directors – Term Expiring at the 2022 Annual Meeting</w:t>
      </w:r>
    </w:p>
    <w:p>
      <w:pPr>
        <w:spacing w:after="0" w:line="29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Matthew Strobeck, Ph.D</w:t>
      </w:r>
      <w:r>
        <w:rPr>
          <w:rFonts w:ascii="Arial" w:cs="Arial" w:eastAsia="Arial" w:hAnsi="Arial"/>
          <w:sz w:val="12"/>
          <w:szCs w:val="12"/>
          <w:color w:val="auto"/>
        </w:rPr>
        <w:t>. has served as a Director of the Company since January 2012. Dr. Strobeck is currently the Managing Partner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Birchview Capital LP, an investment management company.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28" w:lineRule="exact"/>
        <w:rPr>
          <w:sz w:val="20"/>
          <w:szCs w:val="20"/>
          <w:color w:val="auto"/>
        </w:rPr>
      </w:pPr>
    </w:p>
    <w:p>
      <w:pPr>
        <w:ind w:left="1980" w:right="1159" w:firstLine="294"/>
        <w:spacing w:after="0" w:line="323" w:lineRule="auto"/>
        <w:rPr>
          <w:sz w:val="20"/>
          <w:szCs w:val="20"/>
          <w:color w:val="auto"/>
        </w:rPr>
      </w:pPr>
      <w:r>
        <w:rPr>
          <w:rFonts w:ascii="Arial" w:cs="Arial" w:eastAsia="Arial" w:hAnsi="Arial"/>
          <w:sz w:val="11"/>
          <w:szCs w:val="11"/>
          <w:color w:val="auto"/>
        </w:rPr>
        <w:t>We believe that Mr.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92" w:lineRule="exact"/>
        <w:rPr>
          <w:sz w:val="20"/>
          <w:szCs w:val="20"/>
          <w:color w:val="auto"/>
        </w:rPr>
      </w:pPr>
    </w:p>
    <w:p>
      <w:pPr>
        <w:ind w:left="1980" w:right="839" w:firstLine="514"/>
        <w:spacing w:after="0" w:line="280" w:lineRule="auto"/>
        <w:rPr>
          <w:sz w:val="20"/>
          <w:szCs w:val="20"/>
          <w:color w:val="auto"/>
        </w:rPr>
      </w:pPr>
      <w:r>
        <w:rPr>
          <w:rFonts w:ascii="Arial" w:cs="Arial" w:eastAsia="Arial" w:hAnsi="Arial"/>
          <w:sz w:val="11"/>
          <w:szCs w:val="11"/>
          <w:b w:val="1"/>
          <w:bCs w:val="1"/>
          <w:i w:val="1"/>
          <w:iCs w:val="1"/>
          <w:color w:val="auto"/>
        </w:rPr>
        <w:t>Charles Watts, M.D</w:t>
      </w:r>
      <w:r>
        <w:rPr>
          <w:rFonts w:ascii="Arial" w:cs="Arial" w:eastAsia="Arial" w:hAnsi="Arial"/>
          <w:sz w:val="11"/>
          <w:szCs w:val="11"/>
          <w:color w:val="auto"/>
        </w:rPr>
        <w:t>. has served as a Director of the Company since July 2019. Until his retirement, Dr. Watts served as Chief Medical Officer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at Northwestern Memorial Hospital and Associate Dean for Clinical Affairs at the Feinberg School of Medicine, Northwestern University from 2001 to 2011. Prior to his tenure at Northwestern, Dr. Watts served as Chief of Clinical Affairs and Associate Dean at the University of Michigan Medical Center. He also previously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71"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143FDD"/>
              </w:rPr>
              <w:t>9</w:t>
            </w:r>
          </w:p>
        </w:tc>
      </w:tr>
    </w:tbl>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believe that Mr. Watts is qualified to serve on our board of directors because of his experience in leadership and management roles in the field of medicine, as well as his experience as a board member in the healthcare industry.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143FDD"/>
        </w:rPr>
        <w:t>Class III Directors – Term Expiring at the 2023 Annual Meeting</w:t>
      </w:r>
    </w:p>
    <w:p>
      <w:pPr>
        <w:spacing w:after="0" w:line="22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b w:val="1"/>
          <w:bCs w:val="1"/>
          <w:i w:val="1"/>
          <w:iCs w:val="1"/>
          <w:color w:val="auto"/>
        </w:rPr>
        <w:t xml:space="preserve">Jean M. Franchi </w:t>
      </w:r>
      <w:r>
        <w:rPr>
          <w:rFonts w:ascii="Arial" w:cs="Arial" w:eastAsia="Arial" w:hAnsi="Arial"/>
          <w:sz w:val="11"/>
          <w:szCs w:val="11"/>
          <w:color w:val="auto"/>
        </w:rPr>
        <w:t>has served as a Director of the Company since April 2020. Ms. Franchi is currently Chief Financial Officer at the Replimune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Group, a biotechnology company developing oncolytic immuno-gene therapies. Prior to the Replimune Group,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S.A., Visioneering Technologies, Inc. and Dynacure. Ms. Franchi received her B.A. in Accounting from Hofstra University.</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115"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b w:val="1"/>
          <w:bCs w:val="1"/>
          <w:i w:val="1"/>
          <w:iCs w:val="1"/>
          <w:color w:val="auto"/>
        </w:rPr>
        <w:t xml:space="preserve">Hany Massarany </w:t>
      </w:r>
      <w:r>
        <w:rPr>
          <w:rFonts w:ascii="Arial" w:cs="Arial" w:eastAsia="Arial" w:hAnsi="Arial"/>
          <w:sz w:val="11"/>
          <w:szCs w:val="11"/>
          <w:color w:val="auto"/>
        </w:rPr>
        <w:t>has served as a Director of the Company since July 2020. Mr. Massarany was President and Chief Executive Officer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GenMark Diagnostics, Inc. (NASDAQ: GNMK),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17"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Mr. Massarany is qualified to serve on our board of directors because of his experience in leadership and management roles, and experience as a board member, in the healthcare industry.</w:t>
      </w:r>
    </w:p>
    <w:p>
      <w:pPr>
        <w:spacing w:after="0" w:line="115"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b w:val="1"/>
          <w:bCs w:val="1"/>
          <w:i w:val="1"/>
          <w:iCs w:val="1"/>
          <w:color w:val="auto"/>
        </w:rPr>
        <w:t xml:space="preserve">Jack Schuler </w:t>
      </w:r>
      <w:r>
        <w:rPr>
          <w:rFonts w:ascii="Arial" w:cs="Arial" w:eastAsia="Arial" w:hAnsi="Arial"/>
          <w:sz w:val="11"/>
          <w:szCs w:val="11"/>
          <w:color w:val="auto"/>
        </w:rPr>
        <w:t>has served as a Director of the Company since June 2008. Mr. Schuler served as a director of Ventana from 1991 and as Chairman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plc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15"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4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10</w:t>
            </w:r>
          </w:p>
        </w:tc>
      </w:tr>
    </w:tbl>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Board Composition</w:t>
      </w:r>
    </w:p>
    <w:p>
      <w:pPr>
        <w:spacing w:after="0" w:line="220" w:lineRule="exact"/>
        <w:rPr>
          <w:sz w:val="20"/>
          <w:szCs w:val="20"/>
          <w:color w:val="auto"/>
        </w:rPr>
      </w:pPr>
    </w:p>
    <w:p>
      <w:pPr>
        <w:jc w:val="both"/>
        <w:ind w:left="1980" w:right="979" w:firstLine="514"/>
        <w:spacing w:after="0" w:line="340" w:lineRule="auto"/>
        <w:rPr>
          <w:sz w:val="20"/>
          <w:szCs w:val="20"/>
          <w:color w:val="auto"/>
        </w:rPr>
      </w:pPr>
      <w:r>
        <w:rPr>
          <w:rFonts w:ascii="Arial" w:cs="Arial" w:eastAsia="Arial" w:hAnsi="Arial"/>
          <w:sz w:val="10"/>
          <w:szCs w:val="10"/>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105" w:lineRule="exact"/>
        <w:rPr>
          <w:sz w:val="20"/>
          <w:szCs w:val="20"/>
          <w:color w:val="auto"/>
        </w:rPr>
      </w:pPr>
    </w:p>
    <w:p>
      <w:pPr>
        <w:ind w:left="2700" w:hanging="215"/>
        <w:spacing w:after="0"/>
        <w:tabs>
          <w:tab w:leader="none" w:pos="27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Class I directors are John Patience and Scott Hutton, and their terms expire at the Annual Meeting;</w:t>
      </w:r>
    </w:p>
    <w:p>
      <w:pPr>
        <w:spacing w:after="0" w:line="168" w:lineRule="exact"/>
        <w:rPr>
          <w:rFonts w:ascii="Arial" w:cs="Arial" w:eastAsia="Arial" w:hAnsi="Arial"/>
          <w:sz w:val="12"/>
          <w:szCs w:val="12"/>
          <w:color w:val="auto"/>
        </w:rPr>
      </w:pPr>
    </w:p>
    <w:p>
      <w:pPr>
        <w:ind w:left="2700" w:right="1019" w:hanging="215"/>
        <w:spacing w:after="0" w:line="276" w:lineRule="auto"/>
        <w:tabs>
          <w:tab w:leader="none" w:pos="27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Class II directors are Matthew Strobeck and Charles Watts, and their terms will expire at the 2022 annual meeting of stockholders; and</w:t>
      </w:r>
    </w:p>
    <w:p>
      <w:pPr>
        <w:spacing w:after="0" w:line="132" w:lineRule="exact"/>
        <w:rPr>
          <w:rFonts w:ascii="Arial" w:cs="Arial" w:eastAsia="Arial" w:hAnsi="Arial"/>
          <w:sz w:val="12"/>
          <w:szCs w:val="12"/>
          <w:color w:val="auto"/>
        </w:rPr>
      </w:pPr>
    </w:p>
    <w:p>
      <w:pPr>
        <w:ind w:left="2700" w:right="939" w:hanging="215"/>
        <w:spacing w:after="0" w:line="276" w:lineRule="auto"/>
        <w:tabs>
          <w:tab w:leader="none" w:pos="27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Class III directors will be Jean Franchi, Hany Massarany and Jack Schuler, and their terms will expire at the 2023 annual meeting of stockholders.</w:t>
      </w:r>
    </w:p>
    <w:p>
      <w:pPr>
        <w:spacing w:after="0" w:line="187" w:lineRule="exact"/>
        <w:rPr>
          <w:sz w:val="20"/>
          <w:szCs w:val="20"/>
          <w:color w:val="auto"/>
        </w:rPr>
      </w:pPr>
    </w:p>
    <w:p>
      <w:pPr>
        <w:ind w:left="1980" w:right="879" w:firstLine="514"/>
        <w:spacing w:after="0" w:line="289" w:lineRule="auto"/>
        <w:rPr>
          <w:sz w:val="20"/>
          <w:szCs w:val="20"/>
          <w:color w:val="auto"/>
        </w:rPr>
      </w:pPr>
      <w:r>
        <w:rPr>
          <w:rFonts w:ascii="Arial" w:cs="Arial" w:eastAsia="Arial" w:hAnsi="Arial"/>
          <w:sz w:val="11"/>
          <w:szCs w:val="11"/>
          <w:color w:val="auto"/>
        </w:rPr>
        <w:t>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Director Independence</w:t>
      </w:r>
    </w:p>
    <w:p>
      <w:pPr>
        <w:spacing w:after="0" w:line="148" w:lineRule="exact"/>
        <w:rPr>
          <w:sz w:val="20"/>
          <w:szCs w:val="20"/>
          <w:color w:val="auto"/>
        </w:rPr>
      </w:pPr>
    </w:p>
    <w:p>
      <w:pPr>
        <w:ind w:left="1980" w:right="859" w:firstLine="514"/>
        <w:spacing w:after="0" w:line="276" w:lineRule="auto"/>
        <w:rPr>
          <w:sz w:val="20"/>
          <w:szCs w:val="20"/>
          <w:color w:val="auto"/>
        </w:rPr>
      </w:pPr>
      <w:r>
        <w:rPr>
          <w:rFonts w:ascii="Arial" w:cs="Arial" w:eastAsia="Arial" w:hAnsi="Arial"/>
          <w:sz w:val="12"/>
          <w:szCs w:val="12"/>
          <w:color w:val="auto"/>
        </w:rPr>
        <w:t>Under the listing requirements and rules of Nasdaq Stock Market (“Nasdaq”), independent directors must comprise a majority of our board of directors as a listed company within one year of the closing of our initial public offering.</w:t>
      </w:r>
    </w:p>
    <w:p>
      <w:pPr>
        <w:spacing w:after="0" w:line="115" w:lineRule="exact"/>
        <w:rPr>
          <w:sz w:val="20"/>
          <w:szCs w:val="20"/>
          <w:color w:val="auto"/>
        </w:rPr>
      </w:pPr>
    </w:p>
    <w:p>
      <w:pPr>
        <w:ind w:left="1980" w:right="859" w:firstLine="514"/>
        <w:spacing w:after="0" w:line="254"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Board Leadership Structure</w:t>
      </w:r>
    </w:p>
    <w:p>
      <w:pPr>
        <w:spacing w:after="0" w:line="148" w:lineRule="exact"/>
        <w:rPr>
          <w:sz w:val="20"/>
          <w:szCs w:val="20"/>
          <w:color w:val="auto"/>
        </w:rPr>
      </w:pPr>
    </w:p>
    <w:p>
      <w:pPr>
        <w:ind w:left="1980" w:right="879" w:firstLine="514"/>
        <w:spacing w:after="0" w:line="320" w:lineRule="auto"/>
        <w:rPr>
          <w:sz w:val="20"/>
          <w:szCs w:val="20"/>
          <w:color w:val="auto"/>
        </w:rPr>
      </w:pPr>
      <w:r>
        <w:rPr>
          <w:rFonts w:ascii="Arial" w:cs="Arial" w:eastAsia="Arial" w:hAnsi="Arial"/>
          <w:sz w:val="10"/>
          <w:szCs w:val="10"/>
          <w:color w:val="auto"/>
        </w:rPr>
        <w:t>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w:t>
      </w:r>
    </w:p>
    <w:p>
      <w:pPr>
        <w:spacing w:after="0" w:line="52"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11</w:t>
            </w:r>
          </w:p>
        </w:tc>
      </w:tr>
    </w:tbl>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Role of our Board of Directors in Risk Oversight</w:t>
      </w:r>
    </w:p>
    <w:p>
      <w:pPr>
        <w:spacing w:after="0" w:line="148" w:lineRule="exact"/>
        <w:rPr>
          <w:sz w:val="20"/>
          <w:szCs w:val="20"/>
          <w:color w:val="auto"/>
        </w:rPr>
      </w:pPr>
    </w:p>
    <w:p>
      <w:pPr>
        <w:ind w:left="1980" w:right="879" w:firstLine="514"/>
        <w:spacing w:after="0" w:line="280" w:lineRule="auto"/>
        <w:rPr>
          <w:sz w:val="20"/>
          <w:szCs w:val="20"/>
          <w:color w:val="auto"/>
        </w:rPr>
      </w:pPr>
      <w:r>
        <w:rPr>
          <w:rFonts w:ascii="Arial" w:cs="Arial" w:eastAsia="Arial" w:hAnsi="Arial"/>
          <w:sz w:val="11"/>
          <w:szCs w:val="11"/>
          <w:color w:val="auto"/>
        </w:rPr>
        <w:t>Our board of directors is responsible for overseeing the overall risk management process at Biodesix. The day-to-day responsibility for managing risks and exposures resides with our executive management team while our board of director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w:t>
      </w:r>
    </w:p>
    <w:p>
      <w:pPr>
        <w:spacing w:after="0" w:line="133" w:lineRule="exact"/>
        <w:rPr>
          <w:sz w:val="20"/>
          <w:szCs w:val="20"/>
          <w:color w:val="auto"/>
        </w:rPr>
      </w:pPr>
    </w:p>
    <w:p>
      <w:pPr>
        <w:ind w:left="2700" w:right="879" w:hanging="215"/>
        <w:spacing w:after="0" w:line="259" w:lineRule="auto"/>
        <w:tabs>
          <w:tab w:leader="none" w:pos="2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w:t>
      </w:r>
    </w:p>
    <w:p>
      <w:pPr>
        <w:spacing w:after="0" w:line="142" w:lineRule="exact"/>
        <w:rPr>
          <w:rFonts w:ascii="Arial" w:cs="Arial" w:eastAsia="Arial" w:hAnsi="Arial"/>
          <w:sz w:val="12"/>
          <w:szCs w:val="12"/>
          <w:color w:val="auto"/>
        </w:rPr>
      </w:pPr>
    </w:p>
    <w:p>
      <w:pPr>
        <w:ind w:left="2700" w:right="959" w:hanging="215"/>
        <w:spacing w:after="0" w:line="259" w:lineRule="auto"/>
        <w:tabs>
          <w:tab w:leader="none" w:pos="2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other policies such as our code of conduct and overseeing our environmental and sustainability efforts and progress.</w:t>
      </w:r>
    </w:p>
    <w:p>
      <w:pPr>
        <w:spacing w:after="0" w:line="142" w:lineRule="exact"/>
        <w:rPr>
          <w:rFonts w:ascii="Arial" w:cs="Arial" w:eastAsia="Arial" w:hAnsi="Arial"/>
          <w:sz w:val="12"/>
          <w:szCs w:val="12"/>
          <w:color w:val="auto"/>
        </w:rPr>
      </w:pPr>
    </w:p>
    <w:p>
      <w:pPr>
        <w:ind w:left="2700" w:right="859" w:hanging="215"/>
        <w:spacing w:after="0" w:line="276" w:lineRule="auto"/>
        <w:tabs>
          <w:tab w:leader="none" w:pos="27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compensation committee regularly assesses risks arising from our compensation plans, policies and programs, including whether any such plans encourage excessive or inappropriate risk-taking.</w:t>
      </w:r>
    </w:p>
    <w:p>
      <w:pPr>
        <w:spacing w:after="0" w:line="115" w:lineRule="exact"/>
        <w:rPr>
          <w:sz w:val="20"/>
          <w:szCs w:val="20"/>
          <w:color w:val="auto"/>
        </w:rPr>
      </w:pPr>
    </w:p>
    <w:p>
      <w:pPr>
        <w:ind w:left="1980" w:right="999" w:firstLine="514"/>
        <w:spacing w:after="0" w:line="276" w:lineRule="auto"/>
        <w:rPr>
          <w:sz w:val="20"/>
          <w:szCs w:val="20"/>
          <w:color w:val="auto"/>
        </w:rPr>
      </w:pPr>
      <w:r>
        <w:rPr>
          <w:rFonts w:ascii="Arial" w:cs="Arial" w:eastAsia="Arial" w:hAnsi="Arial"/>
          <w:sz w:val="12"/>
          <w:szCs w:val="12"/>
          <w:color w:val="auto"/>
        </w:rPr>
        <w:t>While each committee is responsible for evaluating certain risks and overseeing the management of such risks, the full board of directors is regularly informed through committee reports about such risks.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Meetings of our Board of Directors</w:t>
      </w:r>
    </w:p>
    <w:p>
      <w:pPr>
        <w:spacing w:after="0" w:line="148" w:lineRule="exact"/>
        <w:rPr>
          <w:sz w:val="20"/>
          <w:szCs w:val="20"/>
          <w:color w:val="auto"/>
        </w:rPr>
      </w:pPr>
    </w:p>
    <w:p>
      <w:pPr>
        <w:ind w:left="1980" w:right="859" w:firstLine="514"/>
        <w:spacing w:after="0" w:line="263" w:lineRule="auto"/>
        <w:rPr>
          <w:sz w:val="20"/>
          <w:szCs w:val="20"/>
          <w:color w:val="auto"/>
        </w:rPr>
      </w:pPr>
      <w:r>
        <w:rPr>
          <w:rFonts w:ascii="Arial" w:cs="Arial" w:eastAsia="Arial" w:hAnsi="Arial"/>
          <w:sz w:val="12"/>
          <w:szCs w:val="12"/>
          <w:color w:val="auto"/>
        </w:rPr>
        <w:t>Our board of directors held fifteen (15) meetings during 2020. Each incumbent director attended at least 75% of the aggregate total number of meetings of the board of directors and the committees on which he or she served, held during the portion of 2020 for which he or she was a director or committee member. We encourage our directors to attend our annual meetings of stockholders.</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Committees of our Board of Directors</w:t>
      </w:r>
    </w:p>
    <w:p>
      <w:pPr>
        <w:spacing w:after="0" w:line="148" w:lineRule="exact"/>
        <w:rPr>
          <w:sz w:val="20"/>
          <w:szCs w:val="20"/>
          <w:color w:val="auto"/>
        </w:rPr>
      </w:pPr>
    </w:p>
    <w:p>
      <w:pPr>
        <w:ind w:left="1980" w:right="859" w:firstLine="514"/>
        <w:spacing w:after="0" w:line="320" w:lineRule="auto"/>
        <w:rPr>
          <w:sz w:val="20"/>
          <w:szCs w:val="20"/>
          <w:color w:val="auto"/>
        </w:rPr>
      </w:pPr>
      <w:r>
        <w:rPr>
          <w:rFonts w:ascii="Arial" w:cs="Arial" w:eastAsia="Arial" w:hAnsi="Arial"/>
          <w:sz w:val="10"/>
          <w:szCs w:val="10"/>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 Highlights.” Reference to our website does not constitute incorporation by reference of the information contained at or accessible through our website into this proxy statement.</w:t>
      </w:r>
    </w:p>
    <w:p>
      <w:pPr>
        <w:spacing w:after="0" w:line="52"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12</w:t>
            </w:r>
          </w:p>
        </w:tc>
      </w:tr>
    </w:tbl>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Committee Composition and Meetings</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The following table provides current membership and 2020 meeting information for each committee of our board of directors: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06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Name:</w:t>
            </w: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gridSpan w:val="2"/>
          </w:tcPr>
          <w:p>
            <w:pPr>
              <w:jc w:val="center"/>
              <w:ind w:right="880"/>
              <w:spacing w:after="0"/>
              <w:rPr>
                <w:sz w:val="20"/>
                <w:szCs w:val="20"/>
                <w:color w:val="auto"/>
              </w:rPr>
            </w:pPr>
            <w:r>
              <w:rPr>
                <w:rFonts w:ascii="Arial" w:cs="Arial" w:eastAsia="Arial" w:hAnsi="Arial"/>
                <w:sz w:val="10"/>
                <w:szCs w:val="10"/>
                <w:b w:val="1"/>
                <w:bCs w:val="1"/>
                <w:color w:val="auto"/>
                <w:w w:val="86"/>
              </w:rPr>
              <w:t>Compensation</w:t>
            </w: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87"/>
              </w:rPr>
              <w:t>Nominating and Corporate</w:t>
            </w:r>
          </w:p>
        </w:tc>
        <w:tc>
          <w:tcPr>
            <w:tcW w:w="0" w:type="dxa"/>
            <w:vAlign w:val="bottom"/>
          </w:tcPr>
          <w:p>
            <w:pPr>
              <w:spacing w:after="0"/>
              <w:rPr>
                <w:sz w:val="1"/>
                <w:szCs w:val="1"/>
                <w:color w:val="auto"/>
              </w:rPr>
            </w:pPr>
          </w:p>
        </w:tc>
      </w:tr>
      <w:tr>
        <w:trPr>
          <w:trHeight w:val="113"/>
        </w:trPr>
        <w:tc>
          <w:tcPr>
            <w:tcW w:w="3060" w:type="dxa"/>
            <w:vAlign w:val="bottom"/>
            <w:gridSpan w:val="3"/>
            <w:vMerge w:val="continue"/>
          </w:tcPr>
          <w:p>
            <w:pPr>
              <w:spacing w:after="0"/>
              <w:rPr>
                <w:sz w:val="9"/>
                <w:szCs w:val="9"/>
                <w:color w:val="auto"/>
              </w:rPr>
            </w:pPr>
          </w:p>
        </w:tc>
        <w:tc>
          <w:tcPr>
            <w:tcW w:w="1620" w:type="dxa"/>
            <w:vAlign w:val="bottom"/>
            <w:gridSpan w:val="2"/>
          </w:tcPr>
          <w:p>
            <w:pPr>
              <w:jc w:val="center"/>
              <w:ind w:right="880"/>
              <w:spacing w:after="0" w:line="114" w:lineRule="exact"/>
              <w:rPr>
                <w:sz w:val="20"/>
                <w:szCs w:val="20"/>
                <w:color w:val="auto"/>
              </w:rPr>
            </w:pPr>
            <w:r>
              <w:rPr>
                <w:rFonts w:ascii="Arial" w:cs="Arial" w:eastAsia="Arial" w:hAnsi="Arial"/>
                <w:sz w:val="10"/>
                <w:szCs w:val="10"/>
                <w:b w:val="1"/>
                <w:bCs w:val="1"/>
                <w:color w:val="auto"/>
                <w:w w:val="87"/>
              </w:rPr>
              <w:t>Audit Committee</w:t>
            </w:r>
          </w:p>
        </w:tc>
        <w:tc>
          <w:tcPr>
            <w:tcW w:w="1480" w:type="dxa"/>
            <w:vAlign w:val="bottom"/>
            <w:gridSpan w:val="2"/>
          </w:tcPr>
          <w:p>
            <w:pPr>
              <w:jc w:val="center"/>
              <w:ind w:right="880"/>
              <w:spacing w:after="0" w:line="114" w:lineRule="exact"/>
              <w:rPr>
                <w:sz w:val="20"/>
                <w:szCs w:val="20"/>
                <w:color w:val="auto"/>
              </w:rPr>
            </w:pPr>
            <w:r>
              <w:rPr>
                <w:rFonts w:ascii="Arial" w:cs="Arial" w:eastAsia="Arial" w:hAnsi="Arial"/>
                <w:sz w:val="10"/>
                <w:szCs w:val="10"/>
                <w:b w:val="1"/>
                <w:bCs w:val="1"/>
                <w:color w:val="auto"/>
                <w:w w:val="91"/>
              </w:rPr>
              <w:t>Committee</w:t>
            </w:r>
            <w:r>
              <w:rPr>
                <w:rFonts w:ascii="Arial" w:cs="Arial" w:eastAsia="Arial" w:hAnsi="Arial"/>
                <w:sz w:val="8"/>
                <w:szCs w:val="8"/>
                <w:b w:val="1"/>
                <w:bCs w:val="1"/>
                <w:color w:val="auto"/>
                <w:w w:val="91"/>
              </w:rPr>
              <w:t>(1)</w:t>
            </w:r>
          </w:p>
        </w:tc>
        <w:tc>
          <w:tcPr>
            <w:tcW w:w="1180" w:type="dxa"/>
            <w:vAlign w:val="bottom"/>
          </w:tcPr>
          <w:p>
            <w:pPr>
              <w:spacing w:after="0" w:line="114" w:lineRule="exact"/>
              <w:rPr>
                <w:sz w:val="20"/>
                <w:szCs w:val="20"/>
                <w:color w:val="auto"/>
              </w:rPr>
            </w:pPr>
            <w:r>
              <w:rPr>
                <w:rFonts w:ascii="Arial" w:cs="Arial" w:eastAsia="Arial" w:hAnsi="Arial"/>
                <w:sz w:val="10"/>
                <w:szCs w:val="10"/>
                <w:b w:val="1"/>
                <w:bCs w:val="1"/>
                <w:color w:val="auto"/>
                <w:w w:val="95"/>
              </w:rPr>
              <w:t>Governance Committee</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151"/>
        </w:trPr>
        <w:tc>
          <w:tcPr>
            <w:tcW w:w="2180" w:type="dxa"/>
            <w:vAlign w:val="bottom"/>
            <w:tcBorders>
              <w:top w:val="single" w:sz="8" w:color="auto"/>
            </w:tcBorders>
            <w:shd w:val="clear" w:color="auto" w:fill="F2F2F2"/>
          </w:tcPr>
          <w:p>
            <w:pPr>
              <w:ind w:left="60"/>
              <w:spacing w:after="0"/>
              <w:rPr>
                <w:sz w:val="20"/>
                <w:szCs w:val="20"/>
                <w:color w:val="auto"/>
              </w:rPr>
            </w:pPr>
            <w:r>
              <w:rPr>
                <w:rFonts w:ascii="Arial" w:cs="Arial" w:eastAsia="Arial" w:hAnsi="Arial"/>
                <w:sz w:val="12"/>
                <w:szCs w:val="12"/>
                <w:color w:val="auto"/>
              </w:rPr>
              <w:t>Jean Franchi</w:t>
            </w:r>
          </w:p>
        </w:tc>
        <w:tc>
          <w:tcPr>
            <w:tcW w:w="520" w:type="dxa"/>
            <w:vAlign w:val="bottom"/>
            <w:tcBorders>
              <w:top w:val="single" w:sz="8" w:color="F2F2F2"/>
            </w:tcBorders>
            <w:shd w:val="clear" w:color="auto" w:fill="F2F2F2"/>
          </w:tcPr>
          <w:p>
            <w:pPr>
              <w:spacing w:after="0"/>
              <w:rPr>
                <w:sz w:val="13"/>
                <w:szCs w:val="13"/>
                <w:color w:val="auto"/>
              </w:rPr>
            </w:pPr>
          </w:p>
        </w:tc>
        <w:tc>
          <w:tcPr>
            <w:tcW w:w="360" w:type="dxa"/>
            <w:vAlign w:val="bottom"/>
            <w:tcBorders>
              <w:top w:val="single" w:sz="8" w:color="F2F2F2"/>
            </w:tcBorders>
            <w:shd w:val="clear" w:color="auto" w:fill="F2F2F2"/>
          </w:tcPr>
          <w:p>
            <w:pPr>
              <w:spacing w:after="0"/>
              <w:rPr>
                <w:sz w:val="13"/>
                <w:szCs w:val="13"/>
                <w:color w:val="auto"/>
              </w:rPr>
            </w:pPr>
          </w:p>
        </w:tc>
        <w:tc>
          <w:tcPr>
            <w:tcW w:w="72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w w:val="90"/>
              </w:rPr>
              <w:t>Chair</w:t>
            </w:r>
          </w:p>
        </w:tc>
        <w:tc>
          <w:tcPr>
            <w:tcW w:w="900" w:type="dxa"/>
            <w:vAlign w:val="bottom"/>
            <w:tcBorders>
              <w:top w:val="single" w:sz="8" w:color="F2F2F2"/>
            </w:tcBorders>
            <w:shd w:val="clear" w:color="auto" w:fill="F2F2F2"/>
          </w:tcPr>
          <w:p>
            <w:pPr>
              <w:spacing w:after="0"/>
              <w:rPr>
                <w:sz w:val="13"/>
                <w:szCs w:val="13"/>
                <w:color w:val="auto"/>
              </w:rPr>
            </w:pPr>
          </w:p>
        </w:tc>
        <w:tc>
          <w:tcPr>
            <w:tcW w:w="600" w:type="dxa"/>
            <w:vAlign w:val="bottom"/>
            <w:tcBorders>
              <w:top w:val="single" w:sz="8" w:color="auto"/>
            </w:tcBorders>
            <w:shd w:val="clear" w:color="auto" w:fill="F2F2F2"/>
          </w:tcPr>
          <w:p>
            <w:pPr>
              <w:spacing w:after="0"/>
              <w:rPr>
                <w:sz w:val="13"/>
                <w:szCs w:val="13"/>
                <w:color w:val="auto"/>
              </w:rPr>
            </w:pPr>
          </w:p>
        </w:tc>
        <w:tc>
          <w:tcPr>
            <w:tcW w:w="880" w:type="dxa"/>
            <w:vAlign w:val="bottom"/>
            <w:tcBorders>
              <w:top w:val="single" w:sz="8" w:color="F2F2F2"/>
            </w:tcBorders>
            <w:shd w:val="clear" w:color="auto" w:fill="F2F2F2"/>
          </w:tcPr>
          <w:p>
            <w:pPr>
              <w:spacing w:after="0"/>
              <w:rPr>
                <w:sz w:val="13"/>
                <w:szCs w:val="13"/>
                <w:color w:val="auto"/>
              </w:rPr>
            </w:pPr>
          </w:p>
        </w:tc>
        <w:tc>
          <w:tcPr>
            <w:tcW w:w="11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7"/>
        </w:trPr>
        <w:tc>
          <w:tcPr>
            <w:tcW w:w="3060" w:type="dxa"/>
            <w:vAlign w:val="bottom"/>
            <w:gridSpan w:val="3"/>
          </w:tcPr>
          <w:p>
            <w:pPr>
              <w:ind w:left="60"/>
              <w:spacing w:after="0"/>
              <w:rPr>
                <w:sz w:val="20"/>
                <w:szCs w:val="20"/>
                <w:color w:val="auto"/>
              </w:rPr>
            </w:pPr>
            <w:r>
              <w:rPr>
                <w:rFonts w:ascii="Arial" w:cs="Arial" w:eastAsia="Arial" w:hAnsi="Arial"/>
                <w:sz w:val="12"/>
                <w:szCs w:val="12"/>
                <w:color w:val="auto"/>
              </w:rPr>
              <w:t>Hany Massarany</w:t>
            </w:r>
          </w:p>
        </w:tc>
        <w:tc>
          <w:tcPr>
            <w:tcW w:w="1620" w:type="dxa"/>
            <w:vAlign w:val="bottom"/>
            <w:gridSpan w:val="2"/>
          </w:tcPr>
          <w:p>
            <w:pPr>
              <w:jc w:val="center"/>
              <w:ind w:right="880"/>
              <w:spacing w:after="0"/>
              <w:rPr>
                <w:sz w:val="20"/>
                <w:szCs w:val="20"/>
                <w:color w:val="auto"/>
              </w:rPr>
            </w:pPr>
            <w:r>
              <w:rPr>
                <w:rFonts w:ascii="Arial" w:cs="Arial" w:eastAsia="Arial" w:hAnsi="Arial"/>
                <w:sz w:val="12"/>
                <w:szCs w:val="12"/>
                <w:color w:val="auto"/>
              </w:rPr>
              <w:t>X</w:t>
            </w:r>
          </w:p>
        </w:tc>
        <w:tc>
          <w:tcPr>
            <w:tcW w:w="1480" w:type="dxa"/>
            <w:vAlign w:val="bottom"/>
            <w:gridSpan w:val="2"/>
          </w:tcPr>
          <w:p>
            <w:pPr>
              <w:jc w:val="center"/>
              <w:ind w:right="880"/>
              <w:spacing w:after="0"/>
              <w:rPr>
                <w:sz w:val="20"/>
                <w:szCs w:val="20"/>
                <w:color w:val="auto"/>
              </w:rPr>
            </w:pPr>
            <w:r>
              <w:rPr>
                <w:rFonts w:ascii="Arial" w:cs="Arial" w:eastAsia="Arial" w:hAnsi="Arial"/>
                <w:sz w:val="12"/>
                <w:szCs w:val="12"/>
                <w:color w:val="auto"/>
                <w:w w:val="97"/>
              </w:rPr>
              <w:t>Chair</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060" w:type="dxa"/>
            <w:vAlign w:val="bottom"/>
            <w:gridSpan w:val="3"/>
            <w:shd w:val="clear" w:color="auto" w:fill="F2F2F2"/>
          </w:tcPr>
          <w:p>
            <w:pPr>
              <w:ind w:left="60"/>
              <w:spacing w:after="0"/>
              <w:rPr>
                <w:sz w:val="20"/>
                <w:szCs w:val="20"/>
                <w:color w:val="auto"/>
              </w:rPr>
            </w:pPr>
            <w:r>
              <w:rPr>
                <w:rFonts w:ascii="Arial" w:cs="Arial" w:eastAsia="Arial" w:hAnsi="Arial"/>
                <w:sz w:val="12"/>
                <w:szCs w:val="12"/>
                <w:color w:val="auto"/>
              </w:rPr>
              <w:t>John Patience</w:t>
            </w:r>
          </w:p>
        </w:tc>
        <w:tc>
          <w:tcPr>
            <w:tcW w:w="720" w:type="dxa"/>
            <w:vAlign w:val="bottom"/>
            <w:shd w:val="clear" w:color="auto" w:fill="F2F2F2"/>
          </w:tcPr>
          <w:p>
            <w:pPr>
              <w:spacing w:after="0"/>
              <w:rPr>
                <w:sz w:val="14"/>
                <w:szCs w:val="14"/>
                <w:color w:val="auto"/>
              </w:rPr>
            </w:pPr>
          </w:p>
        </w:tc>
        <w:tc>
          <w:tcPr>
            <w:tcW w:w="900" w:type="dxa"/>
            <w:vAlign w:val="bottom"/>
            <w:shd w:val="clear" w:color="auto" w:fill="F2F2F2"/>
          </w:tcPr>
          <w:p>
            <w:pPr>
              <w:spacing w:after="0"/>
              <w:rPr>
                <w:sz w:val="14"/>
                <w:szCs w:val="14"/>
                <w:color w:val="auto"/>
              </w:rPr>
            </w:pPr>
          </w:p>
        </w:tc>
        <w:tc>
          <w:tcPr>
            <w:tcW w:w="1480" w:type="dxa"/>
            <w:vAlign w:val="bottom"/>
            <w:gridSpan w:val="2"/>
            <w:shd w:val="clear" w:color="auto" w:fill="F2F2F2"/>
          </w:tcPr>
          <w:p>
            <w:pPr>
              <w:jc w:val="center"/>
              <w:ind w:right="880"/>
              <w:spacing w:after="0"/>
              <w:rPr>
                <w:sz w:val="20"/>
                <w:szCs w:val="20"/>
                <w:color w:val="auto"/>
              </w:rPr>
            </w:pPr>
            <w:r>
              <w:rPr>
                <w:rFonts w:ascii="Arial" w:cs="Arial" w:eastAsia="Arial" w:hAnsi="Arial"/>
                <w:sz w:val="12"/>
                <w:szCs w:val="12"/>
                <w:color w:val="auto"/>
                <w:w w:val="99"/>
              </w:rPr>
              <w:t>X</w:t>
            </w: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60" w:type="dxa"/>
            <w:vAlign w:val="bottom"/>
            <w:gridSpan w:val="3"/>
          </w:tcPr>
          <w:p>
            <w:pPr>
              <w:ind w:left="60"/>
              <w:spacing w:after="0"/>
              <w:rPr>
                <w:sz w:val="20"/>
                <w:szCs w:val="20"/>
                <w:color w:val="auto"/>
              </w:rPr>
            </w:pPr>
            <w:r>
              <w:rPr>
                <w:rFonts w:ascii="Arial" w:cs="Arial" w:eastAsia="Arial" w:hAnsi="Arial"/>
                <w:sz w:val="12"/>
                <w:szCs w:val="12"/>
                <w:color w:val="auto"/>
              </w:rPr>
              <w:t>Jack Schuler</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67"/>
        </w:trPr>
        <w:tc>
          <w:tcPr>
            <w:tcW w:w="3060" w:type="dxa"/>
            <w:vAlign w:val="bottom"/>
            <w:gridSpan w:val="3"/>
            <w:shd w:val="clear" w:color="auto" w:fill="F2F2F2"/>
          </w:tcPr>
          <w:p>
            <w:pPr>
              <w:ind w:left="60"/>
              <w:spacing w:after="0"/>
              <w:rPr>
                <w:sz w:val="20"/>
                <w:szCs w:val="20"/>
                <w:color w:val="auto"/>
              </w:rPr>
            </w:pPr>
            <w:r>
              <w:rPr>
                <w:rFonts w:ascii="Arial" w:cs="Arial" w:eastAsia="Arial" w:hAnsi="Arial"/>
                <w:sz w:val="12"/>
                <w:szCs w:val="12"/>
                <w:color w:val="auto"/>
              </w:rPr>
              <w:t>Matthew Strobeck, Ph.D.</w:t>
            </w:r>
          </w:p>
        </w:tc>
        <w:tc>
          <w:tcPr>
            <w:tcW w:w="1620" w:type="dxa"/>
            <w:vAlign w:val="bottom"/>
            <w:gridSpan w:val="2"/>
            <w:shd w:val="clear" w:color="auto" w:fill="F2F2F2"/>
          </w:tcPr>
          <w:p>
            <w:pPr>
              <w:jc w:val="center"/>
              <w:ind w:right="880"/>
              <w:spacing w:after="0"/>
              <w:rPr>
                <w:sz w:val="20"/>
                <w:szCs w:val="20"/>
                <w:color w:val="auto"/>
              </w:rPr>
            </w:pPr>
            <w:r>
              <w:rPr>
                <w:rFonts w:ascii="Arial" w:cs="Arial" w:eastAsia="Arial" w:hAnsi="Arial"/>
                <w:sz w:val="12"/>
                <w:szCs w:val="12"/>
                <w:color w:val="auto"/>
              </w:rPr>
              <w:t>X</w:t>
            </w:r>
          </w:p>
        </w:tc>
        <w:tc>
          <w:tcPr>
            <w:tcW w:w="6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18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0"/>
              </w:rPr>
              <w:t>Chair</w:t>
            </w:r>
          </w:p>
        </w:tc>
        <w:tc>
          <w:tcPr>
            <w:tcW w:w="0" w:type="dxa"/>
            <w:vAlign w:val="bottom"/>
          </w:tcPr>
          <w:p>
            <w:pPr>
              <w:spacing w:after="0"/>
              <w:rPr>
                <w:sz w:val="1"/>
                <w:szCs w:val="1"/>
                <w:color w:val="auto"/>
              </w:rPr>
            </w:pPr>
          </w:p>
        </w:tc>
      </w:tr>
      <w:tr>
        <w:trPr>
          <w:trHeight w:val="157"/>
        </w:trPr>
        <w:tc>
          <w:tcPr>
            <w:tcW w:w="3060" w:type="dxa"/>
            <w:vAlign w:val="bottom"/>
            <w:gridSpan w:val="3"/>
          </w:tcPr>
          <w:p>
            <w:pPr>
              <w:ind w:left="60"/>
              <w:spacing w:after="0"/>
              <w:rPr>
                <w:sz w:val="20"/>
                <w:szCs w:val="20"/>
                <w:color w:val="auto"/>
              </w:rPr>
            </w:pPr>
            <w:r>
              <w:rPr>
                <w:rFonts w:ascii="Arial" w:cs="Arial" w:eastAsia="Arial" w:hAnsi="Arial"/>
                <w:sz w:val="12"/>
                <w:szCs w:val="12"/>
                <w:color w:val="auto"/>
              </w:rPr>
              <w:t>Charles Watts, M.D.</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gridSpan w:val="2"/>
          </w:tcPr>
          <w:p>
            <w:pPr>
              <w:jc w:val="center"/>
              <w:ind w:right="880"/>
              <w:spacing w:after="0"/>
              <w:rPr>
                <w:sz w:val="20"/>
                <w:szCs w:val="20"/>
                <w:color w:val="auto"/>
              </w:rPr>
            </w:pPr>
            <w:r>
              <w:rPr>
                <w:rFonts w:ascii="Arial" w:cs="Arial" w:eastAsia="Arial" w:hAnsi="Arial"/>
                <w:sz w:val="12"/>
                <w:szCs w:val="12"/>
                <w:color w:val="auto"/>
                <w:w w:val="99"/>
              </w:rPr>
              <w:t>X</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060" w:type="dxa"/>
            <w:vAlign w:val="bottom"/>
            <w:gridSpan w:val="3"/>
            <w:shd w:val="clear" w:color="auto" w:fill="F2F2F2"/>
          </w:tcPr>
          <w:p>
            <w:pPr>
              <w:ind w:left="40"/>
              <w:spacing w:after="0"/>
              <w:rPr>
                <w:sz w:val="20"/>
                <w:szCs w:val="20"/>
                <w:color w:val="auto"/>
              </w:rPr>
            </w:pPr>
            <w:r>
              <w:rPr>
                <w:rFonts w:ascii="Arial" w:cs="Arial" w:eastAsia="Arial" w:hAnsi="Arial"/>
                <w:sz w:val="12"/>
                <w:szCs w:val="12"/>
                <w:color w:val="auto"/>
              </w:rPr>
              <w:t>Total meetings held in 2020</w:t>
            </w:r>
          </w:p>
        </w:tc>
        <w:tc>
          <w:tcPr>
            <w:tcW w:w="7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89"/>
              </w:rPr>
              <w:t>3</w:t>
            </w:r>
          </w:p>
        </w:tc>
        <w:tc>
          <w:tcPr>
            <w:tcW w:w="900" w:type="dxa"/>
            <w:vAlign w:val="bottom"/>
            <w:shd w:val="clear" w:color="auto" w:fill="F2F2F2"/>
          </w:tcPr>
          <w:p>
            <w:pPr>
              <w:spacing w:after="0"/>
              <w:rPr>
                <w:sz w:val="14"/>
                <w:szCs w:val="14"/>
                <w:color w:val="auto"/>
              </w:rPr>
            </w:pPr>
          </w:p>
        </w:tc>
        <w:tc>
          <w:tcPr>
            <w:tcW w:w="60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8"/>
              </w:rPr>
              <w:t>-</w:t>
            </w:r>
          </w:p>
        </w:tc>
        <w:tc>
          <w:tcPr>
            <w:tcW w:w="880" w:type="dxa"/>
            <w:vAlign w:val="bottom"/>
            <w:shd w:val="clear" w:color="auto" w:fill="F2F2F2"/>
          </w:tcPr>
          <w:p>
            <w:pPr>
              <w:spacing w:after="0"/>
              <w:rPr>
                <w:sz w:val="14"/>
                <w:szCs w:val="14"/>
                <w:color w:val="auto"/>
              </w:rPr>
            </w:pPr>
          </w:p>
        </w:tc>
        <w:tc>
          <w:tcPr>
            <w:tcW w:w="118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8"/>
              </w:rPr>
              <w:t>-</w:t>
            </w:r>
          </w:p>
        </w:tc>
        <w:tc>
          <w:tcPr>
            <w:tcW w:w="0" w:type="dxa"/>
            <w:vAlign w:val="bottom"/>
          </w:tcPr>
          <w:p>
            <w:pPr>
              <w:spacing w:after="0"/>
              <w:rPr>
                <w:sz w:val="1"/>
                <w:szCs w:val="1"/>
                <w:color w:val="auto"/>
              </w:rPr>
            </w:pPr>
          </w:p>
        </w:tc>
      </w:tr>
      <w:tr>
        <w:trPr>
          <w:trHeight w:val="90"/>
        </w:trPr>
        <w:tc>
          <w:tcPr>
            <w:tcW w:w="2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540" w:right="879" w:hanging="280"/>
        <w:spacing w:after="0" w:line="274" w:lineRule="auto"/>
        <w:tabs>
          <w:tab w:leader="none" w:pos="2540" w:val="left"/>
        </w:tabs>
        <w:numPr>
          <w:ilvl w:val="0"/>
          <w:numId w:val="16"/>
        </w:numPr>
        <w:rPr>
          <w:rFonts w:ascii="Arial" w:cs="Arial" w:eastAsia="Arial" w:hAnsi="Arial"/>
          <w:sz w:val="11"/>
          <w:szCs w:val="11"/>
          <w:color w:val="auto"/>
        </w:rPr>
      </w:pPr>
      <w:r>
        <w:rPr>
          <w:rFonts w:ascii="Arial" w:cs="Arial" w:eastAsia="Arial" w:hAnsi="Arial"/>
          <w:sz w:val="11"/>
          <w:szCs w:val="11"/>
          <w:color w:val="auto"/>
        </w:rPr>
        <w:t>During 2020, our compensation committee and nominating and corporate governance committee did not meet; governance matters (including in connection with our initial public offering) were considered by our full board of directors.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Audit Committee</w:t>
      </w:r>
    </w:p>
    <w:p>
      <w:pPr>
        <w:spacing w:after="0" w:line="154" w:lineRule="exact"/>
        <w:rPr>
          <w:sz w:val="20"/>
          <w:szCs w:val="20"/>
          <w:color w:val="auto"/>
        </w:rPr>
      </w:pPr>
    </w:p>
    <w:p>
      <w:pPr>
        <w:ind w:left="1980" w:right="899" w:firstLine="514"/>
        <w:spacing w:after="0" w:line="283" w:lineRule="auto"/>
        <w:rPr>
          <w:sz w:val="20"/>
          <w:szCs w:val="20"/>
          <w:color w:val="auto"/>
        </w:rPr>
      </w:pPr>
      <w:r>
        <w:rPr>
          <w:rFonts w:ascii="Arial" w:cs="Arial" w:eastAsia="Arial" w:hAnsi="Arial"/>
          <w:sz w:val="11"/>
          <w:szCs w:val="11"/>
          <w:color w:val="auto"/>
        </w:rPr>
        <w:t>Our audit committee consists of Ms. Franchi and Messrs. Massarany and Strobeck, each of whom our board of directors has determined satisfies the independence requirements under Nasdaq listing rules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131"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helping our board of directors oversee our corporate accounting and financial reporting processes;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reviewing and discussing with our management the adequacy and effectiveness of our disclosure controls and procedures;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assisting with design and implementation of our risk assessment functions;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evaluating the qualifications, performance and independence of our independent registered public accounting firm and deciding whether to retain its services;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monitoring the rotation of partners of our independent registered public accounting firm on our engagement team as required by law;</w:t>
      </w:r>
    </w:p>
    <w:p>
      <w:pPr>
        <w:spacing w:after="0" w:line="179" w:lineRule="exact"/>
        <w:rPr>
          <w:rFonts w:ascii="Arial" w:cs="Arial" w:eastAsia="Arial" w:hAnsi="Arial"/>
          <w:sz w:val="11"/>
          <w:szCs w:val="11"/>
          <w:color w:val="auto"/>
        </w:rPr>
      </w:pPr>
    </w:p>
    <w:p>
      <w:pPr>
        <w:ind w:left="2620" w:right="91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discussing the scope and results of the audit with the independent registered public accounting firm, and reviewing, with management and the independent accountants, our interim and year-end results;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developing procedures for employees to submit concerns anonymously about questionable accounting or audit matters;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reviewing related-party transactions;</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approving, or as permitted, pre-approving, audit and permissible non-audit services to be performed by our independent registered public accounting firm; and</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13</w:t>
            </w:r>
          </w:p>
        </w:tc>
      </w:tr>
    </w:tbl>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reviewing and assessing, at least annually, the performance of the audit committee and adequacy of its charter.</w:t>
      </w:r>
    </w:p>
    <w:p>
      <w:pPr>
        <w:spacing w:after="0" w:line="14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Compensation Committee</w:t>
      </w:r>
    </w:p>
    <w:p>
      <w:pPr>
        <w:spacing w:after="0" w:line="154" w:lineRule="exact"/>
        <w:rPr>
          <w:sz w:val="20"/>
          <w:szCs w:val="20"/>
          <w:color w:val="auto"/>
        </w:rPr>
      </w:pPr>
    </w:p>
    <w:p>
      <w:pPr>
        <w:jc w:val="center"/>
        <w:ind w:right="-1020"/>
        <w:spacing w:after="0"/>
        <w:rPr>
          <w:sz w:val="20"/>
          <w:szCs w:val="20"/>
          <w:color w:val="auto"/>
        </w:rPr>
      </w:pPr>
      <w:r>
        <w:rPr>
          <w:rFonts w:ascii="Arial" w:cs="Arial" w:eastAsia="Arial" w:hAnsi="Arial"/>
          <w:sz w:val="12"/>
          <w:szCs w:val="12"/>
          <w:color w:val="auto"/>
        </w:rPr>
        <w:t>Our compensation committee consists of Messrs. Massarany, Patience and Watts, and the chair of our compensation committee is</w:t>
      </w:r>
    </w:p>
    <w:p>
      <w:pPr>
        <w:spacing w:after="0" w:line="15" w:lineRule="exact"/>
        <w:rPr>
          <w:sz w:val="20"/>
          <w:szCs w:val="20"/>
          <w:color w:val="auto"/>
        </w:rPr>
      </w:pPr>
    </w:p>
    <w:p>
      <w:pPr>
        <w:ind w:left="1980" w:right="899"/>
        <w:spacing w:after="0" w:line="306" w:lineRule="auto"/>
        <w:rPr>
          <w:sz w:val="20"/>
          <w:szCs w:val="20"/>
          <w:color w:val="auto"/>
        </w:rPr>
      </w:pPr>
      <w:r>
        <w:rPr>
          <w:rFonts w:ascii="Arial" w:cs="Arial" w:eastAsia="Arial" w:hAnsi="Arial"/>
          <w:sz w:val="11"/>
          <w:szCs w:val="11"/>
          <w:color w:val="auto"/>
        </w:rPr>
        <w:t>Mr. Massarany. Our board of directors has determined that each of Messrs. Massarany, Patience and Watts is independent under the Nasdaq listing rules and is a “non-employee director” as defined in Rule 16b-3 promulgated under the Exchange Act. The functions of this committee include:</w:t>
      </w:r>
    </w:p>
    <w:p>
      <w:pPr>
        <w:spacing w:after="0" w:line="119" w:lineRule="exact"/>
        <w:rPr>
          <w:sz w:val="20"/>
          <w:szCs w:val="20"/>
          <w:color w:val="auto"/>
        </w:rPr>
      </w:pPr>
    </w:p>
    <w:p>
      <w:pPr>
        <w:ind w:left="2920" w:hanging="219"/>
        <w:spacing w:after="0"/>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modifying and overseeing overall compensation strategy and policies;</w:t>
      </w:r>
    </w:p>
    <w:p>
      <w:pPr>
        <w:spacing w:after="0" w:line="168" w:lineRule="exact"/>
        <w:rPr>
          <w:rFonts w:ascii="Arial" w:cs="Arial" w:eastAsia="Arial" w:hAnsi="Arial"/>
          <w:sz w:val="12"/>
          <w:szCs w:val="12"/>
          <w:color w:val="auto"/>
        </w:rPr>
      </w:pPr>
    </w:p>
    <w:p>
      <w:pPr>
        <w:ind w:left="2920" w:right="1019" w:hanging="219"/>
        <w:spacing w:after="0" w:line="276" w:lineRule="auto"/>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and approving the compensation and other terms of employment of our chief executive officer, other executive officers and senior management, as appropriate;</w:t>
      </w:r>
    </w:p>
    <w:p>
      <w:pPr>
        <w:spacing w:after="0" w:line="132" w:lineRule="exact"/>
        <w:rPr>
          <w:rFonts w:ascii="Arial" w:cs="Arial" w:eastAsia="Arial" w:hAnsi="Arial"/>
          <w:sz w:val="12"/>
          <w:szCs w:val="12"/>
          <w:color w:val="auto"/>
        </w:rPr>
      </w:pPr>
    </w:p>
    <w:p>
      <w:pPr>
        <w:ind w:left="2920" w:hanging="219"/>
        <w:spacing w:after="0"/>
        <w:tabs>
          <w:tab w:leader="none" w:pos="2920"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reviewing and approving the compensation arrangements with our executive officers and other senior management, as appropriate;</w:t>
      </w:r>
    </w:p>
    <w:p>
      <w:pPr>
        <w:spacing w:after="0" w:line="191" w:lineRule="exact"/>
        <w:rPr>
          <w:rFonts w:ascii="Arial" w:cs="Arial" w:eastAsia="Arial" w:hAnsi="Arial"/>
          <w:sz w:val="10"/>
          <w:szCs w:val="10"/>
          <w:color w:val="auto"/>
        </w:rPr>
      </w:pPr>
    </w:p>
    <w:p>
      <w:pPr>
        <w:ind w:left="2920" w:hanging="219"/>
        <w:spacing w:after="0"/>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and recommending to the full board of directors the compensation of our directors;</w:t>
      </w:r>
    </w:p>
    <w:p>
      <w:pPr>
        <w:spacing w:after="0" w:line="168"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appointing and overseeing the work of compensation consultants, legal counsel or any other advisors and consultants engaged for the purpose of advising the compensation committee;</w:t>
      </w:r>
    </w:p>
    <w:p>
      <w:pPr>
        <w:spacing w:after="0" w:line="132" w:lineRule="exact"/>
        <w:rPr>
          <w:rFonts w:ascii="Arial" w:cs="Arial" w:eastAsia="Arial" w:hAnsi="Arial"/>
          <w:sz w:val="12"/>
          <w:szCs w:val="12"/>
          <w:color w:val="auto"/>
        </w:rPr>
      </w:pPr>
    </w:p>
    <w:p>
      <w:pPr>
        <w:ind w:left="2920" w:right="999" w:hanging="219"/>
        <w:spacing w:after="0" w:line="276" w:lineRule="auto"/>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recommending to the full board of directors, as appropriate, and administering equity award plans, compensation plans and similar programs, as well as modification or termination of plans and programs;</w:t>
      </w:r>
    </w:p>
    <w:p>
      <w:pPr>
        <w:spacing w:after="0" w:line="132" w:lineRule="exact"/>
        <w:rPr>
          <w:rFonts w:ascii="Arial" w:cs="Arial" w:eastAsia="Arial" w:hAnsi="Arial"/>
          <w:sz w:val="12"/>
          <w:szCs w:val="12"/>
          <w:color w:val="auto"/>
        </w:rPr>
      </w:pPr>
    </w:p>
    <w:p>
      <w:pPr>
        <w:ind w:left="2920" w:hanging="219"/>
        <w:spacing w:after="0"/>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establishing policies with respect to equity compensation arrangements;</w:t>
      </w:r>
    </w:p>
    <w:p>
      <w:pPr>
        <w:spacing w:after="0" w:line="168" w:lineRule="exact"/>
        <w:rPr>
          <w:rFonts w:ascii="Arial" w:cs="Arial" w:eastAsia="Arial" w:hAnsi="Arial"/>
          <w:sz w:val="12"/>
          <w:szCs w:val="12"/>
          <w:color w:val="auto"/>
        </w:rPr>
      </w:pPr>
    </w:p>
    <w:p>
      <w:pPr>
        <w:ind w:left="2920" w:right="1199" w:hanging="219"/>
        <w:spacing w:after="0" w:line="276" w:lineRule="auto"/>
        <w:tabs>
          <w:tab w:leader="none" w:pos="29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reviewing and evaluating with the chief executive officer and the full board of directors the succession plans for our executive officers; and</w:t>
      </w:r>
    </w:p>
    <w:p>
      <w:pPr>
        <w:spacing w:after="0" w:line="132" w:lineRule="exact"/>
        <w:rPr>
          <w:rFonts w:ascii="Arial" w:cs="Arial" w:eastAsia="Arial" w:hAnsi="Arial"/>
          <w:sz w:val="12"/>
          <w:szCs w:val="12"/>
          <w:color w:val="auto"/>
        </w:rPr>
      </w:pPr>
    </w:p>
    <w:p>
      <w:pPr>
        <w:ind w:left="2920" w:hanging="219"/>
        <w:spacing w:after="0"/>
        <w:tabs>
          <w:tab w:leader="none" w:pos="29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reviewing and assessing, at least annually, the performance of the compensation committee and the adequacy of its charter.</w:t>
      </w:r>
    </w:p>
    <w:p>
      <w:pPr>
        <w:spacing w:after="0" w:line="15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Compensation Committee Interlocks and Insider Participation</w:t>
      </w:r>
    </w:p>
    <w:p>
      <w:pPr>
        <w:spacing w:after="0" w:line="154" w:lineRule="exact"/>
        <w:rPr>
          <w:sz w:val="20"/>
          <w:szCs w:val="20"/>
          <w:color w:val="auto"/>
        </w:rPr>
      </w:pPr>
    </w:p>
    <w:p>
      <w:pPr>
        <w:jc w:val="both"/>
        <w:ind w:left="1980" w:right="1099" w:firstLine="514"/>
        <w:spacing w:after="0" w:line="298" w:lineRule="auto"/>
        <w:rPr>
          <w:sz w:val="20"/>
          <w:szCs w:val="20"/>
          <w:color w:val="auto"/>
        </w:rPr>
      </w:pPr>
      <w:r>
        <w:rPr>
          <w:rFonts w:ascii="Arial" w:cs="Arial" w:eastAsia="Arial" w:hAnsi="Arial"/>
          <w:sz w:val="11"/>
          <w:szCs w:val="11"/>
          <w:color w:val="auto"/>
        </w:rPr>
        <w:t>None of the members of the compensation committee is currently, or has been at any time during 2020, one of our officers or employees. None of our executive officers currently serve, or has served during 2020, as a member of the board of directors or compensation committee of any entity that has one or more executive officers serving as a member of our board of directors or compensation committee.</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Nominating and Corporate Governance Committee</w:t>
      </w:r>
    </w:p>
    <w:p>
      <w:pPr>
        <w:spacing w:after="0" w:line="154" w:lineRule="exact"/>
        <w:rPr>
          <w:sz w:val="20"/>
          <w:szCs w:val="20"/>
          <w:color w:val="auto"/>
        </w:rPr>
      </w:pPr>
    </w:p>
    <w:p>
      <w:pPr>
        <w:ind w:left="1980" w:right="1099" w:firstLine="514"/>
        <w:spacing w:after="0" w:line="263" w:lineRule="auto"/>
        <w:rPr>
          <w:sz w:val="20"/>
          <w:szCs w:val="20"/>
          <w:color w:val="auto"/>
        </w:rPr>
      </w:pPr>
      <w:r>
        <w:rPr>
          <w:rFonts w:ascii="Arial" w:cs="Arial" w:eastAsia="Arial" w:hAnsi="Arial"/>
          <w:sz w:val="12"/>
          <w:szCs w:val="12"/>
          <w:color w:val="auto"/>
        </w:rPr>
        <w:t>Our nominating and corporate governance committee consists of Ms. Franchi and Messrs. Strobeck and Schuler, and the chair of our nominating and corporate governance committee is Mr. Strobeck. Our board of directors has determined that Ms. Franchi and Messrs. Strobeck and Schuler are independent under the applicable listing standards. The functions of this committee include:</w:t>
      </w:r>
    </w:p>
    <w:p>
      <w:pPr>
        <w:spacing w:after="0" w:line="140" w:lineRule="exact"/>
        <w:rPr>
          <w:sz w:val="20"/>
          <w:szCs w:val="20"/>
          <w:color w:val="auto"/>
        </w:rPr>
      </w:pPr>
    </w:p>
    <w:p>
      <w:pPr>
        <w:ind w:left="2920" w:right="1499" w:hanging="219"/>
        <w:spacing w:after="0" w:line="276" w:lineRule="auto"/>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reviewing periodically and evaluating director performance of our board of directors and its applicable committees, and recommending to our board of directors and management areas for improvement;</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14</w:t>
            </w:r>
          </w:p>
        </w:tc>
      </w:tr>
    </w:tbl>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19"/>
        <w:spacing w:after="0"/>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identifying, evaluating, nominating and recommending individuals for membership on our board of directors;</w:t>
      </w:r>
    </w:p>
    <w:p>
      <w:pPr>
        <w:spacing w:after="0" w:line="168" w:lineRule="exact"/>
        <w:rPr>
          <w:rFonts w:ascii="Arial" w:cs="Arial" w:eastAsia="Arial" w:hAnsi="Arial"/>
          <w:sz w:val="12"/>
          <w:szCs w:val="12"/>
          <w:color w:val="auto"/>
        </w:rPr>
      </w:pPr>
    </w:p>
    <w:p>
      <w:pPr>
        <w:ind w:left="2920" w:right="1119" w:hanging="219"/>
        <w:spacing w:after="0" w:line="379" w:lineRule="auto"/>
        <w:tabs>
          <w:tab w:leader="none" w:pos="29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86" w:lineRule="exact"/>
        <w:rPr>
          <w:rFonts w:ascii="Arial" w:cs="Arial" w:eastAsia="Arial" w:hAnsi="Arial"/>
          <w:sz w:val="10"/>
          <w:szCs w:val="10"/>
          <w:color w:val="auto"/>
        </w:rPr>
      </w:pPr>
    </w:p>
    <w:p>
      <w:pPr>
        <w:ind w:left="2920" w:hanging="219"/>
        <w:spacing w:after="0"/>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reviewing and recommending to our board of directors any amendments to our corporate governance policies; and</w:t>
      </w:r>
    </w:p>
    <w:p>
      <w:pPr>
        <w:spacing w:after="0" w:line="168"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reviewing and assessing, at least annually, the performance of the nominating and corporate governance committee and the adequacy of its charter.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Director Nomination Process</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Selection and Nomination Process</w:t>
      </w:r>
    </w:p>
    <w:p>
      <w:pPr>
        <w:spacing w:after="0" w:line="154" w:lineRule="exact"/>
        <w:rPr>
          <w:sz w:val="20"/>
          <w:szCs w:val="20"/>
          <w:color w:val="auto"/>
        </w:rPr>
      </w:pPr>
    </w:p>
    <w:p>
      <w:pPr>
        <w:ind w:left="1980" w:right="859" w:firstLine="514"/>
        <w:spacing w:after="0" w:line="255" w:lineRule="auto"/>
        <w:rPr>
          <w:sz w:val="20"/>
          <w:szCs w:val="20"/>
          <w:color w:val="auto"/>
        </w:rPr>
      </w:pPr>
      <w:r>
        <w:rPr>
          <w:rFonts w:ascii="Arial" w:cs="Arial" w:eastAsia="Arial" w:hAnsi="Arial"/>
          <w:sz w:val="12"/>
          <w:szCs w:val="12"/>
          <w:color w:val="auto"/>
        </w:rPr>
        <w:t>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Criteria for Board Membership</w:t>
      </w:r>
    </w:p>
    <w:p>
      <w:pPr>
        <w:spacing w:after="0" w:line="154" w:lineRule="exact"/>
        <w:rPr>
          <w:sz w:val="20"/>
          <w:szCs w:val="20"/>
          <w:color w:val="auto"/>
        </w:rPr>
      </w:pPr>
    </w:p>
    <w:p>
      <w:pPr>
        <w:ind w:left="1980" w:right="979" w:firstLine="514"/>
        <w:spacing w:after="0" w:line="283" w:lineRule="auto"/>
        <w:rPr>
          <w:sz w:val="20"/>
          <w:szCs w:val="20"/>
          <w:color w:val="auto"/>
        </w:rPr>
      </w:pPr>
      <w:r>
        <w:rPr>
          <w:rFonts w:ascii="Arial" w:cs="Arial" w:eastAsia="Arial" w:hAnsi="Arial"/>
          <w:sz w:val="11"/>
          <w:szCs w:val="11"/>
          <w:color w:val="auto"/>
        </w:rPr>
        <w:t>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w:t>
      </w:r>
    </w:p>
    <w:p>
      <w:pPr>
        <w:spacing w:after="0" w:line="113" w:lineRule="exact"/>
        <w:rPr>
          <w:sz w:val="20"/>
          <w:szCs w:val="20"/>
          <w:color w:val="auto"/>
        </w:rPr>
      </w:pPr>
    </w:p>
    <w:p>
      <w:pPr>
        <w:ind w:left="1980" w:right="919" w:firstLine="514"/>
        <w:spacing w:after="0" w:line="283" w:lineRule="auto"/>
        <w:rPr>
          <w:sz w:val="20"/>
          <w:szCs w:val="20"/>
          <w:color w:val="auto"/>
        </w:rPr>
      </w:pPr>
      <w:r>
        <w:rPr>
          <w:rFonts w:ascii="Arial" w:cs="Arial" w:eastAsia="Arial" w:hAnsi="Arial"/>
          <w:sz w:val="11"/>
          <w:szCs w:val="11"/>
          <w:color w:val="auto"/>
        </w:rPr>
        <w:t>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w:t>
      </w:r>
    </w:p>
    <w:p>
      <w:pPr>
        <w:spacing w:after="0" w:line="113" w:lineRule="exact"/>
        <w:rPr>
          <w:sz w:val="20"/>
          <w:szCs w:val="20"/>
          <w:color w:val="auto"/>
        </w:rPr>
      </w:pPr>
    </w:p>
    <w:p>
      <w:pPr>
        <w:ind w:left="1980" w:right="859" w:firstLine="514"/>
        <w:spacing w:after="0" w:line="259" w:lineRule="auto"/>
        <w:rPr>
          <w:sz w:val="20"/>
          <w:szCs w:val="20"/>
          <w:color w:val="auto"/>
        </w:rPr>
      </w:pPr>
      <w:r>
        <w:rPr>
          <w:rFonts w:ascii="Arial" w:cs="Arial" w:eastAsia="Arial" w:hAnsi="Arial"/>
          <w:sz w:val="12"/>
          <w:szCs w:val="12"/>
          <w:color w:val="auto"/>
        </w:rPr>
        <w:t>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w:t>
      </w:r>
    </w:p>
    <w:p>
      <w:pPr>
        <w:spacing w:after="0" w:line="79"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15</w:t>
            </w:r>
          </w:p>
        </w:tc>
      </w:tr>
    </w:tbl>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Stockholder Recommendations and Nominations</w:t>
      </w:r>
    </w:p>
    <w:p>
      <w:pPr>
        <w:spacing w:after="0" w:line="154" w:lineRule="exact"/>
        <w:rPr>
          <w:sz w:val="20"/>
          <w:szCs w:val="20"/>
          <w:color w:val="auto"/>
        </w:rPr>
      </w:pPr>
    </w:p>
    <w:p>
      <w:pPr>
        <w:ind w:left="1980" w:right="859" w:firstLine="514"/>
        <w:spacing w:after="0" w:line="255" w:lineRule="auto"/>
        <w:rPr>
          <w:sz w:val="20"/>
          <w:szCs w:val="20"/>
          <w:color w:val="auto"/>
        </w:rPr>
      </w:pPr>
      <w:r>
        <w:rPr>
          <w:rFonts w:ascii="Arial" w:cs="Arial" w:eastAsia="Arial" w:hAnsi="Arial"/>
          <w:sz w:val="12"/>
          <w:szCs w:val="12"/>
          <w:color w:val="auto"/>
        </w:rPr>
        <w:t>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 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spacing w:after="0" w:line="127"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Code of Business Conduct and Ethics</w:t>
      </w:r>
    </w:p>
    <w:p>
      <w:pPr>
        <w:spacing w:after="0" w:line="148" w:lineRule="exact"/>
        <w:rPr>
          <w:sz w:val="20"/>
          <w:szCs w:val="20"/>
          <w:color w:val="auto"/>
        </w:rPr>
      </w:pPr>
    </w:p>
    <w:p>
      <w:pPr>
        <w:ind w:left="1980" w:right="859" w:firstLine="514"/>
        <w:spacing w:after="0" w:line="283" w:lineRule="auto"/>
        <w:rPr>
          <w:sz w:val="20"/>
          <w:szCs w:val="20"/>
          <w:color w:val="auto"/>
        </w:rPr>
      </w:pPr>
      <w:r>
        <w:rPr>
          <w:rFonts w:ascii="Arial" w:cs="Arial" w:eastAsia="Arial" w:hAnsi="Arial"/>
          <w:sz w:val="11"/>
          <w:szCs w:val="11"/>
          <w:color w:val="auto"/>
        </w:rPr>
        <w:t>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The full text of our Code of Conduct is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Reference to our website does not constitute incorporation by reference of the information contained at or accessible through our website into this proxy statement.</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Corporate Governance Guidelines</w:t>
      </w:r>
    </w:p>
    <w:p>
      <w:pPr>
        <w:spacing w:after="0" w:line="148" w:lineRule="exact"/>
        <w:rPr>
          <w:sz w:val="20"/>
          <w:szCs w:val="20"/>
          <w:color w:val="auto"/>
        </w:rPr>
      </w:pPr>
    </w:p>
    <w:p>
      <w:pPr>
        <w:ind w:left="1980" w:right="959" w:firstLine="514"/>
        <w:spacing w:after="0" w:line="311" w:lineRule="auto"/>
        <w:rPr>
          <w:sz w:val="20"/>
          <w:szCs w:val="20"/>
          <w:color w:val="auto"/>
        </w:rPr>
      </w:pPr>
      <w:r>
        <w:rPr>
          <w:rFonts w:ascii="Arial" w:cs="Arial" w:eastAsia="Arial" w:hAnsi="Arial"/>
          <w:sz w:val="10"/>
          <w:szCs w:val="10"/>
          <w:color w:val="auto"/>
        </w:rPr>
        <w:t>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 Highlights.” Reference to our website does not constitute incorporation by reference of the information contained at or accessible through our website into this proxy statement.</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Anti-Hedging and Anti-Pledging Policy</w:t>
      </w:r>
    </w:p>
    <w:p>
      <w:pPr>
        <w:spacing w:after="0" w:line="148" w:lineRule="exact"/>
        <w:rPr>
          <w:sz w:val="20"/>
          <w:szCs w:val="20"/>
          <w:color w:val="auto"/>
        </w:rPr>
      </w:pPr>
    </w:p>
    <w:p>
      <w:pPr>
        <w:ind w:left="1980" w:right="879" w:firstLine="514"/>
        <w:spacing w:after="0" w:line="259" w:lineRule="auto"/>
        <w:rPr>
          <w:sz w:val="20"/>
          <w:szCs w:val="20"/>
          <w:color w:val="auto"/>
        </w:rPr>
      </w:pPr>
      <w:r>
        <w:rPr>
          <w:rFonts w:ascii="Arial" w:cs="Arial" w:eastAsia="Arial" w:hAnsi="Arial"/>
          <w:sz w:val="12"/>
          <w:szCs w:val="12"/>
          <w:color w:val="auto"/>
        </w:rPr>
        <w:t>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w:t>
      </w:r>
    </w:p>
    <w:p>
      <w:pPr>
        <w:spacing w:after="0" w:line="79"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16</w:t>
            </w:r>
          </w:p>
        </w:tc>
      </w:tr>
    </w:tbl>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Stockholder Communications with our Board of Directors</w:t>
      </w:r>
    </w:p>
    <w:p>
      <w:pPr>
        <w:spacing w:after="0" w:line="148" w:lineRule="exact"/>
        <w:rPr>
          <w:sz w:val="20"/>
          <w:szCs w:val="20"/>
          <w:color w:val="auto"/>
        </w:rPr>
      </w:pPr>
    </w:p>
    <w:p>
      <w:pPr>
        <w:ind w:left="1980" w:right="879" w:firstLine="514"/>
        <w:spacing w:after="0" w:line="254" w:lineRule="auto"/>
        <w:rPr>
          <w:sz w:val="20"/>
          <w:szCs w:val="20"/>
          <w:color w:val="auto"/>
        </w:rPr>
      </w:pPr>
      <w:r>
        <w:rPr>
          <w:rFonts w:ascii="Arial" w:cs="Arial" w:eastAsia="Arial" w:hAnsi="Arial"/>
          <w:sz w:val="12"/>
          <w:szCs w:val="12"/>
          <w:color w:val="auto"/>
        </w:rPr>
        <w:t>Any stockholder or other interested party who wishes to communicate with our board of directors or any individual director may send written communications to our board of directors or such director c/o Corporate Secretary, Biodesix, Inc., 2970 Wilderness Place, Suite 100, Boulder, CO 80301.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Certain Relationships and Related-Party Transactions</w:t>
      </w:r>
    </w:p>
    <w:p>
      <w:pPr>
        <w:spacing w:after="0" w:line="148" w:lineRule="exact"/>
        <w:rPr>
          <w:sz w:val="20"/>
          <w:szCs w:val="20"/>
          <w:color w:val="auto"/>
        </w:rPr>
      </w:pPr>
    </w:p>
    <w:p>
      <w:pPr>
        <w:ind w:left="1980" w:right="919" w:firstLine="514"/>
        <w:spacing w:after="0" w:line="256" w:lineRule="auto"/>
        <w:rPr>
          <w:sz w:val="20"/>
          <w:szCs w:val="20"/>
          <w:color w:val="auto"/>
        </w:rPr>
      </w:pPr>
      <w:r>
        <w:rPr>
          <w:rFonts w:ascii="Arial" w:cs="Arial" w:eastAsia="Arial" w:hAnsi="Arial"/>
          <w:sz w:val="12"/>
          <w:szCs w:val="12"/>
          <w:color w:val="auto"/>
        </w:rPr>
        <w:t>The following is a summary of the transactions since January 1, 2019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Preferred Stock Financings</w:t>
      </w:r>
    </w:p>
    <w:p>
      <w:pPr>
        <w:spacing w:after="0" w:line="154" w:lineRule="exact"/>
        <w:rPr>
          <w:sz w:val="20"/>
          <w:szCs w:val="20"/>
          <w:color w:val="auto"/>
        </w:rPr>
      </w:pPr>
    </w:p>
    <w:p>
      <w:pPr>
        <w:ind w:left="1980" w:right="979" w:firstLine="514"/>
        <w:spacing w:after="0" w:line="323" w:lineRule="auto"/>
        <w:rPr>
          <w:sz w:val="20"/>
          <w:szCs w:val="20"/>
          <w:color w:val="auto"/>
        </w:rPr>
      </w:pPr>
      <w:r>
        <w:rPr>
          <w:rFonts w:ascii="Arial" w:cs="Arial" w:eastAsia="Arial" w:hAnsi="Arial"/>
          <w:sz w:val="11"/>
          <w:szCs w:val="11"/>
          <w:color w:val="auto"/>
        </w:rPr>
        <w:t>We previously issued convertible preferred stock from time to time to fund our operations and to make acquisitions. In February and March 2019, we issued 8,695,621 shares of Series H Preferred Stock at $1.15 per share for total cash proceeds of $10.0 million.</w:t>
      </w:r>
    </w:p>
    <w:p>
      <w:pPr>
        <w:spacing w:after="0" w:line="9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Immediately prior to our initial public offering, we had issued 118,766,273 convertible preferred shares. On October 27, 2020, upon closing of our initial public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automatically converted into 0.1684664 share of common stock; and each share of Series B-1 Preferred Stock automatically converted into 0.196 shares of common stock. In the aggregate, all series of preferred stock were converted into 20,090,745 shares of common stock. As a result, as of December 31, 2020 there are no longer any series of convertible preferred stock outstanding.</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Convertible Debt Financings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The holders of the March 2020 Notes included a number of our directors and their affiliates.</w:t>
      </w:r>
    </w:p>
    <w:p>
      <w:pPr>
        <w:spacing w:after="0" w:line="12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The second tranche was funded in February 2020. The holders of the December 2019 Notes included a number of our directors and their affiliates.</w:t>
      </w:r>
    </w:p>
    <w:p>
      <w:pPr>
        <w:spacing w:after="0" w:line="124" w:lineRule="exact"/>
        <w:rPr>
          <w:sz w:val="20"/>
          <w:szCs w:val="20"/>
          <w:color w:val="auto"/>
        </w:rPr>
      </w:pPr>
    </w:p>
    <w:p>
      <w:pPr>
        <w:jc w:val="both"/>
        <w:ind w:left="1980" w:right="1059" w:firstLine="294"/>
        <w:spacing w:after="0" w:line="263" w:lineRule="auto"/>
        <w:rPr>
          <w:sz w:val="20"/>
          <w:szCs w:val="20"/>
          <w:color w:val="auto"/>
        </w:rPr>
      </w:pPr>
      <w:r>
        <w:rPr>
          <w:rFonts w:ascii="Arial" w:cs="Arial" w:eastAsia="Arial" w:hAnsi="Arial"/>
          <w:sz w:val="12"/>
          <w:szCs w:val="12"/>
          <w:color w:val="auto"/>
        </w:rPr>
        <w:t>In August and September 2019 we issued $10.0 million in convertible debt (the “August 2019 Notes”) that was scheduled to mature in August 2020. In August 2020, the maturity date of this debt was extended to June 30, 2021. The holders of the August 2019 Notes included a number of our directors and their affiliates.</w:t>
      </w:r>
    </w:p>
    <w:p>
      <w:pPr>
        <w:spacing w:after="0" w:line="122"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Our convertible debt, along with the related accrued interest, was automatically converted to 1,848,280 shares of our common stock upon the completion of our initial public offering in October 2020.</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17</w:t>
            </w:r>
          </w:p>
        </w:tc>
      </w:tr>
    </w:tbl>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Investor Rights Agreement</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1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Contingent Value Rights Agreement</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February 2016, we entered into a contingent value rights agreement (“CVR Agreement”) with certain holders of our preferred and common stock, including several members of our board of directors. Pursuant to the CVR Agreement, the holders would be eligible to receive in the aggregate up to 15% of any future income and proceeds that we would receive, subject to a number of conditions and offsets, with respect to ficlatuzumab rights under our co-development and collaboration agreement with AVEO Pharmaceuticals, Inc.</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Stock Options</w:t>
      </w:r>
    </w:p>
    <w:p>
      <w:pPr>
        <w:spacing w:after="0" w:line="154"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As of December 31, 2020, options to purchase an aggregate of 229,978 shares of common stock were outstanding under our 2006 Incentive Plan. As of December 31, 2020, options to purchase an aggregate of 2,091,590 shares of common stock were outstanding under our 2016 Incentive Plan. For additional information regarding the terms of these plans, see the section titled “Executive Compensation—Equity Plan Information.”</w:t>
      </w:r>
    </w:p>
    <w:p>
      <w:pPr>
        <w:spacing w:after="0" w:line="10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Participation in Initial Public Offering</w:t>
      </w:r>
    </w:p>
    <w:p>
      <w:pPr>
        <w:spacing w:after="0" w:line="15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Messrs. Patience, Schuler and Strobeck, members of our board of directors, purchased 391,110 shares of common stock from the underwriters in our initial public offering at the initial public offering price per share of $18.00.</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Participation in Initial Public Offering Directed Share Program</w:t>
      </w:r>
    </w:p>
    <w:p>
      <w:pPr>
        <w:spacing w:after="0" w:line="154" w:lineRule="exact"/>
        <w:rPr>
          <w:sz w:val="20"/>
          <w:szCs w:val="20"/>
          <w:color w:val="auto"/>
        </w:rPr>
      </w:pPr>
    </w:p>
    <w:p>
      <w:pPr>
        <w:ind w:left="1980" w:right="1019" w:firstLine="514"/>
        <w:spacing w:after="0" w:line="276" w:lineRule="auto"/>
        <w:rPr>
          <w:sz w:val="20"/>
          <w:szCs w:val="20"/>
          <w:color w:val="auto"/>
        </w:rPr>
      </w:pPr>
      <w:r>
        <w:rPr>
          <w:rFonts w:ascii="Arial" w:cs="Arial" w:eastAsia="Arial" w:hAnsi="Arial"/>
          <w:sz w:val="12"/>
          <w:szCs w:val="12"/>
          <w:color w:val="auto"/>
        </w:rPr>
        <w:t>Messrs. Hutton, Massarany and Watts, members of our board of directors, purchased 15,000 shares of common stock through our Directed Share Program in our initial public offering at the initial public offering price per share of $18.00.</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Indemnification of Directors and Executive Officers</w:t>
      </w:r>
    </w:p>
    <w:p>
      <w:pPr>
        <w:spacing w:after="0" w:line="154" w:lineRule="exact"/>
        <w:rPr>
          <w:sz w:val="20"/>
          <w:szCs w:val="20"/>
          <w:color w:val="auto"/>
        </w:rPr>
      </w:pPr>
    </w:p>
    <w:p>
      <w:pPr>
        <w:ind w:left="1980" w:right="959" w:firstLine="514"/>
        <w:spacing w:after="0" w:line="259" w:lineRule="auto"/>
        <w:rPr>
          <w:sz w:val="20"/>
          <w:szCs w:val="20"/>
          <w:color w:val="auto"/>
        </w:rPr>
      </w:pPr>
      <w:r>
        <w:rPr>
          <w:rFonts w:ascii="Arial" w:cs="Arial" w:eastAsia="Arial" w:hAnsi="Arial"/>
          <w:sz w:val="12"/>
          <w:szCs w:val="12"/>
          <w:color w:val="auto"/>
        </w:rPr>
        <w:t>We have entered into indemnification agreements with each of our directors and executive officers in connection with our initial public offering.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Policies and Procedures for Related-Party Transactions</w:t>
      </w:r>
    </w:p>
    <w:p>
      <w:pPr>
        <w:spacing w:after="0" w:line="154" w:lineRule="exact"/>
        <w:rPr>
          <w:sz w:val="20"/>
          <w:szCs w:val="20"/>
          <w:color w:val="auto"/>
        </w:rPr>
      </w:pPr>
    </w:p>
    <w:p>
      <w:pPr>
        <w:ind w:left="1980" w:right="839" w:firstLine="514"/>
        <w:spacing w:after="0" w:line="281" w:lineRule="auto"/>
        <w:rPr>
          <w:sz w:val="20"/>
          <w:szCs w:val="20"/>
          <w:color w:val="auto"/>
        </w:rPr>
      </w:pPr>
      <w:r>
        <w:rPr>
          <w:rFonts w:ascii="Arial" w:cs="Arial" w:eastAsia="Arial" w:hAnsi="Arial"/>
          <w:sz w:val="11"/>
          <w:szCs w:val="11"/>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18</w:t>
            </w:r>
          </w:p>
        </w:tc>
      </w:tr>
    </w:tbl>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143FDD"/>
        </w:rPr>
        <w:t>DIRECTOR COMPENSATION</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Non-Employee Director Compensation Policy</w:t>
      </w:r>
    </w:p>
    <w:p>
      <w:pPr>
        <w:spacing w:after="0" w:line="82" w:lineRule="exact"/>
        <w:rPr>
          <w:sz w:val="20"/>
          <w:szCs w:val="20"/>
          <w:color w:val="auto"/>
        </w:rPr>
      </w:pPr>
    </w:p>
    <w:p>
      <w:pPr>
        <w:ind w:left="1980" w:right="919" w:firstLine="514"/>
        <w:spacing w:after="0" w:line="298" w:lineRule="auto"/>
        <w:rPr>
          <w:sz w:val="20"/>
          <w:szCs w:val="20"/>
          <w:color w:val="auto"/>
        </w:rPr>
      </w:pPr>
      <w:r>
        <w:rPr>
          <w:rFonts w:ascii="Arial" w:cs="Arial" w:eastAsia="Arial" w:hAnsi="Arial"/>
          <w:sz w:val="11"/>
          <w:szCs w:val="11"/>
          <w:color w:val="auto"/>
        </w:rPr>
        <w:t>During the year ended December 31, 2020, none of our non-employee directors received retainers or other cash payments with respect to service on our board of directors or any of its committees. We plan to adopt a formal non-employee director compensation program. For 2021, we have not granted any stock awards, option awards or other equity awards to our non-employee directors at the time of this filing.</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2020 Director Compensation Table</w:t>
      </w:r>
    </w:p>
    <w:p>
      <w:pPr>
        <w:spacing w:after="0" w:line="82"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following table sets forth information for the fiscal year ended December 31, 2020 regarding the compensation awarded to, earned by or paid to our non-employee directors. The only compensation received by our non-employee directors was in the form of restricted stock units (“RSUs”) and option awards. Mr. Hutton, our Chief Executive Officer, does not receive any separate compensation for his service on our board of directors.</w:t>
      </w:r>
    </w:p>
    <w:p>
      <w:pPr>
        <w:spacing w:after="0" w:line="33"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respect of 2020 service, Messrs. Patience, Schuler, Strobeck and Watts each received stock options representing the right to purchase 35,157 shares of our common stock. Ms. Franchi joined the board of directors in April 2020 and Mr. Massarany joined the board of directors in July 2020. The board of directors granted each of Ms. Franchi and Mr. Massarany a new member equity award of 26,368 RSUs and an option award for their terms beginning April 1, 2020 and July 1, 2020, respectively, upon availability from the stock option pool.</w:t>
      </w:r>
    </w:p>
    <w:p>
      <w:pPr>
        <w:spacing w:after="0" w:line="35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0"/>
                <w:szCs w:val="10"/>
                <w:b w:val="1"/>
                <w:bCs w:val="1"/>
                <w:color w:val="auto"/>
              </w:rPr>
              <w:t>Stock</w:t>
            </w: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Option</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84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6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Awards</w:t>
            </w:r>
          </w:p>
        </w:tc>
        <w:tc>
          <w:tcPr>
            <w:tcW w:w="6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Awards</w:t>
            </w:r>
          </w:p>
        </w:tc>
        <w:tc>
          <w:tcPr>
            <w:tcW w:w="44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3840" w:type="dxa"/>
            <w:vAlign w:val="bottom"/>
            <w:vMerge w:val="continue"/>
          </w:tcPr>
          <w:p>
            <w:pPr>
              <w:spacing w:after="0"/>
              <w:rPr>
                <w:sz w:val="7"/>
                <w:szCs w:val="7"/>
                <w:color w:val="auto"/>
              </w:rPr>
            </w:pPr>
          </w:p>
        </w:tc>
        <w:tc>
          <w:tcPr>
            <w:tcW w:w="400" w:type="dxa"/>
            <w:vAlign w:val="bottom"/>
            <w:tcBorders>
              <w:top w:val="single" w:sz="8" w:color="auto"/>
              <w:bottom w:val="single" w:sz="8" w:color="auto"/>
            </w:tcBorders>
          </w:tcPr>
          <w:p>
            <w:pPr>
              <w:ind w:left="100"/>
              <w:spacing w:after="0" w:line="88"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260" w:type="dxa"/>
            <w:vAlign w:val="bottom"/>
          </w:tcPr>
          <w:p>
            <w:pPr>
              <w:spacing w:after="0"/>
              <w:rPr>
                <w:sz w:val="7"/>
                <w:szCs w:val="7"/>
                <w:color w:val="auto"/>
              </w:rPr>
            </w:pPr>
          </w:p>
        </w:tc>
        <w:tc>
          <w:tcPr>
            <w:tcW w:w="340" w:type="dxa"/>
            <w:vAlign w:val="bottom"/>
            <w:tcBorders>
              <w:top w:val="single" w:sz="8" w:color="auto"/>
              <w:bottom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(2)</w:t>
            </w:r>
          </w:p>
        </w:tc>
        <w:tc>
          <w:tcPr>
            <w:tcW w:w="260" w:type="dxa"/>
            <w:vAlign w:val="bottom"/>
          </w:tcPr>
          <w:p>
            <w:pPr>
              <w:spacing w:after="0"/>
              <w:rPr>
                <w:sz w:val="7"/>
                <w:szCs w:val="7"/>
                <w:color w:val="auto"/>
              </w:rPr>
            </w:pPr>
          </w:p>
        </w:tc>
        <w:tc>
          <w:tcPr>
            <w:tcW w:w="420" w:type="dxa"/>
            <w:vAlign w:val="bottom"/>
            <w:tcBorders>
              <w:top w:val="single" w:sz="8" w:color="auto"/>
              <w:bottom w:val="single" w:sz="8" w:color="auto"/>
            </w:tcBorders>
          </w:tcPr>
          <w:p>
            <w:pPr>
              <w:jc w:val="right"/>
              <w:ind w:right="103"/>
              <w:spacing w:after="0" w:line="88" w:lineRule="exact"/>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840" w:type="dxa"/>
            <w:vAlign w:val="bottom"/>
          </w:tcPr>
          <w:p>
            <w:pPr>
              <w:spacing w:after="0" w:line="124" w:lineRule="exact"/>
              <w:rPr>
                <w:sz w:val="20"/>
                <w:szCs w:val="20"/>
                <w:color w:val="auto"/>
              </w:rPr>
            </w:pPr>
            <w:r>
              <w:rPr>
                <w:rFonts w:ascii="Arial" w:cs="Arial" w:eastAsia="Arial" w:hAnsi="Arial"/>
                <w:sz w:val="12"/>
                <w:szCs w:val="12"/>
                <w:color w:val="auto"/>
              </w:rPr>
              <w:t>Jean Franchi</w:t>
            </w:r>
          </w:p>
        </w:tc>
        <w:tc>
          <w:tcPr>
            <w:tcW w:w="400" w:type="dxa"/>
            <w:vAlign w:val="bottom"/>
          </w:tcPr>
          <w:p>
            <w:pPr>
              <w:ind w:left="80"/>
              <w:spacing w:after="0" w:line="124" w:lineRule="exact"/>
              <w:rPr>
                <w:sz w:val="20"/>
                <w:szCs w:val="20"/>
                <w:color w:val="auto"/>
              </w:rPr>
            </w:pPr>
            <w:r>
              <w:rPr>
                <w:rFonts w:ascii="Arial" w:cs="Arial" w:eastAsia="Arial" w:hAnsi="Arial"/>
                <w:sz w:val="12"/>
                <w:szCs w:val="12"/>
                <w:color w:val="auto"/>
                <w:w w:val="81"/>
              </w:rPr>
              <w:t>20,348</w:t>
            </w:r>
          </w:p>
        </w:tc>
        <w:tc>
          <w:tcPr>
            <w:tcW w:w="260" w:type="dxa"/>
            <w:vAlign w:val="bottom"/>
          </w:tcPr>
          <w:p>
            <w:pPr>
              <w:spacing w:after="0"/>
              <w:rPr>
                <w:sz w:val="10"/>
                <w:szCs w:val="10"/>
                <w:color w:val="auto"/>
              </w:rPr>
            </w:pPr>
          </w:p>
        </w:tc>
        <w:tc>
          <w:tcPr>
            <w:tcW w:w="340" w:type="dxa"/>
            <w:vAlign w:val="bottom"/>
          </w:tcPr>
          <w:p>
            <w:pPr>
              <w:ind w:left="80"/>
              <w:spacing w:after="0" w:line="124" w:lineRule="exact"/>
              <w:rPr>
                <w:sz w:val="20"/>
                <w:szCs w:val="20"/>
                <w:color w:val="auto"/>
              </w:rPr>
            </w:pPr>
            <w:r>
              <w:rPr>
                <w:rFonts w:ascii="Arial" w:cs="Arial" w:eastAsia="Arial" w:hAnsi="Arial"/>
                <w:sz w:val="12"/>
                <w:szCs w:val="12"/>
                <w:color w:val="auto"/>
                <w:w w:val="79"/>
              </w:rPr>
              <w:t>5,244</w:t>
            </w:r>
          </w:p>
        </w:tc>
        <w:tc>
          <w:tcPr>
            <w:tcW w:w="260" w:type="dxa"/>
            <w:vAlign w:val="bottom"/>
          </w:tcPr>
          <w:p>
            <w:pPr>
              <w:spacing w:after="0"/>
              <w:rPr>
                <w:sz w:val="10"/>
                <w:szCs w:val="10"/>
                <w:color w:val="auto"/>
              </w:rPr>
            </w:pPr>
          </w:p>
        </w:tc>
        <w:tc>
          <w:tcPr>
            <w:tcW w:w="420" w:type="dxa"/>
            <w:vAlign w:val="bottom"/>
          </w:tcPr>
          <w:p>
            <w:pPr>
              <w:jc w:val="right"/>
              <w:spacing w:after="0" w:line="124" w:lineRule="exact"/>
              <w:rPr>
                <w:sz w:val="20"/>
                <w:szCs w:val="20"/>
                <w:color w:val="auto"/>
              </w:rPr>
            </w:pPr>
            <w:r>
              <w:rPr>
                <w:rFonts w:ascii="Arial" w:cs="Arial" w:eastAsia="Arial" w:hAnsi="Arial"/>
                <w:sz w:val="12"/>
                <w:szCs w:val="12"/>
                <w:color w:val="auto"/>
              </w:rPr>
              <w:t>25,592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Hany Massarany</w:t>
            </w:r>
          </w:p>
        </w:tc>
        <w:tc>
          <w:tcPr>
            <w:tcW w:w="660" w:type="dxa"/>
            <w:vAlign w:val="bottom"/>
            <w:gridSpan w:val="2"/>
          </w:tcPr>
          <w:p>
            <w:pPr>
              <w:ind w:left="80"/>
              <w:spacing w:after="0"/>
              <w:rPr>
                <w:sz w:val="20"/>
                <w:szCs w:val="20"/>
                <w:color w:val="auto"/>
              </w:rPr>
            </w:pPr>
            <w:r>
              <w:rPr>
                <w:rFonts w:ascii="Arial" w:cs="Arial" w:eastAsia="Arial" w:hAnsi="Arial"/>
                <w:sz w:val="12"/>
                <w:szCs w:val="12"/>
                <w:color w:val="auto"/>
              </w:rPr>
              <w:t>20,348</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rPr>
              <w:t>6,468</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26,816</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John Patience</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rPr>
              <w:t>6,468</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6,468</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Jack Schuler</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rPr>
              <w:t>6,468</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6,468</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20"/>
                <w:szCs w:val="20"/>
                <w:color w:val="auto"/>
              </w:rPr>
            </w:pPr>
            <w:r>
              <w:rPr>
                <w:rFonts w:ascii="Arial" w:cs="Arial" w:eastAsia="Arial" w:hAnsi="Arial"/>
                <w:sz w:val="12"/>
                <w:szCs w:val="12"/>
                <w:color w:val="auto"/>
              </w:rPr>
              <w:t>Matthew Strobeck, Ph.D</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rPr>
              <w:t>6,468</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6,468</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20"/>
                <w:szCs w:val="20"/>
                <w:color w:val="auto"/>
              </w:rPr>
            </w:pPr>
            <w:r>
              <w:rPr>
                <w:rFonts w:ascii="Arial" w:cs="Arial" w:eastAsia="Arial" w:hAnsi="Arial"/>
                <w:sz w:val="12"/>
                <w:szCs w:val="12"/>
                <w:color w:val="auto"/>
              </w:rPr>
              <w:t>Charles M. Watts, M.D</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rPr>
              <w:t>6,468</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6,468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74295</wp:posOffset>
            </wp:positionV>
            <wp:extent cx="32385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23850" cy="5715"/>
                    </a:xfrm>
                    <a:prstGeom prst="rect">
                      <a:avLst/>
                    </a:prstGeom>
                    <a:noFill/>
                  </pic:spPr>
                </pic:pic>
              </a:graphicData>
            </a:graphic>
          </wp:anchor>
        </w:drawing>
      </w:r>
    </w:p>
    <w:p>
      <w:pPr>
        <w:spacing w:after="0" w:line="115" w:lineRule="exact"/>
        <w:rPr>
          <w:sz w:val="20"/>
          <w:szCs w:val="20"/>
          <w:color w:val="auto"/>
        </w:rPr>
      </w:pPr>
    </w:p>
    <w:p>
      <w:pPr>
        <w:ind w:left="2540" w:right="859" w:hanging="280"/>
        <w:spacing w:after="0" w:line="258" w:lineRule="auto"/>
        <w:tabs>
          <w:tab w:leader="none" w:pos="2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reported represent the aggregate grant date fair market value of the RSUs, calculated in accordance with FASB ASC Topic 718 based on the assumption that the value of each RSU was equal to $0.77.</w:t>
      </w:r>
    </w:p>
    <w:p>
      <w:pPr>
        <w:ind w:left="2540" w:right="879" w:hanging="280"/>
        <w:spacing w:after="0" w:line="253" w:lineRule="auto"/>
        <w:tabs>
          <w:tab w:leader="none" w:pos="25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14 of our audited financial statements included in the 2020 Form 10-K Report under “Item 8. Financial Statements and Supplementary Data” for the year ended December 31, 2020. These amounts do not correspond to the actual value that may be recognized by the non-employee directors upon exercise of the applicable awards.</w:t>
      </w:r>
    </w:p>
    <w:p>
      <w:pPr>
        <w:spacing w:after="0" w:line="83"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19</w:t>
            </w:r>
          </w:p>
        </w:tc>
      </w:tr>
    </w:tbl>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143FDD"/>
        </w:rPr>
        <w:t>EXECUTIVE COMPENSATION</w:t>
      </w:r>
    </w:p>
    <w:p>
      <w:pPr>
        <w:spacing w:after="0" w:line="236" w:lineRule="exact"/>
        <w:rPr>
          <w:sz w:val="20"/>
          <w:szCs w:val="20"/>
          <w:color w:val="auto"/>
        </w:rPr>
      </w:pPr>
    </w:p>
    <w:p>
      <w:pPr>
        <w:ind w:left="1980" w:right="859" w:firstLine="514"/>
        <w:spacing w:after="0" w:line="254" w:lineRule="auto"/>
        <w:rPr>
          <w:sz w:val="20"/>
          <w:szCs w:val="20"/>
          <w:color w:val="auto"/>
        </w:rPr>
      </w:pPr>
      <w:r>
        <w:rPr>
          <w:rFonts w:ascii="Arial" w:cs="Arial" w:eastAsia="Arial" w:hAnsi="Arial"/>
          <w:sz w:val="12"/>
          <w:szCs w:val="12"/>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Overview</w:t>
      </w:r>
    </w:p>
    <w:p>
      <w:pPr>
        <w:spacing w:after="0" w:line="76" w:lineRule="exact"/>
        <w:rPr>
          <w:sz w:val="20"/>
          <w:szCs w:val="20"/>
          <w:color w:val="auto"/>
        </w:rPr>
      </w:pPr>
    </w:p>
    <w:p>
      <w:pPr>
        <w:ind w:left="1980" w:right="1279" w:firstLine="294"/>
        <w:spacing w:after="0" w:line="263" w:lineRule="auto"/>
        <w:rPr>
          <w:sz w:val="20"/>
          <w:szCs w:val="20"/>
          <w:color w:val="auto"/>
        </w:rPr>
      </w:pPr>
      <w:r>
        <w:rPr>
          <w:rFonts w:ascii="Arial" w:cs="Arial" w:eastAsia="Arial" w:hAnsi="Arial"/>
          <w:sz w:val="12"/>
          <w:szCs w:val="12"/>
          <w:color w:val="auto"/>
        </w:rPr>
        <w:t>This section provides a discussion of the compensation paid or awarded to our Chief Executive Officer and our two other most highly compensated executive officers as of December 31, 2020. We refer to these individuals as our “named executive officers.” For 2020, our named executive officers were:</w:t>
      </w:r>
    </w:p>
    <w:p>
      <w:pPr>
        <w:spacing w:after="0" w:line="59" w:lineRule="exact"/>
        <w:rPr>
          <w:sz w:val="20"/>
          <w:szCs w:val="20"/>
          <w:color w:val="auto"/>
        </w:rPr>
      </w:pPr>
    </w:p>
    <w:p>
      <w:pPr>
        <w:ind w:left="2700" w:hanging="368"/>
        <w:spacing w:after="0"/>
        <w:tabs>
          <w:tab w:leader="none" w:pos="27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Scott Hutton, President and Chief Executive Officer;</w:t>
      </w:r>
    </w:p>
    <w:p>
      <w:pPr>
        <w:spacing w:after="0" w:line="87" w:lineRule="exact"/>
        <w:rPr>
          <w:rFonts w:ascii="Arial" w:cs="Arial" w:eastAsia="Arial" w:hAnsi="Arial"/>
          <w:sz w:val="12"/>
          <w:szCs w:val="12"/>
          <w:color w:val="auto"/>
        </w:rPr>
      </w:pPr>
    </w:p>
    <w:p>
      <w:pPr>
        <w:ind w:left="2700" w:hanging="368"/>
        <w:spacing w:after="0"/>
        <w:tabs>
          <w:tab w:leader="none" w:pos="27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Robin Harper Cowie, Chief Financial Officer, Secretary and Treasurer; and</w:t>
      </w:r>
    </w:p>
    <w:p>
      <w:pPr>
        <w:spacing w:after="0" w:line="87" w:lineRule="exact"/>
        <w:rPr>
          <w:rFonts w:ascii="Arial" w:cs="Arial" w:eastAsia="Arial" w:hAnsi="Arial"/>
          <w:sz w:val="12"/>
          <w:szCs w:val="12"/>
          <w:color w:val="auto"/>
        </w:rPr>
      </w:pPr>
    </w:p>
    <w:p>
      <w:pPr>
        <w:ind w:left="2700" w:hanging="368"/>
        <w:spacing w:after="0"/>
        <w:tabs>
          <w:tab w:leader="none" w:pos="27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Kieran O’Kane, Chief Commercial Officer.</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2020, the material elements of our executive compensation program were base salary, annual cash bonus and equity awards in the form of stock options.</w:t>
      </w:r>
    </w:p>
    <w:p>
      <w:pPr>
        <w:spacing w:after="0" w:line="117"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Performance-based, at risk and variable compensation in the form of annual cash bonuses and equity-based compensation is a significant portion of the overall compensation paid to each named executive officer. Our annual cash bonuses and performance-based stock options are earned or vest only upon the achievement of certain performance metrics. In addition, the value received from stock options (if any) depends on our stock price.</w:t>
      </w:r>
    </w:p>
    <w:p>
      <w:pPr>
        <w:spacing w:after="0" w:line="87" w:lineRule="exact"/>
        <w:rPr>
          <w:sz w:val="20"/>
          <w:szCs w:val="20"/>
          <w:color w:val="auto"/>
        </w:rPr>
      </w:pPr>
    </w:p>
    <w:p>
      <w:pPr>
        <w:ind w:left="1980" w:right="999" w:firstLine="294"/>
        <w:spacing w:after="0" w:line="289" w:lineRule="auto"/>
        <w:rPr>
          <w:sz w:val="20"/>
          <w:szCs w:val="20"/>
          <w:color w:val="auto"/>
        </w:rPr>
      </w:pPr>
      <w:r>
        <w:rPr>
          <w:rFonts w:ascii="Arial" w:cs="Arial" w:eastAsia="Arial" w:hAnsi="Arial"/>
          <w:sz w:val="11"/>
          <w:szCs w:val="11"/>
          <w:color w:val="auto"/>
        </w:rPr>
        <w:t>We expect that our executive compensation program will continue to evolve to reflect our recent status as a publicly-traded company, while still supporting our overall business and compensation objectives. The compensation committee of our board of directors oversees our executive compensation program. In addition, during the year ended December 31, 2020, the compensation committee retained an independent executive compensation consultant to advise us on the elements of our executive compensation program.</w:t>
      </w:r>
    </w:p>
    <w:p>
      <w:pPr>
        <w:spacing w:after="0" w:line="66"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20</w:t>
            </w:r>
          </w:p>
        </w:tc>
      </w:tr>
    </w:tbl>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Compensation of Named Executive Officers</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Base Salary</w:t>
      </w:r>
    </w:p>
    <w:p>
      <w:pPr>
        <w:spacing w:after="0" w:line="82"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2019 and December 31, 2020.</w:t>
      </w:r>
    </w:p>
    <w:p>
      <w:pPr>
        <w:spacing w:after="0" w:line="12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2020 annual base salaries in effect for Mr. Hutton and Ms. Harper Cowie through October 31, 2020 were $350,000 and $265,000, respectively, and as set forth in their offer letter agreements which are further described below, increased to $425,000 and $290,000, respectively, on November 1, 2020 following our initial public offering.</w:t>
      </w:r>
    </w:p>
    <w:p>
      <w:pPr>
        <w:spacing w:after="0" w:line="50"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The 2020 annual base salary in effect for Mr. O’Kane was $232,000 through February 28, 2020 and $240,000 effective March 1, 2020 for the remainder of the fiscal year.</w:t>
      </w:r>
    </w:p>
    <w:p>
      <w:pPr>
        <w:spacing w:after="0" w:line="43" w:lineRule="exact"/>
        <w:rPr>
          <w:sz w:val="20"/>
          <w:szCs w:val="20"/>
          <w:color w:val="auto"/>
        </w:rPr>
      </w:pPr>
    </w:p>
    <w:p>
      <w:pPr>
        <w:jc w:val="both"/>
        <w:ind w:left="1980" w:right="879" w:firstLine="294"/>
        <w:spacing w:after="0" w:line="340" w:lineRule="auto"/>
        <w:rPr>
          <w:sz w:val="20"/>
          <w:szCs w:val="20"/>
          <w:color w:val="auto"/>
        </w:rPr>
      </w:pPr>
      <w:r>
        <w:rPr>
          <w:rFonts w:ascii="Arial" w:cs="Arial" w:eastAsia="Arial" w:hAnsi="Arial"/>
          <w:sz w:val="10"/>
          <w:szCs w:val="10"/>
          <w:color w:val="auto"/>
        </w:rPr>
        <w:t>Effective March 1, 2021, our board of directors approved increases in Mr. Hutton’s, Ms. Harper Cowie’s and Mr. O’Kane’s annual base salaries to $515,000, $330,000 and $275,000, respectively. The March 2021 increases were set based on advice from the independent compensation consultant and were intended to ensure competitiveness when compared with public company base salaries for companies of commensurate size and complexity.</w:t>
      </w:r>
    </w:p>
    <w:p>
      <w:pPr>
        <w:spacing w:after="0" w:line="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Annual Cash Bonuses</w:t>
      </w:r>
    </w:p>
    <w:p>
      <w:pPr>
        <w:spacing w:after="0" w:line="82"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52"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Generally, our compensation committee establishes a Company-based performance metric as a threshold vesting criterion for any payouts for a particular annual bonus period. In determining bonus payouts, if any, the performance of our named executive officers with respect to individual performance goals established at the beginning of the applicable year is only considered if that metric is met or exceeded. For 2020, the compensation committee determined that the Company’s revenue would be the applicable Company-based metric, and at year end, measured actual revenue against targeted revenue, determined in accordance with U.S. GAAP.</w:t>
      </w:r>
    </w:p>
    <w:p>
      <w:pPr>
        <w:spacing w:after="0" w:line="56"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Mr. Hutton’s 2020 bonus target as a percentage of his annual base salary was 50% through October 31, 2020 and 100% from November 1, 2020 through the fiscal year end. Ms. Harper Cowie’s 2020 bonus target as a percentage of her annual base salary was 50% for the entire fiscal year.</w:t>
      </w:r>
    </w:p>
    <w:p>
      <w:pPr>
        <w:spacing w:after="0" w:line="1"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Mr. O’Kane’s 2020 bonus target as a percentage of his annual base salary was 20% through February 28, 2020 and 40% from March 1, 2020 through the fiscal year end. Based on our 2020 performance, our compensation committee determined, and our board of directors approved, payouts under our annual cash bonus program equal to approximately 150% of the target bonus opportunity.</w:t>
      </w:r>
    </w:p>
    <w:p>
      <w:pPr>
        <w:spacing w:after="0" w:line="5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Company’s bonus-to options program permits eligible executives, including each of our named executive officers, to elect to receive a portion of the annual bonus earned during a particular year in the form of an option award (“bonus-to-options awards”), subject to certain limitations on the total number of bonus-to-options awards that may be granted for a year. The bonus-to-option awards, if any, are fully vested at grant and have an exercise price equal to the fair market value of our common stock on grant date. The bonus-to-options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85"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21</w:t>
            </w:r>
          </w:p>
        </w:tc>
      </w:tr>
    </w:tbl>
    <w:p>
      <w:pPr>
        <w:sectPr>
          <w:pgSz w:w="11900" w:h="16838" w:orient="portrait"/>
          <w:cols w:equalWidth="0" w:num="1">
            <w:col w:w="10159"/>
          </w:cols>
          <w:pgMar w:left="300" w:top="354"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Pursuant to each named executive officers’ elections made in 2019, Mr. Hutton, Ms. Harper Cowie and Mr. O’Kane each received portions of their respective annual bonuses in the form of a bonus-to-options award instead of in cash. The number of shares of the Company’s common stock subject to each bonus-to-options award was determined by multiplying the cash value of the bonus election to be received in the form of an option award by four, and then dividing the product of that calculation by $8.38 (the Company’s average share price during 2020, calculated based on (i) for January 1, 2020 through October 27, 2020, the then current value per share of preferred stock, as adjusted to take into account the reverse stock split that occurred in 2020, and (ii) for October 28, 2020 through December 31, 2020, the closing price of our publicly traded common stock). This methodology represents an equitable adjustment by the board of directors of the formula under the bonus-to-options program to take into account the impact of our initial public offering on our securities and prevent the dilution or enlargement of rights under the program. Accordingly, each of Mr. Hutton, Ms. Harper Cowie and Mr. O’Kane received a payout under the 2020 annual cash bonus program in cash and a bonus-to-options award, as illustrated below:</w:t>
      </w:r>
    </w:p>
    <w:p>
      <w:pPr>
        <w:spacing w:after="0" w:line="173" w:lineRule="exact"/>
        <w:rPr>
          <w:sz w:val="20"/>
          <w:szCs w:val="20"/>
          <w:color w:val="auto"/>
        </w:rPr>
      </w:pPr>
    </w:p>
    <w:tbl>
      <w:tblPr>
        <w:tblLayout w:type="fixed"/>
        <w:tblInd w:w="2870" w:type="dxa"/>
        <w:tblCellMar>
          <w:top w:w="0" w:type="dxa"/>
          <w:left w:w="0" w:type="dxa"/>
          <w:bottom w:w="0" w:type="dxa"/>
          <w:right w:w="0" w:type="dxa"/>
        </w:tblCellMar>
      </w:tblPr>
      <w:tr>
        <w:trPr>
          <w:trHeight w:val="94"/>
        </w:trPr>
        <w:tc>
          <w:tcPr>
            <w:tcW w:w="1620" w:type="dxa"/>
            <w:vAlign w:val="bottom"/>
            <w:tcBorders>
              <w:top w:val="single" w:sz="8" w:color="auto"/>
              <w:left w:val="single" w:sz="8" w:color="auto"/>
              <w:right w:val="single" w:sz="8" w:color="auto"/>
            </w:tcBorders>
            <w:shd w:val="clear" w:color="auto" w:fill="D8D8D8"/>
          </w:tcPr>
          <w:p>
            <w:pPr>
              <w:ind w:left="720"/>
              <w:spacing w:after="0" w:line="94" w:lineRule="exact"/>
              <w:rPr>
                <w:sz w:val="20"/>
                <w:szCs w:val="20"/>
                <w:color w:val="auto"/>
              </w:rPr>
            </w:pPr>
            <w:r>
              <w:rPr>
                <w:rFonts w:ascii="Arial" w:cs="Arial" w:eastAsia="Arial" w:hAnsi="Arial"/>
                <w:sz w:val="10"/>
                <w:szCs w:val="10"/>
                <w:b w:val="1"/>
                <w:bCs w:val="1"/>
                <w:color w:val="auto"/>
              </w:rPr>
              <w:t>Name</w:t>
            </w:r>
          </w:p>
        </w:tc>
        <w:tc>
          <w:tcPr>
            <w:tcW w:w="1680" w:type="dxa"/>
            <w:vAlign w:val="bottom"/>
            <w:tcBorders>
              <w:top w:val="single" w:sz="8" w:color="auto"/>
              <w:right w:val="single" w:sz="8" w:color="auto"/>
            </w:tcBorders>
            <w:shd w:val="clear" w:color="auto" w:fill="D8D8D8"/>
          </w:tcPr>
          <w:p>
            <w:pPr>
              <w:jc w:val="right"/>
              <w:ind w:right="652"/>
              <w:spacing w:after="0" w:line="94" w:lineRule="exact"/>
              <w:rPr>
                <w:sz w:val="20"/>
                <w:szCs w:val="20"/>
                <w:color w:val="auto"/>
              </w:rPr>
            </w:pPr>
            <w:r>
              <w:rPr>
                <w:rFonts w:ascii="Arial" w:cs="Arial" w:eastAsia="Arial" w:hAnsi="Arial"/>
                <w:sz w:val="10"/>
                <w:szCs w:val="10"/>
                <w:b w:val="1"/>
                <w:bCs w:val="1"/>
                <w:color w:val="auto"/>
              </w:rPr>
              <w:t>Incentive</w:t>
            </w:r>
          </w:p>
        </w:tc>
        <w:tc>
          <w:tcPr>
            <w:tcW w:w="2300" w:type="dxa"/>
            <w:vAlign w:val="bottom"/>
            <w:tcBorders>
              <w:top w:val="single" w:sz="8" w:color="auto"/>
              <w:right w:val="single" w:sz="8" w:color="auto"/>
            </w:tcBorders>
            <w:shd w:val="clear" w:color="auto" w:fill="D8D8D8"/>
          </w:tcPr>
          <w:p>
            <w:pPr>
              <w:jc w:val="right"/>
              <w:ind w:right="632"/>
              <w:spacing w:after="0" w:line="94" w:lineRule="exact"/>
              <w:rPr>
                <w:sz w:val="20"/>
                <w:szCs w:val="20"/>
                <w:color w:val="auto"/>
              </w:rPr>
            </w:pPr>
            <w:r>
              <w:rPr>
                <w:rFonts w:ascii="Arial" w:cs="Arial" w:eastAsia="Arial" w:hAnsi="Arial"/>
                <w:sz w:val="10"/>
                <w:szCs w:val="10"/>
                <w:b w:val="1"/>
                <w:bCs w:val="1"/>
                <w:color w:val="auto"/>
              </w:rPr>
              <w:t>Shares Subject to Bonus-</w:t>
            </w:r>
          </w:p>
        </w:tc>
      </w:tr>
      <w:tr>
        <w:trPr>
          <w:trHeight w:val="122"/>
        </w:trPr>
        <w:tc>
          <w:tcPr>
            <w:tcW w:w="1620" w:type="dxa"/>
            <w:vAlign w:val="bottom"/>
            <w:tcBorders>
              <w:left w:val="single" w:sz="8" w:color="auto"/>
              <w:bottom w:val="single" w:sz="8" w:color="auto"/>
              <w:right w:val="single" w:sz="8" w:color="auto"/>
            </w:tcBorders>
            <w:shd w:val="clear" w:color="auto" w:fill="D8D8D8"/>
          </w:tcPr>
          <w:p>
            <w:pPr>
              <w:spacing w:after="0"/>
              <w:rPr>
                <w:sz w:val="10"/>
                <w:szCs w:val="10"/>
                <w:color w:val="auto"/>
              </w:rPr>
            </w:pPr>
          </w:p>
        </w:tc>
        <w:tc>
          <w:tcPr>
            <w:tcW w:w="1680" w:type="dxa"/>
            <w:vAlign w:val="bottom"/>
            <w:tcBorders>
              <w:bottom w:val="single" w:sz="8" w:color="auto"/>
              <w:right w:val="single" w:sz="8" w:color="auto"/>
            </w:tcBorders>
            <w:shd w:val="clear" w:color="auto" w:fill="D8D8D8"/>
          </w:tcPr>
          <w:p>
            <w:pPr>
              <w:jc w:val="right"/>
              <w:ind w:right="572"/>
              <w:spacing w:after="0"/>
              <w:rPr>
                <w:sz w:val="20"/>
                <w:szCs w:val="20"/>
                <w:color w:val="auto"/>
              </w:rPr>
            </w:pPr>
            <w:r>
              <w:rPr>
                <w:rFonts w:ascii="Arial" w:cs="Arial" w:eastAsia="Arial" w:hAnsi="Arial"/>
                <w:sz w:val="10"/>
                <w:szCs w:val="10"/>
                <w:b w:val="1"/>
                <w:bCs w:val="1"/>
                <w:color w:val="auto"/>
              </w:rPr>
              <w:t>Cash Payout</w:t>
            </w:r>
          </w:p>
        </w:tc>
        <w:tc>
          <w:tcPr>
            <w:tcW w:w="2300" w:type="dxa"/>
            <w:vAlign w:val="bottom"/>
            <w:tcBorders>
              <w:bottom w:val="single" w:sz="8" w:color="auto"/>
              <w:right w:val="single" w:sz="8" w:color="auto"/>
            </w:tcBorders>
            <w:shd w:val="clear" w:color="auto" w:fill="D8D8D8"/>
          </w:tcPr>
          <w:p>
            <w:pPr>
              <w:jc w:val="right"/>
              <w:ind w:right="792"/>
              <w:spacing w:after="0"/>
              <w:rPr>
                <w:sz w:val="20"/>
                <w:szCs w:val="20"/>
                <w:color w:val="auto"/>
              </w:rPr>
            </w:pPr>
            <w:r>
              <w:rPr>
                <w:rFonts w:ascii="Arial" w:cs="Arial" w:eastAsia="Arial" w:hAnsi="Arial"/>
                <w:sz w:val="10"/>
                <w:szCs w:val="10"/>
                <w:b w:val="1"/>
                <w:bCs w:val="1"/>
                <w:color w:val="auto"/>
              </w:rPr>
              <w:t>to-Option Award</w:t>
            </w:r>
          </w:p>
        </w:tc>
      </w:tr>
      <w:tr>
        <w:trPr>
          <w:trHeight w:val="88"/>
        </w:trPr>
        <w:tc>
          <w:tcPr>
            <w:tcW w:w="162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Scott Hutton</w:t>
            </w:r>
          </w:p>
        </w:tc>
        <w:tc>
          <w:tcPr>
            <w:tcW w:w="1680" w:type="dxa"/>
            <w:vAlign w:val="bottom"/>
            <w:tcBorders>
              <w:bottom w:val="single" w:sz="8" w:color="auto"/>
              <w:right w:val="single" w:sz="8" w:color="auto"/>
            </w:tcBorders>
          </w:tcPr>
          <w:p>
            <w:pPr>
              <w:jc w:val="right"/>
              <w:ind w:right="572"/>
              <w:spacing w:after="0" w:line="88" w:lineRule="exact"/>
              <w:rPr>
                <w:sz w:val="20"/>
                <w:szCs w:val="20"/>
                <w:color w:val="auto"/>
              </w:rPr>
            </w:pPr>
            <w:r>
              <w:rPr>
                <w:rFonts w:ascii="Arial" w:cs="Arial" w:eastAsia="Arial" w:hAnsi="Arial"/>
                <w:sz w:val="10"/>
                <w:szCs w:val="10"/>
                <w:color w:val="auto"/>
              </w:rPr>
              <w:t>$167,636</w:t>
            </w:r>
          </w:p>
        </w:tc>
        <w:tc>
          <w:tcPr>
            <w:tcW w:w="2300" w:type="dxa"/>
            <w:vAlign w:val="bottom"/>
            <w:tcBorders>
              <w:bottom w:val="single" w:sz="8" w:color="auto"/>
              <w:right w:val="single" w:sz="8" w:color="auto"/>
            </w:tcBorders>
          </w:tcPr>
          <w:p>
            <w:pPr>
              <w:jc w:val="right"/>
              <w:ind w:right="632"/>
              <w:spacing w:after="0" w:line="88" w:lineRule="exact"/>
              <w:rPr>
                <w:sz w:val="20"/>
                <w:szCs w:val="20"/>
                <w:color w:val="auto"/>
              </w:rPr>
            </w:pPr>
            <w:r>
              <w:rPr>
                <w:rFonts w:ascii="Arial" w:cs="Arial" w:eastAsia="Arial" w:hAnsi="Arial"/>
                <w:sz w:val="10"/>
                <w:szCs w:val="10"/>
                <w:color w:val="auto"/>
              </w:rPr>
              <w:t>75,195</w:t>
            </w:r>
          </w:p>
        </w:tc>
      </w:tr>
      <w:tr>
        <w:trPr>
          <w:trHeight w:val="88"/>
        </w:trPr>
        <w:tc>
          <w:tcPr>
            <w:tcW w:w="162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Robin Harper Cowie</w:t>
            </w:r>
          </w:p>
        </w:tc>
        <w:tc>
          <w:tcPr>
            <w:tcW w:w="1680" w:type="dxa"/>
            <w:vAlign w:val="bottom"/>
            <w:tcBorders>
              <w:bottom w:val="single" w:sz="8" w:color="auto"/>
              <w:right w:val="single" w:sz="8" w:color="auto"/>
            </w:tcBorders>
          </w:tcPr>
          <w:p>
            <w:pPr>
              <w:jc w:val="right"/>
              <w:ind w:right="572"/>
              <w:spacing w:after="0" w:line="88" w:lineRule="exact"/>
              <w:rPr>
                <w:sz w:val="20"/>
                <w:szCs w:val="20"/>
                <w:color w:val="auto"/>
              </w:rPr>
            </w:pPr>
            <w:r>
              <w:rPr>
                <w:rFonts w:ascii="Arial" w:cs="Arial" w:eastAsia="Arial" w:hAnsi="Arial"/>
                <w:sz w:val="10"/>
                <w:szCs w:val="10"/>
                <w:color w:val="auto"/>
              </w:rPr>
              <w:t>$104,077</w:t>
            </w:r>
          </w:p>
        </w:tc>
        <w:tc>
          <w:tcPr>
            <w:tcW w:w="2300" w:type="dxa"/>
            <w:vAlign w:val="bottom"/>
            <w:tcBorders>
              <w:bottom w:val="single" w:sz="8" w:color="auto"/>
              <w:right w:val="single" w:sz="8" w:color="auto"/>
            </w:tcBorders>
          </w:tcPr>
          <w:p>
            <w:pPr>
              <w:jc w:val="right"/>
              <w:ind w:right="632"/>
              <w:spacing w:after="0" w:line="88" w:lineRule="exact"/>
              <w:rPr>
                <w:sz w:val="20"/>
                <w:szCs w:val="20"/>
                <w:color w:val="auto"/>
              </w:rPr>
            </w:pPr>
            <w:r>
              <w:rPr>
                <w:rFonts w:ascii="Arial" w:cs="Arial" w:eastAsia="Arial" w:hAnsi="Arial"/>
                <w:sz w:val="10"/>
                <w:szCs w:val="10"/>
                <w:color w:val="auto"/>
              </w:rPr>
              <w:t>46,685</w:t>
            </w:r>
          </w:p>
        </w:tc>
      </w:tr>
      <w:tr>
        <w:trPr>
          <w:trHeight w:val="88"/>
        </w:trPr>
        <w:tc>
          <w:tcPr>
            <w:tcW w:w="1620" w:type="dxa"/>
            <w:vAlign w:val="bottom"/>
            <w:tcBorders>
              <w:left w:val="single" w:sz="8" w:color="auto"/>
              <w:bottom w:val="single" w:sz="8" w:color="auto"/>
              <w:right w:val="single" w:sz="8" w:color="auto"/>
            </w:tcBorders>
          </w:tcPr>
          <w:p>
            <w:pPr>
              <w:ind w:left="100"/>
              <w:spacing w:after="0" w:line="88" w:lineRule="exact"/>
              <w:rPr>
                <w:sz w:val="20"/>
                <w:szCs w:val="20"/>
                <w:color w:val="auto"/>
              </w:rPr>
            </w:pPr>
            <w:r>
              <w:rPr>
                <w:rFonts w:ascii="Arial" w:cs="Arial" w:eastAsia="Arial" w:hAnsi="Arial"/>
                <w:sz w:val="10"/>
                <w:szCs w:val="10"/>
                <w:color w:val="auto"/>
              </w:rPr>
              <w:t>Kieran O’Kane</w:t>
            </w:r>
          </w:p>
        </w:tc>
        <w:tc>
          <w:tcPr>
            <w:tcW w:w="1680" w:type="dxa"/>
            <w:vAlign w:val="bottom"/>
            <w:tcBorders>
              <w:bottom w:val="single" w:sz="8" w:color="auto"/>
              <w:right w:val="single" w:sz="8" w:color="auto"/>
            </w:tcBorders>
          </w:tcPr>
          <w:p>
            <w:pPr>
              <w:jc w:val="right"/>
              <w:ind w:right="572"/>
              <w:spacing w:after="0" w:line="88" w:lineRule="exact"/>
              <w:rPr>
                <w:sz w:val="20"/>
                <w:szCs w:val="20"/>
                <w:color w:val="auto"/>
              </w:rPr>
            </w:pPr>
            <w:r>
              <w:rPr>
                <w:rFonts w:ascii="Arial" w:cs="Arial" w:eastAsia="Arial" w:hAnsi="Arial"/>
                <w:sz w:val="10"/>
                <w:szCs w:val="10"/>
                <w:color w:val="auto"/>
              </w:rPr>
              <w:t>$68,142</w:t>
            </w:r>
          </w:p>
        </w:tc>
        <w:tc>
          <w:tcPr>
            <w:tcW w:w="2300" w:type="dxa"/>
            <w:vAlign w:val="bottom"/>
            <w:tcBorders>
              <w:bottom w:val="single" w:sz="8" w:color="auto"/>
              <w:right w:val="single" w:sz="8" w:color="auto"/>
            </w:tcBorders>
          </w:tcPr>
          <w:p>
            <w:pPr>
              <w:jc w:val="right"/>
              <w:ind w:right="632"/>
              <w:spacing w:after="0" w:line="88" w:lineRule="exact"/>
              <w:rPr>
                <w:sz w:val="20"/>
                <w:szCs w:val="20"/>
                <w:color w:val="auto"/>
              </w:rPr>
            </w:pPr>
            <w:r>
              <w:rPr>
                <w:rFonts w:ascii="Arial" w:cs="Arial" w:eastAsia="Arial" w:hAnsi="Arial"/>
                <w:sz w:val="10"/>
                <w:szCs w:val="10"/>
                <w:color w:val="auto"/>
              </w:rPr>
              <w:t>30,566</w:t>
            </w:r>
          </w:p>
        </w:tc>
      </w:tr>
    </w:tbl>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Equity Awards</w:t>
      </w:r>
    </w:p>
    <w:p>
      <w:pPr>
        <w:spacing w:after="0" w:line="8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To further align the interests of our executive officers with the interests of our stockholders and to further focus our executive officers on our long-term performance, we have historically granted equity compensation in the form of stock options.</w:t>
      </w:r>
    </w:p>
    <w:p>
      <w:pPr>
        <w:spacing w:after="0" w:line="4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the year ended December 31, 2020, the board of directors awarded Mr. Hutton, Ms. Harper Cowie and Mr. O’Kane stock options (“time-vested options”) representing the right to purchase 151,617, 30,323, and 26,953 shares of our common stock, respectively, on a five-year vesting schedule. The 2020 time-vested options vest in a series of 60 successive, equal monthly installments measured from the vesting commencement date, subject to continued service through the applicable vesting date.</w:t>
      </w:r>
    </w:p>
    <w:p>
      <w:pPr>
        <w:spacing w:after="0" w:line="52"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the year ended December 31, 2019, the board of directors awarded Mr. Hutton and Ms. Harper Cowie time-vested options representing the right to purchase 42,116 and 35,377 shares of our common stock, respectively, also on a five- year vesting schedule. Mr. O’Kane was not a named executive officer for fiscal 2019. Under the original terms of the 2019 time-vested options granted to Mr. Hutton and Ms. Harper Cowie, two fifths of the time-vested options would have vested on the second anniversary of the vesting commencement date, with the remaining balance vesting in a series of 36 successive equal monthly installments measured from the second anniversary of the vesting commencement date, subject to the award recipient’s continued service through the applicable vesting date. In September 2020, the board of directors amended the 2019 time-vested options such that 21/60 of the time-vested options vested on the date that was 21 months after the vesting commencement date, with the remaining balance vesting in a series of 39 successive equal monthly installments measured from such date, subject to the award recipient’s continued service through the applicable vesting date.</w:t>
      </w:r>
    </w:p>
    <w:p>
      <w:pPr>
        <w:spacing w:after="0" w:line="59"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In the year ended December 31, 2019, the board of directors also awarded Mr. Hutton and Ms. Harper Cowie performance-based stock options (“performance-vested options”) representing the right to purchase 25,269, and 17,688 shares of our common stock, respectively, on a three-year vesting schedule subject to the achievement of applicable performance criteria. One third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w:t>
      </w:r>
    </w:p>
    <w:p>
      <w:pPr>
        <w:spacing w:after="0" w:line="2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Mr. O’Kane did not become eligible for a grant of performance-vested options until April 2020, at which time he was granted stock options representing the right to purchase 8,423 shares of our common stock. One half of the performance-vested options granted to Mr. O’Kane vest after each of the first (2020 tranche) and second</w:t>
      </w:r>
    </w:p>
    <w:p>
      <w:pPr>
        <w:spacing w:after="0" w:line="7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22</w:t>
            </w:r>
          </w:p>
        </w:tc>
      </w:tr>
    </w:tbl>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(2021 tranche) anniversaries of the vesting commencement date, subject to the achievement of the same performance criteria described above for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2020 and 2021 tranches of Mr. Hutton’s and Ms. Harper Cowie’s performance-vested options.</w:t>
      </w:r>
    </w:p>
    <w:p>
      <w:pPr>
        <w:spacing w:after="0" w:line="69" w:lineRule="exact"/>
        <w:rPr>
          <w:sz w:val="20"/>
          <w:szCs w:val="20"/>
          <w:color w:val="auto"/>
        </w:rPr>
      </w:pPr>
    </w:p>
    <w:p>
      <w:pPr>
        <w:jc w:val="both"/>
        <w:ind w:left="1980" w:right="939" w:firstLine="294"/>
        <w:spacing w:after="0" w:line="320" w:lineRule="auto"/>
        <w:rPr>
          <w:sz w:val="20"/>
          <w:szCs w:val="20"/>
          <w:color w:val="auto"/>
        </w:rPr>
      </w:pPr>
      <w:r>
        <w:rPr>
          <w:rFonts w:ascii="Arial" w:cs="Arial" w:eastAsia="Arial" w:hAnsi="Arial"/>
          <w:sz w:val="10"/>
          <w:szCs w:val="10"/>
          <w:color w:val="auto"/>
        </w:rPr>
        <w:t>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At the time of such amendment, the Board believed that the achievement of the amended performance hurdles remained uncertain, and struck the appropriate balance of ambitious and attainable.</w:t>
      </w:r>
    </w:p>
    <w:p>
      <w:pPr>
        <w:spacing w:after="0" w:line="25" w:lineRule="exact"/>
        <w:rPr>
          <w:sz w:val="20"/>
          <w:szCs w:val="20"/>
          <w:color w:val="auto"/>
        </w:rPr>
      </w:pPr>
    </w:p>
    <w:p>
      <w:pPr>
        <w:jc w:val="both"/>
        <w:ind w:left="1980" w:right="939" w:firstLine="294"/>
        <w:spacing w:after="0" w:line="309" w:lineRule="auto"/>
        <w:rPr>
          <w:sz w:val="20"/>
          <w:szCs w:val="20"/>
          <w:color w:val="auto"/>
        </w:rPr>
      </w:pPr>
      <w:r>
        <w:rPr>
          <w:rFonts w:ascii="Arial" w:cs="Arial" w:eastAsia="Arial" w:hAnsi="Arial"/>
          <w:sz w:val="10"/>
          <w:szCs w:val="10"/>
          <w:color w:val="auto"/>
        </w:rPr>
        <w:t>The board of directors retains ultimate discretion to determine whether such performance hurdles have been met. For the 2019 tranche, the board of directors determined that the performance hurdles were not met and, consistent with our pay for performance philosophy, one third of each of</w:t>
      </w:r>
    </w:p>
    <w:p>
      <w:pPr>
        <w:spacing w:after="0" w:line="1" w:lineRule="exact"/>
        <w:rPr>
          <w:sz w:val="20"/>
          <w:szCs w:val="20"/>
          <w:color w:val="auto"/>
        </w:rPr>
      </w:pPr>
    </w:p>
    <w:p>
      <w:pPr>
        <w:jc w:val="both"/>
        <w:ind w:left="1980" w:right="859"/>
        <w:spacing w:after="0" w:line="255" w:lineRule="auto"/>
        <w:rPr>
          <w:sz w:val="20"/>
          <w:szCs w:val="20"/>
          <w:color w:val="auto"/>
        </w:rPr>
      </w:pPr>
      <w:r>
        <w:rPr>
          <w:rFonts w:ascii="Arial" w:cs="Arial" w:eastAsia="Arial" w:hAnsi="Arial"/>
          <w:sz w:val="12"/>
          <w:szCs w:val="12"/>
          <w:color w:val="auto"/>
        </w:rPr>
        <w:t>Mr. Hutton’s and Ms. Harper Cowie’s performance-vested option award was therefore cancelled. For the 2020 tranche, the board of directors determined that the performance hurdles were met and one third of each of Mr. Hutton’s and Ms. Harper Cowie’s and one half of Mr. O’Kane’s performance-vested option award became fully vested and exercisable.</w:t>
      </w:r>
    </w:p>
    <w:p>
      <w:pPr>
        <w:spacing w:after="0" w:line="5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the compensation committee awarded Mr. Hutton, Ms. Harper Cowie and Mr. O’Kane bonus-to-options awards representing the right to purchase 75,195, 46,685 and 30,566 shares of our common stock, respectively. Such awards relate to achievement of performance metrics under the 2020 annual cash bonus program as determined in February of 2021, at which time the bonus-to-options awards were approved. See the section titled “Annual Cash Bonuses,” above.</w:t>
      </w:r>
    </w:p>
    <w:p>
      <w:pPr>
        <w:spacing w:after="0" w:line="52" w:lineRule="exact"/>
        <w:rPr>
          <w:sz w:val="20"/>
          <w:szCs w:val="20"/>
          <w:color w:val="auto"/>
        </w:rPr>
      </w:pPr>
    </w:p>
    <w:p>
      <w:pPr>
        <w:ind w:left="1980" w:right="939" w:firstLine="514"/>
        <w:spacing w:after="0" w:line="276" w:lineRule="auto"/>
        <w:rPr>
          <w:sz w:val="20"/>
          <w:szCs w:val="20"/>
          <w:color w:val="auto"/>
        </w:rPr>
      </w:pPr>
      <w:r>
        <w:rPr>
          <w:rFonts w:ascii="Arial" w:cs="Arial" w:eastAsia="Arial" w:hAnsi="Arial"/>
          <w:sz w:val="12"/>
          <w:szCs w:val="12"/>
          <w:color w:val="auto"/>
        </w:rPr>
        <w:t>Please see “Outstanding Equity Awards at Fiscal 2020 Year-End” below for a summary of the outstanding equity awards held by each of the named executive officers as of 2020 year-end.</w:t>
      </w:r>
    </w:p>
    <w:p>
      <w:pPr>
        <w:spacing w:after="0" w:line="43" w:lineRule="exact"/>
        <w:rPr>
          <w:sz w:val="20"/>
          <w:szCs w:val="20"/>
          <w:color w:val="auto"/>
        </w:rPr>
      </w:pPr>
    </w:p>
    <w:p>
      <w:pPr>
        <w:ind w:left="2120"/>
        <w:spacing w:after="0"/>
        <w:rPr>
          <w:sz w:val="20"/>
          <w:szCs w:val="20"/>
          <w:color w:val="auto"/>
        </w:rPr>
      </w:pPr>
      <w:r>
        <w:rPr>
          <w:rFonts w:ascii="Arial" w:cs="Arial" w:eastAsia="Arial" w:hAnsi="Arial"/>
          <w:sz w:val="12"/>
          <w:szCs w:val="12"/>
          <w:b w:val="1"/>
          <w:bCs w:val="1"/>
          <w:i w:val="1"/>
          <w:iCs w:val="1"/>
          <w:color w:val="auto"/>
        </w:rPr>
        <w:t>Discretionary Bonus</w:t>
      </w:r>
    </w:p>
    <w:p>
      <w:pPr>
        <w:spacing w:after="0" w:line="78"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Mr. O’Kane was awarded a discretionary Excellence Award during 2020, which is a recognition award presented annually to selected team members for excellence in contributions to the Company. As an award recipient, Mr. O’Kane received a cash bonus of $2,000.</w:t>
      </w:r>
    </w:p>
    <w:p>
      <w:pPr>
        <w:spacing w:after="0" w:line="4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23</w:t>
            </w:r>
          </w:p>
        </w:tc>
      </w:tr>
    </w:tbl>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2020 Summary Compensation Table</w:t>
      </w:r>
    </w:p>
    <w:p>
      <w:pPr>
        <w:spacing w:after="0" w:line="7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during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5915660</wp:posOffset>
            </wp:positionH>
            <wp:positionV relativeFrom="paragraph">
              <wp:posOffset>193040</wp:posOffset>
            </wp:positionV>
            <wp:extent cx="571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204470</wp:posOffset>
            </wp:positionV>
            <wp:extent cx="571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215900</wp:posOffset>
            </wp:positionV>
            <wp:extent cx="571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227330</wp:posOffset>
            </wp:positionV>
            <wp:extent cx="571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238760</wp:posOffset>
            </wp:positionV>
            <wp:extent cx="571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250190</wp:posOffset>
            </wp:positionV>
            <wp:extent cx="571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261620</wp:posOffset>
            </wp:positionV>
            <wp:extent cx="571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193040</wp:posOffset>
            </wp:positionV>
            <wp:extent cx="571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204470</wp:posOffset>
            </wp:positionV>
            <wp:extent cx="571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215900</wp:posOffset>
            </wp:positionV>
            <wp:extent cx="571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227330</wp:posOffset>
            </wp:positionV>
            <wp:extent cx="571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238760</wp:posOffset>
            </wp:positionV>
            <wp:extent cx="5715"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250190</wp:posOffset>
            </wp:positionV>
            <wp:extent cx="571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261620</wp:posOffset>
            </wp:positionV>
            <wp:extent cx="571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193040</wp:posOffset>
            </wp:positionV>
            <wp:extent cx="571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204470</wp:posOffset>
            </wp:positionV>
            <wp:extent cx="5715"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215900</wp:posOffset>
            </wp:positionV>
            <wp:extent cx="571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227330</wp:posOffset>
            </wp:positionV>
            <wp:extent cx="5715"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238760</wp:posOffset>
            </wp:positionV>
            <wp:extent cx="571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250190</wp:posOffset>
            </wp:positionV>
            <wp:extent cx="571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261620</wp:posOffset>
            </wp:positionV>
            <wp:extent cx="571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193040</wp:posOffset>
            </wp:positionV>
            <wp:extent cx="571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204470</wp:posOffset>
            </wp:positionV>
            <wp:extent cx="571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215900</wp:posOffset>
            </wp:positionV>
            <wp:extent cx="5715"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227330</wp:posOffset>
            </wp:positionV>
            <wp:extent cx="571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238760</wp:posOffset>
            </wp:positionV>
            <wp:extent cx="5715"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250190</wp:posOffset>
            </wp:positionV>
            <wp:extent cx="571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261620</wp:posOffset>
            </wp:positionV>
            <wp:extent cx="571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193040</wp:posOffset>
            </wp:positionV>
            <wp:extent cx="571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204470</wp:posOffset>
            </wp:positionV>
            <wp:extent cx="571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215900</wp:posOffset>
            </wp:positionV>
            <wp:extent cx="571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227330</wp:posOffset>
            </wp:positionV>
            <wp:extent cx="571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238760</wp:posOffset>
            </wp:positionV>
            <wp:extent cx="571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250190</wp:posOffset>
            </wp:positionV>
            <wp:extent cx="571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261620</wp:posOffset>
            </wp:positionV>
            <wp:extent cx="571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193040</wp:posOffset>
            </wp:positionV>
            <wp:extent cx="5715"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204470</wp:posOffset>
            </wp:positionV>
            <wp:extent cx="571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215900</wp:posOffset>
            </wp:positionV>
            <wp:extent cx="5715"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227330</wp:posOffset>
            </wp:positionV>
            <wp:extent cx="571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238760</wp:posOffset>
            </wp:positionV>
            <wp:extent cx="571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250190</wp:posOffset>
            </wp:positionV>
            <wp:extent cx="571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261620</wp:posOffset>
            </wp:positionV>
            <wp:extent cx="571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193040</wp:posOffset>
            </wp:positionV>
            <wp:extent cx="571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204470</wp:posOffset>
            </wp:positionV>
            <wp:extent cx="571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215900</wp:posOffset>
            </wp:positionV>
            <wp:extent cx="571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227330</wp:posOffset>
            </wp:positionV>
            <wp:extent cx="571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238760</wp:posOffset>
            </wp:positionV>
            <wp:extent cx="571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250190</wp:posOffset>
            </wp:positionV>
            <wp:extent cx="571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261620</wp:posOffset>
            </wp:positionV>
            <wp:extent cx="571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193040</wp:posOffset>
            </wp:positionV>
            <wp:extent cx="571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204470</wp:posOffset>
            </wp:positionV>
            <wp:extent cx="571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215900</wp:posOffset>
            </wp:positionV>
            <wp:extent cx="571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227330</wp:posOffset>
            </wp:positionV>
            <wp:extent cx="5715"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238760</wp:posOffset>
            </wp:positionV>
            <wp:extent cx="5715"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250190</wp:posOffset>
            </wp:positionV>
            <wp:extent cx="5715"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261620</wp:posOffset>
            </wp:positionV>
            <wp:extent cx="5715"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193040</wp:posOffset>
            </wp:positionV>
            <wp:extent cx="5715"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204470</wp:posOffset>
            </wp:positionV>
            <wp:extent cx="571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215900</wp:posOffset>
            </wp:positionV>
            <wp:extent cx="571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227330</wp:posOffset>
            </wp:positionV>
            <wp:extent cx="571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238760</wp:posOffset>
            </wp:positionV>
            <wp:extent cx="5715"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250190</wp:posOffset>
            </wp:positionV>
            <wp:extent cx="5715"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261620</wp:posOffset>
            </wp:positionV>
            <wp:extent cx="571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107315</wp:posOffset>
            </wp:positionV>
            <wp:extent cx="5715"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118745</wp:posOffset>
            </wp:positionV>
            <wp:extent cx="571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130175</wp:posOffset>
            </wp:positionV>
            <wp:extent cx="571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141605</wp:posOffset>
            </wp:positionV>
            <wp:extent cx="571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153035</wp:posOffset>
            </wp:positionV>
            <wp:extent cx="571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164465</wp:posOffset>
            </wp:positionV>
            <wp:extent cx="571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175895</wp:posOffset>
            </wp:positionV>
            <wp:extent cx="5715" cy="114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107315</wp:posOffset>
            </wp:positionV>
            <wp:extent cx="571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118745</wp:posOffset>
            </wp:positionV>
            <wp:extent cx="571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130175</wp:posOffset>
            </wp:positionV>
            <wp:extent cx="57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141605</wp:posOffset>
            </wp:positionV>
            <wp:extent cx="571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153035</wp:posOffset>
            </wp:positionV>
            <wp:extent cx="571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164465</wp:posOffset>
            </wp:positionV>
            <wp:extent cx="571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175895</wp:posOffset>
            </wp:positionV>
            <wp:extent cx="5715" cy="114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107315</wp:posOffset>
            </wp:positionV>
            <wp:extent cx="57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118745</wp:posOffset>
            </wp:positionV>
            <wp:extent cx="571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130175</wp:posOffset>
            </wp:positionV>
            <wp:extent cx="571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141605</wp:posOffset>
            </wp:positionV>
            <wp:extent cx="571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153035</wp:posOffset>
            </wp:positionV>
            <wp:extent cx="571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164465</wp:posOffset>
            </wp:positionV>
            <wp:extent cx="571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175895</wp:posOffset>
            </wp:positionV>
            <wp:extent cx="5715" cy="114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107315</wp:posOffset>
            </wp:positionV>
            <wp:extent cx="571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118745</wp:posOffset>
            </wp:positionV>
            <wp:extent cx="571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130175</wp:posOffset>
            </wp:positionV>
            <wp:extent cx="571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141605</wp:posOffset>
            </wp:positionV>
            <wp:extent cx="571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153035</wp:posOffset>
            </wp:positionV>
            <wp:extent cx="5715"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164465</wp:posOffset>
            </wp:positionV>
            <wp:extent cx="571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175895</wp:posOffset>
            </wp:positionV>
            <wp:extent cx="5715" cy="114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107315</wp:posOffset>
            </wp:positionV>
            <wp:extent cx="5715"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118745</wp:posOffset>
            </wp:positionV>
            <wp:extent cx="571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130175</wp:posOffset>
            </wp:positionV>
            <wp:extent cx="5715"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141605</wp:posOffset>
            </wp:positionV>
            <wp:extent cx="571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153035</wp:posOffset>
            </wp:positionV>
            <wp:extent cx="571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164465</wp:posOffset>
            </wp:positionV>
            <wp:extent cx="5715"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175895</wp:posOffset>
            </wp:positionV>
            <wp:extent cx="5715" cy="114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107315</wp:posOffset>
            </wp:positionV>
            <wp:extent cx="571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118745</wp:posOffset>
            </wp:positionV>
            <wp:extent cx="571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130175</wp:posOffset>
            </wp:positionV>
            <wp:extent cx="571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141605</wp:posOffset>
            </wp:positionV>
            <wp:extent cx="571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153035</wp:posOffset>
            </wp:positionV>
            <wp:extent cx="5715"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164465</wp:posOffset>
            </wp:positionV>
            <wp:extent cx="571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175895</wp:posOffset>
            </wp:positionV>
            <wp:extent cx="5715" cy="1143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107315</wp:posOffset>
            </wp:positionV>
            <wp:extent cx="5715"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118745</wp:posOffset>
            </wp:positionV>
            <wp:extent cx="5715"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130175</wp:posOffset>
            </wp:positionV>
            <wp:extent cx="5715"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141605</wp:posOffset>
            </wp:positionV>
            <wp:extent cx="571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153035</wp:posOffset>
            </wp:positionV>
            <wp:extent cx="5715"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164465</wp:posOffset>
            </wp:positionV>
            <wp:extent cx="571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175895</wp:posOffset>
            </wp:positionV>
            <wp:extent cx="5715" cy="114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107315</wp:posOffset>
            </wp:positionV>
            <wp:extent cx="5715"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118745</wp:posOffset>
            </wp:positionV>
            <wp:extent cx="5715"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130175</wp:posOffset>
            </wp:positionV>
            <wp:extent cx="571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141605</wp:posOffset>
            </wp:positionV>
            <wp:extent cx="5715"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153035</wp:posOffset>
            </wp:positionV>
            <wp:extent cx="571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164465</wp:posOffset>
            </wp:positionV>
            <wp:extent cx="571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175895</wp:posOffset>
            </wp:positionV>
            <wp:extent cx="5715" cy="114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107315</wp:posOffset>
            </wp:positionV>
            <wp:extent cx="5715"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118745</wp:posOffset>
            </wp:positionV>
            <wp:extent cx="571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130175</wp:posOffset>
            </wp:positionV>
            <wp:extent cx="571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141605</wp:posOffset>
            </wp:positionV>
            <wp:extent cx="571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153035</wp:posOffset>
            </wp:positionV>
            <wp:extent cx="5715"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164465</wp:posOffset>
            </wp:positionV>
            <wp:extent cx="571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175895</wp:posOffset>
            </wp:positionV>
            <wp:extent cx="5715" cy="114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90170</wp:posOffset>
            </wp:positionV>
            <wp:extent cx="4669155" cy="114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669155" cy="11430"/>
                    </a:xfrm>
                    <a:prstGeom prst="rect">
                      <a:avLst/>
                    </a:prstGeom>
                    <a:noFill/>
                  </pic:spPr>
                </pic:pic>
              </a:graphicData>
            </a:graphic>
          </wp:anchor>
        </w:drawing>
      </w:r>
    </w:p>
    <w:p>
      <w:pPr>
        <w:spacing w:after="0" w:line="388"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2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Non-Equity</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99"/>
        </w:trPr>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Option</w:t>
            </w:r>
          </w:p>
        </w:tc>
        <w:tc>
          <w:tcPr>
            <w:tcW w:w="9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9"/>
              </w:rPr>
              <w:t>Incentive Plan</w:t>
            </w: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94"/>
              </w:rPr>
              <w:t>All Other</w:t>
            </w:r>
          </w:p>
        </w:tc>
        <w:tc>
          <w:tcPr>
            <w:tcW w:w="560" w:type="dxa"/>
            <w:vAlign w:val="bottom"/>
          </w:tcPr>
          <w:p>
            <w:pPr>
              <w:spacing w:after="0"/>
              <w:rPr>
                <w:sz w:val="8"/>
                <w:szCs w:val="8"/>
                <w:color w:val="auto"/>
              </w:rPr>
            </w:pPr>
          </w:p>
        </w:tc>
      </w:tr>
      <w:tr>
        <w:trPr>
          <w:trHeight w:val="99"/>
        </w:trPr>
        <w:tc>
          <w:tcPr>
            <w:tcW w:w="2680" w:type="dxa"/>
            <w:vAlign w:val="bottom"/>
          </w:tcPr>
          <w:p>
            <w:pPr>
              <w:spacing w:after="0"/>
              <w:rPr>
                <w:sz w:val="8"/>
                <w:szCs w:val="8"/>
                <w:color w:val="auto"/>
              </w:rPr>
            </w:pPr>
          </w:p>
        </w:tc>
        <w:tc>
          <w:tcPr>
            <w:tcW w:w="280" w:type="dxa"/>
            <w:vAlign w:val="bottom"/>
          </w:tcPr>
          <w:p>
            <w:pPr>
              <w:ind w:left="20"/>
              <w:spacing w:after="0" w:line="99" w:lineRule="exact"/>
              <w:rPr>
                <w:sz w:val="20"/>
                <w:szCs w:val="20"/>
                <w:color w:val="auto"/>
              </w:rPr>
            </w:pPr>
            <w:r>
              <w:rPr>
                <w:rFonts w:ascii="Arial" w:cs="Arial" w:eastAsia="Arial" w:hAnsi="Arial"/>
                <w:sz w:val="10"/>
                <w:szCs w:val="10"/>
                <w:b w:val="1"/>
                <w:bCs w:val="1"/>
                <w:color w:val="auto"/>
                <w:w w:val="84"/>
              </w:rPr>
              <w:t>Fiscal</w:t>
            </w:r>
          </w:p>
        </w:tc>
        <w:tc>
          <w:tcPr>
            <w:tcW w:w="140" w:type="dxa"/>
            <w:vAlign w:val="bottom"/>
          </w:tcPr>
          <w:p>
            <w:pPr>
              <w:spacing w:after="0"/>
              <w:rPr>
                <w:sz w:val="8"/>
                <w:szCs w:val="8"/>
                <w:color w:val="auto"/>
              </w:rPr>
            </w:pPr>
          </w:p>
        </w:tc>
        <w:tc>
          <w:tcPr>
            <w:tcW w:w="6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Salary</w:t>
            </w:r>
          </w:p>
        </w:tc>
        <w:tc>
          <w:tcPr>
            <w:tcW w:w="54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Bonus</w:t>
            </w:r>
          </w:p>
        </w:tc>
        <w:tc>
          <w:tcPr>
            <w:tcW w:w="70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Awards</w:t>
            </w:r>
          </w:p>
        </w:tc>
        <w:tc>
          <w:tcPr>
            <w:tcW w:w="90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6"/>
              </w:rPr>
              <w:t>Compensation</w:t>
            </w: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Compensation</w:t>
            </w:r>
          </w:p>
        </w:tc>
        <w:tc>
          <w:tcPr>
            <w:tcW w:w="560" w:type="dxa"/>
            <w:vAlign w:val="bottom"/>
          </w:tcPr>
          <w:p>
            <w:pPr>
              <w:spacing w:after="0"/>
              <w:rPr>
                <w:sz w:val="8"/>
                <w:szCs w:val="8"/>
                <w:color w:val="auto"/>
              </w:rPr>
            </w:pPr>
          </w:p>
        </w:tc>
      </w:tr>
      <w:tr>
        <w:trPr>
          <w:trHeight w:val="113"/>
        </w:trPr>
        <w:tc>
          <w:tcPr>
            <w:tcW w:w="2680" w:type="dxa"/>
            <w:vAlign w:val="bottom"/>
          </w:tcPr>
          <w:p>
            <w:pPr>
              <w:spacing w:after="0" w:line="114" w:lineRule="exact"/>
              <w:rPr>
                <w:sz w:val="20"/>
                <w:szCs w:val="20"/>
                <w:color w:val="auto"/>
              </w:rPr>
            </w:pPr>
            <w:r>
              <w:rPr>
                <w:rFonts w:ascii="Arial" w:cs="Arial" w:eastAsia="Arial" w:hAnsi="Arial"/>
                <w:sz w:val="10"/>
                <w:szCs w:val="10"/>
                <w:b w:val="1"/>
                <w:bCs w:val="1"/>
                <w:color w:val="auto"/>
              </w:rPr>
              <w:t>Name and Principal Position</w:t>
            </w:r>
          </w:p>
        </w:tc>
        <w:tc>
          <w:tcPr>
            <w:tcW w:w="2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Year</w:t>
            </w:r>
          </w:p>
        </w:tc>
        <w:tc>
          <w:tcPr>
            <w:tcW w:w="600" w:type="dxa"/>
            <w:vAlign w:val="bottom"/>
            <w:gridSpan w:val="2"/>
          </w:tcPr>
          <w:p>
            <w:pPr>
              <w:jc w:val="center"/>
              <w:ind w:left="82"/>
              <w:spacing w:after="0" w:line="114" w:lineRule="exact"/>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140" w:type="dxa"/>
            <w:vAlign w:val="bottom"/>
          </w:tcPr>
          <w:p>
            <w:pPr>
              <w:spacing w:after="0"/>
              <w:rPr>
                <w:sz w:val="9"/>
                <w:szCs w:val="9"/>
                <w:color w:val="auto"/>
              </w:rPr>
            </w:pPr>
          </w:p>
        </w:tc>
        <w:tc>
          <w:tcPr>
            <w:tcW w:w="32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540" w:type="dxa"/>
            <w:vAlign w:val="bottom"/>
          </w:tcPr>
          <w:p>
            <w:pPr>
              <w:ind w:left="180"/>
              <w:spacing w:after="0" w:line="114"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(2)</w:t>
            </w:r>
          </w:p>
        </w:tc>
        <w:tc>
          <w:tcPr>
            <w:tcW w:w="16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4"/>
              </w:rPr>
              <w:t>($)</w:t>
            </w:r>
            <w:r>
              <w:rPr>
                <w:rFonts w:ascii="Arial" w:cs="Arial" w:eastAsia="Arial" w:hAnsi="Arial"/>
                <w:sz w:val="8"/>
                <w:szCs w:val="8"/>
                <w:b w:val="1"/>
                <w:bCs w:val="1"/>
                <w:color w:val="auto"/>
                <w:w w:val="94"/>
              </w:rPr>
              <w:t>(3)(4)</w:t>
            </w:r>
          </w:p>
        </w:tc>
        <w:tc>
          <w:tcPr>
            <w:tcW w:w="28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($)(5)</w:t>
            </w:r>
          </w:p>
        </w:tc>
        <w:tc>
          <w:tcPr>
            <w:tcW w:w="140" w:type="dxa"/>
            <w:vAlign w:val="bottom"/>
          </w:tcPr>
          <w:p>
            <w:pPr>
              <w:spacing w:after="0"/>
              <w:rPr>
                <w:sz w:val="9"/>
                <w:szCs w:val="9"/>
                <w:color w:val="auto"/>
              </w:rPr>
            </w:pPr>
          </w:p>
        </w:tc>
        <w:tc>
          <w:tcPr>
            <w:tcW w:w="5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Total ($)</w:t>
            </w:r>
          </w:p>
        </w:tc>
      </w:tr>
      <w:tr>
        <w:trPr>
          <w:trHeight w:val="142"/>
        </w:trPr>
        <w:tc>
          <w:tcPr>
            <w:tcW w:w="2680" w:type="dxa"/>
            <w:vAlign w:val="bottom"/>
          </w:tcPr>
          <w:p>
            <w:pPr>
              <w:spacing w:after="0"/>
              <w:rPr>
                <w:sz w:val="20"/>
                <w:szCs w:val="20"/>
                <w:color w:val="auto"/>
              </w:rPr>
            </w:pPr>
            <w:r>
              <w:rPr>
                <w:rFonts w:ascii="Arial" w:cs="Arial" w:eastAsia="Arial" w:hAnsi="Arial"/>
                <w:sz w:val="12"/>
                <w:szCs w:val="12"/>
                <w:color w:val="auto"/>
              </w:rPr>
              <w:t>Scott Hutton</w:t>
            </w: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r>
      <w:tr>
        <w:trPr>
          <w:trHeight w:val="162"/>
        </w:trPr>
        <w:tc>
          <w:tcPr>
            <w:tcW w:w="2680" w:type="dxa"/>
            <w:vAlign w:val="bottom"/>
          </w:tcPr>
          <w:p>
            <w:pPr>
              <w:ind w:left="120"/>
              <w:spacing w:after="0"/>
              <w:rPr>
                <w:sz w:val="20"/>
                <w:szCs w:val="20"/>
                <w:color w:val="auto"/>
              </w:rPr>
            </w:pPr>
            <w:r>
              <w:rPr>
                <w:rFonts w:ascii="Arial" w:cs="Arial" w:eastAsia="Arial" w:hAnsi="Arial"/>
                <w:sz w:val="12"/>
                <w:szCs w:val="12"/>
                <w:color w:val="auto"/>
              </w:rPr>
              <w:t>President and Chief Executive Officer</w:t>
            </w:r>
          </w:p>
        </w:tc>
        <w:tc>
          <w:tcPr>
            <w:tcW w:w="280" w:type="dxa"/>
            <w:vAlign w:val="bottom"/>
          </w:tcPr>
          <w:p>
            <w:pPr>
              <w:ind w:left="40"/>
              <w:spacing w:after="0"/>
              <w:rPr>
                <w:sz w:val="20"/>
                <w:szCs w:val="20"/>
                <w:color w:val="auto"/>
              </w:rPr>
            </w:pPr>
            <w:r>
              <w:rPr>
                <w:rFonts w:ascii="Arial" w:cs="Arial" w:eastAsia="Arial" w:hAnsi="Arial"/>
                <w:sz w:val="12"/>
                <w:szCs w:val="12"/>
                <w:color w:val="auto"/>
                <w:w w:val="82"/>
              </w:rPr>
              <w:t>2020</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364,175</w:t>
            </w: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1,051,652</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167,636</w:t>
            </w:r>
            <w:r>
              <w:rPr>
                <w:rFonts w:ascii="Arial" w:cs="Arial" w:eastAsia="Arial" w:hAnsi="Arial"/>
                <w:sz w:val="10"/>
                <w:szCs w:val="10"/>
                <w:b w:val="1"/>
                <w:bCs w:val="1"/>
                <w:color w:val="auto"/>
              </w:rPr>
              <w:t>(6)</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71</w:t>
            </w:r>
          </w:p>
        </w:tc>
        <w:tc>
          <w:tcPr>
            <w:tcW w:w="560" w:type="dxa"/>
            <w:vAlign w:val="bottom"/>
          </w:tcPr>
          <w:p>
            <w:pPr>
              <w:jc w:val="right"/>
              <w:spacing w:after="0"/>
              <w:rPr>
                <w:sz w:val="20"/>
                <w:szCs w:val="20"/>
                <w:color w:val="auto"/>
              </w:rPr>
            </w:pPr>
            <w:r>
              <w:rPr>
                <w:rFonts w:ascii="Arial" w:cs="Arial" w:eastAsia="Arial" w:hAnsi="Arial"/>
                <w:sz w:val="12"/>
                <w:szCs w:val="12"/>
                <w:color w:val="auto"/>
              </w:rPr>
              <w:t>1,583,534</w:t>
            </w:r>
          </w:p>
        </w:tc>
      </w:tr>
      <w:tr>
        <w:trPr>
          <w:trHeight w:val="189"/>
        </w:trPr>
        <w:tc>
          <w:tcPr>
            <w:tcW w:w="268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w w:val="89"/>
              </w:rPr>
              <w:t>2019</w:t>
            </w:r>
          </w:p>
        </w:tc>
        <w:tc>
          <w:tcPr>
            <w:tcW w:w="600" w:type="dxa"/>
            <w:vAlign w:val="bottom"/>
            <w:gridSpan w:val="2"/>
          </w:tcPr>
          <w:p>
            <w:pPr>
              <w:jc w:val="center"/>
              <w:ind w:left="102"/>
              <w:spacing w:after="0"/>
              <w:rPr>
                <w:sz w:val="20"/>
                <w:szCs w:val="20"/>
                <w:color w:val="auto"/>
              </w:rPr>
            </w:pPr>
            <w:r>
              <w:rPr>
                <w:rFonts w:ascii="Arial" w:cs="Arial" w:eastAsia="Arial" w:hAnsi="Arial"/>
                <w:sz w:val="12"/>
                <w:szCs w:val="12"/>
                <w:color w:val="auto"/>
                <w:w w:val="92"/>
              </w:rPr>
              <w:t>298,475</w:t>
            </w:r>
          </w:p>
        </w:tc>
        <w:tc>
          <w:tcPr>
            <w:tcW w:w="140" w:type="dxa"/>
            <w:vAlign w:val="bottom"/>
          </w:tcPr>
          <w:p>
            <w:pPr>
              <w:spacing w:after="0"/>
              <w:rPr>
                <w:sz w:val="16"/>
                <w:szCs w:val="16"/>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40" w:type="dxa"/>
            <w:vAlign w:val="bottom"/>
          </w:tcPr>
          <w:p>
            <w:pPr>
              <w:ind w:left="120"/>
              <w:spacing w:after="0"/>
              <w:rPr>
                <w:sz w:val="20"/>
                <w:szCs w:val="20"/>
                <w:color w:val="auto"/>
              </w:rPr>
            </w:pPr>
            <w:r>
              <w:rPr>
                <w:rFonts w:ascii="Arial" w:cs="Arial" w:eastAsia="Arial" w:hAnsi="Arial"/>
                <w:sz w:val="12"/>
                <w:szCs w:val="12"/>
                <w:color w:val="auto"/>
              </w:rPr>
              <w:t>38,285</w:t>
            </w:r>
          </w:p>
        </w:tc>
        <w:tc>
          <w:tcPr>
            <w:tcW w:w="160" w:type="dxa"/>
            <w:vAlign w:val="bottom"/>
          </w:tcPr>
          <w:p>
            <w:pPr>
              <w:spacing w:after="0"/>
              <w:rPr>
                <w:sz w:val="16"/>
                <w:szCs w:val="16"/>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336,760</w:t>
            </w:r>
          </w:p>
        </w:tc>
      </w:tr>
      <w:tr>
        <w:trPr>
          <w:trHeight w:val="333"/>
        </w:trPr>
        <w:tc>
          <w:tcPr>
            <w:tcW w:w="2680" w:type="dxa"/>
            <w:vAlign w:val="bottom"/>
          </w:tcPr>
          <w:p>
            <w:pPr>
              <w:spacing w:after="0"/>
              <w:rPr>
                <w:sz w:val="20"/>
                <w:szCs w:val="20"/>
                <w:color w:val="auto"/>
              </w:rPr>
            </w:pPr>
            <w:r>
              <w:rPr>
                <w:rFonts w:ascii="Arial" w:cs="Arial" w:eastAsia="Arial" w:hAnsi="Arial"/>
                <w:sz w:val="12"/>
                <w:szCs w:val="12"/>
                <w:color w:val="auto"/>
              </w:rPr>
              <w:t>Robin Harper Cowie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2"/>
        </w:trPr>
        <w:tc>
          <w:tcPr>
            <w:tcW w:w="2680" w:type="dxa"/>
            <w:vAlign w:val="bottom"/>
          </w:tcPr>
          <w:p>
            <w:pPr>
              <w:ind w:left="120"/>
              <w:spacing w:after="0"/>
              <w:rPr>
                <w:sz w:val="20"/>
                <w:szCs w:val="20"/>
                <w:color w:val="auto"/>
              </w:rPr>
            </w:pPr>
            <w:r>
              <w:rPr>
                <w:rFonts w:ascii="Arial" w:cs="Arial" w:eastAsia="Arial" w:hAnsi="Arial"/>
                <w:sz w:val="12"/>
                <w:szCs w:val="12"/>
                <w:color w:val="auto"/>
                <w:w w:val="99"/>
              </w:rPr>
              <w:t>Chief Financial Officer, Secretary and Treasurer</w:t>
            </w:r>
          </w:p>
        </w:tc>
        <w:tc>
          <w:tcPr>
            <w:tcW w:w="280" w:type="dxa"/>
            <w:vAlign w:val="bottom"/>
          </w:tcPr>
          <w:p>
            <w:pPr>
              <w:ind w:left="40"/>
              <w:spacing w:after="0"/>
              <w:rPr>
                <w:sz w:val="20"/>
                <w:szCs w:val="20"/>
                <w:color w:val="auto"/>
              </w:rPr>
            </w:pPr>
            <w:r>
              <w:rPr>
                <w:rFonts w:ascii="Arial" w:cs="Arial" w:eastAsia="Arial" w:hAnsi="Arial"/>
                <w:sz w:val="12"/>
                <w:szCs w:val="12"/>
                <w:color w:val="auto"/>
                <w:w w:val="82"/>
              </w:rPr>
              <w:t>2020</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271,017</w:t>
            </w: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621,247</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104,077</w:t>
            </w:r>
            <w:r>
              <w:rPr>
                <w:rFonts w:ascii="Arial" w:cs="Arial" w:eastAsia="Arial" w:hAnsi="Arial"/>
                <w:sz w:val="10"/>
                <w:szCs w:val="10"/>
                <w:b w:val="1"/>
                <w:bCs w:val="1"/>
                <w:color w:val="auto"/>
              </w:rPr>
              <w:t>(7)</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143</w:t>
            </w:r>
          </w:p>
        </w:tc>
        <w:tc>
          <w:tcPr>
            <w:tcW w:w="560" w:type="dxa"/>
            <w:vAlign w:val="bottom"/>
          </w:tcPr>
          <w:p>
            <w:pPr>
              <w:jc w:val="right"/>
              <w:spacing w:after="0"/>
              <w:rPr>
                <w:sz w:val="20"/>
                <w:szCs w:val="20"/>
                <w:color w:val="auto"/>
              </w:rPr>
            </w:pPr>
            <w:r>
              <w:rPr>
                <w:rFonts w:ascii="Arial" w:cs="Arial" w:eastAsia="Arial" w:hAnsi="Arial"/>
                <w:sz w:val="12"/>
                <w:szCs w:val="12"/>
                <w:color w:val="auto"/>
              </w:rPr>
              <w:t>996,484</w:t>
            </w:r>
          </w:p>
        </w:tc>
      </w:tr>
      <w:tr>
        <w:trPr>
          <w:trHeight w:val="189"/>
        </w:trPr>
        <w:tc>
          <w:tcPr>
            <w:tcW w:w="268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w w:val="89"/>
              </w:rPr>
              <w:t>2019</w:t>
            </w:r>
          </w:p>
        </w:tc>
        <w:tc>
          <w:tcPr>
            <w:tcW w:w="600" w:type="dxa"/>
            <w:vAlign w:val="bottom"/>
            <w:gridSpan w:val="2"/>
          </w:tcPr>
          <w:p>
            <w:pPr>
              <w:jc w:val="center"/>
              <w:ind w:left="102"/>
              <w:spacing w:after="0"/>
              <w:rPr>
                <w:sz w:val="20"/>
                <w:szCs w:val="20"/>
                <w:color w:val="auto"/>
              </w:rPr>
            </w:pPr>
            <w:r>
              <w:rPr>
                <w:rFonts w:ascii="Arial" w:cs="Arial" w:eastAsia="Arial" w:hAnsi="Arial"/>
                <w:sz w:val="12"/>
                <w:szCs w:val="12"/>
                <w:color w:val="auto"/>
                <w:w w:val="92"/>
              </w:rPr>
              <w:t>263,525</w:t>
            </w:r>
          </w:p>
        </w:tc>
        <w:tc>
          <w:tcPr>
            <w:tcW w:w="140" w:type="dxa"/>
            <w:vAlign w:val="bottom"/>
          </w:tcPr>
          <w:p>
            <w:pPr>
              <w:spacing w:after="0"/>
              <w:rPr>
                <w:sz w:val="16"/>
                <w:szCs w:val="16"/>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40" w:type="dxa"/>
            <w:vAlign w:val="bottom"/>
          </w:tcPr>
          <w:p>
            <w:pPr>
              <w:ind w:left="120"/>
              <w:spacing w:after="0"/>
              <w:rPr>
                <w:sz w:val="20"/>
                <w:szCs w:val="20"/>
                <w:color w:val="auto"/>
              </w:rPr>
            </w:pPr>
            <w:r>
              <w:rPr>
                <w:rFonts w:ascii="Arial" w:cs="Arial" w:eastAsia="Arial" w:hAnsi="Arial"/>
                <w:sz w:val="12"/>
                <w:szCs w:val="12"/>
                <w:color w:val="auto"/>
              </w:rPr>
              <w:t>30,150</w:t>
            </w:r>
          </w:p>
        </w:tc>
        <w:tc>
          <w:tcPr>
            <w:tcW w:w="160" w:type="dxa"/>
            <w:vAlign w:val="bottom"/>
          </w:tcPr>
          <w:p>
            <w:pPr>
              <w:spacing w:after="0"/>
              <w:rPr>
                <w:sz w:val="16"/>
                <w:szCs w:val="16"/>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293,675</w:t>
            </w:r>
          </w:p>
        </w:tc>
      </w:tr>
      <w:tr>
        <w:trPr>
          <w:trHeight w:val="331"/>
        </w:trPr>
        <w:tc>
          <w:tcPr>
            <w:tcW w:w="2680" w:type="dxa"/>
            <w:vAlign w:val="bottom"/>
          </w:tcPr>
          <w:p>
            <w:pPr>
              <w:spacing w:after="0"/>
              <w:rPr>
                <w:sz w:val="20"/>
                <w:szCs w:val="20"/>
                <w:color w:val="auto"/>
              </w:rPr>
            </w:pPr>
            <w:r>
              <w:rPr>
                <w:rFonts w:ascii="Arial" w:cs="Arial" w:eastAsia="Arial" w:hAnsi="Arial"/>
                <w:sz w:val="12"/>
                <w:szCs w:val="12"/>
                <w:color w:val="auto"/>
              </w:rPr>
              <w:t>Kieran O’Kane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4"/>
        </w:trPr>
        <w:tc>
          <w:tcPr>
            <w:tcW w:w="2680" w:type="dxa"/>
            <w:vAlign w:val="bottom"/>
          </w:tcPr>
          <w:p>
            <w:pPr>
              <w:ind w:left="120"/>
              <w:spacing w:after="0"/>
              <w:rPr>
                <w:sz w:val="20"/>
                <w:szCs w:val="20"/>
                <w:color w:val="auto"/>
              </w:rPr>
            </w:pPr>
            <w:r>
              <w:rPr>
                <w:rFonts w:ascii="Arial" w:cs="Arial" w:eastAsia="Arial" w:hAnsi="Arial"/>
                <w:sz w:val="12"/>
                <w:szCs w:val="12"/>
                <w:color w:val="auto"/>
              </w:rPr>
              <w:t>Chief Commercial Officer</w:t>
            </w:r>
            <w:r>
              <w:rPr>
                <w:rFonts w:ascii="Arial" w:cs="Arial" w:eastAsia="Arial" w:hAnsi="Arial"/>
                <w:sz w:val="10"/>
                <w:szCs w:val="10"/>
                <w:b w:val="1"/>
                <w:bCs w:val="1"/>
                <w:color w:val="auto"/>
              </w:rPr>
              <w:t>(8)</w:t>
            </w:r>
          </w:p>
        </w:tc>
        <w:tc>
          <w:tcPr>
            <w:tcW w:w="280" w:type="dxa"/>
            <w:vAlign w:val="bottom"/>
          </w:tcPr>
          <w:p>
            <w:pPr>
              <w:ind w:left="40"/>
              <w:spacing w:after="0"/>
              <w:rPr>
                <w:sz w:val="20"/>
                <w:szCs w:val="20"/>
                <w:color w:val="auto"/>
              </w:rPr>
            </w:pPr>
            <w:r>
              <w:rPr>
                <w:rFonts w:ascii="Arial" w:cs="Arial" w:eastAsia="Arial" w:hAnsi="Arial"/>
                <w:sz w:val="12"/>
                <w:szCs w:val="12"/>
                <w:color w:val="auto"/>
                <w:w w:val="82"/>
              </w:rPr>
              <w:t>2020</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239,000</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rPr>
              <w:t>2,000</w:t>
            </w:r>
            <w:r>
              <w:rPr>
                <w:rFonts w:ascii="Arial" w:cs="Arial" w:eastAsia="Arial" w:hAnsi="Arial"/>
                <w:sz w:val="10"/>
                <w:szCs w:val="10"/>
                <w:b w:val="1"/>
                <w:bCs w:val="1"/>
                <w:color w:val="auto"/>
              </w:rPr>
              <w:t>(9)</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414,453</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68,142</w:t>
            </w:r>
            <w:r>
              <w:rPr>
                <w:rFonts w:ascii="Arial" w:cs="Arial" w:eastAsia="Arial" w:hAnsi="Arial"/>
                <w:sz w:val="10"/>
                <w:szCs w:val="10"/>
                <w:b w:val="1"/>
                <w:bCs w:val="1"/>
                <w:color w:val="auto"/>
              </w:rPr>
              <w:t>(10)</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917</w:t>
            </w:r>
          </w:p>
        </w:tc>
        <w:tc>
          <w:tcPr>
            <w:tcW w:w="560" w:type="dxa"/>
            <w:vAlign w:val="bottom"/>
          </w:tcPr>
          <w:p>
            <w:pPr>
              <w:jc w:val="right"/>
              <w:spacing w:after="0"/>
              <w:rPr>
                <w:sz w:val="20"/>
                <w:szCs w:val="20"/>
                <w:color w:val="auto"/>
              </w:rPr>
            </w:pPr>
            <w:r>
              <w:rPr>
                <w:rFonts w:ascii="Arial" w:cs="Arial" w:eastAsia="Arial" w:hAnsi="Arial"/>
                <w:sz w:val="12"/>
                <w:szCs w:val="12"/>
                <w:color w:val="auto"/>
              </w:rPr>
              <w:t>724,512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-1330960</wp:posOffset>
            </wp:positionV>
            <wp:extent cx="4669155" cy="144018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669155" cy="1440180"/>
                    </a:xfrm>
                    <a:prstGeom prst="rect">
                      <a:avLst/>
                    </a:prstGeom>
                    <a:noFill/>
                  </pic:spPr>
                </pic:pic>
              </a:graphicData>
            </a:graphic>
          </wp:anchor>
        </w:drawing>
      </w:r>
    </w:p>
    <w:p>
      <w:pPr>
        <w:spacing w:after="0" w:line="160" w:lineRule="exact"/>
        <w:rPr>
          <w:sz w:val="20"/>
          <w:szCs w:val="20"/>
          <w:color w:val="auto"/>
        </w:rPr>
      </w:pPr>
    </w:p>
    <w:p>
      <w:pPr>
        <w:ind w:left="2480" w:right="959" w:hanging="364"/>
        <w:spacing w:after="0" w:line="258" w:lineRule="auto"/>
        <w:tabs>
          <w:tab w:leader="none" w:pos="2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disclosed represent the dollar value of base salary earned by the named executive officer as of December 31 of each applicable fiscal year.</w:t>
      </w:r>
    </w:p>
    <w:p>
      <w:pPr>
        <w:ind w:left="2480" w:right="839" w:hanging="364"/>
        <w:spacing w:after="0" w:line="273" w:lineRule="auto"/>
        <w:tabs>
          <w:tab w:leader="none" w:pos="24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amounts disclosed represent the aggregate grant date fair value of the award or an estimate of the grant date fair value of bonus-to-options awards as calculated in accordance with FASB ASC Topic 718. The assumptions used in calculating the grant date fair value of the award disclosed in this column are set forth in Note 14 of our audited financial statements included in the 2020 Form 10-K Report “Item 8. Financial Statements and Supplementary Data” for the year ended December 31, 2020. For the bonus-to-options awards, the estimated grant date fair value was used to correspond to the treatment of such expense under U.S. GAAP in the 2020 Form 10-K Report, as the service inception period precedes the grant date. These amounts do not correspond to the actual value that may be realized by the named executive officers upon vesting or exercise of the applicable awards.</w:t>
      </w:r>
    </w:p>
    <w:p>
      <w:pPr>
        <w:ind w:left="2480" w:right="939" w:hanging="364"/>
        <w:spacing w:after="0" w:line="250" w:lineRule="auto"/>
        <w:tabs>
          <w:tab w:leader="none" w:pos="2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our 2020 performance measured against the Company’s amended net revenue objectives, our compensation committee determined that the Company had overachieved and the board of directors therefore approved payouts under the 2020 annual cash bonus program at a 150% achievement level. The Non-Equity Incentive Plan Compensation listed for each named executive officer represents the annual cash bonus award for the 2020 fiscal year after taking into consideration the election of each individual to participate in the bonus-to-options program.</w:t>
      </w:r>
    </w:p>
    <w:p>
      <w:pPr>
        <w:spacing w:after="0" w:line="1" w:lineRule="exact"/>
        <w:rPr>
          <w:rFonts w:ascii="Arial" w:cs="Arial" w:eastAsia="Arial" w:hAnsi="Arial"/>
          <w:sz w:val="12"/>
          <w:szCs w:val="12"/>
          <w:color w:val="auto"/>
        </w:rPr>
      </w:pPr>
    </w:p>
    <w:p>
      <w:pPr>
        <w:ind w:left="2480" w:right="919" w:hanging="364"/>
        <w:spacing w:after="0" w:line="250" w:lineRule="auto"/>
        <w:tabs>
          <w:tab w:leader="none" w:pos="2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our 2019 performance measured against Company objectives, our compensation committee determined not to award payouts under the 2019 annual cash bonus program.</w:t>
      </w:r>
    </w:p>
    <w:p>
      <w:pPr>
        <w:ind w:left="2480" w:hanging="364"/>
        <w:spacing w:after="0"/>
        <w:tabs>
          <w:tab w:leader="none" w:pos="24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amounts disclosed represent the tax gross-up received by each named executive officer as of December 31 of each applicable fiscal year.</w:t>
      </w:r>
    </w:p>
    <w:p>
      <w:pPr>
        <w:spacing w:after="0" w:line="29" w:lineRule="exact"/>
        <w:rPr>
          <w:rFonts w:ascii="Arial" w:cs="Arial" w:eastAsia="Arial" w:hAnsi="Arial"/>
          <w:sz w:val="10"/>
          <w:szCs w:val="10"/>
          <w:color w:val="auto"/>
        </w:rPr>
      </w:pPr>
    </w:p>
    <w:p>
      <w:pPr>
        <w:ind w:left="2480" w:hanging="364"/>
        <w:spacing w:after="0"/>
        <w:tabs>
          <w:tab w:leader="none" w:pos="24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At a 150% achievement level, Mr. Hutton was entitled to a payout under the 2020 annual cash bonus program of $325,171. However,</w:t>
      </w:r>
    </w:p>
    <w:p>
      <w:pPr>
        <w:spacing w:after="0" w:line="17" w:lineRule="exact"/>
        <w:rPr>
          <w:rFonts w:ascii="Arial" w:cs="Arial" w:eastAsia="Arial" w:hAnsi="Arial"/>
          <w:sz w:val="11"/>
          <w:szCs w:val="11"/>
          <w:color w:val="auto"/>
        </w:rPr>
      </w:pPr>
    </w:p>
    <w:p>
      <w:pPr>
        <w:ind w:left="2480" w:right="919"/>
        <w:spacing w:after="0" w:line="284" w:lineRule="auto"/>
        <w:rPr>
          <w:rFonts w:ascii="Arial" w:cs="Arial" w:eastAsia="Arial" w:hAnsi="Arial"/>
          <w:sz w:val="11"/>
          <w:szCs w:val="11"/>
          <w:color w:val="auto"/>
        </w:rPr>
      </w:pPr>
      <w:r>
        <w:rPr>
          <w:rFonts w:ascii="Arial" w:cs="Arial" w:eastAsia="Arial" w:hAnsi="Arial"/>
          <w:sz w:val="11"/>
          <w:szCs w:val="11"/>
          <w:color w:val="auto"/>
        </w:rPr>
        <w:t>Mr. Hutton elected to receive a portion of his 2020 annual cash bonus in the form of an option award under the bonus-to-options program. In accordance with Mr. Hutton’s election and the terms of the bonus-to-options program, Mr. Hutton received a cash payment of $167,636 in respect of his 2020 annual cash bonus, as reflected in this column, and in place of the remaining amount, received an option award representing the right to purchase 75,195 shares of our common stock, the value of which is reflected in the “Option Awards” column.</w:t>
      </w:r>
    </w:p>
    <w:p>
      <w:pPr>
        <w:spacing w:after="0" w:line="6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24</w:t>
            </w:r>
          </w:p>
        </w:tc>
      </w:tr>
    </w:tbl>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480" w:right="879" w:hanging="364"/>
        <w:spacing w:after="0" w:line="253" w:lineRule="auto"/>
        <w:tabs>
          <w:tab w:leader="none" w:pos="2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At a 150% achievement level, Ms. Harper Cowie was entitled to a payout under the 2020 annual cash bonus program of $201,884. However, Ms. Harper Cowie elected to receive a portion of her 2020 annual cash bonus in the form of an option award under the bonus-to-options program. In accordance with Ms. Harper Cowie’s election and the terms of the bonus-to-options program, Ms. Harper Cowie received a cash payment of $104,077 in respect of her 2020 annual cash bonus, as reflected in this column, and in place of the remaining amount, received an option award representing the right to purchase 46,685 shares of our common stock, the value of which is reflected in the “Option Awards” column.</w:t>
      </w:r>
    </w:p>
    <w:p>
      <w:pPr>
        <w:ind w:left="2480" w:hanging="364"/>
        <w:spacing w:after="0"/>
        <w:tabs>
          <w:tab w:leader="none" w:pos="2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O’Kane was not a named executive officer for fiscal 2019.</w:t>
      </w:r>
    </w:p>
    <w:p>
      <w:pPr>
        <w:spacing w:after="0" w:line="6" w:lineRule="exact"/>
        <w:rPr>
          <w:rFonts w:ascii="Arial" w:cs="Arial" w:eastAsia="Arial" w:hAnsi="Arial"/>
          <w:sz w:val="12"/>
          <w:szCs w:val="12"/>
          <w:color w:val="auto"/>
        </w:rPr>
      </w:pPr>
    </w:p>
    <w:p>
      <w:pPr>
        <w:ind w:left="2480" w:hanging="364"/>
        <w:spacing w:after="0"/>
        <w:tabs>
          <w:tab w:leader="none" w:pos="2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O’Kane was awarded a discretionary Excellence Award during 2020 equal to $2,000.</w:t>
      </w:r>
    </w:p>
    <w:p>
      <w:pPr>
        <w:spacing w:after="0" w:line="6" w:lineRule="exact"/>
        <w:rPr>
          <w:rFonts w:ascii="Arial" w:cs="Arial" w:eastAsia="Arial" w:hAnsi="Arial"/>
          <w:sz w:val="12"/>
          <w:szCs w:val="12"/>
          <w:color w:val="auto"/>
        </w:rPr>
      </w:pPr>
    </w:p>
    <w:p>
      <w:pPr>
        <w:ind w:left="2480" w:hanging="364"/>
        <w:spacing w:after="0"/>
        <w:tabs>
          <w:tab w:leader="none" w:pos="24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 a 150% achievement level, Mr. O’Kane was entitled to a payout under the 2020 annual cash bonus program of $132,178. However,</w:t>
      </w:r>
    </w:p>
    <w:p>
      <w:pPr>
        <w:spacing w:after="0" w:line="17" w:lineRule="exact"/>
        <w:rPr>
          <w:rFonts w:ascii="Arial" w:cs="Arial" w:eastAsia="Arial" w:hAnsi="Arial"/>
          <w:sz w:val="11"/>
          <w:szCs w:val="11"/>
          <w:color w:val="auto"/>
        </w:rPr>
      </w:pPr>
    </w:p>
    <w:p>
      <w:pPr>
        <w:ind w:left="2480" w:right="879"/>
        <w:spacing w:after="0" w:line="284" w:lineRule="auto"/>
        <w:rPr>
          <w:rFonts w:ascii="Arial" w:cs="Arial" w:eastAsia="Arial" w:hAnsi="Arial"/>
          <w:sz w:val="11"/>
          <w:szCs w:val="11"/>
          <w:color w:val="auto"/>
        </w:rPr>
      </w:pPr>
      <w:r>
        <w:rPr>
          <w:rFonts w:ascii="Arial" w:cs="Arial" w:eastAsia="Arial" w:hAnsi="Arial"/>
          <w:sz w:val="11"/>
          <w:szCs w:val="11"/>
          <w:color w:val="auto"/>
        </w:rPr>
        <w:t>Mr. O’Kane elected to receive a portion of his 2020 annual cash bonus in the form of an option award under the bonus-to-options program. In accordance with Mr. O’Kane’s election and the terms of the bonus-to-options program, Mr. O’Kane received a cash payment of $68,142 in respect of his 2020 annual cash bonus, as reflected in this column, and in place of the remaining amount, received an option award representing the right to purchase 30,566 shares of our common stock, the value of which is reflected in the “Option Awards” column.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Outstanding Equity Awards at Fiscal 2020 Year-End</w:t>
      </w:r>
    </w:p>
    <w:p>
      <w:pPr>
        <w:spacing w:after="0" w:line="148" w:lineRule="exact"/>
        <w:rPr>
          <w:sz w:val="20"/>
          <w:szCs w:val="20"/>
          <w:color w:val="auto"/>
        </w:rPr>
      </w:pPr>
    </w:p>
    <w:p>
      <w:pPr>
        <w:ind w:left="1980" w:right="859" w:firstLine="294"/>
        <w:spacing w:after="0" w:line="379" w:lineRule="auto"/>
        <w:rPr>
          <w:sz w:val="20"/>
          <w:szCs w:val="20"/>
          <w:color w:val="auto"/>
        </w:rPr>
      </w:pPr>
      <w:r>
        <w:rPr>
          <w:rFonts w:ascii="Arial" w:cs="Arial" w:eastAsia="Arial" w:hAnsi="Arial"/>
          <w:sz w:val="10"/>
          <w:szCs w:val="10"/>
          <w:color w:val="auto"/>
        </w:rPr>
        <w:t>The following table presents information regarding the outstanding equity awards held by each of the named executive officers as of December 31, 2020. As of the year ended December 31, 2020, none of the named executive officers held any outstanding RSUs or stock awards other than options.</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1"/>
              </w:rPr>
              <w:t>Equity</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Incentive</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Plan</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Awards:</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Number of</w:t>
            </w:r>
          </w:p>
        </w:tc>
        <w:tc>
          <w:tcPr>
            <w:tcW w:w="20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Number of</w:t>
            </w: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Number of</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Securities</w:t>
            </w:r>
          </w:p>
        </w:tc>
        <w:tc>
          <w:tcPr>
            <w:tcW w:w="20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Securities</w:t>
            </w: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Securities</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Underlying</w:t>
            </w:r>
          </w:p>
        </w:tc>
        <w:tc>
          <w:tcPr>
            <w:tcW w:w="20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1"/>
              </w:rPr>
              <w:t>Underlying</w:t>
            </w: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Underlying</w:t>
            </w:r>
          </w:p>
        </w:tc>
        <w:tc>
          <w:tcPr>
            <w:tcW w:w="220" w:type="dxa"/>
            <w:vAlign w:val="bottom"/>
          </w:tcPr>
          <w:p>
            <w:pPr>
              <w:spacing w:after="0"/>
              <w:rPr>
                <w:sz w:val="8"/>
                <w:szCs w:val="8"/>
                <w:color w:val="auto"/>
              </w:rPr>
            </w:pPr>
          </w:p>
        </w:tc>
        <w:tc>
          <w:tcPr>
            <w:tcW w:w="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Option</w:t>
            </w: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99"/>
        </w:trPr>
        <w:tc>
          <w:tcPr>
            <w:tcW w:w="2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Unexercised</w:t>
            </w:r>
          </w:p>
        </w:tc>
        <w:tc>
          <w:tcPr>
            <w:tcW w:w="20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Unexercised</w:t>
            </w: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3"/>
              </w:rPr>
              <w:t>Unexercised</w:t>
            </w:r>
          </w:p>
        </w:tc>
        <w:tc>
          <w:tcPr>
            <w:tcW w:w="220" w:type="dxa"/>
            <w:vAlign w:val="bottom"/>
          </w:tcPr>
          <w:p>
            <w:pPr>
              <w:spacing w:after="0"/>
              <w:rPr>
                <w:sz w:val="8"/>
                <w:szCs w:val="8"/>
                <w:color w:val="auto"/>
              </w:rPr>
            </w:pPr>
          </w:p>
        </w:tc>
        <w:tc>
          <w:tcPr>
            <w:tcW w:w="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Exercise</w:t>
            </w:r>
          </w:p>
        </w:tc>
        <w:tc>
          <w:tcPr>
            <w:tcW w:w="220" w:type="dxa"/>
            <w:vAlign w:val="bottom"/>
          </w:tcPr>
          <w:p>
            <w:pPr>
              <w:spacing w:after="0"/>
              <w:rPr>
                <w:sz w:val="8"/>
                <w:szCs w:val="8"/>
                <w:color w:val="auto"/>
              </w:rPr>
            </w:pPr>
          </w:p>
        </w:tc>
        <w:tc>
          <w:tcPr>
            <w:tcW w:w="6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Option</w:t>
            </w:r>
          </w:p>
        </w:tc>
      </w:tr>
      <w:tr>
        <w:trPr>
          <w:trHeight w:val="99"/>
        </w:trPr>
        <w:tc>
          <w:tcPr>
            <w:tcW w:w="2840" w:type="dxa"/>
            <w:vAlign w:val="bottom"/>
          </w:tcPr>
          <w:p>
            <w:pPr>
              <w:spacing w:after="0"/>
              <w:rPr>
                <w:sz w:val="8"/>
                <w:szCs w:val="8"/>
                <w:color w:val="auto"/>
              </w:rPr>
            </w:pPr>
          </w:p>
        </w:tc>
        <w:tc>
          <w:tcPr>
            <w:tcW w:w="5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7"/>
              </w:rPr>
              <w:t>Grant</w:t>
            </w:r>
          </w:p>
        </w:tc>
        <w:tc>
          <w:tcPr>
            <w:tcW w:w="2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Options</w:t>
            </w:r>
          </w:p>
        </w:tc>
        <w:tc>
          <w:tcPr>
            <w:tcW w:w="20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Options</w:t>
            </w:r>
          </w:p>
        </w:tc>
        <w:tc>
          <w:tcPr>
            <w:tcW w:w="200" w:type="dxa"/>
            <w:vAlign w:val="bottom"/>
          </w:tcPr>
          <w:p>
            <w:pPr>
              <w:spacing w:after="0"/>
              <w:rPr>
                <w:sz w:val="8"/>
                <w:szCs w:val="8"/>
                <w:color w:val="auto"/>
              </w:rPr>
            </w:pPr>
          </w:p>
        </w:tc>
        <w:tc>
          <w:tcPr>
            <w:tcW w:w="5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Unearned</w:t>
            </w:r>
          </w:p>
        </w:tc>
        <w:tc>
          <w:tcPr>
            <w:tcW w:w="220" w:type="dxa"/>
            <w:vAlign w:val="bottom"/>
          </w:tcPr>
          <w:p>
            <w:pPr>
              <w:spacing w:after="0"/>
              <w:rPr>
                <w:sz w:val="8"/>
                <w:szCs w:val="8"/>
                <w:color w:val="auto"/>
              </w:rPr>
            </w:pPr>
          </w:p>
        </w:tc>
        <w:tc>
          <w:tcPr>
            <w:tcW w:w="3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1"/>
              </w:rPr>
              <w:t>Price</w:t>
            </w:r>
          </w:p>
        </w:tc>
        <w:tc>
          <w:tcPr>
            <w:tcW w:w="220" w:type="dxa"/>
            <w:vAlign w:val="bottom"/>
          </w:tcPr>
          <w:p>
            <w:pPr>
              <w:spacing w:after="0"/>
              <w:rPr>
                <w:sz w:val="8"/>
                <w:szCs w:val="8"/>
                <w:color w:val="auto"/>
              </w:rPr>
            </w:pPr>
          </w:p>
        </w:tc>
        <w:tc>
          <w:tcPr>
            <w:tcW w:w="6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Expiration</w:t>
            </w:r>
          </w:p>
        </w:tc>
      </w:tr>
      <w:tr>
        <w:trPr>
          <w:trHeight w:val="113"/>
        </w:trPr>
        <w:tc>
          <w:tcPr>
            <w:tcW w:w="2840" w:type="dxa"/>
            <w:vAlign w:val="bottom"/>
          </w:tcPr>
          <w:p>
            <w:pPr>
              <w:spacing w:after="0" w:line="114" w:lineRule="exact"/>
              <w:rPr>
                <w:sz w:val="20"/>
                <w:szCs w:val="20"/>
                <w:color w:val="auto"/>
              </w:rPr>
            </w:pPr>
            <w:r>
              <w:rPr>
                <w:rFonts w:ascii="Arial" w:cs="Arial" w:eastAsia="Arial" w:hAnsi="Arial"/>
                <w:sz w:val="10"/>
                <w:szCs w:val="10"/>
                <w:b w:val="1"/>
                <w:bCs w:val="1"/>
                <w:color w:val="auto"/>
              </w:rPr>
              <w:t>Name</w:t>
            </w:r>
          </w:p>
        </w:tc>
        <w:tc>
          <w:tcPr>
            <w:tcW w:w="5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2"/>
              </w:rPr>
              <w:t>Date</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 Exercisable</w:t>
            </w:r>
          </w:p>
        </w:tc>
        <w:tc>
          <w:tcPr>
            <w:tcW w:w="200" w:type="dxa"/>
            <w:vAlign w:val="bottom"/>
          </w:tcPr>
          <w:p>
            <w:pPr>
              <w:spacing w:after="0"/>
              <w:rPr>
                <w:sz w:val="9"/>
                <w:szCs w:val="9"/>
                <w:color w:val="auto"/>
              </w:rPr>
            </w:pPr>
          </w:p>
        </w:tc>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 Unexercisable</w:t>
            </w:r>
          </w:p>
        </w:tc>
        <w:tc>
          <w:tcPr>
            <w:tcW w:w="200" w:type="dxa"/>
            <w:vAlign w:val="bottom"/>
          </w:tcPr>
          <w:p>
            <w:pPr>
              <w:spacing w:after="0"/>
              <w:rPr>
                <w:sz w:val="9"/>
                <w:szCs w:val="9"/>
                <w:color w:val="auto"/>
              </w:rPr>
            </w:pPr>
          </w:p>
        </w:tc>
        <w:tc>
          <w:tcPr>
            <w:tcW w:w="5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Options (#)</w:t>
            </w:r>
          </w:p>
        </w:tc>
        <w:tc>
          <w:tcPr>
            <w:tcW w:w="220" w:type="dxa"/>
            <w:vAlign w:val="bottom"/>
          </w:tcPr>
          <w:p>
            <w:pPr>
              <w:spacing w:after="0"/>
              <w:rPr>
                <w:sz w:val="9"/>
                <w:szCs w:val="9"/>
                <w:color w:val="auto"/>
              </w:rPr>
            </w:pPr>
          </w:p>
        </w:tc>
        <w:tc>
          <w:tcPr>
            <w:tcW w:w="3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220" w:type="dxa"/>
            <w:vAlign w:val="bottom"/>
          </w:tcPr>
          <w:p>
            <w:pPr>
              <w:spacing w:after="0"/>
              <w:rPr>
                <w:sz w:val="9"/>
                <w:szCs w:val="9"/>
                <w:color w:val="auto"/>
              </w:rPr>
            </w:pPr>
          </w:p>
        </w:tc>
        <w:tc>
          <w:tcPr>
            <w:tcW w:w="6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2"/>
              </w:rPr>
              <w:t>Date</w:t>
            </w:r>
          </w:p>
        </w:tc>
      </w:tr>
      <w:tr>
        <w:trPr>
          <w:trHeight w:val="142"/>
        </w:trPr>
        <w:tc>
          <w:tcPr>
            <w:tcW w:w="2840" w:type="dxa"/>
            <w:vAlign w:val="bottom"/>
          </w:tcPr>
          <w:p>
            <w:pPr>
              <w:spacing w:after="0"/>
              <w:rPr>
                <w:sz w:val="20"/>
                <w:szCs w:val="20"/>
                <w:color w:val="auto"/>
              </w:rPr>
            </w:pPr>
            <w:r>
              <w:rPr>
                <w:rFonts w:ascii="Arial" w:cs="Arial" w:eastAsia="Arial" w:hAnsi="Arial"/>
                <w:sz w:val="12"/>
                <w:szCs w:val="12"/>
                <w:color w:val="auto"/>
              </w:rPr>
              <w:t>Scott Hutton</w:t>
            </w: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4/4/2018</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46,326</w:t>
            </w: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37,905</w:t>
            </w:r>
            <w:r>
              <w:rPr>
                <w:rFonts w:ascii="Arial" w:cs="Arial" w:eastAsia="Arial" w:hAnsi="Arial"/>
                <w:sz w:val="10"/>
                <w:szCs w:val="10"/>
                <w:b w:val="1"/>
                <w:bCs w:val="1"/>
                <w:color w:val="auto"/>
                <w:w w:val="89"/>
              </w:rPr>
              <w:t>(3)</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0.42</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94"/>
              </w:rPr>
              <w:t>4/3/2028</w:t>
            </w:r>
          </w:p>
        </w:tc>
      </w:tr>
      <w:tr>
        <w:trPr>
          <w:trHeight w:val="144"/>
        </w:trPr>
        <w:tc>
          <w:tcPr>
            <w:tcW w:w="28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3/22/2019</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2"/>
              </w:rPr>
              <w:t>16,143</w:t>
            </w:r>
          </w:p>
        </w:tc>
        <w:tc>
          <w:tcPr>
            <w:tcW w:w="96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89"/>
              </w:rPr>
              <w:t>25,972</w:t>
            </w:r>
            <w:r>
              <w:rPr>
                <w:rFonts w:ascii="Arial" w:cs="Arial" w:eastAsia="Arial" w:hAnsi="Arial"/>
                <w:sz w:val="10"/>
                <w:szCs w:val="10"/>
                <w:color w:val="auto"/>
                <w:w w:val="89"/>
              </w:rPr>
              <w:t>(2)</w:t>
            </w:r>
          </w:p>
        </w:tc>
        <w:tc>
          <w:tcPr>
            <w:tcW w:w="74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9"/>
              </w:rPr>
              <w:t>16,846</w:t>
            </w:r>
            <w:r>
              <w:rPr>
                <w:rFonts w:ascii="Arial" w:cs="Arial" w:eastAsia="Arial" w:hAnsi="Arial"/>
                <w:sz w:val="10"/>
                <w:szCs w:val="10"/>
                <w:color w:val="auto"/>
                <w:w w:val="89"/>
              </w:rPr>
              <w:t>(4)</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3"/>
              </w:rPr>
              <w:t>12/31/2028</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4/15/2020</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27,797</w:t>
            </w:r>
          </w:p>
        </w:tc>
        <w:tc>
          <w:tcPr>
            <w:tcW w:w="960" w:type="dxa"/>
            <w:vAlign w:val="bottom"/>
            <w:gridSpan w:val="2"/>
          </w:tcPr>
          <w:p>
            <w:pPr>
              <w:jc w:val="center"/>
              <w:ind w:left="140"/>
              <w:spacing w:after="0"/>
              <w:rPr>
                <w:sz w:val="20"/>
                <w:szCs w:val="20"/>
                <w:color w:val="auto"/>
              </w:rPr>
            </w:pPr>
            <w:r>
              <w:rPr>
                <w:rFonts w:ascii="Arial" w:cs="Arial" w:eastAsia="Arial" w:hAnsi="Arial"/>
                <w:sz w:val="12"/>
                <w:szCs w:val="12"/>
                <w:color w:val="auto"/>
                <w:w w:val="93"/>
              </w:rPr>
              <w:t>123,820</w:t>
            </w:r>
            <w:r>
              <w:rPr>
                <w:rFonts w:ascii="Arial" w:cs="Arial" w:eastAsia="Arial" w:hAnsi="Arial"/>
                <w:sz w:val="10"/>
                <w:szCs w:val="10"/>
                <w:color w:val="auto"/>
                <w:w w:val="93"/>
              </w:rPr>
              <w:t>(1)</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89"/>
              </w:rPr>
              <w:t>4/14/2030</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Robin Harper Cowie</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4/22/2011</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6"/>
              </w:rPr>
              <w:t>2,526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2.62</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9"/>
              </w:rPr>
              <w:t>4/21/2021</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2/4/2014</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10,107</w:t>
            </w:r>
          </w:p>
        </w:tc>
        <w:tc>
          <w:tcPr>
            <w:tcW w:w="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4.40</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94"/>
              </w:rPr>
              <w:t>2/3/2024</w:t>
            </w:r>
          </w:p>
        </w:tc>
      </w:tr>
      <w:tr>
        <w:trPr>
          <w:trHeight w:val="144"/>
        </w:trPr>
        <w:tc>
          <w:tcPr>
            <w:tcW w:w="28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4/8/2015</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6"/>
              </w:rPr>
              <w:t>6,738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4.40</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4"/>
              </w:rPr>
              <w:t>4/7/2025</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4/7/2016</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42,960</w:t>
            </w:r>
          </w:p>
        </w:tc>
        <w:tc>
          <w:tcPr>
            <w:tcW w:w="960" w:type="dxa"/>
            <w:vAlign w:val="bottom"/>
            <w:gridSpan w:val="2"/>
          </w:tcPr>
          <w:p>
            <w:pPr>
              <w:jc w:val="center"/>
              <w:ind w:left="140"/>
              <w:spacing w:after="0"/>
              <w:rPr>
                <w:sz w:val="20"/>
                <w:szCs w:val="20"/>
                <w:color w:val="auto"/>
              </w:rPr>
            </w:pPr>
            <w:r>
              <w:rPr>
                <w:rFonts w:ascii="Arial" w:cs="Arial" w:eastAsia="Arial" w:hAnsi="Arial"/>
                <w:sz w:val="12"/>
                <w:szCs w:val="12"/>
                <w:color w:val="auto"/>
                <w:w w:val="86"/>
              </w:rPr>
              <w:t>589</w:t>
            </w:r>
            <w:r>
              <w:rPr>
                <w:rFonts w:ascii="Arial" w:cs="Arial" w:eastAsia="Arial" w:hAnsi="Arial"/>
                <w:sz w:val="10"/>
                <w:szCs w:val="10"/>
                <w:color w:val="auto"/>
                <w:w w:val="86"/>
              </w:rPr>
              <w:t>(1)</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0.84</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94"/>
              </w:rPr>
              <w:t>4/6/2026</w:t>
            </w:r>
          </w:p>
        </w:tc>
      </w:tr>
      <w:tr>
        <w:trPr>
          <w:trHeight w:val="144"/>
        </w:trPr>
        <w:tc>
          <w:tcPr>
            <w:tcW w:w="28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5/16/2017</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2"/>
              </w:rPr>
              <w:t>13,206</w:t>
            </w:r>
          </w:p>
        </w:tc>
        <w:tc>
          <w:tcPr>
            <w:tcW w:w="96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94"/>
              </w:rPr>
              <w:t>3,640</w:t>
            </w:r>
            <w:r>
              <w:rPr>
                <w:rFonts w:ascii="Arial" w:cs="Arial" w:eastAsia="Arial" w:hAnsi="Arial"/>
                <w:sz w:val="10"/>
                <w:szCs w:val="10"/>
                <w:color w:val="auto"/>
                <w:w w:val="94"/>
              </w:rPr>
              <w:t>(1)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0.42</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9"/>
              </w:rPr>
              <w:t>5/15/2027</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4/4/2018</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92"/>
              </w:rPr>
              <w:t>12,285</w:t>
            </w:r>
          </w:p>
        </w:tc>
        <w:tc>
          <w:tcPr>
            <w:tcW w:w="960" w:type="dxa"/>
            <w:vAlign w:val="bottom"/>
            <w:gridSpan w:val="2"/>
          </w:tcPr>
          <w:p>
            <w:pPr>
              <w:jc w:val="center"/>
              <w:ind w:left="140"/>
              <w:spacing w:after="0"/>
              <w:rPr>
                <w:sz w:val="20"/>
                <w:szCs w:val="20"/>
                <w:color w:val="auto"/>
              </w:rPr>
            </w:pPr>
            <w:r>
              <w:rPr>
                <w:rFonts w:ascii="Arial" w:cs="Arial" w:eastAsia="Arial" w:hAnsi="Arial"/>
                <w:sz w:val="12"/>
                <w:szCs w:val="12"/>
                <w:color w:val="auto"/>
                <w:w w:val="94"/>
              </w:rPr>
              <w:t>8,772</w:t>
            </w:r>
            <w:r>
              <w:rPr>
                <w:rFonts w:ascii="Arial" w:cs="Arial" w:eastAsia="Arial" w:hAnsi="Arial"/>
                <w:sz w:val="10"/>
                <w:szCs w:val="10"/>
                <w:color w:val="auto"/>
                <w:w w:val="94"/>
              </w:rPr>
              <w:t>(1)</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0.42</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94"/>
              </w:rPr>
              <w:t>4/3/2028</w:t>
            </w:r>
          </w:p>
        </w:tc>
      </w:tr>
      <w:tr>
        <w:trPr>
          <w:trHeight w:val="144"/>
        </w:trPr>
        <w:tc>
          <w:tcPr>
            <w:tcW w:w="28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3/22/2019</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2"/>
              </w:rPr>
              <w:t>13,557</w:t>
            </w:r>
          </w:p>
        </w:tc>
        <w:tc>
          <w:tcPr>
            <w:tcW w:w="96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89"/>
              </w:rPr>
              <w:t>21,820</w:t>
            </w:r>
            <w:r>
              <w:rPr>
                <w:rFonts w:ascii="Arial" w:cs="Arial" w:eastAsia="Arial" w:hAnsi="Arial"/>
                <w:sz w:val="10"/>
                <w:szCs w:val="10"/>
                <w:color w:val="auto"/>
                <w:w w:val="89"/>
              </w:rPr>
              <w:t>(2)</w:t>
            </w:r>
          </w:p>
        </w:tc>
        <w:tc>
          <w:tcPr>
            <w:tcW w:w="74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9"/>
              </w:rPr>
              <w:t>11,792</w:t>
            </w:r>
            <w:r>
              <w:rPr>
                <w:rFonts w:ascii="Arial" w:cs="Arial" w:eastAsia="Arial" w:hAnsi="Arial"/>
                <w:sz w:val="10"/>
                <w:szCs w:val="10"/>
                <w:color w:val="auto"/>
                <w:w w:val="89"/>
              </w:rPr>
              <w:t>(4)</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3"/>
              </w:rPr>
              <w:t>12/31/2028</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4/15/2020</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86"/>
              </w:rPr>
              <w:t>5,566</w:t>
            </w:r>
          </w:p>
        </w:tc>
        <w:tc>
          <w:tcPr>
            <w:tcW w:w="960" w:type="dxa"/>
            <w:vAlign w:val="bottom"/>
            <w:gridSpan w:val="2"/>
          </w:tcPr>
          <w:p>
            <w:pPr>
              <w:jc w:val="center"/>
              <w:ind w:left="140"/>
              <w:spacing w:after="0"/>
              <w:rPr>
                <w:sz w:val="20"/>
                <w:szCs w:val="20"/>
                <w:color w:val="auto"/>
              </w:rPr>
            </w:pPr>
            <w:r>
              <w:rPr>
                <w:rFonts w:ascii="Arial" w:cs="Arial" w:eastAsia="Arial" w:hAnsi="Arial"/>
                <w:sz w:val="12"/>
                <w:szCs w:val="12"/>
                <w:color w:val="auto"/>
                <w:w w:val="89"/>
              </w:rPr>
              <w:t>24,757</w:t>
            </w:r>
            <w:r>
              <w:rPr>
                <w:rFonts w:ascii="Arial" w:cs="Arial" w:eastAsia="Arial" w:hAnsi="Arial"/>
                <w:sz w:val="10"/>
                <w:szCs w:val="10"/>
                <w:color w:val="auto"/>
                <w:w w:val="89"/>
              </w:rPr>
              <w:t>(1)</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89"/>
              </w:rPr>
              <w:t>4/14/2030</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Kieran O’Kane</w:t>
            </w: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4/4/2018</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6"/>
              </w:rPr>
              <w:t>7,157</w:t>
            </w:r>
          </w:p>
        </w:tc>
        <w:tc>
          <w:tcPr>
            <w:tcW w:w="96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94"/>
              </w:rPr>
              <w:t>5,477</w:t>
            </w:r>
            <w:r>
              <w:rPr>
                <w:rFonts w:ascii="Arial" w:cs="Arial" w:eastAsia="Arial" w:hAnsi="Arial"/>
                <w:sz w:val="10"/>
                <w:szCs w:val="10"/>
                <w:b w:val="1"/>
                <w:bCs w:val="1"/>
                <w:color w:val="auto"/>
                <w:w w:val="94"/>
              </w:rPr>
              <w:t>(3)</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0.42</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94"/>
              </w:rPr>
              <w:t>4/3/2028</w:t>
            </w:r>
          </w:p>
        </w:tc>
      </w:tr>
      <w:tr>
        <w:trPr>
          <w:trHeight w:val="144"/>
        </w:trPr>
        <w:tc>
          <w:tcPr>
            <w:tcW w:w="28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89"/>
              </w:rPr>
              <w:t>3/22/2019</w:t>
            </w:r>
          </w:p>
        </w:tc>
        <w:tc>
          <w:tcPr>
            <w:tcW w:w="880" w:type="dxa"/>
            <w:vAlign w:val="bottom"/>
            <w:gridSpan w:val="2"/>
          </w:tcPr>
          <w:p>
            <w:pPr>
              <w:jc w:val="center"/>
              <w:ind w:left="160"/>
              <w:spacing w:after="0"/>
              <w:rPr>
                <w:sz w:val="20"/>
                <w:szCs w:val="20"/>
                <w:color w:val="auto"/>
              </w:rPr>
            </w:pPr>
            <w:r>
              <w:rPr>
                <w:rFonts w:ascii="Arial" w:cs="Arial" w:eastAsia="Arial" w:hAnsi="Arial"/>
                <w:sz w:val="12"/>
                <w:szCs w:val="12"/>
                <w:color w:val="auto"/>
                <w:w w:val="86"/>
              </w:rPr>
              <w:t>4,853</w:t>
            </w:r>
          </w:p>
        </w:tc>
        <w:tc>
          <w:tcPr>
            <w:tcW w:w="960" w:type="dxa"/>
            <w:vAlign w:val="bottom"/>
            <w:gridSpan w:val="2"/>
          </w:tcPr>
          <w:p>
            <w:pPr>
              <w:jc w:val="center"/>
              <w:ind w:left="140"/>
              <w:spacing w:after="0"/>
              <w:rPr>
                <w:sz w:val="20"/>
                <w:szCs w:val="20"/>
                <w:color w:val="auto"/>
              </w:rPr>
            </w:pPr>
            <w:r>
              <w:rPr>
                <w:rFonts w:ascii="Arial" w:cs="Arial" w:eastAsia="Arial" w:hAnsi="Arial"/>
                <w:sz w:val="12"/>
                <w:szCs w:val="12"/>
                <w:color w:val="auto"/>
                <w:w w:val="94"/>
              </w:rPr>
              <w:t>7,781</w:t>
            </w:r>
            <w:r>
              <w:rPr>
                <w:rFonts w:ascii="Arial" w:cs="Arial" w:eastAsia="Arial" w:hAnsi="Arial"/>
                <w:sz w:val="10"/>
                <w:szCs w:val="10"/>
                <w:color w:val="auto"/>
                <w:w w:val="94"/>
              </w:rPr>
              <w:t>(1)</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12/31/2028</w:t>
            </w:r>
          </w:p>
        </w:tc>
      </w:tr>
      <w:tr>
        <w:trPr>
          <w:trHeight w:val="144"/>
        </w:trPr>
        <w:tc>
          <w:tcPr>
            <w:tcW w:w="28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4/15/2020</w:t>
            </w:r>
          </w:p>
        </w:tc>
        <w:tc>
          <w:tcPr>
            <w:tcW w:w="8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6"/>
              </w:rPr>
              <w:t>4,924</w:t>
            </w:r>
          </w:p>
        </w:tc>
        <w:tc>
          <w:tcPr>
            <w:tcW w:w="96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89"/>
              </w:rPr>
              <w:t>22,029</w:t>
            </w:r>
            <w:r>
              <w:rPr>
                <w:rFonts w:ascii="Arial" w:cs="Arial" w:eastAsia="Arial" w:hAnsi="Arial"/>
                <w:sz w:val="10"/>
                <w:szCs w:val="10"/>
                <w:color w:val="auto"/>
                <w:w w:val="89"/>
              </w:rPr>
              <w:t>(1)</w:t>
            </w:r>
          </w:p>
        </w:tc>
        <w:tc>
          <w:tcPr>
            <w:tcW w:w="740" w:type="dxa"/>
            <w:vAlign w:val="bottom"/>
            <w:gridSpan w:val="2"/>
            <w:shd w:val="clear" w:color="auto" w:fill="CCEEFF"/>
          </w:tcPr>
          <w:p>
            <w:pPr>
              <w:jc w:val="center"/>
              <w:ind w:left="140"/>
              <w:spacing w:after="0"/>
              <w:rPr>
                <w:sz w:val="20"/>
                <w:szCs w:val="20"/>
                <w:color w:val="auto"/>
              </w:rPr>
            </w:pPr>
            <w:r>
              <w:rPr>
                <w:rFonts w:ascii="Arial" w:cs="Arial" w:eastAsia="Arial" w:hAnsi="Arial"/>
                <w:sz w:val="12"/>
                <w:szCs w:val="12"/>
                <w:color w:val="auto"/>
                <w:w w:val="89"/>
              </w:rPr>
              <w:t>8,423</w:t>
            </w:r>
            <w:r>
              <w:rPr>
                <w:rFonts w:ascii="Arial" w:cs="Arial" w:eastAsia="Arial" w:hAnsi="Arial"/>
                <w:sz w:val="10"/>
                <w:szCs w:val="10"/>
                <w:color w:val="auto"/>
                <w:w w:val="89"/>
              </w:rPr>
              <w:t>(4)</w:t>
            </w:r>
          </w:p>
        </w:tc>
        <w:tc>
          <w:tcPr>
            <w:tcW w:w="58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5"/>
              </w:rPr>
              <w:t>0.77</w:t>
            </w:r>
          </w:p>
        </w:tc>
        <w:tc>
          <w:tcPr>
            <w:tcW w:w="820" w:type="dxa"/>
            <w:vAlign w:val="bottom"/>
            <w:gridSpan w:val="2"/>
            <w:shd w:val="clear" w:color="auto" w:fill="CCEEFF"/>
          </w:tcPr>
          <w:p>
            <w:pPr>
              <w:jc w:val="center"/>
              <w:ind w:left="160"/>
              <w:spacing w:after="0"/>
              <w:rPr>
                <w:sz w:val="20"/>
                <w:szCs w:val="20"/>
                <w:color w:val="auto"/>
              </w:rPr>
            </w:pPr>
            <w:r>
              <w:rPr>
                <w:rFonts w:ascii="Arial" w:cs="Arial" w:eastAsia="Arial" w:hAnsi="Arial"/>
                <w:sz w:val="12"/>
                <w:szCs w:val="12"/>
                <w:color w:val="auto"/>
                <w:w w:val="89"/>
              </w:rPr>
              <w:t>4/14/2030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74295</wp:posOffset>
            </wp:positionV>
            <wp:extent cx="51435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5" w:lineRule="exact"/>
        <w:rPr>
          <w:sz w:val="20"/>
          <w:szCs w:val="20"/>
          <w:color w:val="auto"/>
        </w:rPr>
      </w:pPr>
    </w:p>
    <w:p>
      <w:pPr>
        <w:ind w:left="2480" w:hanging="364"/>
        <w:spacing w:after="0"/>
        <w:tabs>
          <w:tab w:leader="none" w:pos="24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These stock options vest in a series of 60 successive, equal monthly installments measured from the vesting commencement date.</w:t>
      </w:r>
    </w:p>
    <w:p>
      <w:pPr>
        <w:spacing w:after="0" w:line="26" w:lineRule="exact"/>
        <w:rPr>
          <w:rFonts w:ascii="Arial" w:cs="Arial" w:eastAsia="Arial" w:hAnsi="Arial"/>
          <w:sz w:val="11"/>
          <w:szCs w:val="11"/>
          <w:color w:val="auto"/>
        </w:rPr>
      </w:pPr>
    </w:p>
    <w:p>
      <w:pPr>
        <w:ind w:left="2480" w:right="859" w:hanging="364"/>
        <w:spacing w:after="0" w:line="284" w:lineRule="auto"/>
        <w:tabs>
          <w:tab w:leader="none" w:pos="24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w:t>
      </w:r>
    </w:p>
    <w:p>
      <w:pPr>
        <w:spacing w:after="0" w:line="6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25</w:t>
            </w:r>
          </w:p>
        </w:tc>
      </w:tr>
    </w:tbl>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480" w:right="919"/>
        <w:spacing w:after="0" w:line="258" w:lineRule="auto"/>
        <w:rPr>
          <w:sz w:val="20"/>
          <w:szCs w:val="20"/>
          <w:color w:val="auto"/>
        </w:rPr>
      </w:pPr>
      <w:r>
        <w:rPr>
          <w:rFonts w:ascii="Arial" w:cs="Arial" w:eastAsia="Arial" w:hAnsi="Arial"/>
          <w:sz w:val="12"/>
          <w:szCs w:val="12"/>
          <w:color w:val="auto"/>
        </w:rPr>
        <w:t>vesting commencement date, with the remaining balance vesting in a series of 39 successive equal monthly installments measured from such date, subject to the award recipient’s continued employment through the applicable vesting date.</w:t>
      </w:r>
    </w:p>
    <w:p>
      <w:pPr>
        <w:ind w:left="2480" w:right="859" w:hanging="364"/>
        <w:spacing w:after="0" w:line="250" w:lineRule="auto"/>
        <w:tabs>
          <w:tab w:leader="none" w:pos="24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w:t>
      </w:r>
    </w:p>
    <w:p>
      <w:pPr>
        <w:ind w:left="2480" w:right="859" w:hanging="364"/>
        <w:spacing w:after="0" w:line="304" w:lineRule="auto"/>
        <w:tabs>
          <w:tab w:leader="none" w:pos="2480" w:val="left"/>
        </w:tabs>
        <w:numPr>
          <w:ilvl w:val="0"/>
          <w:numId w:val="27"/>
        </w:numPr>
        <w:rPr>
          <w:rFonts w:ascii="Arial" w:cs="Arial" w:eastAsia="Arial" w:hAnsi="Arial"/>
          <w:sz w:val="10"/>
          <w:szCs w:val="10"/>
          <w:color w:val="auto"/>
        </w:rPr>
      </w:pPr>
      <w:r>
        <w:rPr>
          <w:rFonts w:ascii="Arial" w:cs="Arial" w:eastAsia="Arial" w:hAnsi="Arial"/>
          <w:sz w:val="10"/>
          <w:szCs w:val="10"/>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Mr. O’Kane did not become eligible to receive an award of performance-vested options until April 2020, at which time he was granted stock options representing the right to purchase 8,423 shares of our common stock. One half of the performance-vested options granted to Mr. O’Kane vest after each of the first and second anniversaries of the vesting commencement date, subject to the achievement of the same performance criteria described above for the 2020 and 2021 tranches of Mr. Hutton’s and Ms. Harper Cowie’s performance-vested options.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the 2020 tranche, the board of directors determined that the 2020 performance hurdles were met and one third of each of Mr. Hutton’s and Ms. Harper Cowie’s and one half of Mr. O’Kane’s performance-vested option award became fully vested and exercisable.</w:t>
      </w:r>
    </w:p>
    <w:p>
      <w:pPr>
        <w:spacing w:after="0" w:line="248" w:lineRule="exact"/>
        <w:rPr>
          <w:sz w:val="20"/>
          <w:szCs w:val="20"/>
          <w:color w:val="auto"/>
        </w:rPr>
      </w:pPr>
    </w:p>
    <w:p>
      <w:pPr>
        <w:ind w:left="1980"/>
        <w:spacing w:after="0"/>
        <w:rPr>
          <w:sz w:val="20"/>
          <w:szCs w:val="20"/>
          <w:color w:val="auto"/>
        </w:rPr>
      </w:pPr>
      <w:r>
        <w:rPr>
          <w:rFonts w:ascii="Arial" w:cs="Arial" w:eastAsia="Arial" w:hAnsi="Arial"/>
          <w:sz w:val="17"/>
          <w:szCs w:val="17"/>
          <w:b w:val="1"/>
          <w:bCs w:val="1"/>
          <w:color w:val="143FDD"/>
        </w:rPr>
        <w:t>Additional Matters</w:t>
      </w:r>
    </w:p>
    <w:p>
      <w:pPr>
        <w:spacing w:after="0" w:line="15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Hutton Offer Letters</w:t>
      </w:r>
    </w:p>
    <w:p>
      <w:pPr>
        <w:spacing w:after="0" w:line="78"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Mr. Hutton and the Company entered into an offer letter agreement, dated as of February 23, 2020 (the “2020 Hutton Offer Letter”). Under the terms of the 2020 Hutton Offer Letter, effective January 1, 2020, Mr. Hutton’s base salary was raised to $350,000 annually. Effective November 2020, Mr. Hutton’s base salary was further adjusted to $425,000 annually, and he became eligible to receive a bonus of up to 100% of his base salary.</w:t>
      </w:r>
    </w:p>
    <w:p>
      <w:pPr>
        <w:spacing w:after="0" w:line="87" w:lineRule="exact"/>
        <w:rPr>
          <w:sz w:val="20"/>
          <w:szCs w:val="20"/>
          <w:color w:val="auto"/>
        </w:rPr>
      </w:pPr>
    </w:p>
    <w:p>
      <w:pPr>
        <w:ind w:left="1980" w:right="959" w:firstLine="294"/>
        <w:spacing w:after="0" w:line="305" w:lineRule="auto"/>
        <w:rPr>
          <w:sz w:val="20"/>
          <w:szCs w:val="20"/>
          <w:color w:val="auto"/>
        </w:rPr>
      </w:pPr>
      <w:r>
        <w:rPr>
          <w:rFonts w:ascii="Arial" w:cs="Arial" w:eastAsia="Arial" w:hAnsi="Arial"/>
          <w:sz w:val="10"/>
          <w:szCs w:val="10"/>
          <w:color w:val="auto"/>
        </w:rPr>
        <w:t>In addition, Mr. Hutton is entitled to certain severance benefits in the event that his employment with the Company is terminated without Cause, as defined in Mr. Hutton’s offer letter agreement with the Company dated as of February 8, 2018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w:t>
      </w:r>
    </w:p>
    <w:p>
      <w:pPr>
        <w:ind w:left="1980" w:right="879" w:hanging="8"/>
        <w:spacing w:after="0" w:line="273" w:lineRule="auto"/>
        <w:tabs>
          <w:tab w:leader="none" w:pos="2123" w:val="left"/>
        </w:tabs>
        <w:numPr>
          <w:ilvl w:val="0"/>
          <w:numId w:val="28"/>
        </w:numPr>
        <w:rPr>
          <w:rFonts w:ascii="Arial" w:cs="Arial" w:eastAsia="Arial" w:hAnsi="Arial"/>
          <w:sz w:val="11"/>
          <w:szCs w:val="11"/>
          <w:color w:val="auto"/>
        </w:rPr>
      </w:pPr>
      <w:r>
        <w:rPr>
          <w:rFonts w:ascii="Arial" w:cs="Arial" w:eastAsia="Arial" w:hAnsi="Arial"/>
          <w:sz w:val="11"/>
          <w:szCs w:val="11"/>
          <w:color w:val="auto"/>
        </w:rPr>
        <w:t>base salary continuation for a period of 12 months following the effective date of a general release of claims, less standard deductions and withholdings, and (ii) if Mr. Hutton timely elects healthcare continuation coverage under the Consolidated Omnibus Budget Reconciliation Act of 1985, as amended (“COBRA”), Company-paid COBRA premiums (including in respect of coverage for eligible dependents) for a period starting on</w:t>
      </w:r>
    </w:p>
    <w:p>
      <w:pPr>
        <w:ind w:left="1980" w:right="939"/>
        <w:spacing w:after="0" w:line="281" w:lineRule="auto"/>
        <w:rPr>
          <w:rFonts w:ascii="Arial" w:cs="Arial" w:eastAsia="Arial" w:hAnsi="Arial"/>
          <w:sz w:val="11"/>
          <w:szCs w:val="11"/>
          <w:color w:val="auto"/>
        </w:rPr>
      </w:pPr>
      <w:r>
        <w:rPr>
          <w:rFonts w:ascii="Arial" w:cs="Arial" w:eastAsia="Arial" w:hAnsi="Arial"/>
          <w:sz w:val="11"/>
          <w:szCs w:val="11"/>
          <w:color w:val="auto"/>
        </w:rPr>
        <w:t>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70"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26</w:t>
            </w:r>
          </w:p>
        </w:tc>
      </w:tr>
    </w:tbl>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would cease to vest and be forfeited on Mr. Hutton’s last day of employment. In the event that Mr. Hutton’s employment is terminated by the Company without Cause, as defined in the 2020 Hutton Offer Letter, he would be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115" w:lineRule="exact"/>
        <w:rPr>
          <w:sz w:val="20"/>
          <w:szCs w:val="20"/>
          <w:color w:val="auto"/>
        </w:rPr>
      </w:pPr>
    </w:p>
    <w:p>
      <w:pPr>
        <w:ind w:left="1980" w:right="1159" w:firstLine="294"/>
        <w:spacing w:after="0" w:line="323" w:lineRule="auto"/>
        <w:rPr>
          <w:sz w:val="20"/>
          <w:szCs w:val="20"/>
          <w:color w:val="auto"/>
        </w:rPr>
      </w:pPr>
      <w:r>
        <w:rPr>
          <w:rFonts w:ascii="Arial" w:cs="Arial" w:eastAsia="Arial" w:hAnsi="Arial"/>
          <w:sz w:val="11"/>
          <w:szCs w:val="11"/>
          <w:color w:val="auto"/>
        </w:rPr>
        <w:t>Effective March 1, 2021, our board of directors approved an increase in Mr. Hutton’s base salary to $515,000 to reward him at a level that is commensurate with public company peers and to provide incentives that properly reflect his current duties and responsibilities.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Harper Cowie Offer Letters</w:t>
      </w:r>
    </w:p>
    <w:p>
      <w:pPr>
        <w:spacing w:after="0" w:line="150"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Ms. Harper Cowie and the Company entered into an offer letter agreement, dated as of February 23, 2020 (the “2020 Harper Cowie Offer Letter”). Under the terms of the 2020 Harper Cowie Offer Letter, Ms. Harper Cowie is entitled to a base salary of $290,000 annually effective November 2020,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2020 Harper Cowie Offer Letter, including but not limited to a termination following a change in control. The severance benefits consist of (i) base salary continuation for a period of six months following the effective date of a general release of claims, less standard deductions and withholdings, and (ii) if Ms. Harper Cowie timely elects healthcare continuation coverage under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248" w:lineRule="exact"/>
        <w:rPr>
          <w:sz w:val="20"/>
          <w:szCs w:val="20"/>
          <w:color w:val="auto"/>
        </w:rPr>
      </w:pPr>
    </w:p>
    <w:p>
      <w:pPr>
        <w:ind w:left="1980" w:right="959" w:firstLine="294"/>
        <w:spacing w:after="0" w:line="326" w:lineRule="auto"/>
        <w:rPr>
          <w:sz w:val="20"/>
          <w:szCs w:val="20"/>
          <w:color w:val="auto"/>
        </w:rPr>
      </w:pPr>
      <w:r>
        <w:rPr>
          <w:rFonts w:ascii="Arial" w:cs="Arial" w:eastAsia="Arial" w:hAnsi="Arial"/>
          <w:sz w:val="10"/>
          <w:szCs w:val="10"/>
          <w:color w:val="auto"/>
        </w:rPr>
        <w:t>Pursuant to the 2020 Harper Cowie Offer Letter, in the event Ms. Harper Cowie resigns, or if her employment is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95"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Effective March 1, 2021, our board of directors approved an increase in Ms. Harper Cowie’s base salary to $330,000 to reward her at a level that is commensurate with public company peers and to provide incentives that properly reflect her current duties and responsibilities.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401(k) Plan</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7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27</w:t>
            </w:r>
          </w:p>
        </w:tc>
      </w:tr>
    </w:tbl>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4680"/>
        <w:spacing w:after="0"/>
        <w:rPr>
          <w:sz w:val="20"/>
          <w:szCs w:val="20"/>
          <w:color w:val="auto"/>
        </w:rPr>
      </w:pPr>
      <w:r>
        <w:rPr>
          <w:rFonts w:ascii="Arial" w:cs="Arial" w:eastAsia="Arial" w:hAnsi="Arial"/>
          <w:sz w:val="19"/>
          <w:szCs w:val="19"/>
          <w:b w:val="1"/>
          <w:bCs w:val="1"/>
          <w:color w:val="143FDD"/>
        </w:rPr>
        <w:t>STOCK OWNERSHIP</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Security Ownership of Certain Beneficial Owners and Management</w:t>
      </w:r>
    </w:p>
    <w:p>
      <w:pPr>
        <w:spacing w:after="0" w:line="14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April 1, 2021:</w:t>
      </w:r>
    </w:p>
    <w:p>
      <w:pPr>
        <w:spacing w:after="0" w:line="87" w:lineRule="exact"/>
        <w:rPr>
          <w:sz w:val="20"/>
          <w:szCs w:val="20"/>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each of our named executive officers;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each person, or group of affiliated persons, known by us to beneficially own more than 5% of our common stock.</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April 1, 2021,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13"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We have based percentage ownership of common stock before this offering on 26,785,426 shares of common stock outstanding as of April 1, 2021. Unless otherwise indicated, the address for each beneficial owner listed in the table below is c/o Biodesix, Inc., 2970 Wilderness Place, Suite 100, Boulder, Colorado 80301.</w:t>
      </w:r>
    </w:p>
    <w:p>
      <w:pPr>
        <w:spacing w:after="0" w:line="29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020" w:type="dxa"/>
            <w:vAlign w:val="bottom"/>
            <w:gridSpan w:val="3"/>
          </w:tcPr>
          <w:p>
            <w:pPr>
              <w:jc w:val="center"/>
              <w:ind w:left="162"/>
              <w:spacing w:after="0"/>
              <w:rPr>
                <w:sz w:val="20"/>
                <w:szCs w:val="20"/>
                <w:color w:val="auto"/>
              </w:rPr>
            </w:pPr>
            <w:r>
              <w:rPr>
                <w:rFonts w:ascii="Arial" w:cs="Arial" w:eastAsia="Arial" w:hAnsi="Arial"/>
                <w:sz w:val="10"/>
                <w:szCs w:val="10"/>
                <w:b w:val="1"/>
                <w:bCs w:val="1"/>
                <w:color w:val="auto"/>
                <w:w w:val="82"/>
              </w:rPr>
              <w:t>Shares Beneficially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20" w:type="dxa"/>
            <w:vAlign w:val="bottom"/>
            <w:tcBorders>
              <w:bottom w:val="single" w:sz="8" w:color="auto"/>
            </w:tcBorders>
            <w:gridSpan w:val="3"/>
          </w:tcPr>
          <w:p>
            <w:pPr>
              <w:jc w:val="center"/>
              <w:ind w:left="162"/>
              <w:spacing w:after="0" w:line="114" w:lineRule="exact"/>
              <w:rPr>
                <w:sz w:val="20"/>
                <w:szCs w:val="20"/>
                <w:color w:val="auto"/>
              </w:rPr>
            </w:pPr>
            <w:r>
              <w:rPr>
                <w:rFonts w:ascii="Arial" w:cs="Arial" w:eastAsia="Arial" w:hAnsi="Arial"/>
                <w:sz w:val="10"/>
                <w:szCs w:val="10"/>
                <w:b w:val="1"/>
                <w:bCs w:val="1"/>
                <w:color w:val="auto"/>
                <w:w w:val="83"/>
              </w:rPr>
              <w:t>Owned</w:t>
            </w: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Address of Beneficial Owner</w:t>
            </w:r>
          </w:p>
        </w:tc>
        <w:tc>
          <w:tcPr>
            <w:tcW w:w="10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61"/>
              <w:spacing w:after="0" w:line="113" w:lineRule="exact"/>
              <w:rPr>
                <w:sz w:val="20"/>
                <w:szCs w:val="20"/>
                <w:color w:val="auto"/>
              </w:rPr>
            </w:pPr>
            <w:r>
              <w:rPr>
                <w:rFonts w:ascii="Arial" w:cs="Arial" w:eastAsia="Arial" w:hAnsi="Arial"/>
                <w:sz w:val="10"/>
                <w:szCs w:val="10"/>
                <w:b w:val="1"/>
                <w:bCs w:val="1"/>
                <w:color w:val="auto"/>
                <w:w w:val="89"/>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960" w:type="dxa"/>
            <w:vAlign w:val="bottom"/>
            <w:gridSpan w:val="2"/>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62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b w:val="1"/>
                <w:bCs w:val="1"/>
                <w:color w:val="auto"/>
              </w:rPr>
              <w:t>Principal Stockholders:</w:t>
            </w:r>
          </w:p>
        </w:tc>
        <w:tc>
          <w:tcPr>
            <w:tcW w:w="43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Jack Schuler and entities affiliated with Jack Schuler</w:t>
            </w:r>
            <w:r>
              <w:rPr>
                <w:rFonts w:ascii="Arial" w:cs="Arial" w:eastAsia="Arial" w:hAnsi="Arial"/>
                <w:sz w:val="10"/>
                <w:szCs w:val="10"/>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7,959,564</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8"/>
              </w:rPr>
              <w:t>29.7%</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John Patience and entities affiliated with John Patience</w:t>
            </w:r>
            <w:r>
              <w:rPr>
                <w:rFonts w:ascii="Arial" w:cs="Arial" w:eastAsia="Arial" w:hAnsi="Arial"/>
                <w:sz w:val="10"/>
                <w:szCs w:val="10"/>
                <w:color w:val="auto"/>
              </w:rPr>
              <w:t>(2)</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4,822,537</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8"/>
              </w:rPr>
              <w:t>18.0%</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Life Sciences Alternative Financing LLC and entities affiliated with Life Sciences Alternative Financing LLC</w:t>
            </w:r>
            <w:r>
              <w:rPr>
                <w:rFonts w:ascii="Arial" w:cs="Arial" w:eastAsia="Arial" w:hAnsi="Arial"/>
                <w:sz w:val="10"/>
                <w:szCs w:val="10"/>
                <w:color w:val="auto"/>
              </w:rPr>
              <w:t>(3)</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2,190,427</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Robert Cawthorn and entities affiliated with Robert Cawthorn</w:t>
            </w:r>
            <w:r>
              <w:rPr>
                <w:rFonts w:ascii="Arial" w:cs="Arial" w:eastAsia="Arial" w:hAnsi="Arial"/>
                <w:sz w:val="10"/>
                <w:szCs w:val="10"/>
                <w:color w:val="auto"/>
              </w:rPr>
              <w:t>(4)</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1,999,193</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53"/>
        </w:trPr>
        <w:tc>
          <w:tcPr>
            <w:tcW w:w="5960" w:type="dxa"/>
            <w:vAlign w:val="bottom"/>
            <w:gridSpan w:val="2"/>
          </w:tcPr>
          <w:p>
            <w:pPr>
              <w:spacing w:after="0"/>
              <w:rPr>
                <w:sz w:val="20"/>
                <w:szCs w:val="20"/>
                <w:color w:val="auto"/>
              </w:rPr>
            </w:pPr>
            <w:r>
              <w:rPr>
                <w:rFonts w:ascii="Arial" w:cs="Arial" w:eastAsia="Arial" w:hAnsi="Arial"/>
                <w:sz w:val="12"/>
                <w:szCs w:val="12"/>
                <w:color w:val="auto"/>
              </w:rPr>
              <w:t>Entities affiliated with Lawrence T. Kennedy, Jr.</w:t>
            </w:r>
            <w:r>
              <w:rPr>
                <w:rFonts w:ascii="Arial" w:cs="Arial" w:eastAsia="Arial" w:hAnsi="Arial"/>
                <w:sz w:val="10"/>
                <w:szCs w:val="10"/>
                <w:color w:val="auto"/>
              </w:rPr>
              <w:t>(5)</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1,411,767</w:t>
            </w:r>
          </w:p>
        </w:tc>
        <w:tc>
          <w:tcPr>
            <w:tcW w:w="2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07"/>
        </w:trPr>
        <w:tc>
          <w:tcPr>
            <w:tcW w:w="5960" w:type="dxa"/>
            <w:vAlign w:val="bottom"/>
            <w:gridSpan w:val="2"/>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Scott Hutton</w:t>
            </w:r>
            <w:r>
              <w:rPr>
                <w:rFonts w:ascii="Arial" w:cs="Arial" w:eastAsia="Arial" w:hAnsi="Arial"/>
                <w:sz w:val="10"/>
                <w:szCs w:val="10"/>
                <w:color w:val="auto"/>
              </w:rPr>
              <w:t>(6)</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255,341</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Robin Harper Cowie</w:t>
            </w:r>
            <w:r>
              <w:rPr>
                <w:rFonts w:ascii="Arial" w:cs="Arial" w:eastAsia="Arial" w:hAnsi="Arial"/>
                <w:sz w:val="10"/>
                <w:szCs w:val="10"/>
                <w:color w:val="auto"/>
              </w:rPr>
              <w:t>(7)</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158,948</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Kieran O’Kane</w:t>
            </w:r>
            <w:r>
              <w:rPr>
                <w:rFonts w:ascii="Arial" w:cs="Arial" w:eastAsia="Arial" w:hAnsi="Arial"/>
                <w:sz w:val="10"/>
                <w:szCs w:val="10"/>
                <w:color w:val="auto"/>
              </w:rPr>
              <w:t>(8)</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57,836</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Jack Schuler</w:t>
            </w:r>
            <w:r>
              <w:rPr>
                <w:rFonts w:ascii="Arial" w:cs="Arial" w:eastAsia="Arial" w:hAnsi="Arial"/>
                <w:sz w:val="10"/>
                <w:szCs w:val="10"/>
                <w:color w:val="auto"/>
              </w:rPr>
              <w:t>(9)</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7,959,564</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8"/>
              </w:rPr>
              <w:t>29.7%</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John Patience</w:t>
            </w:r>
            <w:r>
              <w:rPr>
                <w:rFonts w:ascii="Arial" w:cs="Arial" w:eastAsia="Arial" w:hAnsi="Arial"/>
                <w:sz w:val="10"/>
                <w:szCs w:val="10"/>
                <w:color w:val="auto"/>
              </w:rPr>
              <w:t>(10)</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4,822,537</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8"/>
              </w:rPr>
              <w:t>18.0%</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Matthew Strobeck, Ph.D.</w:t>
            </w:r>
            <w:r>
              <w:rPr>
                <w:rFonts w:ascii="Arial" w:cs="Arial" w:eastAsia="Arial" w:hAnsi="Arial"/>
                <w:sz w:val="10"/>
                <w:szCs w:val="10"/>
                <w:color w:val="auto"/>
              </w:rPr>
              <w:t>(11)</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1,120,039</w:t>
            </w:r>
          </w:p>
        </w:tc>
        <w:tc>
          <w:tcPr>
            <w:tcW w:w="2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Charles Watts, M.D.</w:t>
            </w:r>
            <w:r>
              <w:rPr>
                <w:rFonts w:ascii="Arial" w:cs="Arial" w:eastAsia="Arial" w:hAnsi="Arial"/>
                <w:sz w:val="10"/>
                <w:szCs w:val="10"/>
                <w:color w:val="auto"/>
              </w:rPr>
              <w:t>(12)</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63,525</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Jean Franchi</w:t>
            </w:r>
            <w:r>
              <w:rPr>
                <w:rFonts w:ascii="Arial" w:cs="Arial" w:eastAsia="Arial" w:hAnsi="Arial"/>
                <w:sz w:val="10"/>
                <w:szCs w:val="10"/>
                <w:color w:val="auto"/>
              </w:rPr>
              <w:t>(13)</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29,363</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60" w:type="dxa"/>
            <w:vAlign w:val="bottom"/>
            <w:gridSpan w:val="2"/>
          </w:tcPr>
          <w:p>
            <w:pPr>
              <w:spacing w:after="0"/>
              <w:rPr>
                <w:sz w:val="20"/>
                <w:szCs w:val="20"/>
                <w:color w:val="auto"/>
              </w:rPr>
            </w:pPr>
            <w:r>
              <w:rPr>
                <w:rFonts w:ascii="Arial" w:cs="Arial" w:eastAsia="Arial" w:hAnsi="Arial"/>
                <w:sz w:val="12"/>
                <w:szCs w:val="12"/>
                <w:color w:val="auto"/>
              </w:rPr>
              <w:t>Hany Massarany</w:t>
            </w:r>
            <w:r>
              <w:rPr>
                <w:rFonts w:ascii="Arial" w:cs="Arial" w:eastAsia="Arial" w:hAnsi="Arial"/>
                <w:sz w:val="10"/>
                <w:szCs w:val="10"/>
                <w:color w:val="auto"/>
              </w:rPr>
              <w:t>(14)</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36,799</w:t>
            </w:r>
          </w:p>
        </w:tc>
        <w:tc>
          <w:tcPr>
            <w:tcW w:w="20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60" w:type="dxa"/>
            <w:vAlign w:val="bottom"/>
            <w:gridSpan w:val="2"/>
          </w:tcPr>
          <w:p>
            <w:pPr>
              <w:spacing w:after="0"/>
              <w:rPr>
                <w:sz w:val="20"/>
                <w:szCs w:val="20"/>
                <w:color w:val="auto"/>
              </w:rPr>
            </w:pPr>
            <w:r>
              <w:rPr>
                <w:rFonts w:ascii="Arial" w:cs="Arial" w:eastAsia="Arial" w:hAnsi="Arial"/>
                <w:sz w:val="12"/>
                <w:szCs w:val="12"/>
                <w:color w:val="auto"/>
              </w:rPr>
              <w:t>All directors and named executive officers as a group (11 persons)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14,688,875</w:t>
            </w:r>
          </w:p>
        </w:tc>
        <w:tc>
          <w:tcPr>
            <w:tcW w:w="20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8"/>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13716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59" w:lineRule="exact"/>
        <w:rPr>
          <w:sz w:val="20"/>
          <w:szCs w:val="20"/>
          <w:color w:val="auto"/>
        </w:rPr>
      </w:pPr>
    </w:p>
    <w:p>
      <w:pPr>
        <w:ind w:left="2260" w:hanging="288"/>
        <w:spacing w:after="0"/>
        <w:tabs>
          <w:tab w:leader="none" w:pos="22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105"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28</w:t>
            </w:r>
          </w:p>
        </w:tc>
      </w:tr>
    </w:tbl>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39" w:hanging="288"/>
        <w:spacing w:after="0" w:line="275" w:lineRule="auto"/>
        <w:tabs>
          <w:tab w:leader="none" w:pos="22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(a) 11,717 shares of common stock issuable upon the exercise of options held by Jack Schuler that are vested and exercisable within 60 days of April 1, 2021. The number of shares listed as beneficially owned includes (a) 5,724,513 shares of common stock held by Jack W. Schuler Living Trust, (b) 396,769 shares of common stock held by Tanya Eva Schuler, Trust, (c) 396,769 shares of common stock held by Therese Heidi Schuler, Trust, (d) 396,769 shares of common stock held by Tino Hans Schuler, Trust, (e) 382,467 shares of common stock held by Schuler Grandchildren LLC, (f) 190,300 shares of common stock held by JS Grandchildren Trust, (g) 182,483 shares of common stock held by Schuler Descendants Trust and (h) 277,777 shares of common stock held by Schuler Family Foundation. Mr. Schuler disclaims beneficial ownership of all shares other than those held by Mr. Schuler personally or by the Jack W. Schuler Living Trust.</w:t>
      </w:r>
    </w:p>
    <w:p>
      <w:pPr>
        <w:spacing w:after="0" w:line="2" w:lineRule="exact"/>
        <w:rPr>
          <w:rFonts w:ascii="Arial" w:cs="Arial" w:eastAsia="Arial" w:hAnsi="Arial"/>
          <w:sz w:val="11"/>
          <w:szCs w:val="11"/>
          <w:color w:val="auto"/>
        </w:rPr>
      </w:pPr>
    </w:p>
    <w:p>
      <w:pPr>
        <w:ind w:left="2260" w:right="93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(a) 11,717 shares of common stock issuable upon the exercise of options held by John Patience that are vested and exercisable within 60 days of April 1, 2021. The number of shares listed as beneficially owned includes (a) 1,910,870 shares of common stock held by Patience Enterprises LP, (b) 2,869,950 shares of common stock held by John Patience Trust, dated July 23, 1993 and (c) 30,000 shares of common stock held by Diane Patience.</w:t>
      </w:r>
    </w:p>
    <w:p>
      <w:pPr>
        <w:spacing w:after="0" w:line="1" w:lineRule="exact"/>
        <w:rPr>
          <w:rFonts w:ascii="Arial" w:cs="Arial" w:eastAsia="Arial" w:hAnsi="Arial"/>
          <w:sz w:val="12"/>
          <w:szCs w:val="12"/>
          <w:color w:val="auto"/>
        </w:rPr>
      </w:pPr>
    </w:p>
    <w:p>
      <w:pPr>
        <w:ind w:left="2260" w:right="113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(a) 1,896,374 shares of common stock held by IND Funding LLC and (b) 294,053 shares of common stock held by Life Sciences Alternative Financing LLC.</w:t>
      </w:r>
    </w:p>
    <w:p>
      <w:pPr>
        <w:ind w:left="2260" w:right="109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(a) 70,314 shares of common stock issuable upon the exercise of options held by Robert Cawthorn that are vested and exercisable within 60 days of April 1, 2021 and (b) 1,928,879 shares of common stock held by Manlia Limited.</w:t>
      </w:r>
    </w:p>
    <w:p>
      <w:pPr>
        <w:jc w:val="both"/>
        <w:ind w:left="2260" w:right="101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(a) 774,044 shares of common stock held by Lawrence T. Kennedy, Jr. Revocable Trust UAD 6/19/01 and as amended from time to time, (b) 471,057 shares of common stock held by Lawrence T. Kennedy, Jr. Perpetuity Trust UAD 6/30/16 and (c) 166,666 shares of common stock held by KFDI-B LLC.</w:t>
      </w:r>
    </w:p>
    <w:p>
      <w:pPr>
        <w:ind w:left="2260" w:right="939" w:hanging="288"/>
        <w:spacing w:after="0" w:line="273" w:lineRule="auto"/>
        <w:tabs>
          <w:tab w:leader="none" w:pos="22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249,841 shares of common stock issuable upon the exercise of options held by Scott Hutton that are vested and exercisable within 60 days of April 1, 2021. The number of shares listed as beneficially owned includes 5,500 shares of common stock held by Scott Hutton.</w:t>
      </w:r>
    </w:p>
    <w:p>
      <w:pPr>
        <w:ind w:left="2260" w:right="91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157,948 shares of common stock issuable upon the exercise of options held by Robin Harper Cowie that are vested and exercisable within 60 days of April 1, 2021. The number of shares listed as beneficially owned includes 1,000 shares of common stock held by Robin Harper Cowie.</w:t>
      </w:r>
    </w:p>
    <w:p>
      <w:pPr>
        <w:ind w:left="2260" w:right="87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57,836 shares of common stock issuable upon the exercise of options held by Kieran O’Kane that are vested and exercisable within 60 days of April 1, 2021.</w:t>
      </w:r>
    </w:p>
    <w:p>
      <w:pPr>
        <w:ind w:left="2260" w:right="939" w:hanging="288"/>
        <w:spacing w:after="0" w:line="273" w:lineRule="auto"/>
        <w:tabs>
          <w:tab w:leader="none" w:pos="22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7,681,787 shares beneficially owned by Jack Schuler and entities affiliated with Jack Schuler, as set forth in footnote (1). Mr. Schuler disclaims beneficial ownership of all shares other than those held by Mr. Schuler personally or by the Jack W. Schuler Living Trust.</w:t>
      </w:r>
    </w:p>
    <w:p>
      <w:pPr>
        <w:ind w:left="2260" w:hanging="288"/>
        <w:spacing w:after="0"/>
        <w:tabs>
          <w:tab w:leader="none" w:pos="22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Consists of 4,840,033 shares beneficially owned by John Patience and entities affiliated with John Patience, as set forth in footnote (2).</w:t>
      </w:r>
    </w:p>
    <w:p>
      <w:pPr>
        <w:spacing w:after="0" w:line="17" w:lineRule="exact"/>
        <w:rPr>
          <w:rFonts w:ascii="Arial" w:cs="Arial" w:eastAsia="Arial" w:hAnsi="Arial"/>
          <w:sz w:val="11"/>
          <w:szCs w:val="11"/>
          <w:color w:val="auto"/>
        </w:rPr>
      </w:pPr>
    </w:p>
    <w:p>
      <w:pPr>
        <w:ind w:left="2260" w:right="87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(a) 15,086 shares of common stock issuable upon the exercise of options held by Dr. Matthew Strobeck that are vested and exercisable within 60 days of April 1, 2021. The number of shares listed as beneficially owned includes (a) 966,883 shares of common stock held by Matthew Strobeck, (b) 40,665 shares of common stock held by Clajer Capital LLC, (c) 14,072 shares of common stock held by the minor children of Matthew Strobeck, (d) 10,833 shares of common stock held by Birchview Capital Partners and (e) 72,500 shares of common stock held by Birchview Fund.</w:t>
      </w:r>
    </w:p>
    <w:p>
      <w:pPr>
        <w:spacing w:after="0" w:line="1" w:lineRule="exact"/>
        <w:rPr>
          <w:rFonts w:ascii="Arial" w:cs="Arial" w:eastAsia="Arial" w:hAnsi="Arial"/>
          <w:sz w:val="12"/>
          <w:szCs w:val="12"/>
          <w:color w:val="auto"/>
        </w:rPr>
      </w:pPr>
    </w:p>
    <w:p>
      <w:pPr>
        <w:ind w:left="2260" w:right="919" w:hanging="288"/>
        <w:spacing w:after="0" w:line="300"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Consists of 61,525 shares of common stock issuable upon the exercise of options held by Dr. Charles Watts that are vested and exercisable within 60 days of April 1, 2021. The number of shares listed as beneficially owned includes 2,000 shares of common stock held by Dr. Charles Watts.</w:t>
      </w:r>
    </w:p>
    <w:p>
      <w:pPr>
        <w:ind w:left="2260" w:right="999" w:hanging="288"/>
        <w:spacing w:after="0" w:line="250" w:lineRule="auto"/>
        <w:tabs>
          <w:tab w:leader="none" w:pos="22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Consists of 29,363 shares of common stock issuable upon the exercise of options held by Jean Franchi that are vested and exercisable within 60 days of April 1, 2021.</w:t>
      </w:r>
    </w:p>
    <w:p>
      <w:pPr>
        <w:ind w:left="2260" w:right="959" w:hanging="288"/>
        <w:spacing w:after="0" w:line="361"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Consists of 29,299 shares of common stock issuable upon the exercise of options held by Hany Massarany that are vested and exercisable within 60 days of April 1, 2021. The number of shares listed as beneficially owned includes 7,500 shares of common stock held by Hany Massarany.</w:t>
      </w:r>
    </w:p>
    <w:p>
      <w:pPr>
        <w:spacing w:after="0" w:line="32"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29</w:t>
            </w:r>
          </w:p>
        </w:tc>
      </w:tr>
    </w:tbl>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Delinquent Section 16(a) Reports</w:t>
      </w:r>
    </w:p>
    <w:p>
      <w:pPr>
        <w:spacing w:after="0" w:line="148" w:lineRule="exact"/>
        <w:rPr>
          <w:sz w:val="20"/>
          <w:szCs w:val="20"/>
          <w:color w:val="auto"/>
        </w:rPr>
      </w:pPr>
    </w:p>
    <w:p>
      <w:pPr>
        <w:ind w:left="1980" w:right="919" w:firstLine="514"/>
        <w:spacing w:after="0" w:line="263" w:lineRule="auto"/>
        <w:rPr>
          <w:sz w:val="20"/>
          <w:szCs w:val="20"/>
          <w:color w:val="auto"/>
        </w:rPr>
      </w:pPr>
      <w:r>
        <w:rPr>
          <w:rFonts w:ascii="Arial" w:cs="Arial" w:eastAsia="Arial" w:hAnsi="Arial"/>
          <w:sz w:val="12"/>
          <w:szCs w:val="12"/>
          <w:color w:val="auto"/>
        </w:rPr>
        <w:t>To our knowledge, based solely on the reports filed by us, copies of such reports furnished to us and written representations made by our executive officers and directors regarding their filing obligations, all Section 16(a) filing requirements applicable to our executive officers and directors were satisfied with respect to the year ended December 31, 2020.</w:t>
      </w:r>
    </w:p>
    <w:p>
      <w:pPr>
        <w:spacing w:after="0" w:line="77"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30</w:t>
            </w:r>
          </w:p>
        </w:tc>
      </w:tr>
    </w:tbl>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4840"/>
        <w:spacing w:after="0"/>
        <w:rPr>
          <w:sz w:val="20"/>
          <w:szCs w:val="20"/>
          <w:color w:val="auto"/>
        </w:rPr>
      </w:pPr>
      <w:r>
        <w:rPr>
          <w:rFonts w:ascii="Arial" w:cs="Arial" w:eastAsia="Arial" w:hAnsi="Arial"/>
          <w:sz w:val="19"/>
          <w:szCs w:val="19"/>
          <w:b w:val="1"/>
          <w:bCs w:val="1"/>
          <w:color w:val="143FDD"/>
        </w:rPr>
        <w:t>AUDIT MATTERS</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143FDD"/>
        </w:rPr>
        <w:t>Proposal Two: Ratification of Appointment of Independent Registered Public Accounting Firm</w:t>
      </w:r>
    </w:p>
    <w:p>
      <w:pPr>
        <w:spacing w:after="0" w:line="148" w:lineRule="exact"/>
        <w:rPr>
          <w:sz w:val="20"/>
          <w:szCs w:val="20"/>
          <w:color w:val="auto"/>
        </w:rPr>
      </w:pPr>
    </w:p>
    <w:p>
      <w:pPr>
        <w:ind w:left="1980" w:right="859" w:firstLine="514"/>
        <w:spacing w:after="0" w:line="281" w:lineRule="auto"/>
        <w:rPr>
          <w:sz w:val="20"/>
          <w:szCs w:val="20"/>
          <w:color w:val="auto"/>
        </w:rPr>
      </w:pPr>
      <w:r>
        <w:rPr>
          <w:rFonts w:ascii="Arial" w:cs="Arial" w:eastAsia="Arial" w:hAnsi="Arial"/>
          <w:sz w:val="11"/>
          <w:szCs w:val="11"/>
          <w:color w:val="auto"/>
        </w:rPr>
        <w:t>Our audit committee has appointed KPMG LLP as our independent registered public accounting firm for the year ending December 31, 2021.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15" w:lineRule="exact"/>
        <w:rPr>
          <w:sz w:val="20"/>
          <w:szCs w:val="20"/>
          <w:color w:val="auto"/>
        </w:rPr>
      </w:pPr>
    </w:p>
    <w:p>
      <w:pPr>
        <w:ind w:left="1980" w:right="999" w:firstLine="514"/>
        <w:spacing w:after="0" w:line="298" w:lineRule="auto"/>
        <w:rPr>
          <w:sz w:val="20"/>
          <w:szCs w:val="20"/>
          <w:color w:val="auto"/>
        </w:rPr>
      </w:pPr>
      <w:r>
        <w:rPr>
          <w:rFonts w:ascii="Arial" w:cs="Arial" w:eastAsia="Arial" w:hAnsi="Arial"/>
          <w:sz w:val="11"/>
          <w:szCs w:val="11"/>
          <w:color w:val="auto"/>
        </w:rPr>
        <w:t>Our board of directors considers the appointment of KPMG LLP as our independent registered public accounting firm for 2021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spacing w:after="0" w:line="105"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KPMG LLP has served as our independent registered public accounting firm since 2016.</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Principal Accountant Fees and Services</w:t>
      </w:r>
    </w:p>
    <w:p>
      <w:pPr>
        <w:spacing w:after="0" w:line="82" w:lineRule="exact"/>
        <w:rPr>
          <w:sz w:val="20"/>
          <w:szCs w:val="20"/>
          <w:color w:val="auto"/>
        </w:rPr>
      </w:pPr>
    </w:p>
    <w:p>
      <w:pPr>
        <w:ind w:left="2480"/>
        <w:spacing w:after="0"/>
        <w:rPr>
          <w:sz w:val="20"/>
          <w:szCs w:val="20"/>
          <w:color w:val="auto"/>
        </w:rPr>
      </w:pPr>
      <w:r>
        <w:rPr>
          <w:rFonts w:ascii="Arial" w:cs="Arial" w:eastAsia="Arial" w:hAnsi="Arial"/>
          <w:sz w:val="11"/>
          <w:szCs w:val="11"/>
          <w:color w:val="auto"/>
        </w:rPr>
        <w:t>The following is a summary of the fees and services provide by KPMG LLP to us for the years ended December 31, 2020 and 2019.</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Year Ended December 31,</w:t>
            </w: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r>
        <w:trPr>
          <w:trHeight w:val="88"/>
        </w:trPr>
        <w:tc>
          <w:tcPr>
            <w:tcW w:w="280" w:type="dxa"/>
            <w:vAlign w:val="bottom"/>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40" w:type="dxa"/>
            <w:vAlign w:val="bottom"/>
            <w:tcBorders>
              <w:bottom w:val="single" w:sz="8" w:color="F2F2F2"/>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23"/>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F2F2F2"/>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542"/>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r>
      <w:tr>
        <w:trPr>
          <w:trHeight w:val="133"/>
        </w:trPr>
        <w:tc>
          <w:tcPr>
            <w:tcW w:w="280" w:type="dxa"/>
            <w:vAlign w:val="bottom"/>
          </w:tcPr>
          <w:p>
            <w:pPr>
              <w:spacing w:after="0"/>
              <w:rPr>
                <w:sz w:val="11"/>
                <w:szCs w:val="11"/>
                <w:color w:val="auto"/>
              </w:rPr>
            </w:pPr>
          </w:p>
        </w:tc>
        <w:tc>
          <w:tcPr>
            <w:tcW w:w="2840" w:type="dxa"/>
            <w:vAlign w:val="bottom"/>
            <w:gridSpan w:val="2"/>
            <w:shd w:val="clear" w:color="auto" w:fill="F2F2F2"/>
          </w:tcPr>
          <w:p>
            <w:pPr>
              <w:spacing w:after="0" w:line="133" w:lineRule="exact"/>
              <w:rPr>
                <w:sz w:val="20"/>
                <w:szCs w:val="20"/>
                <w:color w:val="auto"/>
              </w:rPr>
            </w:pPr>
            <w:r>
              <w:rPr>
                <w:rFonts w:ascii="Arial" w:cs="Arial" w:eastAsia="Arial" w:hAnsi="Arial"/>
                <w:sz w:val="12"/>
                <w:szCs w:val="12"/>
                <w:b w:val="1"/>
                <w:bCs w:val="1"/>
                <w:color w:val="auto"/>
              </w:rPr>
              <w:t>Audit Fees</w:t>
            </w:r>
            <w:r>
              <w:rPr>
                <w:rFonts w:ascii="Arial" w:cs="Arial" w:eastAsia="Arial" w:hAnsi="Arial"/>
                <w:sz w:val="10"/>
                <w:szCs w:val="10"/>
                <w:b w:val="1"/>
                <w:bCs w:val="1"/>
                <w:color w:val="auto"/>
              </w:rPr>
              <w:t>(1)</w:t>
            </w:r>
          </w:p>
        </w:tc>
        <w:tc>
          <w:tcPr>
            <w:tcW w:w="3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340" w:type="dxa"/>
            <w:vAlign w:val="bottom"/>
            <w:shd w:val="clear" w:color="auto" w:fill="F2F2F2"/>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F2F2F2"/>
          </w:tcPr>
          <w:p>
            <w:pPr>
              <w:jc w:val="right"/>
              <w:ind w:right="40"/>
              <w:spacing w:after="0" w:line="133" w:lineRule="exact"/>
              <w:rPr>
                <w:sz w:val="20"/>
                <w:szCs w:val="20"/>
                <w:color w:val="auto"/>
              </w:rPr>
            </w:pPr>
            <w:r>
              <w:rPr>
                <w:rFonts w:ascii="Arial" w:cs="Arial" w:eastAsia="Arial" w:hAnsi="Arial"/>
                <w:sz w:val="12"/>
                <w:szCs w:val="12"/>
                <w:color w:val="auto"/>
              </w:rPr>
              <w:t>545,899</w:t>
            </w:r>
          </w:p>
        </w:tc>
        <w:tc>
          <w:tcPr>
            <w:tcW w:w="340" w:type="dxa"/>
            <w:vAlign w:val="bottom"/>
            <w:shd w:val="clear" w:color="auto" w:fill="F2F2F2"/>
          </w:tcPr>
          <w:p>
            <w:pPr>
              <w:spacing w:after="0"/>
              <w:rPr>
                <w:sz w:val="11"/>
                <w:szCs w:val="11"/>
                <w:color w:val="auto"/>
              </w:rPr>
            </w:pPr>
          </w:p>
        </w:tc>
        <w:tc>
          <w:tcPr>
            <w:tcW w:w="40" w:type="dxa"/>
            <w:vAlign w:val="bottom"/>
            <w:shd w:val="clear" w:color="auto" w:fill="F2F2F2"/>
          </w:tcPr>
          <w:p>
            <w:pPr>
              <w:spacing w:after="0"/>
              <w:rPr>
                <w:sz w:val="11"/>
                <w:szCs w:val="11"/>
                <w:color w:val="auto"/>
              </w:rPr>
            </w:pPr>
          </w:p>
        </w:tc>
        <w:tc>
          <w:tcPr>
            <w:tcW w:w="480" w:type="dxa"/>
            <w:vAlign w:val="bottom"/>
            <w:shd w:val="clear" w:color="auto" w:fill="F2F2F2"/>
          </w:tcPr>
          <w:p>
            <w:pPr>
              <w:jc w:val="right"/>
              <w:ind w:right="300"/>
              <w:spacing w:after="0" w:line="133"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F2F2F2"/>
          </w:tcPr>
          <w:p>
            <w:pPr>
              <w:jc w:val="right"/>
              <w:ind w:right="200"/>
              <w:spacing w:after="0" w:line="133" w:lineRule="exact"/>
              <w:rPr>
                <w:sz w:val="20"/>
                <w:szCs w:val="20"/>
                <w:color w:val="auto"/>
              </w:rPr>
            </w:pPr>
            <w:r>
              <w:rPr>
                <w:rFonts w:ascii="Arial" w:cs="Arial" w:eastAsia="Arial" w:hAnsi="Arial"/>
                <w:sz w:val="12"/>
                <w:szCs w:val="12"/>
                <w:color w:val="auto"/>
              </w:rPr>
              <w:t>167,906</w:t>
            </w:r>
          </w:p>
        </w:tc>
      </w:tr>
      <w:tr>
        <w:trPr>
          <w:trHeight w:val="144"/>
        </w:trPr>
        <w:tc>
          <w:tcPr>
            <w:tcW w:w="280" w:type="dxa"/>
            <w:vAlign w:val="bottom"/>
          </w:tcPr>
          <w:p>
            <w:pPr>
              <w:spacing w:after="0"/>
              <w:rPr>
                <w:sz w:val="12"/>
                <w:szCs w:val="12"/>
                <w:color w:val="auto"/>
              </w:rPr>
            </w:pPr>
          </w:p>
        </w:tc>
        <w:tc>
          <w:tcPr>
            <w:tcW w:w="3380" w:type="dxa"/>
            <w:vAlign w:val="bottom"/>
            <w:gridSpan w:val="4"/>
          </w:tcPr>
          <w:p>
            <w:pPr>
              <w:spacing w:after="0"/>
              <w:rPr>
                <w:sz w:val="20"/>
                <w:szCs w:val="20"/>
                <w:color w:val="auto"/>
              </w:rPr>
            </w:pPr>
            <w:r>
              <w:rPr>
                <w:rFonts w:ascii="Arial" w:cs="Arial" w:eastAsia="Arial" w:hAnsi="Arial"/>
                <w:sz w:val="12"/>
                <w:szCs w:val="12"/>
                <w:b w:val="1"/>
                <w:bCs w:val="1"/>
                <w:color w:val="auto"/>
              </w:rPr>
              <w:t>Audit-Related Fees</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44"/>
        </w:trPr>
        <w:tc>
          <w:tcPr>
            <w:tcW w:w="280" w:type="dxa"/>
            <w:vAlign w:val="bottom"/>
          </w:tcPr>
          <w:p>
            <w:pPr>
              <w:spacing w:after="0"/>
              <w:rPr>
                <w:sz w:val="12"/>
                <w:szCs w:val="12"/>
                <w:color w:val="auto"/>
              </w:rPr>
            </w:pPr>
          </w:p>
        </w:tc>
        <w:tc>
          <w:tcPr>
            <w:tcW w:w="3380" w:type="dxa"/>
            <w:vAlign w:val="bottom"/>
            <w:gridSpan w:val="4"/>
            <w:shd w:val="clear" w:color="auto" w:fill="F2F2F2"/>
          </w:tcPr>
          <w:p>
            <w:pPr>
              <w:spacing w:after="0"/>
              <w:rPr>
                <w:sz w:val="20"/>
                <w:szCs w:val="20"/>
                <w:color w:val="auto"/>
              </w:rPr>
            </w:pPr>
            <w:r>
              <w:rPr>
                <w:rFonts w:ascii="Arial" w:cs="Arial" w:eastAsia="Arial" w:hAnsi="Arial"/>
                <w:sz w:val="12"/>
                <w:szCs w:val="12"/>
                <w:b w:val="1"/>
                <w:bCs w:val="1"/>
                <w:color w:val="auto"/>
              </w:rPr>
              <w:t>Tax Fees</w:t>
            </w:r>
          </w:p>
        </w:tc>
        <w:tc>
          <w:tcPr>
            <w:tcW w:w="340" w:type="dxa"/>
            <w:vAlign w:val="bottom"/>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480" w:type="dxa"/>
            <w:vAlign w:val="bottom"/>
            <w:shd w:val="clear" w:color="auto" w:fill="F2F2F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F2F2F2"/>
          </w:tcPr>
          <w:p>
            <w:pPr>
              <w:jc w:val="right"/>
              <w:ind w:right="200"/>
              <w:spacing w:after="0"/>
              <w:rPr>
                <w:sz w:val="20"/>
                <w:szCs w:val="20"/>
                <w:color w:val="auto"/>
              </w:rPr>
            </w:pPr>
            <w:r>
              <w:rPr>
                <w:rFonts w:ascii="Arial" w:cs="Arial" w:eastAsia="Arial" w:hAnsi="Arial"/>
                <w:sz w:val="12"/>
                <w:szCs w:val="12"/>
                <w:color w:val="auto"/>
              </w:rPr>
              <w:t>-</w:t>
            </w:r>
          </w:p>
        </w:tc>
      </w:tr>
      <w:tr>
        <w:trPr>
          <w:trHeight w:val="144"/>
        </w:trPr>
        <w:tc>
          <w:tcPr>
            <w:tcW w:w="280" w:type="dxa"/>
            <w:vAlign w:val="bottom"/>
          </w:tcPr>
          <w:p>
            <w:pPr>
              <w:spacing w:after="0"/>
              <w:rPr>
                <w:sz w:val="12"/>
                <w:szCs w:val="12"/>
                <w:color w:val="auto"/>
              </w:rPr>
            </w:pPr>
          </w:p>
        </w:tc>
        <w:tc>
          <w:tcPr>
            <w:tcW w:w="3380" w:type="dxa"/>
            <w:vAlign w:val="bottom"/>
            <w:gridSpan w:val="4"/>
          </w:tcPr>
          <w:p>
            <w:pPr>
              <w:spacing w:after="0"/>
              <w:rPr>
                <w:sz w:val="20"/>
                <w:szCs w:val="20"/>
                <w:color w:val="auto"/>
              </w:rPr>
            </w:pPr>
            <w:r>
              <w:rPr>
                <w:rFonts w:ascii="Arial" w:cs="Arial" w:eastAsia="Arial" w:hAnsi="Arial"/>
                <w:sz w:val="12"/>
                <w:szCs w:val="12"/>
                <w:b w:val="1"/>
                <w:bCs w:val="1"/>
                <w:color w:val="auto"/>
              </w:rPr>
              <w:t>All Other Fees</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32"/>
        </w:trPr>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48"/>
        </w:trPr>
        <w:tc>
          <w:tcPr>
            <w:tcW w:w="280" w:type="dxa"/>
            <w:vAlign w:val="bottom"/>
          </w:tcPr>
          <w:p>
            <w:pPr>
              <w:spacing w:after="0"/>
              <w:rPr>
                <w:sz w:val="12"/>
                <w:szCs w:val="12"/>
                <w:color w:val="auto"/>
              </w:rPr>
            </w:pPr>
          </w:p>
        </w:tc>
        <w:tc>
          <w:tcPr>
            <w:tcW w:w="3380" w:type="dxa"/>
            <w:vAlign w:val="bottom"/>
            <w:gridSpan w:val="4"/>
            <w:shd w:val="clear" w:color="auto" w:fill="F2F2F2"/>
          </w:tcPr>
          <w:p>
            <w:pPr>
              <w:ind w:left="480"/>
              <w:spacing w:after="0"/>
              <w:rPr>
                <w:sz w:val="20"/>
                <w:szCs w:val="20"/>
                <w:color w:val="auto"/>
              </w:rPr>
            </w:pPr>
            <w:r>
              <w:rPr>
                <w:rFonts w:ascii="Arial" w:cs="Arial" w:eastAsia="Arial" w:hAnsi="Arial"/>
                <w:sz w:val="12"/>
                <w:szCs w:val="12"/>
                <w:b w:val="1"/>
                <w:bCs w:val="1"/>
                <w:color w:val="auto"/>
              </w:rPr>
              <w:t>Total</w:t>
            </w:r>
          </w:p>
        </w:tc>
        <w:tc>
          <w:tcPr>
            <w:tcW w:w="340" w:type="dxa"/>
            <w:vAlign w:val="bottom"/>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545,899</w:t>
            </w:r>
          </w:p>
        </w:tc>
        <w:tc>
          <w:tcPr>
            <w:tcW w:w="340" w:type="dxa"/>
            <w:vAlign w:val="bottom"/>
            <w:shd w:val="clear" w:color="auto" w:fill="F2F2F2"/>
          </w:tcPr>
          <w:p>
            <w:pPr>
              <w:spacing w:after="0"/>
              <w:rPr>
                <w:sz w:val="12"/>
                <w:szCs w:val="12"/>
                <w:color w:val="auto"/>
              </w:rPr>
            </w:pPr>
          </w:p>
        </w:tc>
        <w:tc>
          <w:tcPr>
            <w:tcW w:w="40" w:type="dxa"/>
            <w:vAlign w:val="bottom"/>
            <w:shd w:val="clear" w:color="auto" w:fill="F2F2F2"/>
          </w:tcPr>
          <w:p>
            <w:pPr>
              <w:spacing w:after="0"/>
              <w:rPr>
                <w:sz w:val="12"/>
                <w:szCs w:val="12"/>
                <w:color w:val="auto"/>
              </w:rPr>
            </w:pPr>
          </w:p>
        </w:tc>
        <w:tc>
          <w:tcPr>
            <w:tcW w:w="480" w:type="dxa"/>
            <w:vAlign w:val="bottom"/>
            <w:shd w:val="clear" w:color="auto" w:fill="F2F2F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F2F2F2"/>
          </w:tcPr>
          <w:p>
            <w:pPr>
              <w:jc w:val="right"/>
              <w:ind w:right="200"/>
              <w:spacing w:after="0"/>
              <w:rPr>
                <w:sz w:val="20"/>
                <w:szCs w:val="20"/>
                <w:color w:val="auto"/>
              </w:rPr>
            </w:pPr>
            <w:r>
              <w:rPr>
                <w:rFonts w:ascii="Arial" w:cs="Arial" w:eastAsia="Arial" w:hAnsi="Arial"/>
                <w:sz w:val="12"/>
                <w:szCs w:val="12"/>
                <w:color w:val="auto"/>
              </w:rPr>
              <w:t>167,906</w:t>
            </w:r>
          </w:p>
        </w:tc>
      </w:tr>
      <w:tr>
        <w:trPr>
          <w:trHeight w:val="90"/>
        </w:trPr>
        <w:tc>
          <w:tcPr>
            <w:tcW w:w="2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-176530</wp:posOffset>
            </wp:positionV>
            <wp:extent cx="1714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-165100</wp:posOffset>
            </wp:positionV>
            <wp:extent cx="1714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-176530</wp:posOffset>
            </wp:positionV>
            <wp:extent cx="17145"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-165100</wp:posOffset>
            </wp:positionV>
            <wp:extent cx="1714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83" w:lineRule="exact"/>
        <w:rPr>
          <w:sz w:val="20"/>
          <w:szCs w:val="20"/>
          <w:color w:val="auto"/>
        </w:rPr>
      </w:pPr>
    </w:p>
    <w:p>
      <w:pPr>
        <w:ind w:left="2480" w:right="859" w:hanging="292"/>
        <w:spacing w:after="0" w:line="265" w:lineRule="auto"/>
        <w:tabs>
          <w:tab w:leader="none" w:pos="24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Audit Fees consist of professional services rendered by KPMG LLP for the audits of our annual financial statements and reviews of quarterly financial statements. The audit fees incurred in 2020 also include fees totaling $319,810 in connection with our initial public offering, which was completed in October 2020, and review of related documents filed with the SEC.</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143FDD"/>
        </w:rPr>
        <w:t>Pre-Approval Policies and Procedures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2020 and 2019. As part of this review, our audit committee considers whether the provision of any such non-audit or tax services by KPMG LLP is compatible with maintaining the independence of our independent registered public accounting firm.</w:t>
      </w:r>
    </w:p>
    <w:p>
      <w:pPr>
        <w:spacing w:after="0" w:line="83"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31</w:t>
            </w:r>
          </w:p>
        </w:tc>
      </w:tr>
    </w:tbl>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Our audit committee may delegate authority to pre-approve services to one or more of its members, provided any decisions made by such member to grant pre-approvals must be presented to the full audit committee at its next scheduled meeting.</w:t>
      </w:r>
    </w:p>
    <w:p>
      <w:pPr>
        <w:spacing w:after="0" w:line="129" w:lineRule="exact"/>
        <w:rPr>
          <w:sz w:val="20"/>
          <w:szCs w:val="20"/>
          <w:color w:val="auto"/>
        </w:rPr>
      </w:pPr>
    </w:p>
    <w:p>
      <w:pPr>
        <w:ind w:left="3440" w:right="859" w:hanging="1475"/>
        <w:spacing w:after="0" w:line="298" w:lineRule="auto"/>
        <w:tabs>
          <w:tab w:leader="none" w:pos="3420" w:val="left"/>
        </w:tabs>
        <w:rPr>
          <w:sz w:val="20"/>
          <w:szCs w:val="20"/>
          <w:color w:val="auto"/>
        </w:rPr>
      </w:pPr>
      <w:r>
        <w:rPr>
          <w:rFonts w:ascii="Arial" w:cs="Arial" w:eastAsia="Arial" w:hAnsi="Arial"/>
          <w:sz w:val="12"/>
          <w:szCs w:val="12"/>
          <w:b w:val="1"/>
          <w:bCs w:val="1"/>
          <w:color w:val="auto"/>
        </w:rPr>
        <w:t>Vote Required:</w:t>
      </w:r>
      <w:r>
        <w:rPr>
          <w:sz w:val="20"/>
          <w:szCs w:val="20"/>
          <w:color w:val="auto"/>
        </w:rPr>
        <w:tab/>
      </w:r>
      <w:r>
        <w:rPr>
          <w:rFonts w:ascii="Arial" w:cs="Arial" w:eastAsia="Arial" w:hAnsi="Arial"/>
          <w:sz w:val="11"/>
          <w:szCs w:val="11"/>
          <w:color w:val="auto"/>
        </w:rPr>
        <w:t>Ratification of the appointment of KPMG LLP as our independent registered public accounting firm for 2021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51" w:lineRule="exact"/>
        <w:rPr>
          <w:sz w:val="20"/>
          <w:szCs w:val="20"/>
          <w:color w:val="auto"/>
        </w:rPr>
      </w:pPr>
    </w:p>
    <w:p>
      <w:pPr>
        <w:ind w:left="1980"/>
        <w:spacing w:after="0"/>
        <w:tabs>
          <w:tab w:leader="none" w:pos="3420" w:val="left"/>
        </w:tabs>
        <w:rPr>
          <w:sz w:val="20"/>
          <w:szCs w:val="20"/>
          <w:color w:val="auto"/>
        </w:rPr>
      </w:pPr>
      <w:r>
        <w:rPr>
          <w:rFonts w:ascii="Arial" w:cs="Arial" w:eastAsia="Arial" w:hAnsi="Arial"/>
          <w:sz w:val="12"/>
          <w:szCs w:val="12"/>
          <w:b w:val="1"/>
          <w:bCs w:val="1"/>
          <w:color w:val="auto"/>
        </w:rPr>
        <w:t>Board Recommendation:</w:t>
      </w:r>
      <w:r>
        <w:rPr>
          <w:rFonts w:ascii="Arial" w:cs="Arial" w:eastAsia="Arial" w:hAnsi="Arial"/>
          <w:sz w:val="12"/>
          <w:szCs w:val="12"/>
          <w:b w:val="1"/>
          <w:bCs w:val="1"/>
          <w:color w:val="143FDD"/>
        </w:rPr>
        <w:tab/>
        <w:t>OUR BOARD OF DIRECTORS AND THE AUDIT COMMITTEE OF OUR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-15875</wp:posOffset>
            </wp:positionV>
            <wp:extent cx="165735" cy="2343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65735" cy="234315"/>
                    </a:xfrm>
                    <a:prstGeom prst="rect">
                      <a:avLst/>
                    </a:prstGeom>
                    <a:noFill/>
                  </pic:spPr>
                </pic:pic>
              </a:graphicData>
            </a:graphic>
          </wp:anchor>
        </w:drawing>
      </w:r>
    </w:p>
    <w:p>
      <w:pPr>
        <w:ind w:left="3440" w:right="1479"/>
        <w:spacing w:after="0" w:line="255" w:lineRule="auto"/>
        <w:rPr>
          <w:sz w:val="20"/>
          <w:szCs w:val="20"/>
          <w:color w:val="auto"/>
        </w:rPr>
      </w:pPr>
      <w:r>
        <w:rPr>
          <w:rFonts w:ascii="Arial" w:cs="Arial" w:eastAsia="Arial" w:hAnsi="Arial"/>
          <w:sz w:val="12"/>
          <w:szCs w:val="12"/>
          <w:b w:val="1"/>
          <w:bCs w:val="1"/>
          <w:color w:val="143FDD"/>
        </w:rPr>
        <w:t>DIRECTORS EACH UNANIMOUSLY RECOMMENDS A VOTE “FOR” THE RATIFICATION OF THE APPOINTMENT OF KPMG LLP AS OUR INDEPENDENT REGISTERED PUBLIC ACCOUNTING FIRM FOR 2021.</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Report of the Audit Committee</w:t>
      </w:r>
    </w:p>
    <w:p>
      <w:pPr>
        <w:spacing w:after="0" w:line="148" w:lineRule="exact"/>
        <w:rPr>
          <w:sz w:val="20"/>
          <w:szCs w:val="20"/>
          <w:color w:val="auto"/>
        </w:rPr>
      </w:pPr>
    </w:p>
    <w:p>
      <w:pPr>
        <w:ind w:left="1980" w:right="859" w:firstLine="514"/>
        <w:spacing w:after="0" w:line="326" w:lineRule="auto"/>
        <w:rPr>
          <w:sz w:val="20"/>
          <w:szCs w:val="20"/>
          <w:color w:val="auto"/>
        </w:rPr>
      </w:pPr>
      <w:r>
        <w:rPr>
          <w:rFonts w:ascii="Arial" w:cs="Arial" w:eastAsia="Arial" w:hAnsi="Arial"/>
          <w:sz w:val="10"/>
          <w:szCs w:val="10"/>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In fulfilling its oversight responsibilities, the audit committee:</w:t>
      </w:r>
    </w:p>
    <w:p>
      <w:pPr>
        <w:spacing w:after="0" w:line="87" w:lineRule="exact"/>
        <w:rPr>
          <w:sz w:val="20"/>
          <w:szCs w:val="20"/>
          <w:color w:val="auto"/>
        </w:rPr>
      </w:pPr>
    </w:p>
    <w:p>
      <w:pPr>
        <w:ind w:left="2700" w:hanging="215"/>
        <w:spacing w:after="0"/>
        <w:tabs>
          <w:tab w:leader="none" w:pos="27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reviewed and discussed our financial statements as of and for the year ended December 31, 2020 with management and KPMG LLP;</w:t>
      </w:r>
    </w:p>
    <w:p>
      <w:pPr>
        <w:spacing w:after="0" w:line="98" w:lineRule="exact"/>
        <w:rPr>
          <w:rFonts w:ascii="Arial" w:cs="Arial" w:eastAsia="Arial" w:hAnsi="Arial"/>
          <w:sz w:val="11"/>
          <w:szCs w:val="11"/>
          <w:color w:val="auto"/>
        </w:rPr>
      </w:pPr>
    </w:p>
    <w:p>
      <w:pPr>
        <w:ind w:left="2700" w:right="1159" w:hanging="215"/>
        <w:spacing w:after="0" w:line="276" w:lineRule="auto"/>
        <w:tabs>
          <w:tab w:leader="none" w:pos="27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discussed with KPMG LLP the matters required to be discussed by the applicable requirements of the Public Company Accounting Oversight Board and the SEC;</w:t>
      </w:r>
    </w:p>
    <w:p>
      <w:pPr>
        <w:spacing w:after="0" w:line="51" w:lineRule="exact"/>
        <w:rPr>
          <w:rFonts w:ascii="Arial" w:cs="Arial" w:eastAsia="Arial" w:hAnsi="Arial"/>
          <w:sz w:val="12"/>
          <w:szCs w:val="12"/>
          <w:color w:val="auto"/>
        </w:rPr>
      </w:pPr>
    </w:p>
    <w:p>
      <w:pPr>
        <w:ind w:left="2700" w:right="1319" w:hanging="215"/>
        <w:spacing w:after="0" w:line="276" w:lineRule="auto"/>
        <w:tabs>
          <w:tab w:leader="none" w:pos="27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received the written disclosures and the letter from KPMG LLP required by the applicable requirements of the Public Company Accounting Oversight Board; and</w:t>
      </w:r>
    </w:p>
    <w:p>
      <w:pPr>
        <w:spacing w:after="0" w:line="51" w:lineRule="exact"/>
        <w:rPr>
          <w:rFonts w:ascii="Arial" w:cs="Arial" w:eastAsia="Arial" w:hAnsi="Arial"/>
          <w:sz w:val="12"/>
          <w:szCs w:val="12"/>
          <w:color w:val="auto"/>
        </w:rPr>
      </w:pPr>
    </w:p>
    <w:p>
      <w:pPr>
        <w:ind w:left="2700" w:hanging="215"/>
        <w:spacing w:after="0"/>
        <w:tabs>
          <w:tab w:leader="none" w:pos="27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discussed the independence of KPMG LLP with that firm.</w:t>
      </w:r>
    </w:p>
    <w:p>
      <w:pPr>
        <w:spacing w:after="0" w:line="78" w:lineRule="exact"/>
        <w:rPr>
          <w:sz w:val="20"/>
          <w:szCs w:val="20"/>
          <w:color w:val="auto"/>
        </w:rPr>
      </w:pPr>
    </w:p>
    <w:p>
      <w:pPr>
        <w:ind w:left="1980" w:right="1079" w:firstLine="514"/>
        <w:spacing w:after="0" w:line="298" w:lineRule="auto"/>
        <w:rPr>
          <w:sz w:val="20"/>
          <w:szCs w:val="20"/>
          <w:color w:val="auto"/>
        </w:rPr>
      </w:pPr>
      <w:r>
        <w:rPr>
          <w:rFonts w:ascii="Arial" w:cs="Arial" w:eastAsia="Arial" w:hAnsi="Arial"/>
          <w:sz w:val="11"/>
          <w:szCs w:val="11"/>
          <w:color w:val="auto"/>
        </w:rPr>
        <w:t>Based on the audit committee’s review and discussions noted above, the audit committee recommended to our board of directors, and our board of directors approved, that the audited financial statements be included in the 2020 Form 10-K Report for filing with the SEC. The audit committee also appointed KPMG LLP as our independent registered public accounting firm for the fiscal year ending December 31, 2021.</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Submitted by the audit committee of our board of directors:</w:t>
      </w:r>
    </w:p>
    <w:p>
      <w:pPr>
        <w:spacing w:after="0" w:line="78"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Jean Franchi, Chair</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Hany Massarany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Matthew Strobeck</w:t>
      </w:r>
    </w:p>
    <w:p>
      <w:pPr>
        <w:spacing w:after="0" w:line="96"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32</w:t>
            </w:r>
          </w:p>
        </w:tc>
      </w:tr>
    </w:tbl>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143FDD"/>
        </w:rPr>
        <w:t>ADDITIONAL INFORMATION</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Other Matters</w:t>
      </w:r>
    </w:p>
    <w:p>
      <w:pPr>
        <w:spacing w:after="0" w:line="76" w:lineRule="exact"/>
        <w:rPr>
          <w:sz w:val="20"/>
          <w:szCs w:val="20"/>
          <w:color w:val="auto"/>
        </w:rPr>
      </w:pPr>
    </w:p>
    <w:p>
      <w:pPr>
        <w:ind w:left="1980" w:right="879" w:firstLine="514"/>
        <w:spacing w:after="0" w:line="263" w:lineRule="auto"/>
        <w:rPr>
          <w:sz w:val="20"/>
          <w:szCs w:val="20"/>
          <w:color w:val="auto"/>
        </w:rPr>
      </w:pPr>
      <w:r>
        <w:rPr>
          <w:rFonts w:ascii="Arial" w:cs="Arial" w:eastAsia="Arial" w:hAnsi="Arial"/>
          <w:sz w:val="12"/>
          <w:szCs w:val="12"/>
          <w:color w:val="auto"/>
        </w:rPr>
        <w:t>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143FDD"/>
        </w:rPr>
        <w:t>Stockholder Proposals and Nominations for Next Year’s Annual Meeting of Stockholders</w:t>
      </w:r>
    </w:p>
    <w:p>
      <w:pPr>
        <w:spacing w:after="0" w:line="76" w:lineRule="exact"/>
        <w:rPr>
          <w:sz w:val="20"/>
          <w:szCs w:val="20"/>
          <w:color w:val="auto"/>
        </w:rPr>
      </w:pPr>
    </w:p>
    <w:p>
      <w:pPr>
        <w:ind w:left="1980" w:right="899" w:firstLine="514"/>
        <w:spacing w:after="0" w:line="259" w:lineRule="auto"/>
        <w:rPr>
          <w:sz w:val="20"/>
          <w:szCs w:val="20"/>
          <w:color w:val="auto"/>
        </w:rPr>
      </w:pPr>
      <w:r>
        <w:rPr>
          <w:rFonts w:ascii="Arial" w:cs="Arial" w:eastAsia="Arial" w:hAnsi="Arial"/>
          <w:sz w:val="12"/>
          <w:szCs w:val="12"/>
          <w:color w:val="auto"/>
        </w:rPr>
        <w:t>In order to be considered for inclusion in the Proxy Materials for our 2022 annual meeting of stockholders, proposals submitted by stockholders pursuant to Rule 14a-8 under the Exchange Act must be received by our Corporate Secretary at Biodesix, Inc., 2970 Wilderness Place, Suite 100, Boulder, CO 80301 on or before December 30, 2021, and also must otherwise comply with the procedures and requirements set forth in Rule 14a-8.</w:t>
      </w:r>
    </w:p>
    <w:p>
      <w:pPr>
        <w:spacing w:after="0" w:line="52" w:lineRule="exact"/>
        <w:rPr>
          <w:sz w:val="20"/>
          <w:szCs w:val="20"/>
          <w:color w:val="auto"/>
        </w:rPr>
      </w:pPr>
    </w:p>
    <w:p>
      <w:pPr>
        <w:ind w:left="1980" w:right="919" w:firstLine="514"/>
        <w:spacing w:after="0" w:line="281" w:lineRule="auto"/>
        <w:rPr>
          <w:sz w:val="20"/>
          <w:szCs w:val="20"/>
          <w:color w:val="auto"/>
        </w:rPr>
      </w:pPr>
      <w:r>
        <w:rPr>
          <w:rFonts w:ascii="Arial" w:cs="Arial" w:eastAsia="Arial" w:hAnsi="Arial"/>
          <w:sz w:val="11"/>
          <w:szCs w:val="11"/>
          <w:color w:val="auto"/>
        </w:rPr>
        <w:t>Alternatively, stockholders intending to present a proposal (outside of the process established in Rule 14a-8) or nominate a director for election at our 2022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Arial" w:cs="Arial" w:eastAsia="Arial" w:hAnsi="Arial"/>
          <w:sz w:val="9"/>
          <w:szCs w:val="9"/>
          <w:color w:val="auto"/>
        </w:rPr>
        <w:t>th</w:t>
      </w:r>
      <w:r>
        <w:rPr>
          <w:rFonts w:ascii="Arial" w:cs="Arial" w:eastAsia="Arial" w:hAnsi="Arial"/>
          <w:sz w:val="11"/>
          <w:szCs w:val="11"/>
          <w:color w:val="auto"/>
        </w:rPr>
        <w:t xml:space="preserve"> day, and no later than the close of business on the 90</w:t>
      </w:r>
      <w:r>
        <w:rPr>
          <w:rFonts w:ascii="Arial" w:cs="Arial" w:eastAsia="Arial" w:hAnsi="Arial"/>
          <w:sz w:val="9"/>
          <w:szCs w:val="9"/>
          <w:color w:val="auto"/>
        </w:rPr>
        <w:t>th</w:t>
      </w:r>
      <w:r>
        <w:rPr>
          <w:rFonts w:ascii="Arial" w:cs="Arial" w:eastAsia="Arial" w:hAnsi="Arial"/>
          <w:sz w:val="11"/>
          <w:szCs w:val="11"/>
          <w:color w:val="auto"/>
        </w:rPr>
        <w:t xml:space="preserve"> day, prior to the first anniversary of the preceding year’s annual meeting of stockholders. Accordingly, for our 2022 annual meeting of stockholders, our Corporate Secretary must receive the proposal or nomination no earlier than January 26, 2022 and no later than the close of business on February 25, 2022. The proposal or nomination must contain the information required by our bylaws and otherwise comply with the requirements set forth in our bylaws.</w:t>
      </w:r>
    </w:p>
    <w:p>
      <w:pPr>
        <w:spacing w:after="0" w:line="186" w:lineRule="exact"/>
        <w:rPr>
          <w:sz w:val="20"/>
          <w:szCs w:val="20"/>
          <w:color w:val="auto"/>
        </w:rPr>
      </w:pPr>
    </w:p>
    <w:p>
      <w:pPr>
        <w:ind w:left="1980"/>
        <w:spacing w:after="0"/>
        <w:rPr>
          <w:sz w:val="20"/>
          <w:szCs w:val="20"/>
          <w:color w:val="auto"/>
        </w:rPr>
      </w:pPr>
      <w:r>
        <w:rPr>
          <w:rFonts w:ascii="Arial" w:cs="Arial" w:eastAsia="Arial" w:hAnsi="Arial"/>
          <w:sz w:val="17"/>
          <w:szCs w:val="17"/>
          <w:color w:val="143FDD"/>
        </w:rPr>
        <w:t>Availability of Annual Report on Form 10-K</w:t>
      </w:r>
    </w:p>
    <w:p>
      <w:pPr>
        <w:spacing w:after="0" w:line="76" w:lineRule="exact"/>
        <w:rPr>
          <w:sz w:val="20"/>
          <w:szCs w:val="20"/>
          <w:color w:val="auto"/>
        </w:rPr>
      </w:pPr>
    </w:p>
    <w:p>
      <w:pPr>
        <w:ind w:left="1980" w:right="939" w:firstLine="514"/>
        <w:spacing w:after="0" w:line="340" w:lineRule="auto"/>
        <w:rPr>
          <w:sz w:val="20"/>
          <w:szCs w:val="20"/>
          <w:color w:val="auto"/>
        </w:rPr>
      </w:pPr>
      <w:r>
        <w:rPr>
          <w:rFonts w:ascii="Arial" w:cs="Arial" w:eastAsia="Arial" w:hAnsi="Arial"/>
          <w:sz w:val="10"/>
          <w:szCs w:val="10"/>
          <w:color w:val="auto"/>
        </w:rPr>
        <w:t>A copy the 2020 Form 10-K Report as filed with the SEC is available free of charge on our website at www.biodesix.com or on the SEC’s website at www.sec.gov. Stockholders may also obtain a copy of our 2020 annual report, including financial statements but excluding exhibits, without charge by sending a written request to: Biodesix, Inc., Attention: Corporate Secretary, 2970 Wilderness Place, Suite 100, Boulder, CO 80301.</w:t>
      </w:r>
    </w:p>
    <w:p>
      <w:pPr>
        <w:spacing w:after="0" w:line="42" w:lineRule="exact"/>
        <w:rPr>
          <w:sz w:val="20"/>
          <w:szCs w:val="20"/>
          <w:color w:val="auto"/>
        </w:rPr>
      </w:pPr>
    </w:p>
    <w:tbl>
      <w:tblPr>
        <w:tblLayout w:type="fixed"/>
        <w:tblInd w:w="1980" w:type="dxa"/>
        <w:tblCellMar>
          <w:top w:w="0" w:type="dxa"/>
          <w:left w:w="0" w:type="dxa"/>
          <w:bottom w:w="0" w:type="dxa"/>
          <w:right w:w="0" w:type="dxa"/>
        </w:tblCellMar>
      </w:tblP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color w:val="143FDD"/>
              </w:rPr>
              <w:t>2021 Proxy Statement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143FDD"/>
              </w:rPr>
              <w:t>33</w:t>
            </w:r>
          </w:p>
        </w:tc>
      </w:tr>
    </w:tbl>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29150" cy="56349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629150" cy="563499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29150" cy="56349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629150" cy="5634990"/>
                    </a:xfrm>
                    <a:prstGeom prst="rect">
                      <a:avLst/>
                    </a:prstGeom>
                    <a:noFill/>
                  </pic:spPr>
                </pic:pic>
              </a:graphicData>
            </a:graphic>
          </wp:anchor>
        </w:drawing>
      </w:r>
    </w:p>
    <w:sectPr>
      <w:pgSz w:w="11900" w:h="16838" w:orient="portrait"/>
      <w:cols w:equalWidth="0" w:num="1">
        <w:col w:w="10159"/>
      </w:cols>
      <w:pgMar w:left="30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7"/>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3"/>
    </w:lvl>
  </w:abstractNum>
  <w:abstractNum w:abstractNumId="27">
    <w:nsid w:val="1E7FF521"/>
    <w:multiLevelType w:val="hybridMultilevel"/>
    <w:lvl w:ilvl="0">
      <w:lvlJc w:val="left"/>
      <w:lvlText w:val="(%1)"/>
      <w:numFmt w:val="lowerRoman"/>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2021-04-29T16:51:09Z</dcterms:created>
  <dcterms:modified xsi:type="dcterms:W3CDTF">2021-04-29T16:51:09Z</dcterms:modified>
</cp:coreProperties>
</file>