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292735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309880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69850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81280</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3900" w:right="1720" w:hanging="3893"/>
        <w:spacing w:after="0" w:line="325" w:lineRule="auto"/>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3"/>
        <w:spacing w:after="0" w:line="208" w:lineRule="auto"/>
        <w:tabs>
          <w:tab w:leader="none" w:pos="460" w:val="left"/>
        </w:tabs>
        <w:numPr>
          <w:ilvl w:val="0"/>
          <w:numId w:val="2"/>
        </w:numPr>
        <w:rPr>
          <w:rFonts w:ascii="MS PGothic" w:cs="MS PGothic" w:eastAsia="MS PGothic" w:hAnsi="MS PGothic"/>
          <w:sz w:val="35"/>
          <w:szCs w:val="35"/>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2" w:lineRule="exact"/>
        <w:rPr>
          <w:sz w:val="24"/>
          <w:szCs w:val="24"/>
          <w:color w:val="auto"/>
        </w:rPr>
      </w:pPr>
    </w:p>
    <w:p>
      <w:pPr>
        <w:ind w:left="41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4"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83820</wp:posOffset>
            </wp:positionV>
            <wp:extent cx="1426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185" w:lineRule="exact"/>
        <w:rPr>
          <w:sz w:val="24"/>
          <w:szCs w:val="24"/>
          <w:color w:val="auto"/>
        </w:rPr>
      </w:pPr>
    </w:p>
    <w:p>
      <w:pPr>
        <w:jc w:val="center"/>
        <w:ind w:left="3580"/>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4"/>
          <w:szCs w:val="24"/>
          <w:b w:val="1"/>
          <w:bCs w:val="1"/>
          <w:color w:val="auto"/>
        </w:rPr>
        <w:t>IODESIX</w:t>
      </w:r>
      <w:r>
        <w:rPr>
          <w:rFonts w:ascii="Arial" w:cs="Arial" w:eastAsia="Arial" w:hAnsi="Arial"/>
          <w:sz w:val="32"/>
          <w:szCs w:val="32"/>
          <w:b w:val="1"/>
          <w:bCs w:val="1"/>
          <w:color w:val="auto"/>
        </w:rPr>
        <w:t>, I</w:t>
      </w:r>
      <w:r>
        <w:rPr>
          <w:rFonts w:ascii="Arial" w:cs="Arial" w:eastAsia="Arial" w:hAnsi="Arial"/>
          <w:sz w:val="24"/>
          <w:szCs w:val="24"/>
          <w:b w:val="1"/>
          <w:bCs w:val="1"/>
          <w:color w:val="auto"/>
        </w:rPr>
        <w:t>NC</w:t>
      </w:r>
      <w:r>
        <w:rPr>
          <w:rFonts w:ascii="Arial" w:cs="Arial" w:eastAsia="Arial" w:hAnsi="Arial"/>
          <w:sz w:val="32"/>
          <w:szCs w:val="32"/>
          <w:b w:val="1"/>
          <w:bCs w:val="1"/>
          <w:color w:val="auto"/>
        </w:rPr>
        <w:t>.</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54610</wp:posOffset>
            </wp:positionV>
            <wp:extent cx="1426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4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17" w:lineRule="exact"/>
        <w:rPr>
          <w:sz w:val="24"/>
          <w:szCs w:val="24"/>
          <w:color w:val="auto"/>
        </w:r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ind w:left="20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20-3986492</w:t>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122" w:lineRule="exact"/>
        <w:rPr>
          <w:sz w:val="24"/>
          <w:szCs w:val="24"/>
          <w:color w:val="auto"/>
        </w:rPr>
      </w:pPr>
    </w:p>
    <w:p>
      <w:pPr>
        <w:sectPr>
          <w:pgSz w:w="11900" w:h="16838" w:orient="portrait"/>
          <w:cols w:equalWidth="0" w:num="2">
            <w:col w:w="7680" w:space="260"/>
            <w:col w:w="3300"/>
          </w:cols>
          <w:pgMar w:left="320" w:top="55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92"/>
              <w:spacing w:after="0"/>
              <w:rPr>
                <w:sz w:val="20"/>
                <w:szCs w:val="20"/>
                <w:color w:val="auto"/>
              </w:rPr>
            </w:pPr>
            <w:r>
              <w:rPr>
                <w:rFonts w:ascii="Arial" w:cs="Arial" w:eastAsia="Arial" w:hAnsi="Arial"/>
                <w:sz w:val="14"/>
                <w:szCs w:val="14"/>
                <w:b w:val="1"/>
                <w:bCs w:val="1"/>
                <w:color w:val="auto"/>
                <w:w w:val="90"/>
              </w:rPr>
              <w:t>2970 Wilderness Place, Suite 100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52"/>
        </w:trPr>
        <w:tc>
          <w:tcPr>
            <w:tcW w:w="4220" w:type="dxa"/>
            <w:vAlign w:val="bottom"/>
          </w:tcPr>
          <w:p>
            <w:pPr>
              <w:jc w:val="center"/>
              <w:ind w:right="2072"/>
              <w:spacing w:after="0" w:line="151" w:lineRule="exact"/>
              <w:rPr>
                <w:sz w:val="20"/>
                <w:szCs w:val="20"/>
                <w:color w:val="auto"/>
              </w:rPr>
            </w:pPr>
            <w:r>
              <w:rPr>
                <w:rFonts w:ascii="Arial" w:cs="Arial" w:eastAsia="Arial" w:hAnsi="Arial"/>
                <w:sz w:val="14"/>
                <w:szCs w:val="14"/>
                <w:b w:val="1"/>
                <w:bCs w:val="1"/>
                <w:color w:val="auto"/>
                <w:w w:val="92"/>
              </w:rPr>
              <w:t>Boulder, Colorado 80301</w:t>
            </w: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20" w:type="dxa"/>
            <w:vAlign w:val="bottom"/>
          </w:tcPr>
          <w:p>
            <w:pPr>
              <w:jc w:val="center"/>
              <w:ind w:right="2092"/>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2"/>
                <w:szCs w:val="12"/>
                <w:b w:val="1"/>
                <w:bCs w:val="1"/>
                <w:color w:val="auto"/>
                <w:w w:val="97"/>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83820</wp:posOffset>
            </wp:positionV>
            <wp:extent cx="1426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9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3880" w:type="dxa"/>
            <w:vAlign w:val="bottom"/>
            <w:vMerge w:val="restart"/>
          </w:tcPr>
          <w:p>
            <w:pPr>
              <w:jc w:val="center"/>
              <w:ind w:right="720"/>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ind w:left="8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69"/>
        </w:trPr>
        <w:tc>
          <w:tcPr>
            <w:tcW w:w="3880" w:type="dxa"/>
            <w:vAlign w:val="bottom"/>
            <w:vMerge w:val="continue"/>
          </w:tcPr>
          <w:p>
            <w:pPr>
              <w:spacing w:after="0"/>
              <w:rPr>
                <w:sz w:val="14"/>
                <w:szCs w:val="14"/>
                <w:color w:val="auto"/>
              </w:rPr>
            </w:pPr>
          </w:p>
        </w:tc>
        <w:tc>
          <w:tcPr>
            <w:tcW w:w="230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880" w:type="dxa"/>
            <w:vAlign w:val="bottom"/>
          </w:tcPr>
          <w:p>
            <w:pPr>
              <w:jc w:val="center"/>
              <w:ind w:right="720"/>
              <w:spacing w:after="0"/>
              <w:rPr>
                <w:sz w:val="20"/>
                <w:szCs w:val="20"/>
                <w:color w:val="auto"/>
              </w:rPr>
            </w:pPr>
            <w:r>
              <w:rPr>
                <w:rFonts w:ascii="Arial" w:cs="Arial" w:eastAsia="Arial" w:hAnsi="Arial"/>
                <w:sz w:val="18"/>
                <w:szCs w:val="18"/>
                <w:color w:val="auto"/>
                <w:w w:val="88"/>
              </w:rPr>
              <w:t>Common Stock, par value $0.001 per share</w:t>
            </w:r>
          </w:p>
        </w:tc>
        <w:tc>
          <w:tcPr>
            <w:tcW w:w="2300" w:type="dxa"/>
            <w:vAlign w:val="bottom"/>
          </w:tcPr>
          <w:p>
            <w:pPr>
              <w:jc w:val="center"/>
              <w:ind w:right="23"/>
              <w:spacing w:after="0"/>
              <w:rPr>
                <w:sz w:val="20"/>
                <w:szCs w:val="20"/>
                <w:color w:val="auto"/>
              </w:rPr>
            </w:pPr>
            <w:r>
              <w:rPr>
                <w:rFonts w:ascii="Arial" w:cs="Arial" w:eastAsia="Arial" w:hAnsi="Arial"/>
                <w:sz w:val="18"/>
                <w:szCs w:val="18"/>
                <w:color w:val="auto"/>
                <w:w w:val="97"/>
              </w:rPr>
              <w:t>BDSX</w:t>
            </w:r>
          </w:p>
        </w:tc>
        <w:tc>
          <w:tcPr>
            <w:tcW w:w="3540" w:type="dxa"/>
            <w:vAlign w:val="bottom"/>
          </w:tcPr>
          <w:p>
            <w:pPr>
              <w:jc w:val="center"/>
              <w:ind w:left="800"/>
              <w:spacing w:after="0"/>
              <w:rPr>
                <w:sz w:val="20"/>
                <w:szCs w:val="20"/>
                <w:color w:val="auto"/>
              </w:rPr>
            </w:pPr>
            <w:r>
              <w:rPr>
                <w:rFonts w:ascii="Arial" w:cs="Arial" w:eastAsia="Arial" w:hAnsi="Arial"/>
                <w:sz w:val="18"/>
                <w:szCs w:val="18"/>
                <w:color w:val="auto"/>
                <w:w w:val="90"/>
              </w:rPr>
              <w:t>The Nasdaq Global Market</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firstLine="510"/>
        <w:spacing w:after="0" w:line="30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firstLine="510"/>
        <w:spacing w:after="0" w:line="21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firstLine="51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58" w:lineRule="exact"/>
        <w:rPr>
          <w:sz w:val="24"/>
          <w:szCs w:val="24"/>
          <w:color w:val="auto"/>
        </w:rPr>
      </w:pPr>
    </w:p>
    <w:p>
      <w:pPr>
        <w:ind w:firstLine="51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520"/>
        <w:spacing w:after="0" w:line="184" w:lineRule="exact"/>
        <w:tabs>
          <w:tab w:leader="none" w:pos="7980" w:val="left"/>
          <w:tab w:leader="none" w:pos="86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3" w:lineRule="exact"/>
        <w:rPr>
          <w:sz w:val="24"/>
          <w:szCs w:val="24"/>
          <w:color w:val="auto"/>
        </w:rPr>
      </w:pPr>
    </w:p>
    <w:p>
      <w:pPr>
        <w:ind w:firstLine="510"/>
        <w:spacing w:after="0" w:line="212"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5"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August 6, 2021, the registrant had 26,970,640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101600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564515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20" w:type="dxa"/>
            <w:vAlign w:val="bottom"/>
            <w:vMerge w:val="continue"/>
          </w:tcPr>
          <w:p>
            <w:pPr>
              <w:spacing w:after="0"/>
              <w:rPr>
                <w:sz w:val="15"/>
                <w:szCs w:val="15"/>
                <w:color w:val="auto"/>
              </w:rPr>
            </w:pPr>
          </w:p>
        </w:tc>
        <w:tc>
          <w:tcPr>
            <w:tcW w:w="9440" w:type="dxa"/>
            <w:vAlign w:val="bottom"/>
            <w:gridSpan w:val="21"/>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18"/>
                <w:szCs w:val="18"/>
                <w:color w:val="auto"/>
              </w:rPr>
            </w:pP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as of June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18"/>
                <w:szCs w:val="18"/>
                <w:color w:val="auto"/>
              </w:rPr>
            </w:pPr>
          </w:p>
        </w:tc>
        <w:tc>
          <w:tcPr>
            <w:tcW w:w="70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for the Three and Six Months Ended June 30, 2021 and 2020</w:t>
              </w:r>
            </w:hyperlink>
          </w:p>
        </w:tc>
        <w:tc>
          <w:tcPr>
            <w:tcW w:w="24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93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Statements of Convertible Preferred Stock and Stockholders' Equity (Deficit) for the Three and Six Months Ended June</w:t>
              </w:r>
            </w:hyperlink>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40" w:type="dxa"/>
            <w:vAlign w:val="bottom"/>
            <w:gridSpan w:val="20"/>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30, 2021 and 2020</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18"/>
                <w:szCs w:val="18"/>
                <w:color w:val="auto"/>
              </w:rPr>
            </w:pPr>
          </w:p>
        </w:tc>
        <w:tc>
          <w:tcPr>
            <w:tcW w:w="6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Statements of Cash Flows for the Six Months Ended June 30, 2021 and 2020</w:t>
              </w:r>
            </w:hyperlink>
          </w:p>
        </w:tc>
        <w:tc>
          <w:tcPr>
            <w:tcW w:w="31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94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060" w:type="dxa"/>
            <w:vAlign w:val="bottom"/>
            <w:tcBorders>
              <w:top w:val="single" w:sz="8" w:color="0000EE"/>
            </w:tcBorders>
            <w:gridSpan w:val="3"/>
          </w:tcPr>
          <w:p>
            <w:pPr>
              <w:spacing w:after="0"/>
              <w:rPr>
                <w:sz w:val="18"/>
                <w:szCs w:val="18"/>
                <w:color w:val="auto"/>
              </w:rPr>
            </w:pPr>
          </w:p>
        </w:tc>
        <w:tc>
          <w:tcPr>
            <w:tcW w:w="30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020" w:type="dxa"/>
            <w:vAlign w:val="bottom"/>
            <w:vMerge w:val="continue"/>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OTHER INFORMATION</w:t>
              </w:r>
            </w:hyperlink>
          </w:p>
        </w:tc>
        <w:tc>
          <w:tcPr>
            <w:tcW w:w="758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Legal Proceedings</w:t>
              </w:r>
            </w:hyperlink>
          </w:p>
        </w:tc>
        <w:tc>
          <w:tcPr>
            <w:tcW w:w="81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Unregistered Sales of Equity Securities and Use of Proceeds</w:t>
              </w:r>
            </w:hyperlink>
          </w:p>
        </w:tc>
        <w:tc>
          <w:tcPr>
            <w:tcW w:w="51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Defaults Upon Senior Securities</w:t>
              </w:r>
            </w:hyperlink>
          </w:p>
        </w:tc>
        <w:tc>
          <w:tcPr>
            <w:tcW w:w="71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3"/>
          </w:tcPr>
          <w:p>
            <w:pPr>
              <w:spacing w:after="0"/>
              <w:rPr>
                <w:sz w:val="18"/>
                <w:szCs w:val="18"/>
                <w:color w:val="auto"/>
              </w:rPr>
            </w:pPr>
          </w:p>
        </w:tc>
        <w:tc>
          <w:tcPr>
            <w:tcW w:w="77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6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spacing w:after="0"/>
              <w:rPr>
                <w:sz w:val="18"/>
                <w:szCs w:val="18"/>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w:t>
              </w:r>
            </w:hyperlink>
          </w:p>
        </w:tc>
        <w:tc>
          <w:tcPr>
            <w:tcW w:w="87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our Annual Report on Form 10-K for the year ended December 31, 2020, regarding, among other things:</w:t>
      </w:r>
    </w:p>
    <w:p>
      <w:pPr>
        <w:spacing w:after="0" w:line="83" w:lineRule="exact"/>
        <w:rPr>
          <w:sz w:val="20"/>
          <w:szCs w:val="20"/>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67"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67" w:lineRule="exact"/>
        <w:rPr>
          <w:rFonts w:ascii="Arial" w:cs="Arial" w:eastAsia="Arial" w:hAnsi="Arial"/>
          <w:sz w:val="18"/>
          <w:szCs w:val="18"/>
          <w:color w:val="auto"/>
        </w:rPr>
      </w:pPr>
    </w:p>
    <w:p>
      <w:pPr>
        <w:ind w:left="880" w:right="2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67"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25" w:lineRule="exact"/>
        <w:rPr>
          <w:rFonts w:ascii="Arial" w:cs="Arial" w:eastAsia="Arial" w:hAnsi="Arial"/>
          <w:sz w:val="17"/>
          <w:szCs w:val="17"/>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13"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13" w:lineRule="exact"/>
        <w:rPr>
          <w:rFonts w:ascii="Arial" w:cs="Arial" w:eastAsia="Arial" w:hAnsi="Arial"/>
          <w:sz w:val="18"/>
          <w:szCs w:val="18"/>
          <w:color w:val="auto"/>
        </w:rPr>
      </w:pPr>
    </w:p>
    <w:p>
      <w:pPr>
        <w:ind w:left="880" w:hanging="365"/>
        <w:spacing w:after="0" w:line="27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3" w:lineRule="exact"/>
        <w:rPr>
          <w:rFonts w:ascii="Arial" w:cs="Arial" w:eastAsia="Arial" w:hAnsi="Arial"/>
          <w:sz w:val="18"/>
          <w:szCs w:val="18"/>
          <w:color w:val="auto"/>
        </w:rPr>
      </w:pPr>
    </w:p>
    <w:p>
      <w:pPr>
        <w:ind w:left="880" w:right="20" w:hanging="365"/>
        <w:spacing w:after="0" w:line="27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Arial" w:cs="Arial" w:eastAsia="Arial" w:hAnsi="Arial"/>
          <w:sz w:val="18"/>
          <w:szCs w:val="18"/>
          <w:color w:val="auto"/>
        </w:rPr>
      </w:pPr>
    </w:p>
    <w:p>
      <w:pPr>
        <w:ind w:left="880" w:hanging="365"/>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7300" w:type="dxa"/>
            <w:vAlign w:val="bottom"/>
          </w:tcPr>
          <w:p>
            <w:pPr>
              <w:jc w:val="center"/>
              <w:ind w:left="3851"/>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8"/>
        </w:trPr>
        <w:tc>
          <w:tcPr>
            <w:tcW w:w="730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1"/>
        </w:trPr>
        <w:tc>
          <w:tcPr>
            <w:tcW w:w="7300" w:type="dxa"/>
            <w:vAlign w:val="bottom"/>
          </w:tcPr>
          <w:p>
            <w:pPr>
              <w:jc w:val="center"/>
              <w:ind w:left="3871"/>
              <w:spacing w:after="0"/>
              <w:rPr>
                <w:sz w:val="20"/>
                <w:szCs w:val="20"/>
                <w:color w:val="auto"/>
              </w:rPr>
            </w:pPr>
            <w:r>
              <w:rPr>
                <w:rFonts w:ascii="Arial" w:cs="Arial" w:eastAsia="Arial" w:hAnsi="Arial"/>
                <w:sz w:val="18"/>
                <w:szCs w:val="18"/>
                <w:b w:val="1"/>
                <w:bCs w:val="1"/>
                <w:color w:val="auto"/>
              </w:rPr>
              <w:t>BIODESIX, INC.</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7300" w:type="dxa"/>
            <w:vAlign w:val="bottom"/>
          </w:tcPr>
          <w:p>
            <w:pPr>
              <w:jc w:val="center"/>
              <w:ind w:left="3871"/>
              <w:spacing w:after="0"/>
              <w:rPr>
                <w:sz w:val="20"/>
                <w:szCs w:val="20"/>
                <w:color w:val="auto"/>
              </w:rPr>
            </w:pPr>
            <w:r>
              <w:rPr>
                <w:rFonts w:ascii="Arial" w:cs="Arial" w:eastAsia="Arial" w:hAnsi="Arial"/>
                <w:sz w:val="18"/>
                <w:szCs w:val="18"/>
                <w:b w:val="1"/>
                <w:bCs w:val="1"/>
                <w:color w:val="auto"/>
                <w:w w:val="85"/>
              </w:rPr>
              <w:t>Condensed Balance Sheets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7300" w:type="dxa"/>
            <w:vAlign w:val="bottom"/>
          </w:tcPr>
          <w:p>
            <w:pPr>
              <w:jc w:val="center"/>
              <w:ind w:left="3871"/>
              <w:spacing w:after="0"/>
              <w:rPr>
                <w:sz w:val="20"/>
                <w:szCs w:val="20"/>
                <w:color w:val="auto"/>
              </w:rPr>
            </w:pPr>
            <w:r>
              <w:rPr>
                <w:rFonts w:ascii="Arial" w:cs="Arial" w:eastAsia="Arial" w:hAnsi="Arial"/>
                <w:sz w:val="18"/>
                <w:szCs w:val="18"/>
                <w:b w:val="1"/>
                <w:bCs w:val="1"/>
                <w:color w:val="auto"/>
                <w:w w:val="87"/>
              </w:rPr>
              <w:t>(in thousands, except share data)</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4"/>
        </w:trPr>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r>
      <w:tr>
        <w:trPr>
          <w:trHeight w:val="232"/>
        </w:trPr>
        <w:tc>
          <w:tcPr>
            <w:tcW w:w="73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1"/>
        </w:trPr>
        <w:tc>
          <w:tcPr>
            <w:tcW w:w="730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56,349</w:t>
            </w:r>
          </w:p>
        </w:tc>
        <w:tc>
          <w:tcPr>
            <w:tcW w:w="120" w:type="dxa"/>
            <w:vAlign w:val="bottom"/>
            <w:shd w:val="clear" w:color="auto" w:fill="CCEE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$168 and $180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20" w:type="dxa"/>
            <w:vAlign w:val="bottom"/>
            <w:shd w:val="clear" w:color="auto" w:fill="CCEE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r>
      <w:tr>
        <w:trPr>
          <w:trHeight w:val="220"/>
        </w:trPr>
        <w:tc>
          <w:tcPr>
            <w:tcW w:w="73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68,450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r>
      <w:tr>
        <w:trPr>
          <w:trHeight w:val="220"/>
        </w:trPr>
        <w:tc>
          <w:tcPr>
            <w:tcW w:w="730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CEEFF"/>
            </w:tcBorders>
          </w:tcPr>
          <w:p>
            <w:pPr>
              <w:spacing w:after="0"/>
              <w:rPr>
                <w:sz w:val="19"/>
                <w:szCs w:val="19"/>
                <w:color w:val="auto"/>
              </w:rPr>
            </w:pPr>
          </w:p>
        </w:tc>
      </w:tr>
      <w:tr>
        <w:trPr>
          <w:trHeight w:val="221"/>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7300" w:type="dxa"/>
            <w:vAlign w:val="bottom"/>
            <w:shd w:val="clear" w:color="auto" w:fill="CFF0FC"/>
          </w:tcPr>
          <w:p>
            <w:pPr>
              <w:ind w:left="41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Current portion of contingent consideration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shd w:val="clear" w:color="auto" w:fill="CCEEFF"/>
          </w:tcPr>
          <w:p>
            <w:pPr>
              <w:spacing w:after="0"/>
              <w:rPr>
                <w:sz w:val="19"/>
                <w:szCs w:val="19"/>
                <w:color w:val="auto"/>
              </w:rPr>
            </w:pPr>
          </w:p>
        </w:tc>
      </w:tr>
      <w:tr>
        <w:trPr>
          <w:trHeight w:val="220"/>
        </w:trPr>
        <w:tc>
          <w:tcPr>
            <w:tcW w:w="73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00" w:type="dxa"/>
            <w:vAlign w:val="bottom"/>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tcPr>
          <w:p>
            <w:pPr>
              <w:spacing w:after="0"/>
              <w:rPr>
                <w:sz w:val="19"/>
                <w:szCs w:val="19"/>
                <w:color w:val="auto"/>
              </w:rPr>
            </w:pPr>
          </w:p>
        </w:tc>
      </w:tr>
      <w:tr>
        <w:trPr>
          <w:trHeight w:val="221"/>
        </w:trPr>
        <w:tc>
          <w:tcPr>
            <w:tcW w:w="730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shd w:val="clear" w:color="auto" w:fill="CCEEFF"/>
          </w:tcPr>
          <w:p>
            <w:pPr>
              <w:spacing w:after="0"/>
              <w:rPr>
                <w:sz w:val="19"/>
                <w:szCs w:val="19"/>
                <w:color w:val="auto"/>
              </w:rPr>
            </w:pPr>
          </w:p>
        </w:tc>
      </w:tr>
      <w:tr>
        <w:trPr>
          <w:trHeight w:val="220"/>
        </w:trPr>
        <w:tc>
          <w:tcPr>
            <w:tcW w:w="73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5,000,000 shares authorized;</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3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0 (2021 and 2020) shares issued and outstanding</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3"/>
        </w:trPr>
        <w:tc>
          <w:tcPr>
            <w:tcW w:w="7300" w:type="dxa"/>
            <w:vAlign w:val="bottom"/>
          </w:tcPr>
          <w:p>
            <w:pPr>
              <w:ind w:left="260"/>
              <w:spacing w:after="0"/>
              <w:rPr>
                <w:sz w:val="20"/>
                <w:szCs w:val="20"/>
                <w:color w:val="auto"/>
              </w:rPr>
            </w:pPr>
            <w:r>
              <w:rPr>
                <w:rFonts w:ascii="Arial" w:cs="Arial" w:eastAsia="Arial" w:hAnsi="Arial"/>
                <w:sz w:val="18"/>
                <w:szCs w:val="18"/>
                <w:color w:val="auto"/>
              </w:rPr>
              <w:t>Common stock, $0.001 par value, 200,000,000 shares authorized;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300" w:type="dxa"/>
            <w:vAlign w:val="bottom"/>
          </w:tcPr>
          <w:p>
            <w:pPr>
              <w:ind w:left="420"/>
              <w:spacing w:after="0"/>
              <w:rPr>
                <w:sz w:val="20"/>
                <w:szCs w:val="20"/>
                <w:color w:val="auto"/>
              </w:rPr>
            </w:pPr>
            <w:r>
              <w:rPr>
                <w:rFonts w:ascii="Arial" w:cs="Arial" w:eastAsia="Arial" w:hAnsi="Arial"/>
                <w:sz w:val="18"/>
                <w:szCs w:val="18"/>
                <w:color w:val="auto"/>
              </w:rPr>
              <w:t>26,948,879 (2021) and 26,561,504 (2020) shares issued and outstanding</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28"/>
        </w:trPr>
        <w:tc>
          <w:tcPr>
            <w:tcW w:w="7300" w:type="dxa"/>
            <w:vAlign w:val="bottom"/>
            <w:shd w:val="clear" w:color="auto" w:fill="CFF0FC"/>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shd w:val="clear" w:color="auto" w:fill="CCEEFF"/>
          </w:tcPr>
          <w:p>
            <w:pPr>
              <w:spacing w:after="0"/>
              <w:rPr>
                <w:sz w:val="19"/>
                <w:szCs w:val="19"/>
                <w:color w:val="auto"/>
              </w:rPr>
            </w:pPr>
          </w:p>
        </w:tc>
      </w:tr>
      <w:tr>
        <w:trPr>
          <w:trHeight w:val="227"/>
        </w:trPr>
        <w:tc>
          <w:tcPr>
            <w:tcW w:w="73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(277,177)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(258,814)</w:t>
            </w:r>
          </w:p>
        </w:tc>
      </w:tr>
      <w:tr>
        <w:trPr>
          <w:trHeight w:val="221"/>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0"/>
        </w:trPr>
        <w:tc>
          <w:tcPr>
            <w:tcW w:w="7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b w:val="1"/>
                <w:bCs w:val="1"/>
                <w:color w:val="auto"/>
              </w:rPr>
              <w:t>BIODESIX, INC.</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4080" w:type="dxa"/>
            <w:vAlign w:val="bottom"/>
          </w:tcPr>
          <w:p>
            <w:pPr>
              <w:spacing w:after="0"/>
              <w:rPr>
                <w:sz w:val="24"/>
                <w:szCs w:val="24"/>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Condensed Statements of Operations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4080" w:type="dxa"/>
            <w:vAlign w:val="bottom"/>
          </w:tcPr>
          <w:p>
            <w:pPr>
              <w:spacing w:after="0"/>
              <w:rPr>
                <w:sz w:val="20"/>
                <w:szCs w:val="20"/>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(in thousands, except per share data)</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4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4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08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1"/>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00" w:type="dxa"/>
            <w:vAlign w:val="bottom"/>
            <w:shd w:val="clear" w:color="auto" w:fill="CCEEFF"/>
          </w:tcPr>
          <w:p>
            <w:pPr>
              <w:spacing w:after="0"/>
              <w:rPr>
                <w:sz w:val="19"/>
                <w:szCs w:val="19"/>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r>
      <w:tr>
        <w:trPr>
          <w:trHeight w:val="227"/>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r>
      <w:tr>
        <w:trPr>
          <w:trHeight w:val="228"/>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00" w:type="dxa"/>
            <w:vAlign w:val="bottom"/>
            <w:shd w:val="clear" w:color="auto" w:fill="CCEEFF"/>
          </w:tcPr>
          <w:p>
            <w:pPr>
              <w:spacing w:after="0"/>
              <w:rPr>
                <w:sz w:val="19"/>
                <w:szCs w:val="19"/>
                <w:color w:val="auto"/>
              </w:rPr>
            </w:pPr>
          </w:p>
        </w:tc>
      </w:tr>
      <w:tr>
        <w:trPr>
          <w:trHeight w:val="227"/>
        </w:trPr>
        <w:tc>
          <w:tcPr>
            <w:tcW w:w="40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100" w:type="dxa"/>
            <w:vAlign w:val="bottom"/>
            <w:tcBorders>
              <w:top w:val="single" w:sz="8" w:color="CCEEFF"/>
            </w:tcBorders>
            <w:shd w:val="clear" w:color="auto" w:fill="CCEEFF"/>
          </w:tcPr>
          <w:p>
            <w:pPr>
              <w:spacing w:after="0"/>
              <w:rPr>
                <w:sz w:val="19"/>
                <w:szCs w:val="19"/>
                <w:color w:val="auto"/>
              </w:rPr>
            </w:pPr>
          </w:p>
        </w:tc>
      </w:tr>
      <w:tr>
        <w:trPr>
          <w:trHeight w:val="220"/>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19"/>
                <w:szCs w:val="19"/>
                <w:color w:val="auto"/>
              </w:rPr>
            </w:pPr>
          </w:p>
        </w:tc>
      </w:tr>
      <w:tr>
        <w:trPr>
          <w:trHeight w:val="228"/>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(4,241)</w:t>
            </w:r>
          </w:p>
        </w:tc>
      </w:tr>
      <w:tr>
        <w:trPr>
          <w:trHeight w:val="228"/>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r>
      <w:tr>
        <w:trPr>
          <w:trHeight w:val="227"/>
        </w:trPr>
        <w:tc>
          <w:tcPr>
            <w:tcW w:w="408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r>
      <w:tr>
        <w:trPr>
          <w:trHeight w:val="220"/>
        </w:trPr>
        <w:tc>
          <w:tcPr>
            <w:tcW w:w="4080" w:type="dxa"/>
            <w:vAlign w:val="bottom"/>
          </w:tcPr>
          <w:p>
            <w:pPr>
              <w:spacing w:after="0"/>
              <w:rPr>
                <w:sz w:val="20"/>
                <w:szCs w:val="20"/>
                <w:color w:val="auto"/>
              </w:rPr>
            </w:pPr>
            <w:r>
              <w:rPr>
                <w:rFonts w:ascii="Arial" w:cs="Arial" w:eastAsia="Arial" w:hAnsi="Arial"/>
                <w:sz w:val="18"/>
                <w:szCs w:val="18"/>
                <w:color w:val="auto"/>
              </w:rPr>
              <w:t>Total other expense</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r>
      <w:tr>
        <w:trPr>
          <w:trHeight w:val="228"/>
        </w:trPr>
        <w:tc>
          <w:tcPr>
            <w:tcW w:w="40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620" w:type="dxa"/>
            <w:vAlign w:val="bottom"/>
            <w:tcBorders>
              <w:bottom w:val="single" w:sz="8" w:color="CFF0FC"/>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(17,971)</w:t>
            </w:r>
          </w:p>
        </w:tc>
        <w:tc>
          <w:tcPr>
            <w:tcW w:w="100" w:type="dxa"/>
            <w:vAlign w:val="bottom"/>
            <w:tcBorders>
              <w:bottom w:val="single" w:sz="8" w:color="CCEEFF"/>
            </w:tcBorders>
          </w:tcPr>
          <w:p>
            <w:pPr>
              <w:spacing w:after="0"/>
              <w:rPr>
                <w:sz w:val="22"/>
                <w:szCs w:val="22"/>
                <w:color w:val="auto"/>
              </w:rPr>
            </w:pPr>
          </w:p>
        </w:tc>
      </w:tr>
      <w:tr>
        <w:trPr>
          <w:trHeight w:val="221"/>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shd w:val="clear" w:color="auto" w:fill="CFF0FC"/>
          </w:tcPr>
          <w:p>
            <w:pPr>
              <w:spacing w:after="0"/>
              <w:rPr>
                <w:sz w:val="19"/>
                <w:szCs w:val="19"/>
                <w:color w:val="auto"/>
              </w:rPr>
            </w:pP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w:t>
            </w: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(68.85)</w:t>
            </w:r>
          </w:p>
        </w:tc>
      </w:tr>
      <w:tr>
        <w:trPr>
          <w:trHeight w:val="239"/>
        </w:trPr>
        <w:tc>
          <w:tcPr>
            <w:tcW w:w="4080" w:type="dxa"/>
            <w:vAlign w:val="bottom"/>
          </w:tcPr>
          <w:p>
            <w:pPr>
              <w:spacing w:after="0"/>
              <w:rPr>
                <w:sz w:val="20"/>
                <w:szCs w:val="20"/>
                <w:color w:val="auto"/>
              </w:rPr>
            </w:pPr>
            <w:r>
              <w:rPr>
                <w:rFonts w:ascii="Arial" w:cs="Arial" w:eastAsia="Arial" w:hAnsi="Arial"/>
                <w:sz w:val="18"/>
                <w:szCs w:val="18"/>
                <w:color w:val="auto"/>
                <w:w w:val="90"/>
              </w:rPr>
              <w:t>Weighted-average shares outstanding, basic and diluted</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vMerge w:val="restart"/>
          </w:tcPr>
          <w:p>
            <w:pPr>
              <w:jc w:val="right"/>
              <w:ind w:right="32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89"/>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720" w:type="dxa"/>
            <w:vAlign w:val="bottom"/>
          </w:tcPr>
          <w:p>
            <w:pPr>
              <w:ind w:left="260"/>
              <w:spacing w:after="0" w:line="154" w:lineRule="exact"/>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09"/>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89"/>
              <w:spacing w:after="0" w:line="154"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59"/>
              <w:spacing w:after="0" w:line="154"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4"/>
        </w:trPr>
        <w:tc>
          <w:tcPr>
            <w:tcW w:w="314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2020</w:t>
            </w: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ind w:left="6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ind w:left="2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26,562</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89"/>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299,953</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(258,814</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41,166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(6,961)</w:t>
            </w:r>
          </w:p>
        </w:tc>
        <w:tc>
          <w:tcPr>
            <w:tcW w:w="1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154"/>
        </w:trPr>
        <w:tc>
          <w:tcPr>
            <w:tcW w:w="314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2021</w:t>
            </w: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ind w:left="6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2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26,785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89"/>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302,180</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(265,775)</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36,432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(11,402)</w:t>
            </w:r>
          </w:p>
        </w:tc>
        <w:tc>
          <w:tcPr>
            <w:tcW w:w="1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(11,402)</w:t>
            </w:r>
          </w:p>
        </w:tc>
        <w:tc>
          <w:tcPr>
            <w:tcW w:w="0" w:type="dxa"/>
            <w:vAlign w:val="bottom"/>
          </w:tcPr>
          <w:p>
            <w:pPr>
              <w:spacing w:after="0"/>
              <w:rPr>
                <w:sz w:val="1"/>
                <w:szCs w:val="1"/>
                <w:color w:val="auto"/>
              </w:rPr>
            </w:pPr>
          </w:p>
        </w:tc>
      </w:tr>
      <w:tr>
        <w:trPr>
          <w:trHeight w:val="154"/>
        </w:trPr>
        <w:tc>
          <w:tcPr>
            <w:tcW w:w="3140" w:type="dxa"/>
            <w:vAlign w:val="bottom"/>
            <w:tcBorders>
              <w:top w:val="single" w:sz="8" w:color="CFF0FC"/>
              <w:bottom w:val="single" w:sz="8" w:color="CFF0FC"/>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June 30, 2021</w:t>
            </w: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ind w:left="6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ind w:left="2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26,949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89"/>
              </w:rPr>
              <w:t>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302,923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(277,177)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25,773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3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Convertible Preferred Stock</w:t>
            </w:r>
          </w:p>
        </w:tc>
        <w:tc>
          <w:tcPr>
            <w:tcW w:w="1920" w:type="dxa"/>
            <w:vAlign w:val="bottom"/>
            <w:gridSpan w:val="3"/>
            <w:vMerge w:val="restart"/>
          </w:tcPr>
          <w:p>
            <w:pPr>
              <w:jc w:val="right"/>
              <w:ind w:right="32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89"/>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4"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89"/>
              <w:spacing w:after="0" w:line="154"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59"/>
              <w:spacing w:after="0" w:line="154"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4"/>
        </w:trPr>
        <w:tc>
          <w:tcPr>
            <w:tcW w:w="314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2019</w:t>
            </w:r>
          </w:p>
        </w:tc>
        <w:tc>
          <w:tcPr>
            <w:tcW w:w="9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118,766</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255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2,324</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(227,464</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(225,139)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(9,705)</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(9,705)</w:t>
            </w:r>
          </w:p>
        </w:tc>
        <w:tc>
          <w:tcPr>
            <w:tcW w:w="0" w:type="dxa"/>
            <w:vAlign w:val="bottom"/>
          </w:tcPr>
          <w:p>
            <w:pPr>
              <w:spacing w:after="0"/>
              <w:rPr>
                <w:sz w:val="1"/>
                <w:szCs w:val="1"/>
                <w:color w:val="auto"/>
              </w:rPr>
            </w:pPr>
          </w:p>
        </w:tc>
      </w:tr>
      <w:tr>
        <w:trPr>
          <w:trHeight w:val="154"/>
        </w:trPr>
        <w:tc>
          <w:tcPr>
            <w:tcW w:w="3140" w:type="dxa"/>
            <w:vAlign w:val="bottom"/>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2020</w:t>
            </w:r>
          </w:p>
        </w:tc>
        <w:tc>
          <w:tcPr>
            <w:tcW w:w="9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118,766</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193,959</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275</w:t>
            </w: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2,335</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(237,169)</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(234,833)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(8,266)</w:t>
            </w:r>
          </w:p>
        </w:tc>
        <w:tc>
          <w:tcPr>
            <w:tcW w:w="1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(8,266)</w:t>
            </w:r>
          </w:p>
        </w:tc>
        <w:tc>
          <w:tcPr>
            <w:tcW w:w="0" w:type="dxa"/>
            <w:vAlign w:val="bottom"/>
          </w:tcPr>
          <w:p>
            <w:pPr>
              <w:spacing w:after="0"/>
              <w:rPr>
                <w:sz w:val="1"/>
                <w:szCs w:val="1"/>
                <w:color w:val="auto"/>
              </w:rPr>
            </w:pPr>
          </w:p>
        </w:tc>
      </w:tr>
      <w:tr>
        <w:trPr>
          <w:trHeight w:val="154"/>
        </w:trPr>
        <w:tc>
          <w:tcPr>
            <w:tcW w:w="3140" w:type="dxa"/>
            <w:vAlign w:val="bottom"/>
            <w:tcBorders>
              <w:top w:val="single" w:sz="8" w:color="CFF0FC"/>
              <w:bottom w:val="single" w:sz="8" w:color="CFF0FC"/>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June 30, 2020</w:t>
            </w:r>
          </w:p>
        </w:tc>
        <w:tc>
          <w:tcPr>
            <w:tcW w:w="9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118,766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275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2,390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(245,435)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(243,044)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7380" w:type="dxa"/>
            <w:vAlign w:val="bottom"/>
          </w:tcPr>
          <w:p>
            <w:pPr>
              <w:jc w:val="center"/>
              <w:ind w:left="3791"/>
              <w:spacing w:after="0"/>
              <w:rPr>
                <w:sz w:val="20"/>
                <w:szCs w:val="20"/>
                <w:color w:val="auto"/>
              </w:rPr>
            </w:pPr>
            <w:r>
              <w:rPr>
                <w:rFonts w:ascii="Arial" w:cs="Arial" w:eastAsia="Arial" w:hAnsi="Arial"/>
                <w:sz w:val="18"/>
                <w:szCs w:val="18"/>
                <w:b w:val="1"/>
                <w:bCs w:val="1"/>
                <w:color w:val="auto"/>
              </w:rPr>
              <w:t>BIODESIX, INC.</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1"/>
        </w:trPr>
        <w:tc>
          <w:tcPr>
            <w:tcW w:w="7380" w:type="dxa"/>
            <w:vAlign w:val="bottom"/>
          </w:tcPr>
          <w:p>
            <w:pPr>
              <w:jc w:val="center"/>
              <w:ind w:left="3771"/>
              <w:spacing w:after="0"/>
              <w:rPr>
                <w:sz w:val="20"/>
                <w:szCs w:val="20"/>
                <w:color w:val="auto"/>
              </w:rPr>
            </w:pPr>
            <w:r>
              <w:rPr>
                <w:rFonts w:ascii="Arial" w:cs="Arial" w:eastAsia="Arial" w:hAnsi="Arial"/>
                <w:sz w:val="18"/>
                <w:szCs w:val="18"/>
                <w:b w:val="1"/>
                <w:bCs w:val="1"/>
                <w:color w:val="auto"/>
                <w:w w:val="86"/>
              </w:rPr>
              <w:t>Condensed Statements of Cash Flows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7380" w:type="dxa"/>
            <w:vAlign w:val="bottom"/>
          </w:tcPr>
          <w:p>
            <w:pPr>
              <w:jc w:val="center"/>
              <w:ind w:left="3771"/>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4"/>
          </w:tcPr>
          <w:p>
            <w:pPr>
              <w:jc w:val="right"/>
              <w:ind w:right="2"/>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2"/>
        </w:trPr>
        <w:tc>
          <w:tcPr>
            <w:tcW w:w="7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(18,363)</w:t>
            </w:r>
          </w:p>
        </w:tc>
        <w:tc>
          <w:tcPr>
            <w:tcW w:w="980" w:type="dxa"/>
            <w:vAlign w:val="bottom"/>
          </w:tcPr>
          <w:p>
            <w:pPr>
              <w:jc w:val="right"/>
              <w:ind w:right="82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(17,971)</w:t>
            </w:r>
          </w:p>
        </w:tc>
      </w:tr>
      <w:tr>
        <w:trPr>
          <w:trHeight w:val="21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cash equivalents, and restricted</w:t>
            </w: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r>
      <w:tr>
        <w:trPr>
          <w:trHeight w:val="228"/>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convertible notes debt discount</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Loss on extinguishment of term loan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38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Change in contingent consideration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Accrued interest, amortization of debt issuance costs and other</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r>
      <w:tr>
        <w:trPr>
          <w:trHeight w:val="228"/>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28"/>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(876)</w:t>
            </w: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Other long-term assets and liabilities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accrued liabilities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(9,453)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r>
      <w:tr>
        <w:trPr>
          <w:trHeight w:val="227"/>
        </w:trPr>
        <w:tc>
          <w:tcPr>
            <w:tcW w:w="73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(1,350)</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r>
      <w:tr>
        <w:trPr>
          <w:trHeight w:val="221"/>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(10,236)</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(8,840)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28"/>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Patent costs and intangible asset acquisition, net</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Payment to acquire Oncimmune assets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1"/>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Proceeds from issuance of convertible debt payable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12,955</w:t>
            </w:r>
          </w:p>
        </w:tc>
        <w:tc>
          <w:tcPr>
            <w:tcW w:w="120" w:type="dxa"/>
            <w:vAlign w:val="bottom"/>
          </w:tcPr>
          <w:p>
            <w:pPr>
              <w:spacing w:after="0"/>
              <w:rPr>
                <w:sz w:val="19"/>
                <w:szCs w:val="19"/>
                <w:color w:val="auto"/>
              </w:rPr>
            </w:pPr>
          </w:p>
        </w:tc>
      </w:tr>
      <w:tr>
        <w:trPr>
          <w:trHeight w:val="228"/>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Proceeds from term loan and notes payable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30,078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9"/>
                <w:szCs w:val="19"/>
                <w:color w:val="auto"/>
              </w:rPr>
            </w:pPr>
          </w:p>
        </w:tc>
      </w:tr>
      <w:tr>
        <w:trPr>
          <w:trHeight w:val="228"/>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loan and notes payable</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(25,419)</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380" w:type="dxa"/>
            <w:vAlign w:val="bottom"/>
          </w:tcPr>
          <w:p>
            <w:pPr>
              <w:ind w:left="26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20"/>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3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16,046</w:t>
            </w:r>
          </w:p>
        </w:tc>
        <w:tc>
          <w:tcPr>
            <w:tcW w:w="120" w:type="dxa"/>
            <w:vAlign w:val="bottom"/>
            <w:tcBorders>
              <w:bottom w:val="single" w:sz="8" w:color="CFF0FC"/>
            </w:tcBorders>
          </w:tcPr>
          <w:p>
            <w:pPr>
              <w:spacing w:after="0"/>
              <w:rPr>
                <w:sz w:val="19"/>
                <w:szCs w:val="19"/>
                <w:color w:val="auto"/>
              </w:rPr>
            </w:pPr>
          </w:p>
        </w:tc>
      </w:tr>
      <w:tr>
        <w:trPr>
          <w:trHeight w:val="221"/>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(5,871)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FF0FC"/>
          </w:tcPr>
          <w:p>
            <w:pPr>
              <w:spacing w:after="0"/>
              <w:rPr>
                <w:sz w:val="19"/>
                <w:szCs w:val="19"/>
                <w:color w:val="auto"/>
              </w:rPr>
            </w:pPr>
          </w:p>
        </w:tc>
      </w:tr>
      <w:tr>
        <w:trPr>
          <w:trHeight w:val="227"/>
        </w:trPr>
        <w:tc>
          <w:tcPr>
            <w:tcW w:w="7380" w:type="dxa"/>
            <w:vAlign w:val="bottom"/>
            <w:tcBorders>
              <w:bottom w:val="single" w:sz="8" w:color="CFF0FC"/>
            </w:tcBorders>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62,306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FF0FC"/>
            </w:tcBorders>
          </w:tcPr>
          <w:p>
            <w:pPr>
              <w:spacing w:after="0"/>
              <w:rPr>
                <w:sz w:val="19"/>
                <w:szCs w:val="19"/>
                <w:color w:val="auto"/>
              </w:rPr>
            </w:pPr>
          </w:p>
        </w:tc>
      </w:tr>
      <w:tr>
        <w:trPr>
          <w:trHeight w:val="221"/>
        </w:trPr>
        <w:tc>
          <w:tcPr>
            <w:tcW w:w="7380" w:type="dxa"/>
            <w:vAlign w:val="bottom"/>
            <w:tcBorders>
              <w:bottom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56,435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11,856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authorized performance of the Bio-Rad SARS-CoV-2 Droplet Digital™ polymerase chain reaction (ddPCR) test to detect Coronavirus Disease 2019 (COVID-19) infection. In April 2020, the FDA authorized the Platelia SARS-CoV-2 Total Ab test to detect COVID-19 antibodies. Medical products that are granted an Emergency Use Authorization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14" w:lineRule="exact"/>
        <w:rPr>
          <w:sz w:val="20"/>
          <w:szCs w:val="20"/>
          <w:color w:val="auto"/>
        </w:rPr>
      </w:pPr>
    </w:p>
    <w:p>
      <w:pPr>
        <w:jc w:val="both"/>
        <w:ind w:left="720" w:hanging="352"/>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part of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78" w:lineRule="exact"/>
        <w:rPr>
          <w:rFonts w:ascii="Arial" w:cs="Arial" w:eastAsia="Arial" w:hAnsi="Arial"/>
          <w:sz w:val="18"/>
          <w:szCs w:val="18"/>
          <w:color w:val="auto"/>
        </w:rPr>
      </w:pPr>
    </w:p>
    <w:p>
      <w:pPr>
        <w:jc w:val="both"/>
        <w:ind w:left="720" w:hanging="352"/>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GeneStrat®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Biodesix Lung Reflex</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 cancer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the presence of mutations in the tumor and the state of the patient’s immune system to establish the patient’s prognosis and help guide treatment decisions. The GeneStrat tumor profiling test and the VeriStrat immune profiling test have a 36-hour average turnaround time, providing physicians with timely results to facilitate treatment decisions.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 The Company offers three SARS-CoV-2 tests under the Biodesix WorkSafe™ testing program:</w:t>
      </w:r>
    </w:p>
    <w:p>
      <w:pPr>
        <w:spacing w:after="0" w:line="68" w:lineRule="exact"/>
        <w:rPr>
          <w:sz w:val="20"/>
          <w:szCs w:val="20"/>
          <w:color w:val="auto"/>
        </w:rPr>
      </w:pPr>
    </w:p>
    <w:p>
      <w:pPr>
        <w:jc w:val="both"/>
        <w:ind w:left="720" w:hanging="352"/>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78" w:lineRule="exact"/>
        <w:rPr>
          <w:rFonts w:ascii="Arial" w:cs="Arial" w:eastAsia="Arial" w:hAnsi="Arial"/>
          <w:sz w:val="18"/>
          <w:szCs w:val="18"/>
          <w:color w:val="auto"/>
        </w:rPr>
      </w:pPr>
    </w:p>
    <w:p>
      <w:pPr>
        <w:ind w:left="720" w:hanging="352"/>
        <w:spacing w:after="0" w:line="27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 SARS-CoV-2, indicating recent or prior infection.</w:t>
      </w:r>
    </w:p>
    <w:p>
      <w:pPr>
        <w:spacing w:after="0" w:line="67" w:lineRule="exact"/>
        <w:rPr>
          <w:rFonts w:ascii="Arial" w:cs="Arial" w:eastAsia="Arial" w:hAnsi="Arial"/>
          <w:sz w:val="18"/>
          <w:szCs w:val="18"/>
          <w:color w:val="auto"/>
        </w:rPr>
      </w:pPr>
    </w:p>
    <w:p>
      <w:pPr>
        <w:jc w:val="both"/>
        <w:ind w:left="720" w:hanging="352"/>
        <w:spacing w:after="0" w:line="25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Test, </w:t>
      </w:r>
      <w:r>
        <w:rPr>
          <w:rFonts w:ascii="Arial" w:cs="Arial" w:eastAsia="Arial" w:hAnsi="Arial"/>
          <w:sz w:val="18"/>
          <w:szCs w:val="18"/>
          <w:color w:val="auto"/>
        </w:rPr>
        <w:t>which is the first and only blood-based surrogate neutralizing antibody test with FDA EUA</w:t>
      </w:r>
      <w:r>
        <w:rPr>
          <w:rFonts w:ascii="Arial" w:cs="Arial" w:eastAsia="Arial" w:hAnsi="Arial"/>
          <w:sz w:val="18"/>
          <w:szCs w:val="18"/>
          <w:i w:val="1"/>
          <w:iCs w:val="1"/>
          <w:color w:val="auto"/>
        </w:rPr>
        <w:t xml:space="preserve"> </w:t>
      </w:r>
      <w:r>
        <w:rPr>
          <w:rFonts w:ascii="Arial" w:cs="Arial" w:eastAsia="Arial" w:hAnsi="Arial"/>
          <w:sz w:val="18"/>
          <w:szCs w:val="18"/>
          <w:color w:val="auto"/>
        </w:rPr>
        <w:t>and uses 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83"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21"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Condensed Financial Statements should be read in conjunction with the audited Financial Statements included in the Company’s Annual Report on Form 10-K for the year ended December 31, 2020.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2020 was derived from the audited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Uncertainties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 Restricted cash consists of deposits related to the Company’s corporate credit cards and prior to March 31, 2021, also included a letter of credit related to an operating lease agreement. As of June 30, 2021 and December 31, 2020, the Company had $0.1 million and $0.2 million in restricted cash, respectively, which was included in ‘Other current assets’ in the accompanying balance sheets.</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 discussion of credit risk concentration of accounts receivable as of June 30, 2021 and 2020, see Note 9 – Revenue &amp; Accounts Receivable Credit Concentration.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$3.1 million and $3.2 million as of June 30, 2021 and December 31,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The three levels of the hierarchy and the related inputs are as follows:</w:t>
      </w:r>
    </w:p>
    <w:p>
      <w:pPr>
        <w:spacing w:after="0" w:line="193" w:lineRule="exact"/>
        <w:rPr>
          <w:sz w:val="20"/>
          <w:szCs w:val="20"/>
          <w:color w:val="auto"/>
        </w:rPr>
      </w:pPr>
    </w:p>
    <w:p>
      <w:pPr>
        <w:ind w:left="820"/>
        <w:spacing w:after="0"/>
        <w:tabs>
          <w:tab w:leader="none" w:pos="650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20" w:lineRule="exact"/>
        <w:rPr>
          <w:sz w:val="20"/>
          <w:szCs w:val="20"/>
          <w:color w:val="auto"/>
        </w:rPr>
      </w:pPr>
    </w:p>
    <w:p>
      <w:pPr>
        <w:ind w:left="2260" w:hanging="1281"/>
        <w:spacing w:after="0"/>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3590"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260" w:hanging="1281"/>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60" w:hanging="1281"/>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3590" cy="135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related to estimated fair value measurements.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The Company is currently evaluating this guidance and assessing the overall impact on its financial statements.</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as of June 30, 2021 and December 31, 2020, based on interest rates currently available for similar borrowings and were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9"/>
                <w:szCs w:val="19"/>
                <w:color w:val="auto"/>
              </w:rPr>
            </w:pPr>
          </w:p>
        </w:tc>
      </w:tr>
      <w:tr>
        <w:trPr>
          <w:trHeight w:val="241"/>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Carrying Value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b w:val="1"/>
                <w:bCs w:val="1"/>
                <w:color w:val="auto"/>
                <w:w w:val="91"/>
              </w:rPr>
              <w:t>Carrying Value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27"/>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33,061</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33,061</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financial liabilities that are measured and recorded at estimated fair value on a recurring basis consist of our contingent consideration associated with our acquisition of Integrated Diagnostics, Inc. (Indi), and prior to the completion of our initial public offering in October 2020, the warrant liability, put option liability and contingent value rights granted to certain holders of our convertible preferred stock and debt instruments, which were accounted for as liabilities and remeasured through our statements of operations. The table below presents the reported fair values of contingent consideration, which is classified as Level 3 in the fair value hierarchy, as of the dates indicated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21"/>
        </w:trPr>
        <w:tc>
          <w:tcPr>
            <w:tcW w:w="7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 of contingent consideration</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Borders>
              <w:bottom w:val="single" w:sz="8" w:color="CCEEFF"/>
            </w:tcBorders>
          </w:tcPr>
          <w:p>
            <w:pPr>
              <w:spacing w:after="0"/>
              <w:rPr>
                <w:sz w:val="19"/>
                <w:szCs w:val="19"/>
                <w:color w:val="auto"/>
              </w:rPr>
            </w:pPr>
          </w:p>
        </w:tc>
      </w:tr>
      <w:tr>
        <w:trPr>
          <w:trHeight w:val="221"/>
        </w:trPr>
        <w:tc>
          <w:tcPr>
            <w:tcW w:w="7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contingent consideration</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contingent consideration for the six months ended June 30, 2021 (in thousands):</w:t>
      </w:r>
    </w:p>
    <w:p>
      <w:pPr>
        <w:sectPr>
          <w:pgSz w:w="11900" w:h="16838" w:orient="portrait"/>
          <w:cols w:equalWidth="0" w:num="1">
            <w:col w:w="11240"/>
          </w:cols>
          <w:pgMar w:left="320" w:top="121" w:right="3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Beginning balances - January 1, 2021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3590"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Ending balances - June 30, 2021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Six Months Ended</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0" w:type="dxa"/>
            <w:vAlign w:val="bottom"/>
            <w:tcBorders>
              <w:top w:val="single" w:sz="8" w:color="auto"/>
            </w:tcBorders>
            <w:gridSpan w:val="2"/>
          </w:tcPr>
          <w:p>
            <w:pPr>
              <w:jc w:val="right"/>
              <w:ind w:right="808"/>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29,932</w:t>
            </w:r>
          </w:p>
        </w:tc>
      </w:tr>
      <w:tr>
        <w:trPr>
          <w:trHeight w:val="227"/>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28"/>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21"/>
        </w:trPr>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31,843</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720"/>
            <w:col w:w="2480"/>
          </w:cols>
          <w:pgMar w:left="320" w:top="121"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these financial liabilities for the six months ended June 30, 2020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319"/>
              <w:spacing w:after="0"/>
              <w:rPr>
                <w:sz w:val="20"/>
                <w:szCs w:val="20"/>
                <w:color w:val="auto"/>
              </w:rPr>
            </w:pPr>
            <w:r>
              <w:rPr>
                <w:rFonts w:ascii="Arial" w:cs="Arial" w:eastAsia="Arial" w:hAnsi="Arial"/>
                <w:sz w:val="18"/>
                <w:szCs w:val="18"/>
                <w:b w:val="1"/>
                <w:bCs w:val="1"/>
                <w:color w:val="auto"/>
              </w:rPr>
              <w:t>For the Six Months Ended June 30, 2020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51"/>
              <w:spacing w:after="0" w:line="203" w:lineRule="exact"/>
              <w:rPr>
                <w:sz w:val="20"/>
                <w:szCs w:val="20"/>
                <w:color w:val="auto"/>
              </w:rPr>
            </w:pPr>
            <w:r>
              <w:rPr>
                <w:rFonts w:ascii="Arial" w:cs="Arial" w:eastAsia="Arial" w:hAnsi="Arial"/>
                <w:sz w:val="18"/>
                <w:szCs w:val="18"/>
                <w:b w:val="1"/>
                <w:bCs w:val="1"/>
                <w:color w:val="auto"/>
                <w:w w:val="89"/>
              </w:rPr>
              <w:t>Put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11"/>
              <w:spacing w:after="0"/>
              <w:rPr>
                <w:sz w:val="20"/>
                <w:szCs w:val="20"/>
                <w:color w:val="auto"/>
              </w:rPr>
            </w:pPr>
            <w:r>
              <w:rPr>
                <w:rFonts w:ascii="Arial" w:cs="Arial" w:eastAsia="Arial" w:hAnsi="Arial"/>
                <w:sz w:val="18"/>
                <w:szCs w:val="18"/>
                <w:b w:val="1"/>
                <w:bCs w:val="1"/>
                <w:color w:val="auto"/>
              </w:rPr>
              <w:t>Contingent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4"/>
          </w:tcPr>
          <w:p>
            <w:pPr>
              <w:ind w:left="220"/>
              <w:spacing w:after="0"/>
              <w:rPr>
                <w:sz w:val="20"/>
                <w:szCs w:val="20"/>
                <w:color w:val="auto"/>
              </w:rPr>
            </w:pPr>
            <w:r>
              <w:rPr>
                <w:rFonts w:ascii="Arial" w:cs="Arial" w:eastAsia="Arial" w:hAnsi="Arial"/>
                <w:sz w:val="18"/>
                <w:szCs w:val="18"/>
                <w:b w:val="1"/>
                <w:bCs w:val="1"/>
                <w:color w:val="auto"/>
              </w:rPr>
              <w:t>Warrant</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Contingent</w:t>
            </w:r>
          </w:p>
        </w:tc>
      </w:tr>
      <w:tr>
        <w:trPr>
          <w:trHeight w:val="232"/>
        </w:trPr>
        <w:tc>
          <w:tcPr>
            <w:tcW w:w="6060" w:type="dxa"/>
            <w:vAlign w:val="bottom"/>
          </w:tcPr>
          <w:p>
            <w:pPr>
              <w:spacing w:after="0"/>
              <w:rPr>
                <w:sz w:val="20"/>
                <w:szCs w:val="20"/>
                <w:color w:val="auto"/>
              </w:rPr>
            </w:pPr>
            <w:r>
              <w:rPr>
                <w:rFonts w:ascii="Arial" w:cs="Arial" w:eastAsia="Arial" w:hAnsi="Arial"/>
                <w:sz w:val="18"/>
                <w:szCs w:val="18"/>
                <w:b w:val="1"/>
                <w:bCs w:val="1"/>
                <w:color w:val="auto"/>
              </w:rPr>
              <w:t>Level 3 Rollforward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91"/>
              <w:spacing w:after="0"/>
              <w:rPr>
                <w:sz w:val="20"/>
                <w:szCs w:val="20"/>
                <w:color w:val="auto"/>
              </w:rPr>
            </w:pPr>
            <w:r>
              <w:rPr>
                <w:rFonts w:ascii="Arial" w:cs="Arial" w:eastAsia="Arial" w:hAnsi="Arial"/>
                <w:sz w:val="18"/>
                <w:szCs w:val="18"/>
                <w:b w:val="1"/>
                <w:bCs w:val="1"/>
                <w:color w:val="auto"/>
                <w:w w:val="95"/>
              </w:rPr>
              <w:t>Consideration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51"/>
              <w:spacing w:after="0"/>
              <w:rPr>
                <w:sz w:val="20"/>
                <w:szCs w:val="20"/>
                <w:color w:val="auto"/>
              </w:rPr>
            </w:pPr>
            <w:r>
              <w:rPr>
                <w:rFonts w:ascii="Arial" w:cs="Arial" w:eastAsia="Arial" w:hAnsi="Arial"/>
                <w:sz w:val="18"/>
                <w:szCs w:val="18"/>
                <w:b w:val="1"/>
                <w:bCs w:val="1"/>
                <w:color w:val="auto"/>
                <w:w w:val="96"/>
              </w:rPr>
              <w:t>Liability</w:t>
            </w:r>
          </w:p>
        </w:tc>
        <w:tc>
          <w:tcPr>
            <w:tcW w:w="2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Liability</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Value Rights</w:t>
            </w:r>
          </w:p>
        </w:tc>
      </w:tr>
      <w:tr>
        <w:trPr>
          <w:trHeight w:val="221"/>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balances - January 1, 2020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Ending balances - June 30, 2020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Indi in 2018, the Company recorded contingent consideration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Under the terms of the agreement, when the gross margin target is met the Company is required to issue 2,520,108 shares of common stock. For the six months following the achievement of the gross margin target, Indi has the option to require the Company to redeem these common shares for $37.0 million in cash over eight equal quarterly installments. If Indi elects to not exercise its option, the Company has 12 months to repurchase the common stock in two equal and consecutive quarterly cash installments totaling $37.0 million.</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met the gross margin target of $2.0 million for three consecutive months during the three months ended June 30, 2021. As a result of the achievement of the gross margin target, the Company entered into an amendment to the original agreement in August 2021 in which the Company has agreed to forgo the issuance of common stock and will make six quarterly installments of approximately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unobservable inputs used in the measurement of fair value include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 Significant increases or decreases in the discount rate would result in a significantly higher or lower fair value measurement.</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 The net change to contingent consideration recorded as operating expenses during the three and six months ended June 30, 2021 was an increase of $0.6 million and $1.6 million, respectively. The net change to contingent consideration recorded as ‘Interest expense’ during both the three and six months ended June 30, 2021 was an increase of $0.3 million. The net change to contingent consideration recorded as operating expenses during the three and six months ended June 30, 2020 was a decrease of $1.0 million and zero,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put option liability was valued based on the calculated returns as a result of the various discounts included in the Company’s convertible notes payable and the related probability assessments of the various settlement scenarios. During the six months ended June 30, 2020, the Company recognized an addition to the put option liability of $3.3 million in connection with a favorable conversion rate granted to holders of issued convertible debt. The put option liability was settled upon the closing of the Company’s initial public offering in October 2020 and reclassified to additional paid-in capital.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entering into the 2018 Notes (see Note 6 – </w:t>
      </w:r>
      <w:r>
        <w:rPr>
          <w:rFonts w:ascii="Arial" w:cs="Arial" w:eastAsia="Arial" w:hAnsi="Arial"/>
          <w:sz w:val="18"/>
          <w:szCs w:val="18"/>
          <w:i w:val="1"/>
          <w:iCs w:val="1"/>
          <w:color w:val="auto"/>
        </w:rPr>
        <w:t>Debt</w:t>
      </w:r>
      <w:r>
        <w:rPr>
          <w:rFonts w:ascii="Arial" w:cs="Arial" w:eastAsia="Arial" w:hAnsi="Arial"/>
          <w:sz w:val="18"/>
          <w:szCs w:val="18"/>
          <w:color w:val="auto"/>
        </w:rPr>
        <w: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estimated fair value of the warrant on the issuance date of $0.3 million was recorded as a debt discount and as a preferred stock warrant liability. Through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date of the Company’s initial public offering in October 2020, the Series G warrants were remeasured to an estimate of fair value using a Black Scholes pricing model. As a result of the Company’s initial public offering, the preferred stock warrants were automatically converted to warrants to purchase 103,326 shares of common stock with a weighted average exercise price of $4.46 and were also transferred to additional paid-in capital. During the six months ended June 30, 2020, the Company recorded a decrease in the value of the warrant liability of $0.1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Value Rights</w:t>
      </w:r>
    </w:p>
    <w:p>
      <w:pPr>
        <w:spacing w:after="0" w:line="114"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w:t>
      </w:r>
      <w:r>
        <w:rPr>
          <w:rFonts w:ascii="MS PGothic" w:cs="MS PGothic" w:eastAsia="MS PGothic" w:hAnsi="MS PGothic"/>
          <w:sz w:val="17"/>
          <w:szCs w:val="17"/>
          <w:color w:val="auto"/>
        </w:rPr>
        <w:t>‑</w:t>
      </w:r>
      <w:r>
        <w:rPr>
          <w:rFonts w:ascii="Arial" w:cs="Arial" w:eastAsia="Arial" w:hAnsi="Arial"/>
          <w:sz w:val="17"/>
          <w:szCs w:val="17"/>
          <w:color w:val="auto"/>
        </w:rPr>
        <w:t xml:space="preserve">rata amount in the financing described above received a calculated number of contingent value rights (CVRs). In connection with the Series F financing, the Company issued 3,999 CVRs originally valued at $0.5 million. One CVR represents 0.00375% of the Company’s interest in the drug ficlatuzumab. The initial estimated value of the CVRs were recorded as a liability and as a reduction to the Series F proceeds. Upon receipt by the Company or a milestone, royalty, or any other type of payment from the Company’s ownership rights in the drug, the Company was required to make a cash payment to the CVR holders equal to 15% of net proceeds, as defined. In September 2020, the Company exercised its opt-out right with AVEO Oncology (AVEO) for the payment of 50% of development and regulatory costs for ficlatuzumab. As a result, the CVRs were settled effective December 2, 2020. See Note 13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 discussion of the Co-Development Agreement with AVEO.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Supplementary Balance Sheet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June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 2020</w:t>
            </w:r>
          </w:p>
        </w:tc>
      </w:tr>
      <w:tr>
        <w:trPr>
          <w:trHeight w:val="221"/>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Vehicles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r>
      <w:tr>
        <w:trPr>
          <w:trHeight w:val="221"/>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9,902</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(7,093)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(6,724)</w:t>
            </w:r>
          </w:p>
        </w:tc>
      </w:tr>
      <w:tr>
        <w:trPr>
          <w:trHeight w:val="220"/>
        </w:trPr>
        <w:tc>
          <w:tcPr>
            <w:tcW w:w="75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expense for the three and six months ended June 30, 2021 was $0.2 million and $0.5 million, respectively, compared to $0.2 million and $0.4 million for the three and six months ended June 30, 2020,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excluding goodwill, consist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2021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1"/>
              <w:spacing w:after="0" w:line="203" w:lineRule="exact"/>
              <w:rPr>
                <w:sz w:val="20"/>
                <w:szCs w:val="20"/>
                <w:color w:val="auto"/>
              </w:rPr>
            </w:pPr>
            <w:r>
              <w:rPr>
                <w:rFonts w:ascii="Arial" w:cs="Arial" w:eastAsia="Arial" w:hAnsi="Arial"/>
                <w:sz w:val="18"/>
                <w:szCs w:val="18"/>
                <w:b w:val="1"/>
                <w:bCs w:val="1"/>
                <w:color w:val="auto"/>
                <w:w w:val="96"/>
              </w:rPr>
              <w:t>Net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71"/>
              <w:spacing w:after="0" w:line="203"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r>
      <w:tr>
        <w:trPr>
          <w:trHeight w:val="214"/>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7"/>
              </w:rPr>
              <w:t>Carrying</w:t>
            </w:r>
          </w:p>
        </w:tc>
      </w:tr>
      <w:tr>
        <w:trPr>
          <w:trHeight w:val="232"/>
        </w:trPr>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21"/>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260" w:type="dxa"/>
            <w:vAlign w:val="bottom"/>
          </w:tcPr>
          <w:p>
            <w:pPr>
              <w:ind w:left="260"/>
              <w:spacing w:after="0"/>
              <w:rPr>
                <w:sz w:val="20"/>
                <w:szCs w:val="20"/>
                <w:color w:val="auto"/>
              </w:rPr>
            </w:pPr>
            <w:r>
              <w:rPr>
                <w:rFonts w:ascii="Arial" w:cs="Arial" w:eastAsia="Arial" w:hAnsi="Arial"/>
                <w:sz w:val="18"/>
                <w:szCs w:val="18"/>
                <w:color w:val="auto"/>
              </w:rPr>
              <w:t>Patents</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c>
          <w:tcPr>
            <w:tcW w:w="48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1,474</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r>
      <w:tr>
        <w:trPr>
          <w:trHeight w:val="228"/>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technology</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shd w:val="clear" w:color="auto" w:fill="CFF0FC"/>
          </w:tcPr>
          <w:p>
            <w:pPr>
              <w:spacing w:after="0"/>
              <w:rPr>
                <w:sz w:val="19"/>
                <w:szCs w:val="19"/>
                <w:color w:val="auto"/>
              </w:rPr>
            </w:pPr>
          </w:p>
        </w:tc>
      </w:tr>
      <w:tr>
        <w:trPr>
          <w:trHeight w:val="213"/>
        </w:trPr>
        <w:tc>
          <w:tcPr>
            <w:tcW w:w="3260" w:type="dxa"/>
            <w:vAlign w:val="bottom"/>
          </w:tcPr>
          <w:p>
            <w:pPr>
              <w:spacing w:after="0"/>
              <w:rPr>
                <w:sz w:val="20"/>
                <w:szCs w:val="20"/>
                <w:color w:val="auto"/>
              </w:rPr>
            </w:pPr>
            <w:r>
              <w:rPr>
                <w:rFonts w:ascii="Arial" w:cs="Arial" w:eastAsia="Arial" w:hAnsi="Arial"/>
                <w:sz w:val="18"/>
                <w:szCs w:val="18"/>
                <w:color w:val="auto"/>
              </w:rPr>
              <w:t>Intangible assets not subject to</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Trademarks</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0"/>
        </w:trPr>
        <w:tc>
          <w:tcPr>
            <w:tcW w:w="3260" w:type="dxa"/>
            <w:vAlign w:val="bottom"/>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31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definite-lived intangible assets was $0.5 million and $1.0 million for the three and six months ended June 30, 2021 and 2020, respectively. Future estimated amortization expense of intangible assets 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32"/>
        </w:trPr>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June 30, 2021</w:t>
            </w:r>
          </w:p>
        </w:tc>
        <w:tc>
          <w:tcPr>
            <w:tcW w:w="0" w:type="dxa"/>
            <w:vAlign w:val="bottom"/>
          </w:tcPr>
          <w:p>
            <w:pPr>
              <w:spacing w:after="0"/>
              <w:rPr>
                <w:sz w:val="1"/>
                <w:szCs w:val="1"/>
                <w:color w:val="auto"/>
              </w:rPr>
            </w:pPr>
          </w:p>
        </w:tc>
      </w:tr>
      <w:tr>
        <w:trPr>
          <w:trHeight w:val="221"/>
        </w:trPr>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1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2"/>
              </w:rPr>
              <w:t>June 30, 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8"/>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related accruals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2,117</w:t>
            </w:r>
          </w:p>
        </w:tc>
        <w:tc>
          <w:tcPr>
            <w:tcW w:w="300" w:type="dxa"/>
            <w:vAlign w:val="bottom"/>
            <w:tcBorders>
              <w:top w:val="single" w:sz="8" w:color="CFF0FC"/>
            </w:tcBorders>
            <w:gridSpan w:val="3"/>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80" w:type="dxa"/>
            <w:vAlign w:val="bottom"/>
          </w:tcPr>
          <w:p>
            <w:pPr>
              <w:ind w:left="120"/>
              <w:spacing w:after="0"/>
              <w:rPr>
                <w:sz w:val="20"/>
                <w:szCs w:val="20"/>
                <w:color w:val="auto"/>
              </w:rPr>
            </w:pPr>
            <w:r>
              <w:rPr>
                <w:rFonts w:ascii="Arial" w:cs="Arial" w:eastAsia="Arial" w:hAnsi="Arial"/>
                <w:sz w:val="18"/>
                <w:szCs w:val="18"/>
                <w:color w:val="auto"/>
              </w:rPr>
              <w:t>Total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6,198</w:t>
            </w:r>
          </w:p>
        </w:tc>
        <w:tc>
          <w:tcPr>
            <w:tcW w:w="30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7,789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long-term debt consists of notes payable associated with our 2021 Term Loan, 2018 Notes and Paycheck Protection Program, each of which is described in further detail below. Long-term notes payable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June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 2020</w:t>
            </w:r>
          </w:p>
        </w:tc>
      </w:tr>
      <w:tr>
        <w:trPr>
          <w:trHeight w:val="221"/>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2018 Notes</w:t>
            </w:r>
          </w:p>
        </w:tc>
        <w:tc>
          <w:tcPr>
            <w:tcW w:w="1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24,972</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Paycheck Protection Program</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FF0FC"/>
          </w:tcPr>
          <w:p>
            <w:pPr>
              <w:spacing w:after="0"/>
              <w:rPr>
                <w:sz w:val="19"/>
                <w:szCs w:val="19"/>
                <w:color w:val="auto"/>
              </w:rPr>
            </w:pPr>
          </w:p>
        </w:tc>
      </w:tr>
      <w:tr>
        <w:trPr>
          <w:trHeight w:val="227"/>
        </w:trPr>
        <w:tc>
          <w:tcPr>
            <w:tcW w:w="75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r>
      <w:tr>
        <w:trPr>
          <w:trHeight w:val="221"/>
        </w:trPr>
        <w:tc>
          <w:tcPr>
            <w:tcW w:w="7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Pr>
          <w:p>
            <w:pPr>
              <w:spacing w:after="0"/>
              <w:rPr>
                <w:sz w:val="19"/>
                <w:szCs w:val="19"/>
                <w:color w:val="auto"/>
              </w:rPr>
            </w:pPr>
          </w:p>
        </w:tc>
      </w:tr>
      <w:tr>
        <w:trPr>
          <w:trHeight w:val="228"/>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shd w:val="clear" w:color="auto" w:fill="CFF0FC"/>
          </w:tcPr>
          <w:p>
            <w:pPr>
              <w:spacing w:after="0"/>
              <w:rPr>
                <w:sz w:val="19"/>
                <w:szCs w:val="19"/>
                <w:color w:val="auto"/>
              </w:rPr>
            </w:pPr>
          </w:p>
        </w:tc>
      </w:tr>
      <w:tr>
        <w:trPr>
          <w:trHeight w:val="220"/>
        </w:trPr>
        <w:tc>
          <w:tcPr>
            <w:tcW w:w="7580" w:type="dxa"/>
            <w:vAlign w:val="bottom"/>
          </w:tcPr>
          <w:p>
            <w:pPr>
              <w:spacing w:after="0"/>
              <w:rPr>
                <w:sz w:val="20"/>
                <w:szCs w:val="20"/>
                <w:color w:val="auto"/>
              </w:rPr>
            </w:pPr>
            <w:r>
              <w:rPr>
                <w:rFonts w:ascii="Arial" w:cs="Arial" w:eastAsia="Arial" w:hAnsi="Arial"/>
                <w:sz w:val="18"/>
                <w:szCs w:val="18"/>
                <w:color w:val="auto"/>
              </w:rPr>
              <w:t>Long-term notes payable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or Lender) and the Company, as borrower, whereby subject to the terms and conditions of the 2021 Term Loan, SVB advanced to the Company an original principal amount of $30 million.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Loan based on changes to the prime rate shall be effective on the effective date of any change to the prime rate.</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final payment, due at maturity on March 1, 2026, shall include all outstanding principal and accrued and unpaid interest, lender fees and expenses, of which the majority will include a final payment of $2.4 million, and all other sums, if any, that shall have become due and payable hereunder with respect to the 2021 Term Loan. The $2.4 million final payment will be amortized as interest expense over the term of the loan. The Company has the option to prepay, prior to maturity, the total outstanding principal amount plus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granted the Lender a security interest in substantially all of the Company’s assets. The 2021 Term Loan requires the Company to comply with a minimum liquidity ratio covenant (as defined) by the 2021 Term Loan of not less than 0.95 to 1.00, and has a trailing six month rolling minimum revenue requirement of not less than 70% of the Company’s projected revenue for each such quarter. In addition, 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As of June 30, 2021, the Company was in compliance with all restrictive and financial covenants associated with its borrowings.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Notes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February 2018, the Company issued long-term debt of $23.0 million to Innovatus Life Sciences Lending Fund (Innovatus or Lender) (the 2018 Notes). Innovatus is also a holder of the Company’s common stock.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time of issuance, the Company paid a facility fee of $0.2 million and issued a warrant to Innovatus, with an initial estimated fair value of $0.3 million, for the purchase of 613,333 shares of Series G preferred stock. The facility fee and the estimated warrant fair value were recorded as debt discount and is amortized to interest expense over the term of the 2018 Notes. The 2018 Notes bore annual interest at 10%, of which 7.5% was payable in cash, with the remaining 2.5% added to principal through December 31, 2020. Total interest added to principal was $1.7 million as of March 31, 2021 and December 31, 2020.</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19, 2021, in connection with entering into the 2021 Term Loan agreement with SVB, the Company repaid all outstanding principal, accrued and unpaid interest, and prepayment fees in the amount of $25.9 million due under the 2018 Notes and contemporaneously terminated the related Loan and Security Agreement, dated as of February 23, 2018, as amended, between Innovatus and the Company. As a result of the extinguishment of the 2018 Notes, the Company recognized a loss on debt extinguishment of $0.7 million during the three months ended March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(JPM) pursuant to a Paycheck Protection Program Promissory Note and Agreement (the Note and Agreement).</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PPP Loan matures on the two-year anniversary of the funding date, April 2022, and bears interest at a fixed rate of 1.00% per annum. Monthly principal and interest payments, less the amount of any potential forgiveness (as discussed below), will commence in September 2021.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All or a portion of the PPP Loan may be forgiven by the SBA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During the second quarter 2021, the Company determined that it would apply for forgiveness under the SBA’s Loan Forgiveness program, a change from its previous intent to repay. Subsequently, in July 2021 the Company applied for loan forgiveness. The Company has performed initial calculations for the PPP loan forgiveness according to the terms and conditions of the SBA’s Loan Forgiveness Application and, based on such calculations, expects that the PPP loan will be forgiven in full. The Company cannot currently provide any objective assurance that it will obtain forgiveness in whole or in part. If the loan is forgiven in whole or in part, and legal release is received, the Company will reduce the liability by the amount forgiven and record a gain on extinguishment in the statements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1"/>
        </w:trPr>
        <w:tc>
          <w:tcPr>
            <w:tcW w:w="896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8"/>
        </w:trPr>
        <w:tc>
          <w:tcPr>
            <w:tcW w:w="8960" w:type="dxa"/>
            <w:vAlign w:val="bottom"/>
          </w:tcPr>
          <w:p>
            <w:pPr>
              <w:ind w:left="4040"/>
              <w:spacing w:after="0"/>
              <w:rPr>
                <w:sz w:val="20"/>
                <w:szCs w:val="20"/>
                <w:color w:val="auto"/>
              </w:rPr>
            </w:pPr>
            <w:r>
              <w:rPr>
                <w:rFonts w:ascii="Arial" w:cs="Arial" w:eastAsia="Arial" w:hAnsi="Arial"/>
                <w:sz w:val="18"/>
                <w:szCs w:val="18"/>
                <w:b w:val="1"/>
                <w:bCs w:val="1"/>
                <w:color w:val="auto"/>
              </w:rPr>
              <w:t>Notes to Condensed Financial Statements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5"/>
        </w:trPr>
        <w:tc>
          <w:tcPr>
            <w:tcW w:w="8960" w:type="dxa"/>
            <w:vAlign w:val="bottom"/>
          </w:tcPr>
          <w:p>
            <w:pPr>
              <w:spacing w:after="0"/>
              <w:rPr>
                <w:sz w:val="20"/>
                <w:szCs w:val="20"/>
                <w:color w:val="auto"/>
              </w:rPr>
            </w:pPr>
            <w:r>
              <w:rPr>
                <w:rFonts w:ascii="Arial" w:cs="Arial" w:eastAsia="Arial" w:hAnsi="Arial"/>
                <w:sz w:val="18"/>
                <w:szCs w:val="18"/>
                <w:color w:val="auto"/>
              </w:rPr>
              <w:t>Scheduled principal repayments (maturities) of long-term obligations were as follows (in thousands):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4"/>
        </w:trPr>
        <w:tc>
          <w:tcPr>
            <w:tcW w:w="8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r>
      <w:tr>
        <w:trPr>
          <w:trHeight w:val="232"/>
        </w:trPr>
        <w:tc>
          <w:tcPr>
            <w:tcW w:w="8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 2021</w:t>
            </w:r>
          </w:p>
        </w:tc>
      </w:tr>
      <w:tr>
        <w:trPr>
          <w:trHeight w:val="221"/>
        </w:trPr>
        <w:tc>
          <w:tcPr>
            <w:tcW w:w="8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9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9"/>
                <w:szCs w:val="19"/>
                <w:color w:val="auto"/>
              </w:rPr>
            </w:pPr>
          </w:p>
        </w:tc>
      </w:tr>
      <w:tr>
        <w:trPr>
          <w:trHeight w:val="228"/>
        </w:trPr>
        <w:tc>
          <w:tcPr>
            <w:tcW w:w="8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7"/>
        </w:trPr>
        <w:tc>
          <w:tcPr>
            <w:tcW w:w="89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Pr>
          <w:p>
            <w:pPr>
              <w:spacing w:after="0"/>
              <w:rPr>
                <w:sz w:val="19"/>
                <w:szCs w:val="19"/>
                <w:color w:val="auto"/>
              </w:rPr>
            </w:pPr>
          </w:p>
        </w:tc>
      </w:tr>
      <w:tr>
        <w:trPr>
          <w:trHeight w:val="228"/>
        </w:trPr>
        <w:tc>
          <w:tcPr>
            <w:tcW w:w="89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14,418</w:t>
            </w:r>
          </w:p>
        </w:tc>
        <w:tc>
          <w:tcPr>
            <w:tcW w:w="120" w:type="dxa"/>
            <w:vAlign w:val="bottom"/>
            <w:shd w:val="clear" w:color="auto" w:fill="CFF0FC"/>
          </w:tcPr>
          <w:p>
            <w:pPr>
              <w:spacing w:after="0"/>
              <w:rPr>
                <w:sz w:val="19"/>
                <w:szCs w:val="19"/>
                <w:color w:val="auto"/>
              </w:rPr>
            </w:pPr>
          </w:p>
        </w:tc>
      </w:tr>
      <w:tr>
        <w:trPr>
          <w:trHeight w:val="227"/>
        </w:trPr>
        <w:tc>
          <w:tcPr>
            <w:tcW w:w="8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FF0FC"/>
            </w:tcBorders>
          </w:tcPr>
          <w:p>
            <w:pPr>
              <w:spacing w:after="0"/>
              <w:rPr>
                <w:sz w:val="19"/>
                <w:szCs w:val="19"/>
                <w:color w:val="auto"/>
              </w:rPr>
            </w:pPr>
          </w:p>
        </w:tc>
      </w:tr>
      <w:tr>
        <w:trPr>
          <w:trHeight w:val="221"/>
        </w:trPr>
        <w:tc>
          <w:tcPr>
            <w:tcW w:w="8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$0.7 million and $0.9 million for the six months ended June 30, 2021 and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its initial public offering in October 2020, the Company had issued convertible preferred stock from time to time to fund its operations and to make acquisitions. The Company’s convertible preferred stock was reported as temporary equity in the Company’s balance sheet because the preferred shareholders held a majority of the Company’s Board of Directors seats and as a result could have caused certain events to occur outside of the Company’s control, with the result the Company could have been obligated to redeem the convertible preferred stock.</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Immediately prior to the Company’s initial public offering and as of June 30, 2020, the Company had issued 118,766,273 convertible preferred shares. On October 27, 2020, upon closing of the Company’s initial public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Subsequent to the Company’s initial public offering, there are no longer any series of convertible preferred stock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Warrants to Purchase Convertible Preferred Stock</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Company issued warrants to purchase shares of convertible preferred stock in conjunction with the sale of certain of the convertible preferred shares and issuance of debt. As of June 30, 2020 and through the closing of the Company’s initial public offering in October 2020, the preferred warrants were classified as liabilities with estimated fair value remeasured at each reporting date reported within in the accompanying statements of operations.</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activity for convertible preferred stock warrants outstanding as of June 30, 2020 (in thousands, except weighted average exercise price):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4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Series E</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ind w:left="820"/>
              <w:spacing w:after="0"/>
              <w:rPr>
                <w:sz w:val="20"/>
                <w:szCs w:val="20"/>
                <w:color w:val="auto"/>
              </w:rPr>
            </w:pPr>
            <w:r>
              <w:rPr>
                <w:rFonts w:ascii="Arial" w:cs="Arial" w:eastAsia="Arial" w:hAnsi="Arial"/>
                <w:sz w:val="18"/>
                <w:szCs w:val="18"/>
                <w:b w:val="1"/>
                <w:bCs w:val="1"/>
                <w:color w:val="auto"/>
              </w:rPr>
              <w:t xml:space="preserve">Series G </w:t>
            </w:r>
            <w:r>
              <w:rPr>
                <w:rFonts w:ascii="Arial" w:cs="Arial" w:eastAsia="Arial" w:hAnsi="Arial"/>
                <w:sz w:val="15"/>
                <w:szCs w:val="15"/>
                <w:b w:val="1"/>
                <w:bCs w:val="1"/>
                <w:color w:val="auto"/>
              </w:rPr>
              <w:t>(1)</w:t>
            </w:r>
          </w:p>
        </w:tc>
      </w:tr>
      <w:tr>
        <w:trPr>
          <w:trHeight w:val="203"/>
        </w:trPr>
        <w:tc>
          <w:tcPr>
            <w:tcW w:w="58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1"/>
              <w:spacing w:after="0" w:line="203"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1"/>
              <w:spacing w:after="0" w:line="203"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4"/>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4"/>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32"/>
        </w:trPr>
        <w:tc>
          <w:tcPr>
            <w:tcW w:w="58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tcPr>
          <w:p>
            <w:pPr>
              <w:jc w:val="right"/>
              <w:ind w:right="131"/>
              <w:spacing w:after="0"/>
              <w:rPr>
                <w:sz w:val="20"/>
                <w:szCs w:val="20"/>
                <w:color w:val="auto"/>
              </w:rPr>
            </w:pPr>
            <w:r>
              <w:rPr>
                <w:rFonts w:ascii="Arial" w:cs="Arial" w:eastAsia="Arial" w:hAnsi="Arial"/>
                <w:sz w:val="18"/>
                <w:szCs w:val="18"/>
                <w:b w:val="1"/>
                <w:bCs w:val="1"/>
                <w:color w:val="auto"/>
              </w:rPr>
              <w:t>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r>
      <w:tr>
        <w:trPr>
          <w:trHeight w:val="221"/>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5840" w:type="dxa"/>
            <w:vAlign w:val="bottom"/>
            <w:tcBorders>
              <w:top w:val="single" w:sz="8" w:color="CFF0FC"/>
              <w:bottom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June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warrants to purchase Series E convertible preferred stock were not exercised and expired during the three months ended June 2020.</w:t>
      </w:r>
    </w:p>
    <w:p>
      <w:pPr>
        <w:spacing w:after="0" w:line="221" w:lineRule="exact"/>
        <w:rPr>
          <w:sz w:val="20"/>
          <w:szCs w:val="20"/>
          <w:color w:val="auto"/>
        </w:rPr>
      </w:pPr>
    </w:p>
    <w:p>
      <w:pPr>
        <w:jc w:val="both"/>
        <w:ind w:firstLine="7"/>
        <w:spacing w:after="0" w:line="259" w:lineRule="auto"/>
        <w:tabs>
          <w:tab w:leader="none" w:pos="221" w:val="left"/>
        </w:tabs>
        <w:numPr>
          <w:ilvl w:val="0"/>
          <w:numId w:val="10"/>
        </w:numPr>
        <w:rPr>
          <w:rFonts w:ascii="Arial" w:cs="Arial" w:eastAsia="Arial" w:hAnsi="Arial"/>
          <w:sz w:val="15"/>
          <w:szCs w:val="15"/>
          <w:color w:val="auto"/>
        </w:rPr>
      </w:pPr>
      <w:r>
        <w:rPr>
          <w:rFonts w:ascii="Arial" w:cs="Arial" w:eastAsia="Arial" w:hAnsi="Arial"/>
          <w:sz w:val="18"/>
          <w:szCs w:val="18"/>
          <w:color w:val="auto"/>
        </w:rPr>
        <w:t>On October 27, 2020, all convertible preferred stock converted to common stock at the completion of our initial public offering, and as a consequence, the warrants to purchase Series G convertible preferred stock were converted to 103,326 warrants to purchase common stock, which have an expiration date of February 23, 2028. All common stock warrants remain outstanding as of June 30,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&amp; Accounts Receivable Credit Concentration</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revenue is generated from (i) diagnostic tests and (ii) assay development and testing services. 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June 30,</w:t>
            </w:r>
          </w:p>
        </w:tc>
      </w:tr>
      <w:tr>
        <w:trPr>
          <w:trHeight w:val="221"/>
        </w:trPr>
        <w:tc>
          <w:tcPr>
            <w:tcW w:w="24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1"/>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Diagnostic tests</w:t>
            </w:r>
          </w:p>
        </w:tc>
        <w:tc>
          <w:tcPr>
            <w:tcW w:w="1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10,838</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FF0FC"/>
          </w:tcPr>
          <w:p>
            <w:pPr>
              <w:spacing w:after="0"/>
              <w:rPr>
                <w:sz w:val="19"/>
                <w:szCs w:val="19"/>
                <w:color w:val="auto"/>
              </w:rPr>
            </w:pPr>
          </w:p>
        </w:tc>
      </w:tr>
      <w:tr>
        <w:trPr>
          <w:trHeight w:val="227"/>
        </w:trPr>
        <w:tc>
          <w:tcPr>
            <w:tcW w:w="2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w:t>
            </w:r>
          </w:p>
        </w:tc>
        <w:tc>
          <w:tcPr>
            <w:tcW w:w="13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FF0FC"/>
            </w:tcBorders>
          </w:tcPr>
          <w:p>
            <w:pPr>
              <w:spacing w:after="0"/>
              <w:rPr>
                <w:sz w:val="19"/>
                <w:szCs w:val="19"/>
                <w:color w:val="auto"/>
              </w:rPr>
            </w:pPr>
          </w:p>
        </w:tc>
      </w:tr>
      <w:tr>
        <w:trPr>
          <w:trHeight w:val="221"/>
        </w:trPr>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3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11,885</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Deferred revenue consists of cash payments from customers received in advance of delivery. As test results are delivered, the Company recognizes the deferred revenue in ‘Revenues’ in the statements of operations. Of the $3.5 million in ‘Deferred revenue’ recorded in the balance sheet as of December 31, 2020, $1.9 million was recognized in revenues while $0.6 million was primarily reclassed from non-current liabilities during the six months ended June 30, 2021. The ‘Deferred revenue’ of $2.2 million recorded in the balance sheet as of June 30, 2021 is expected to be recognized in revenues over the next twelve months as test results are delivered and services are performed. Non-current deferred revenue of $1.2 million recorded as of June 30, 2021 within ‘Other long-term liabilities’ in the balance sheets represent amounts to be recognized in excess of twelve months from the balance sheet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customers in excess of 10% of total revenue, and their related revenue as a percentage of total revenue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0" w:type="dxa"/>
            <w:vAlign w:val="bottom"/>
          </w:tcPr>
          <w:p>
            <w:pPr>
              <w:spacing w:after="0"/>
              <w:rPr>
                <w:sz w:val="20"/>
                <w:szCs w:val="20"/>
                <w:color w:val="auto"/>
              </w:rPr>
            </w:pPr>
          </w:p>
        </w:tc>
        <w:tc>
          <w:tcPr>
            <w:tcW w:w="322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gridSpan w:val="4"/>
          </w:tcPr>
          <w:p>
            <w:pPr>
              <w:ind w:left="780"/>
              <w:spacing w:after="0"/>
              <w:rPr>
                <w:sz w:val="20"/>
                <w:szCs w:val="20"/>
                <w:color w:val="auto"/>
              </w:rPr>
            </w:pPr>
            <w:r>
              <w:rPr>
                <w:rFonts w:ascii="Arial" w:cs="Arial" w:eastAsia="Arial" w:hAnsi="Arial"/>
                <w:sz w:val="18"/>
                <w:szCs w:val="18"/>
                <w:b w:val="1"/>
                <w:bCs w:val="1"/>
                <w:color w:val="auto"/>
              </w:rPr>
              <w:t>Six Months Ended June 30,</w:t>
            </w:r>
          </w:p>
        </w:tc>
      </w:tr>
      <w:tr>
        <w:trPr>
          <w:trHeight w:val="221"/>
        </w:trPr>
        <w:tc>
          <w:tcPr>
            <w:tcW w:w="340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CFF0FC"/>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34"/>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w:t>
            </w:r>
          </w:p>
        </w:tc>
        <w:tc>
          <w:tcPr>
            <w:tcW w:w="1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w:t>
            </w:r>
          </w:p>
        </w:tc>
        <w:tc>
          <w:tcPr>
            <w:tcW w:w="1840" w:type="dxa"/>
            <w:vAlign w:val="bottom"/>
            <w:gridSpan w:val="2"/>
            <w:shd w:val="clear" w:color="auto" w:fill="CFF0FC"/>
          </w:tcPr>
          <w:p>
            <w:pPr>
              <w:ind w:left="1480"/>
              <w:spacing w:after="0"/>
              <w:rPr>
                <w:sz w:val="20"/>
                <w:szCs w:val="20"/>
                <w:color w:val="auto"/>
              </w:rPr>
            </w:pPr>
            <w:r>
              <w:rPr>
                <w:rFonts w:ascii="Arial" w:cs="Arial" w:eastAsia="Arial" w:hAnsi="Arial"/>
                <w:sz w:val="18"/>
                <w:szCs w:val="18"/>
                <w:color w:val="auto"/>
              </w:rPr>
              <w:t>—</w:t>
            </w:r>
          </w:p>
        </w:tc>
      </w:tr>
      <w:tr>
        <w:trPr>
          <w:trHeight w:val="240"/>
        </w:trPr>
        <w:tc>
          <w:tcPr>
            <w:tcW w:w="3400" w:type="dxa"/>
            <w:vAlign w:val="bottom"/>
          </w:tcPr>
          <w:p>
            <w:pPr>
              <w:spacing w:after="0"/>
              <w:rPr>
                <w:sz w:val="20"/>
                <w:szCs w:val="20"/>
                <w:color w:val="auto"/>
              </w:rPr>
            </w:pPr>
            <w:r>
              <w:rPr>
                <w:rFonts w:ascii="Arial" w:cs="Arial" w:eastAsia="Arial" w:hAnsi="Arial"/>
                <w:sz w:val="18"/>
                <w:szCs w:val="18"/>
                <w:color w:val="auto"/>
              </w:rPr>
              <w:t>Centura Healthcare</w:t>
            </w:r>
          </w:p>
        </w:tc>
        <w:tc>
          <w:tcPr>
            <w:tcW w:w="1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28%</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w w:val="94"/>
              </w:rPr>
              <w:t>13%</w:t>
            </w:r>
          </w:p>
        </w:tc>
      </w:tr>
      <w:tr>
        <w:trPr>
          <w:trHeight w:val="20"/>
        </w:trPr>
        <w:tc>
          <w:tcPr>
            <w:tcW w:w="34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4"/>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Percent of total revenue</w:t>
            </w:r>
          </w:p>
        </w:tc>
        <w:tc>
          <w:tcPr>
            <w:tcW w:w="1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1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28%</w:t>
            </w: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w:t>
            </w:r>
          </w:p>
        </w:tc>
        <w:tc>
          <w:tcPr>
            <w:tcW w:w="1840" w:type="dxa"/>
            <w:vAlign w:val="bottom"/>
            <w:gridSpan w:val="2"/>
            <w:shd w:val="clear" w:color="auto" w:fill="CFF0FC"/>
          </w:tcPr>
          <w:p>
            <w:pPr>
              <w:ind w:left="1480"/>
              <w:spacing w:after="0"/>
              <w:rPr>
                <w:sz w:val="20"/>
                <w:szCs w:val="20"/>
                <w:color w:val="auto"/>
              </w:rPr>
            </w:pPr>
            <w:r>
              <w:rPr>
                <w:rFonts w:ascii="Arial" w:cs="Arial" w:eastAsia="Arial" w:hAnsi="Arial"/>
                <w:sz w:val="18"/>
                <w:szCs w:val="18"/>
                <w:color w:val="auto"/>
                <w:w w:val="94"/>
              </w:rPr>
              <w:t>13%</w:t>
            </w: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above table, we collect reimbursement on behalf of customers covered by Medicare, which accounted for 56% of the Company’s total revenue for both the three and six months ended June 30, 2021 and 60% of total revenue for both the three and six months ended June 30, 2020. The Company is subject to credit risk from its accounts receivable related to services provided to its customers. The Company does not perform evaluations of customers' financial condition and does not require collateral. The Company’s third-party payors and other customers in excess of 10% of accounts receivable, and their related accounts receivable as a percentage of total accounts receivable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As of</w:t>
            </w:r>
          </w:p>
        </w:tc>
        <w:tc>
          <w:tcPr>
            <w:tcW w:w="2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Borders>
              <w:bottom w:val="single" w:sz="8" w:color="CFF0FC"/>
            </w:tcBorders>
          </w:tcPr>
          <w:p>
            <w:pPr>
              <w:spacing w:after="0"/>
              <w:rPr>
                <w:sz w:val="19"/>
                <w:szCs w:val="19"/>
                <w:color w:val="auto"/>
              </w:rPr>
            </w:pPr>
          </w:p>
        </w:tc>
        <w:tc>
          <w:tcPr>
            <w:tcW w:w="20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June 30, 2021</w:t>
            </w: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2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11"/>
              <w:spacing w:after="0"/>
              <w:rPr>
                <w:sz w:val="20"/>
                <w:szCs w:val="20"/>
                <w:color w:val="auto"/>
              </w:rPr>
            </w:pPr>
            <w:r>
              <w:rPr>
                <w:rFonts w:ascii="Arial" w:cs="Arial" w:eastAsia="Arial" w:hAnsi="Arial"/>
                <w:sz w:val="18"/>
                <w:szCs w:val="18"/>
                <w:color w:val="auto"/>
              </w:rPr>
              <w:t>44%</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27"/>
        </w:trPr>
        <w:tc>
          <w:tcPr>
            <w:tcW w:w="7640" w:type="dxa"/>
            <w:vAlign w:val="bottom"/>
            <w:gridSpan w:val="2"/>
          </w:tcPr>
          <w:p>
            <w:pPr>
              <w:spacing w:after="0"/>
              <w:rPr>
                <w:sz w:val="20"/>
                <w:szCs w:val="20"/>
                <w:color w:val="auto"/>
              </w:rPr>
            </w:pPr>
            <w:r>
              <w:rPr>
                <w:rFonts w:ascii="Arial" w:cs="Arial" w:eastAsia="Arial" w:hAnsi="Arial"/>
                <w:sz w:val="18"/>
                <w:szCs w:val="18"/>
                <w:color w:val="auto"/>
              </w:rPr>
              <w:t>Centura Healthcare</w:t>
            </w:r>
          </w:p>
        </w:tc>
        <w:tc>
          <w:tcPr>
            <w:tcW w:w="920" w:type="dxa"/>
            <w:vAlign w:val="bottom"/>
            <w:gridSpan w:val="2"/>
          </w:tcPr>
          <w:p>
            <w:pPr>
              <w:jc w:val="right"/>
              <w:ind w:right="211"/>
              <w:spacing w:after="0"/>
              <w:rPr>
                <w:sz w:val="20"/>
                <w:szCs w:val="20"/>
                <w:color w:val="auto"/>
              </w:rPr>
            </w:pPr>
            <w:r>
              <w:rPr>
                <w:rFonts w:ascii="Arial" w:cs="Arial" w:eastAsia="Arial" w:hAnsi="Arial"/>
                <w:sz w:val="18"/>
                <w:szCs w:val="18"/>
                <w:color w:val="auto"/>
              </w:rPr>
              <w:t>2%</w:t>
            </w:r>
          </w:p>
        </w:tc>
        <w:tc>
          <w:tcPr>
            <w:tcW w:w="2680" w:type="dxa"/>
            <w:vAlign w:val="bottom"/>
            <w:gridSpan w:val="2"/>
          </w:tcPr>
          <w:p>
            <w:pPr>
              <w:ind w:left="232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Purdue University</w:t>
            </w:r>
          </w:p>
        </w:tc>
        <w:tc>
          <w:tcPr>
            <w:tcW w:w="2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11"/>
              <w:spacing w:after="0"/>
              <w:rPr>
                <w:sz w:val="20"/>
                <w:szCs w:val="20"/>
                <w:color w:val="auto"/>
              </w:rPr>
            </w:pPr>
            <w:r>
              <w:rPr>
                <w:rFonts w:ascii="Arial" w:cs="Arial" w:eastAsia="Arial" w:hAnsi="Arial"/>
                <w:sz w:val="18"/>
                <w:szCs w:val="18"/>
                <w:color w:val="auto"/>
              </w:rPr>
              <w:t>16%</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Percent of total accounts receivable</w:t>
            </w:r>
          </w:p>
        </w:tc>
        <w:tc>
          <w:tcPr>
            <w:tcW w:w="2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gridSpan w:val="2"/>
          </w:tcPr>
          <w:p>
            <w:pPr>
              <w:jc w:val="right"/>
              <w:ind w:right="211"/>
              <w:spacing w:after="0"/>
              <w:rPr>
                <w:sz w:val="20"/>
                <w:szCs w:val="20"/>
                <w:color w:val="auto"/>
              </w:rPr>
            </w:pPr>
            <w:r>
              <w:rPr>
                <w:rFonts w:ascii="Arial" w:cs="Arial" w:eastAsia="Arial" w:hAnsi="Arial"/>
                <w:sz w:val="18"/>
                <w:szCs w:val="18"/>
                <w:color w:val="auto"/>
              </w:rPr>
              <w:t>62%</w:t>
            </w:r>
          </w:p>
        </w:tc>
        <w:tc>
          <w:tcPr>
            <w:tcW w:w="2680" w:type="dxa"/>
            <w:vAlign w:val="bottom"/>
            <w:gridSpan w:val="2"/>
          </w:tcPr>
          <w:p>
            <w:pPr>
              <w:ind w:left="2320"/>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7640" w:type="dxa"/>
            <w:vAlign w:val="bottom"/>
            <w:gridSpan w:val="2"/>
          </w:tcPr>
          <w:p>
            <w:pPr>
              <w:ind w:left="554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Company’s share-based compensation awards are issued under the 2020 Equity Incentive Plan (2020 Plan) and the predecessor 2016 Equity Incentive Plan (2016 Plan) and 2006 Equity Incentive Plan (2006 Plan). Any awards that expire or are forfeited under the 2016 Plan or 2006 Plan become available for issuance under the 2020 Plan. As of June 30, 2021, 682,571 shares of common stock remained available for future issuance under the 2020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Pre-tax share-based compensation expense reported in the Company’s statements of operations was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r>
      <w:tr>
        <w:trPr>
          <w:trHeight w:val="234"/>
        </w:trPr>
        <w:tc>
          <w:tcPr>
            <w:tcW w:w="4140" w:type="dxa"/>
            <w:vAlign w:val="bottom"/>
          </w:tcPr>
          <w:p>
            <w:pPr>
              <w:spacing w:after="0"/>
              <w:rPr>
                <w:sz w:val="20"/>
                <w:szCs w:val="20"/>
                <w:color w:val="auto"/>
              </w:rPr>
            </w:pPr>
          </w:p>
        </w:tc>
        <w:tc>
          <w:tcPr>
            <w:tcW w:w="190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(1)</w:t>
            </w:r>
          </w:p>
        </w:tc>
        <w:tc>
          <w:tcPr>
            <w:tcW w:w="120" w:type="dxa"/>
            <w:vAlign w:val="bottom"/>
          </w:tcPr>
          <w:p>
            <w:pPr>
              <w:spacing w:after="0"/>
              <w:rPr>
                <w:sz w:val="20"/>
                <w:szCs w:val="20"/>
                <w:color w:val="auto"/>
              </w:rPr>
            </w:pPr>
          </w:p>
        </w:tc>
      </w:tr>
      <w:tr>
        <w:trPr>
          <w:trHeight w:val="221"/>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9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9"/>
                <w:szCs w:val="19"/>
                <w:color w:val="auto"/>
              </w:rPr>
            </w:pPr>
          </w:p>
        </w:tc>
      </w:tr>
      <w:tr>
        <w:trPr>
          <w:trHeight w:val="22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Sales, marketing, general and administrative</w:t>
            </w:r>
          </w:p>
        </w:tc>
        <w:tc>
          <w:tcPr>
            <w:tcW w:w="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9"/>
              </w:rPr>
              <w:t>44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FF0FC"/>
          </w:tcPr>
          <w:p>
            <w:pPr>
              <w:spacing w:after="0"/>
              <w:rPr>
                <w:sz w:val="19"/>
                <w:szCs w:val="19"/>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55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200" w:hanging="193"/>
        <w:spacing w:after="0"/>
        <w:tabs>
          <w:tab w:leader="none" w:pos="20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the reversal of performance condition option expense during the three months ended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 option activity during the six months ended June 30, 2021, excluding the Bonus Option Program described below, was (in thousands, except weighted average exercise price and weighted average contractual life):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2"/>
        </w:trPr>
        <w:tc>
          <w:tcPr>
            <w:tcW w:w="58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Life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Forfeited/canceled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June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20,806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 June 30,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Restricted Stock Activity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119,192 restricted stock units outstanding, with a weighted average grant date fair value of $5.13 per share.</w:t>
      </w:r>
    </w:p>
    <w:p>
      <w:pPr>
        <w:spacing w:after="0" w:line="11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remaining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options and RSUs was approximately $9.3 million as of June 30, 2021, and is expected to be amortized to expense over the next 4.0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2021, there were 403,052 options outstanding under the Bonus-to-Options Program (Bonus Option Program) with a remaining weighted average contractual life of 8.0 years. These options are fully-vested and have a weighted average exercise price of $17.30 per share and an intrinsic value of approximately $0.8 million as of June 30, 2021. During the six months ended June 30, 2021, 265,615 options with a weighted average exercise price of $20.67, and the Company received $155,296 of proceeds upon the exercise of 21,712 options. The Company accrued $0.1 million and $0.7 million during the three and six months ended June 30, 2021 related to the estimate of the 2021 Bonus Option Program. Options granted, if any, pertaining to the performance of the Bonus Option Program are typically approved and granted in first quarter of the year following completion of the fiscal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 total of 338,106 shares of our common stock have been reserved for issuance under the Employee Stock Purchase Plan (ESPP). The initial offering period began January 1, 2021 and continues through August 31, 2021. As of June 30, 2021, no shares have been issued under the ESPP.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Company’s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 The number of common shares issuable upon assumed conversion of convertible debt was based on the Company’s estimated common stock price as of June 30, 2020 as determined by the Company’s Board of Directors with assistance from a valuation firm.</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connection with the acquisition of Indi in 2018, the Company recorded contingent consideration (See Note 4 –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If the gross margin target is met, the Company is required to issue 2,520,108 shares of common stock. The Company met the gross margin target of $2.0 million for three consecutive months during the three months ended June 30, 2021. As a result of the achievement of the gross margin target, the Company included the 2,520,108 shares of common stock in the calculation of weighted-average shares outstanding used in computing basic and diluted net loss per share for the three and six months ended June 30, 2021. In August 2021, the Company entered into an amendment of the original agreement in which the Company has agreed to forgo the issuance of common stock. Therefore, these shares are not included in the statements of convertible preferred stock and stockholders' equity (deficit) or shares issued and outstanding in the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three and six months ended June 30, 2021 and 2020 were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1"/>
        </w:trPr>
        <w:tc>
          <w:tcPr>
            <w:tcW w:w="44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1"/>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44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7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(11,402)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(8,266)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(18,363)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(17,971)</w:t>
            </w:r>
          </w:p>
        </w:tc>
      </w:tr>
      <w:tr>
        <w:trPr>
          <w:trHeight w:val="228"/>
        </w:trPr>
        <w:tc>
          <w:tcPr>
            <w:tcW w:w="4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Denominator</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shares outstanding used</w:t>
            </w:r>
          </w:p>
        </w:tc>
        <w:tc>
          <w:tcPr>
            <w:tcW w:w="5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4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computing net loss per share, basic and diluted</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r>
      <w:tr>
        <w:trPr>
          <w:trHeight w:val="220"/>
        </w:trPr>
        <w:tc>
          <w:tcPr>
            <w:tcW w:w="4440" w:type="dxa"/>
            <w:vAlign w:val="bottom"/>
          </w:tcPr>
          <w:p>
            <w:pPr>
              <w:ind w:left="260"/>
              <w:spacing w:after="0"/>
              <w:rPr>
                <w:sz w:val="20"/>
                <w:szCs w:val="20"/>
                <w:color w:val="auto"/>
              </w:rPr>
            </w:pPr>
            <w:r>
              <w:rPr>
                <w:rFonts w:ascii="Arial" w:cs="Arial" w:eastAsia="Arial" w:hAnsi="Arial"/>
                <w:sz w:val="18"/>
                <w:szCs w:val="18"/>
                <w:color w:val="auto"/>
              </w:rPr>
              <w:t>Net loss per share, basic and diluted</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60" w:type="dxa"/>
            <w:vAlign w:val="bottom"/>
          </w:tcPr>
          <w:p>
            <w:pPr>
              <w:spacing w:after="0"/>
              <w:rPr>
                <w:sz w:val="20"/>
                <w:szCs w:val="20"/>
                <w:color w:val="auto"/>
              </w:rPr>
            </w:pPr>
          </w:p>
        </w:tc>
        <w:tc>
          <w:tcPr>
            <w:tcW w:w="320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3080" w:type="dxa"/>
            <w:vAlign w:val="bottom"/>
            <w:gridSpan w:val="4"/>
          </w:tcPr>
          <w:p>
            <w:pPr>
              <w:ind w:left="440"/>
              <w:spacing w:after="0"/>
              <w:rPr>
                <w:sz w:val="20"/>
                <w:szCs w:val="20"/>
                <w:color w:val="auto"/>
              </w:rPr>
            </w:pPr>
            <w:r>
              <w:rPr>
                <w:rFonts w:ascii="Arial" w:cs="Arial" w:eastAsia="Arial" w:hAnsi="Arial"/>
                <w:sz w:val="18"/>
                <w:szCs w:val="18"/>
                <w:b w:val="1"/>
                <w:bCs w:val="1"/>
                <w:color w:val="auto"/>
              </w:rPr>
              <w:t>Six Months Ended June 30,</w:t>
            </w:r>
          </w:p>
        </w:tc>
      </w:tr>
      <w:tr>
        <w:trPr>
          <w:trHeight w:val="221"/>
        </w:trPr>
        <w:tc>
          <w:tcPr>
            <w:tcW w:w="49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2,874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r>
      <w:tr>
        <w:trPr>
          <w:trHeight w:val="227"/>
        </w:trPr>
        <w:tc>
          <w:tcPr>
            <w:tcW w:w="58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119,257</w:t>
            </w: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119,257</w:t>
            </w:r>
          </w:p>
        </w:tc>
        <w:tc>
          <w:tcPr>
            <w:tcW w:w="100" w:type="dxa"/>
            <w:vAlign w:val="bottom"/>
          </w:tcPr>
          <w:p>
            <w:pPr>
              <w:spacing w:after="0"/>
              <w:rPr>
                <w:sz w:val="19"/>
                <w:szCs w:val="19"/>
                <w:color w:val="auto"/>
              </w:rPr>
            </w:pPr>
          </w:p>
        </w:tc>
      </w:tr>
      <w:tr>
        <w:trPr>
          <w:trHeight w:val="22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r>
      <w:tr>
        <w:trPr>
          <w:trHeight w:val="227"/>
        </w:trPr>
        <w:tc>
          <w:tcPr>
            <w:tcW w:w="58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42,771</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42,771</w:t>
            </w:r>
          </w:p>
        </w:tc>
        <w:tc>
          <w:tcPr>
            <w:tcW w:w="100" w:type="dxa"/>
            <w:vAlign w:val="bottom"/>
            <w:shd w:val="clear" w:color="auto" w:fill="CCEEFF"/>
          </w:tcPr>
          <w:p>
            <w:pPr>
              <w:spacing w:after="0"/>
              <w:rPr>
                <w:sz w:val="19"/>
                <w:szCs w:val="19"/>
                <w:color w:val="auto"/>
              </w:rPr>
            </w:pPr>
          </w:p>
        </w:tc>
      </w:tr>
      <w:tr>
        <w:trPr>
          <w:trHeight w:val="220"/>
        </w:trPr>
        <w:tc>
          <w:tcPr>
            <w:tcW w:w="4960" w:type="dxa"/>
            <w:vAlign w:val="bottom"/>
          </w:tcPr>
          <w:p>
            <w:pPr>
              <w:ind w:left="2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3,096</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165,507</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165,507</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inception, the Company has incurred net taxable losses, and accordingly, no provision for income taxes has been recorded. There was no cash paid for income taxes during the three and six months ended June 30, 2021 and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4" w:lineRule="exact"/>
        <w:rPr>
          <w:sz w:val="20"/>
          <w:szCs w:val="20"/>
          <w:color w:val="auto"/>
        </w:rPr>
      </w:pPr>
    </w:p>
    <w:p>
      <w:pPr>
        <w:jc w:val="both"/>
        <w:ind w:right="20"/>
        <w:spacing w:after="0" w:line="220" w:lineRule="exact"/>
        <w:rPr>
          <w:sz w:val="20"/>
          <w:szCs w:val="20"/>
          <w:color w:val="auto"/>
        </w:rPr>
      </w:pPr>
      <w:r>
        <w:rPr>
          <w:rFonts w:ascii="Arial" w:cs="Arial" w:eastAsia="Arial" w:hAnsi="Arial"/>
          <w:sz w:val="18"/>
          <w:szCs w:val="18"/>
          <w:color w:val="auto"/>
        </w:rPr>
        <w:t>The Company leases facilities under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Rent expense was $0.3 million and $0.6 million for the three and six months ended June 30, 2021, respectively, and $0.5 million and $1.1 million for the three and six months ended June 30, 2020, respectively.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80" w:type="dxa"/>
            <w:vAlign w:val="bottom"/>
            <w:gridSpan w:val="2"/>
          </w:tcPr>
          <w:p>
            <w:pPr>
              <w:spacing w:after="0"/>
              <w:rPr>
                <w:sz w:val="20"/>
                <w:szCs w:val="20"/>
                <w:color w:val="auto"/>
              </w:rPr>
            </w:pPr>
            <w:r>
              <w:rPr>
                <w:rFonts w:ascii="Arial" w:cs="Arial" w:eastAsia="Arial" w:hAnsi="Arial"/>
                <w:sz w:val="18"/>
                <w:szCs w:val="18"/>
                <w:color w:val="auto"/>
              </w:rPr>
              <w:t>Future minimum lease payments for operating lease obligations are as follows (in thousands):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4"/>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As of</w:t>
            </w:r>
          </w:p>
        </w:tc>
      </w:tr>
      <w:tr>
        <w:trPr>
          <w:trHeight w:val="232"/>
        </w:trPr>
        <w:tc>
          <w:tcPr>
            <w:tcW w:w="9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June 30, 2021</w:t>
            </w:r>
          </w:p>
        </w:tc>
      </w:tr>
      <w:tr>
        <w:trPr>
          <w:trHeight w:val="221"/>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7"/>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r>
      <w:tr>
        <w:trPr>
          <w:trHeight w:val="228"/>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r>
      <w:tr>
        <w:trPr>
          <w:trHeight w:val="220"/>
        </w:trPr>
        <w:tc>
          <w:tcPr>
            <w:tcW w:w="9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 small cell lung cancer (NSCLC). Under the terms of the agreement, AVEO will conduct a proof of concept (POC) clinical study of ficlatuzumab for NSCLC in which BDX004 will be used to select clinical trial subjects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the Company exercised its opt-out right with AVEO for the payment of 50% of development and regulatory costs for ficlatuzumab effective December 2, 2020. The Company had $0.3 million in remaining obligations related to the AVEO agreement as of June 30, 2021. Following the effective date, the Company is entitled to a 10% royalty of net sales of ficlatuzumab and 25% of license income generated from the licensing of ficlatuzumab from AVEO.</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were no expenses related to this agreement for the three and six months ended June 30, 2021. Expenses related to this agreement for the three and six months ended June 30, 2020 were $0.1 million and $0.7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Royalty expense under the Bio-Rad License for the three and six months ended June 30, 2021 and 2020 were not significant.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net sales worldwide for 15 years from the first commercial sale, ending in 2034. Royalty expense under the CellCarta License for the three and six months ended June 30, 2021 was $0.1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Share Agreement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revenue share payment related to an acquired diagnostic test of 8% of recognized revenue for non-screening tests up to an annual minimum volume and 5% thereafter, with an escalating minimum through the first four years of sales. Revenue share expenses of $0.1 million and $0.3 were incurred for the three and six months ended June 30, 2021, respectively, and $0.1 million and $0.2 million for the three and six months ended June 30,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Biodesix, Inc. is referred to throughout this Quarterly Report on Form 10-Q for the period ended June 30, 2021 (Form 10-Q) as “we”, “us”, “our” or the “Company”.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year ended December 31, 2020 (Form 10-K) and the Condensed Financial Statements as of June 30, 2021 and 2020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MD&amp;A discussion is provided to supplement the Condensed Financial Statements as of June 30, 2021 and 2020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Data for the three and six months ended June 30, 2021 and 2020 has been derived from our unaudited condensed financial statements included in Part I, Item 1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150,000 samples and data in our biobank, including tumor profiles and immune profiles, which are used for both internal and external research and development initiatives.</w:t>
      </w:r>
    </w:p>
    <w:p>
      <w:pPr>
        <w:spacing w:after="0" w:line="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commercialized seven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the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now have a less than 36-hour average turnaround time, down from the previous 72-hour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7"/>
          <w:szCs w:val="17"/>
          <w:color w:val="auto"/>
        </w:rPr>
        <w:t>authorized on May 1, 2020, authorizing performance of the test in laboratories certified under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during the three months ended June 30, 2021, we partnered with GenScript Biotech Corporation to commercialize the blood-based cPass™ SARS-CoV-2 Neutralizing Antibody testing as a service. The test is the first and only surrogate neutralizing antibody test with FDA EUA and uses ELISA technology to qualitatively detect circulating neutralizing antibodies to the receptor binding domain (RBD) in the spike protein of SARS-CoV-2 that are produced in response to vaccination or previous SARS-CoV-2 infection.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to assist in their back-to-work or back-to-school strategies.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seven diagnostic tests currently on the market, we perform over 30 assays for research use as part of our laboratory services that have been used by over 50 biopharmaceutical customers and academic partners. All of our diagnostic testing is performed at one of our two accredited, high-complexity clinical laboratories in Boulder, Colorado and De Soto, Kansas.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performed over 450,000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funded our operations to date principally from net proceeds from an initial public offering of our common stock, the sale of convertible preferred stock, revenue from diagnostic testing and services, and the incurrence of indebtedness. We had cash and cash equivalents of $56.3 million and $62.1 million as of June 30, 2021 and December 31,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10" w:lineRule="exact"/>
        <w:rPr>
          <w:sz w:val="20"/>
          <w:szCs w:val="20"/>
          <w:color w:val="auto"/>
        </w:rPr>
      </w:pPr>
    </w:p>
    <w:p>
      <w:pPr>
        <w:jc w:val="both"/>
        <w:ind w:left="880" w:hanging="365"/>
        <w:spacing w:after="0" w:line="287"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Testing volume and customer mix. </w:t>
      </w:r>
      <w:r>
        <w:rPr>
          <w:rFonts w:ascii="Arial" w:cs="Arial" w:eastAsia="Arial" w:hAnsi="Arial"/>
          <w:sz w:val="16"/>
          <w:szCs w:val="16"/>
          <w:color w:val="auto"/>
        </w:rPr>
        <w:t>Our revenues and costs are affected by the volume of testing and mix of customers from period to period.</w:t>
      </w:r>
      <w:r>
        <w:rPr>
          <w:rFonts w:ascii="Arial" w:cs="Arial" w:eastAsia="Arial" w:hAnsi="Arial"/>
          <w:sz w:val="16"/>
          <w:szCs w:val="16"/>
          <w:b w:val="1"/>
          <w:bCs w:val="1"/>
          <w:color w:val="auto"/>
        </w:rPr>
        <w:t xml:space="preserve"> </w:t>
      </w:r>
      <w:r>
        <w:rPr>
          <w:rFonts w:ascii="Arial" w:cs="Arial" w:eastAsia="Arial" w:hAnsi="Arial"/>
          <w:sz w:val="16"/>
          <w:szCs w:val="16"/>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3" w:name="page24"/>
    <w:bookmarkEnd w:id="23"/>
    <w:p>
      <w:pPr>
        <w:ind w:left="880"/>
        <w:spacing w:after="0" w:line="271" w:lineRule="auto"/>
        <w:rPr>
          <w:sz w:val="20"/>
          <w:szCs w:val="20"/>
          <w:color w:val="auto"/>
        </w:rPr>
      </w:pPr>
      <w:r>
        <w:rPr>
          <w:rFonts w:ascii="Arial" w:cs="Arial" w:eastAsia="Arial" w:hAnsi="Arial"/>
          <w:sz w:val="18"/>
          <w:szCs w:val="18"/>
          <w:color w:val="auto"/>
        </w:rPr>
        <w:t>those trends to our revenue recognition policies. Our operating revenues and costs significantly increased beginning in 2020 due to the increase in demand for COVID-19 testing.</w:t>
      </w:r>
    </w:p>
    <w:p>
      <w:pPr>
        <w:spacing w:after="0" w:line="64" w:lineRule="exact"/>
        <w:rPr>
          <w:sz w:val="20"/>
          <w:szCs w:val="20"/>
          <w:color w:val="auto"/>
        </w:rPr>
      </w:pPr>
    </w:p>
    <w:p>
      <w:pPr>
        <w:jc w:val="both"/>
        <w:ind w:left="880" w:hanging="365"/>
        <w:spacing w:after="0" w:line="277"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Reimbursement for clinical diagnostic testing. </w:t>
      </w:r>
      <w:r>
        <w:rPr>
          <w:rFonts w:ascii="Arial" w:cs="Arial" w:eastAsia="Arial" w:hAnsi="Arial"/>
          <w:sz w:val="17"/>
          <w:szCs w:val="17"/>
          <w:color w:val="auto"/>
        </w:rPr>
        <w:t>Our revenue depends on achieving broad coverage and reimbursement for our tests from 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4" w:lineRule="exact"/>
        <w:rPr>
          <w:rFonts w:ascii="Arial" w:cs="Arial" w:eastAsia="Arial" w:hAnsi="Arial"/>
          <w:sz w:val="17"/>
          <w:szCs w:val="17"/>
          <w:color w:val="auto"/>
        </w:rPr>
      </w:pPr>
    </w:p>
    <w:p>
      <w:pPr>
        <w:jc w:val="both"/>
        <w:ind w:left="900"/>
        <w:spacing w:after="0" w:line="287" w:lineRule="auto"/>
        <w:rPr>
          <w:rFonts w:ascii="Arial" w:cs="Arial" w:eastAsia="Arial" w:hAnsi="Arial"/>
          <w:sz w:val="17"/>
          <w:szCs w:val="17"/>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4" w:lineRule="exact"/>
        <w:rPr>
          <w:rFonts w:ascii="Arial" w:cs="Arial" w:eastAsia="Arial" w:hAnsi="Arial"/>
          <w:sz w:val="17"/>
          <w:szCs w:val="17"/>
          <w:color w:val="auto"/>
        </w:rPr>
      </w:pPr>
    </w:p>
    <w:p>
      <w:pPr>
        <w:jc w:val="both"/>
        <w:ind w:left="880" w:hanging="365"/>
        <w:spacing w:after="0" w:line="269"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75" w:lineRule="exact"/>
        <w:rPr>
          <w:rFonts w:ascii="Arial" w:cs="Arial" w:eastAsia="Arial" w:hAnsi="Arial"/>
          <w:sz w:val="17"/>
          <w:szCs w:val="17"/>
          <w:color w:val="auto"/>
        </w:rPr>
      </w:pPr>
    </w:p>
    <w:p>
      <w:pPr>
        <w:jc w:val="both"/>
        <w:ind w:left="900"/>
        <w:spacing w:after="0" w:line="275" w:lineRule="auto"/>
        <w:rPr>
          <w:rFonts w:ascii="Arial" w:cs="Arial" w:eastAsia="Arial" w:hAnsi="Arial"/>
          <w:sz w:val="17"/>
          <w:szCs w:val="17"/>
          <w:color w:val="auto"/>
        </w:rPr>
      </w:pPr>
      <w:r>
        <w:rPr>
          <w:rFonts w:ascii="Arial" w:cs="Arial" w:eastAsia="Arial" w:hAnsi="Arial"/>
          <w:sz w:val="17"/>
          <w:szCs w:val="17"/>
          <w:color w:val="auto"/>
        </w:rPr>
        <w:t>Our clinical research has resulted in approximately 90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62" w:lineRule="exact"/>
        <w:rPr>
          <w:rFonts w:ascii="Arial" w:cs="Arial" w:eastAsia="Arial" w:hAnsi="Arial"/>
          <w:sz w:val="17"/>
          <w:szCs w:val="17"/>
          <w:color w:val="auto"/>
        </w:rPr>
      </w:pPr>
    </w:p>
    <w:p>
      <w:pPr>
        <w:jc w:val="both"/>
        <w:ind w:left="880" w:hanging="365"/>
        <w:spacing w:after="0" w:line="26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Ability to attract new biopharmaceutical customers and maintain and expand relationships with existing customers</w:t>
      </w:r>
      <w:r>
        <w:rPr>
          <w:rFonts w:ascii="Arial" w:cs="Arial" w:eastAsia="Arial" w:hAnsi="Arial"/>
          <w:sz w:val="17"/>
          <w:szCs w:val="17"/>
          <w:color w:val="auto"/>
        </w:rPr>
        <w:t>.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8" w:lineRule="exact"/>
        <w:rPr>
          <w:rFonts w:ascii="Arial" w:cs="Arial" w:eastAsia="Arial" w:hAnsi="Arial"/>
          <w:sz w:val="17"/>
          <w:szCs w:val="17"/>
          <w:color w:val="auto"/>
        </w:rPr>
      </w:pPr>
    </w:p>
    <w:p>
      <w:pPr>
        <w:jc w:val="both"/>
        <w:ind w:left="880" w:hanging="365"/>
        <w:spacing w:after="0" w:line="26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Motivating and expanding our field sales force and customer support team</w:t>
      </w:r>
      <w:r>
        <w:rPr>
          <w:rFonts w:ascii="Arial" w:cs="Arial" w:eastAsia="Arial" w:hAnsi="Arial"/>
          <w:sz w:val="17"/>
          <w:szCs w:val="17"/>
          <w:color w:val="auto"/>
        </w:rPr>
        <w:t>. Our field sales force is the primary point of contact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setting. These representatives of the company must cover expansive geographic regions which limits their time for interaction and education of our products in the clinical setting. As a result of the successful capital raise associated with our initial public offering,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testing volumes increased over the last twelve months for our COVID-19 testing program, we hired additional project support members to assist us in managing testing capacity.</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2020 for more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COVID-19 Pandemic</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pandemic has disrupted, and we expect will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to help slow the spread of COVID-19 in the coming months, including complying with government directives and guidelines as they are modified and supplemented.</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COVID-19 pandemic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saw a decline in business with existing and new biopharmaceutical customers. We began to see recovery during the fourth quarter 2020 as our delivered tests exceeded first quarter 2020 delivered tests and we expect to continue to see the recovery extending through 2021. Further, our clinical studies, such as our ongoing INSIGHT and ALTITUDE studies, as well as our arrangements including contracted clinical trials with our biopharmaceutical customers, are expected to take longer to complete than what we expected before the outbreak of the COVID-19 pandemic. While our biopharmaceutical revenue for the second quarter 2021 grew in comparison to the second quarter 2020, we are continuing to experience delays in clinical trials from across the country and world due to COVID-19 restrictions through the second quarter of 2021; however, we expect further improvement in our biopharmaceutical activities during the latter half of 2021.</w:t>
      </w:r>
    </w:p>
    <w:p>
      <w:pPr>
        <w:spacing w:after="0" w:line="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Conversely, we have experienced a significant increase in revenues related to an increase in the demand for our Biodesix WorkSafe testing program, our COVID-19 testing program. The first quarter 2021 was our high-water mark for COVID-19 testing revenue, however, we expect a steady decline in subsequent quarters as immunizations in the U.S. accelerate. Looking ahead, the anticipated continued decline in the need for COVID testing will be a key indicator of continued recovery and is taken as a positive sign for both our Lung Diagnostic and Biopharma Services as we head into the second half of the year.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COVID-19 testing could decrease significantly and this could have an adverse effect on our results of operations and profitability. As a result, the increase in revenue due to any increase in demand for these diagnostic tests may not be indicative of our future revenue. See Part I, Item 1A “Risk Factors” of our Form 10-K for the year ended December 31, 2020 for a description of how the COVID-19 pandemic may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and Operational Highlights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grew revenue in all lines of business as compared to the second quarter 2020. We generated revenue during the three months ended June 30, 2021 of $11.9 million, representing an increase of 180% as compared to the three months ended June 30, 2020, which was primarily driven from the entry into COVID-19 testing during the second quarter 2020. The following were significant developments affecting our business, capital structure and liquidity during the three months ended June 30, 2021:</w:t>
      </w:r>
    </w:p>
    <w:p>
      <w:pPr>
        <w:spacing w:after="0" w:line="83" w:lineRule="exact"/>
        <w:rPr>
          <w:sz w:val="20"/>
          <w:szCs w:val="20"/>
          <w:color w:val="auto"/>
        </w:rPr>
      </w:pPr>
    </w:p>
    <w:p>
      <w:pPr>
        <w:ind w:left="840" w:hanging="325"/>
        <w:spacing w:after="0"/>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Recorded COVID-19 testing revenue of $6.1 million, an increase of 345% over second quarter 2020 and 74% decline over first quarter 2021;</w:t>
      </w:r>
    </w:p>
    <w:p>
      <w:pPr>
        <w:spacing w:after="0" w:line="190" w:lineRule="exact"/>
        <w:rPr>
          <w:rFonts w:ascii="Arial" w:cs="Arial" w:eastAsia="Arial" w:hAnsi="Arial"/>
          <w:sz w:val="16"/>
          <w:szCs w:val="16"/>
          <w:color w:val="auto"/>
        </w:rPr>
      </w:pPr>
    </w:p>
    <w:p>
      <w:pPr>
        <w:ind w:left="840" w:hanging="325"/>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lung diagnostic revenue of $4.8 million, an increase of 109% over second quarter 2020 and 20% over first quarter 2021;</w:t>
      </w:r>
    </w:p>
    <w:p>
      <w:pPr>
        <w:spacing w:after="0" w:line="167" w:lineRule="exact"/>
        <w:rPr>
          <w:rFonts w:ascii="Arial" w:cs="Arial" w:eastAsia="Arial" w:hAnsi="Arial"/>
          <w:sz w:val="18"/>
          <w:szCs w:val="18"/>
          <w:color w:val="auto"/>
        </w:rPr>
      </w:pPr>
    </w:p>
    <w:p>
      <w:pPr>
        <w:ind w:left="840" w:hanging="325"/>
        <w:spacing w:after="0"/>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Recorded services revenue of $1.0 million, an increase of 76% over second quarter 2020 and 37% decline versus the first quarter 2021;</w:t>
      </w:r>
    </w:p>
    <w:p>
      <w:pPr>
        <w:spacing w:after="0" w:line="178" w:lineRule="exact"/>
        <w:rPr>
          <w:rFonts w:ascii="Arial" w:cs="Arial" w:eastAsia="Arial" w:hAnsi="Arial"/>
          <w:sz w:val="17"/>
          <w:szCs w:val="17"/>
          <w:color w:val="auto"/>
        </w:rPr>
      </w:pPr>
    </w:p>
    <w:p>
      <w:pPr>
        <w:ind w:left="840" w:right="440" w:hanging="325"/>
        <w:spacing w:after="0" w:line="335"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Sales growth was driven by a greater percentage of overall sales of the Company’s Nodify Lung® Nodule Risk Assessment diagnostic tests which consist of two blood-based tests that help physicians reclassify risk of malignancy in patients with suspicious lung nodules;</w:t>
      </w:r>
    </w:p>
    <w:p>
      <w:pPr>
        <w:spacing w:after="0" w:line="74" w:lineRule="exact"/>
        <w:rPr>
          <w:rFonts w:ascii="Arial" w:cs="Arial" w:eastAsia="Arial" w:hAnsi="Arial"/>
          <w:sz w:val="16"/>
          <w:szCs w:val="16"/>
          <w:color w:val="auto"/>
        </w:rPr>
      </w:pPr>
    </w:p>
    <w:p>
      <w:pPr>
        <w:ind w:left="840" w:hanging="325"/>
        <w:spacing w:after="0" w:line="335"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continues to see a shift in lung diagnostic testing demand that suggests the pulmonologists are beginning to see more non-COVID-19 patients which is expected to continue throughout the course of the year barring additional spikes and changes in the pandemic;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ind w:left="840" w:right="360" w:hanging="325"/>
        <w:spacing w:after="0" w:line="301"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will accelerate the launch of its 72-hour liquid Next Generation Sequencing (NGS) test to the first quarter of 2022, which will supplement our 36-hour VeriStrat and GeneStrat tests and will bring our lung disease portfolio to five tests; and</w:t>
      </w:r>
    </w:p>
    <w:p>
      <w:pPr>
        <w:spacing w:after="0" w:line="98" w:lineRule="exact"/>
        <w:rPr>
          <w:rFonts w:ascii="Arial" w:cs="Arial" w:eastAsia="Arial" w:hAnsi="Arial"/>
          <w:sz w:val="17"/>
          <w:szCs w:val="17"/>
          <w:color w:val="auto"/>
        </w:rPr>
      </w:pPr>
    </w:p>
    <w:p>
      <w:pPr>
        <w:ind w:left="840" w:hanging="325"/>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Remains on track to double the size of the direct and dedicated sales force in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 network and out-of-network service provider depending on the test performed and the contracted status of the insurer. We provide diagnostic tests in two primary categories (i) lung diagnostics testing and (ii) COVID-19 testing.</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1"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purchase transaction of Integrated Diagnostics, Inc. (Indi), we recorded contingent consideration pertaining to the amounts potentially payable to Indi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a product gross margin target, the estimated timing in which the gross margin target is achieved, and discount rates. The estimated fair value could materially differ from actual values or fair values determined using different assumptions.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consists of cash and non-cash interest from our 2021 Term Loan, the 2018 Notes, Paycheck Protection Program loan, and convertible debt. Our convertible debt, along with the related accrued interest, was automatically converted to 1,848,280 shares of our common stock upon completion of our initial public offering in October 2020. Interest income, which is included in ‘Other income, net’ in the statements of operations consists of income earned on our cash and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6"/>
          </w:tcPr>
          <w:p>
            <w:pPr>
              <w:jc w:val="right"/>
              <w:ind w:right="302"/>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6"/>
          </w:tcPr>
          <w:p>
            <w:pPr>
              <w:jc w:val="right"/>
              <w:ind w:right="142"/>
              <w:spacing w:after="0"/>
              <w:rPr>
                <w:sz w:val="20"/>
                <w:szCs w:val="20"/>
                <w:color w:val="auto"/>
              </w:rPr>
            </w:pPr>
            <w:r>
              <w:rPr>
                <w:rFonts w:ascii="Arial" w:cs="Arial" w:eastAsia="Arial" w:hAnsi="Arial"/>
                <w:sz w:val="18"/>
                <w:szCs w:val="18"/>
                <w:b w:val="1"/>
                <w:bCs w:val="1"/>
                <w:color w:val="auto"/>
                <w:w w:val="88"/>
              </w:rPr>
              <w:t>Six Months Ended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2"/>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6"/>
          </w:tcPr>
          <w:p>
            <w:pPr>
              <w:jc w:val="right"/>
              <w:ind w:right="242"/>
              <w:spacing w:after="0"/>
              <w:rPr>
                <w:sz w:val="20"/>
                <w:szCs w:val="20"/>
                <w:color w:val="auto"/>
              </w:rPr>
            </w:pPr>
            <w:r>
              <w:rPr>
                <w:rFonts w:ascii="Arial" w:cs="Arial" w:eastAsia="Arial" w:hAnsi="Arial"/>
                <w:sz w:val="18"/>
                <w:szCs w:val="18"/>
                <w:b w:val="1"/>
                <w:bCs w:val="1"/>
                <w:color w:val="auto"/>
                <w:w w:val="95"/>
              </w:rPr>
              <w:t>Ended June 30,</w:t>
            </w:r>
          </w:p>
        </w:tc>
        <w:tc>
          <w:tcPr>
            <w:tcW w:w="100" w:type="dxa"/>
            <w:vAlign w:val="bottom"/>
          </w:tcPr>
          <w:p>
            <w:pPr>
              <w:spacing w:after="0"/>
              <w:rPr>
                <w:sz w:val="20"/>
                <w:szCs w:val="20"/>
                <w:color w:val="auto"/>
              </w:rPr>
            </w:pPr>
          </w:p>
        </w:tc>
        <w:tc>
          <w:tcPr>
            <w:tcW w:w="1020" w:type="dxa"/>
            <w:vAlign w:val="bottom"/>
            <w:gridSpan w:val="4"/>
          </w:tcPr>
          <w:p>
            <w:pPr>
              <w:ind w:left="42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6"/>
          </w:tcPr>
          <w:p>
            <w:pPr>
              <w:jc w:val="right"/>
              <w:ind w:right="522"/>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0"/>
                <w:szCs w:val="20"/>
                <w:color w:val="auto"/>
              </w:rPr>
            </w:pPr>
          </w:p>
        </w:tc>
        <w:tc>
          <w:tcPr>
            <w:tcW w:w="1040" w:type="dxa"/>
            <w:vAlign w:val="bottom"/>
            <w:gridSpan w:val="4"/>
          </w:tcPr>
          <w:p>
            <w:pPr>
              <w:ind w:left="44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1"/>
        </w:trPr>
        <w:tc>
          <w:tcPr>
            <w:tcW w:w="4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19"/>
                <w:szCs w:val="19"/>
                <w:color w:val="auto"/>
              </w:rPr>
            </w:pPr>
          </w:p>
        </w:tc>
      </w:tr>
      <w:tr>
        <w:trPr>
          <w:trHeight w:val="221"/>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11,885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4,239</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7,646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40,751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9,335</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$ 31,416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8"/>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1"/>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22,472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0"/>
        </w:trPr>
        <w:tc>
          <w:tcPr>
            <w:tcW w:w="42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(16,170)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(14,041)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auto"/>
              </w:rPr>
              <w:t>(1,466)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28"/>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9"/>
                <w:szCs w:val="19"/>
                <w:color w:val="auto"/>
              </w:rPr>
            </w:pP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8"/>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0"/>
        </w:trPr>
        <w:tc>
          <w:tcPr>
            <w:tcW w:w="4200" w:type="dxa"/>
            <w:vAlign w:val="bottom"/>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(11,402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(3,136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(18,363</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(17,971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(392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Six Months Ended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ind w:right="151"/>
              <w:spacing w:after="0"/>
              <w:rPr>
                <w:sz w:val="20"/>
                <w:szCs w:val="20"/>
                <w:color w:val="auto"/>
              </w:rPr>
            </w:pPr>
            <w:r>
              <w:rPr>
                <w:rFonts w:ascii="Arial" w:cs="Arial" w:eastAsia="Arial" w:hAnsi="Arial"/>
                <w:sz w:val="18"/>
                <w:szCs w:val="18"/>
                <w:b w:val="1"/>
                <w:bCs w:val="1"/>
                <w:color w:val="auto"/>
                <w:w w:val="92"/>
              </w:rPr>
              <w:t>Ended June 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Diagnostic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30,787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auto"/>
              </w:rPr>
              <w:t>Services 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41"/>
        </w:trPr>
        <w:tc>
          <w:tcPr>
            <w:tcW w:w="39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11,885</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8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31,416</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revenue increased $7.6 million or 180%, and $31.4 million or 337% for the three and six months ended June 30, 2021, respectively, compared to the same periods in 2020.</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Diagnostic test revenue increased $7.2 million or 198%, and $30.8 million or 425% for the three and six months ended June 30, 2021, respectively, compared to the same periods in 2020. This increase was due to $4.7 million and $27.9 million of revenue for the three and six months ended June 30, 2021, respectively, from our two COVID-19 diagnostic tests, which were released during the second quarter of 2020, and an increase in our lung diagnostic tests of $2.5 million and $2.9 million for the three and six months ended June 30, 2021, respectively. We began to see recovery during the fourth quarter 2020 in lung diagnostic testing as our delivered tests exceeded first quarter 2020 delivered tests as health care practitioners, including pulmonologists, increasingly returned to pre-pandemic related care. Company sales efforts continued to be impacted by COVID-19 pandemic related restrictions, however, we expect to continue to see the recovery extend through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8"/>
          <w:szCs w:val="18"/>
          <w:color w:val="auto"/>
        </w:rPr>
        <w:t>Services revenue increased $0.5 million or 76%, and $0.6 million or 30% for the three and six months ended June 30, 2021, respectively, compared to the same periods in 2020 as we scaled up our pharmaceutical collaboration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and expenses related to revenue increased $5.2 million or 278%, and $21.8 million or 632% for the three and six months ended June 30, 2021, respectively, compared to the same periods in 2020. The increase in direct costs and expenses were primarily driven by costs associated with the delivery of our COVID-19 tests which were released during the second quarter of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increased $1.2 million or 58%, and $1.6 million or 33% for the three and six months ended June 30, 2021, respectively, compared to the same periods in 2020. The increase in cost was due primarily to increased employee compensation and benefits costs associated with stock-based compensation as a result of the transition from a private to a public company, increased headcount of our research and development personnel, and increased spending on clinical trials.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external and internal costs for the three and six months ended June 30, 2021 and 2020 (in thousands, except percentages).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Six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0"/>
              </w:rPr>
              <w:t>Change</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tcPr>
          <w:p>
            <w:pPr>
              <w:ind w:left="260"/>
              <w:spacing w:after="0"/>
              <w:rPr>
                <w:sz w:val="20"/>
                <w:szCs w:val="20"/>
                <w:color w:val="auto"/>
              </w:rPr>
            </w:pPr>
            <w:r>
              <w:rPr>
                <w:rFonts w:ascii="Arial" w:cs="Arial" w:eastAsia="Arial" w:hAnsi="Arial"/>
                <w:sz w:val="18"/>
                <w:szCs w:val="18"/>
                <w:color w:val="auto"/>
              </w:rPr>
              <w:t>Clinical trials and associated costs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1,293</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external costs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500"/>
              <w:spacing w:after="0"/>
              <w:rPr>
                <w:sz w:val="20"/>
                <w:szCs w:val="20"/>
                <w:color w:val="auto"/>
              </w:rPr>
            </w:pPr>
            <w:r>
              <w:rPr>
                <w:rFonts w:ascii="Arial" w:cs="Arial" w:eastAsia="Arial" w:hAnsi="Arial"/>
                <w:sz w:val="18"/>
                <w:szCs w:val="18"/>
                <w:color w:val="auto"/>
              </w:rPr>
              <w:t>Total external costs</w:t>
            </w: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8"/>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Internal expenses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expenses</w:t>
            </w: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3,323</w:t>
            </w:r>
          </w:p>
        </w:tc>
        <w:tc>
          <w:tcPr>
            <w:tcW w:w="1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vMerge w:val="continue"/>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6,644</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5,007</w:t>
            </w:r>
          </w:p>
        </w:tc>
        <w:tc>
          <w:tcPr>
            <w:tcW w:w="200" w:type="dxa"/>
            <w:vAlign w:val="bottom"/>
            <w:vMerge w:val="continue"/>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marketing, general and administrative expenses increased $4.6 million or 67%, and $8.4 million or 57% for the three and six months ended June 30, 2021, respectively, compared to the same periods in 2020. This increase was driven primarily by increases in employee compensation and benefits of $3.8 million and $5.2 million for the three and six months ended June 30, 2021, respectively, associated with expansion of the Company’s workforce, increased share-based compensation expense. This increase is also the result of increases in non-employee costs of $0.8 million and $3.2 million for the three and six months ended June 30, 2021, respectively, associated with legal and other fees as a result of the transition from a private to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Change in fair value of contingent consideration was increased $1.6 million or 167%, and $1.6 million or 100% for the three and six months ended June 30, 2021, respectively compared to the same periods in 2020. The amounts recorded for change in fair value reflect the passage of time, changes in discount rate, as well as estimates regarding the period in which targets that trigger the payment of contingent consideration will be achieved and subsequently paid.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decreased $2.0 million or 71%, and $2.8 million or 65% for the three and six months ended June 30, 2021, respectively, compared to the same periods in 2020. This decline was due to a decrease of interest expense related to convertible notes, which were converted to common stock upon the successful completion of our initial public offering in October 2020, and a decrease resulting from the refinancing of our term loan, reducing near-term interest costs. Partially offsetting this decline is the increase to contingent consideration recorded as ‘Interest expense’ resulting from the passage of time and fixed payment schedule during both the three and six months ended June 30, 2021 of $0.3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2021, the Company entered into a new Loan and Security Agreement (2021 Term Loan) for an original principal amount of $30 million with a maturity date of March 1, 2026. In connection with entering into the 2021 Term Loan, the Company repaid all outstanding principal and unpaid interest in the amount of $25.9 million due under the secured promissory note (2018 Notes)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9" w:name="page30"/>
    <w:bookmarkEnd w:id="29"/>
    <w:p>
      <w:pPr>
        <w:jc w:val="both"/>
        <w:ind w:right="20"/>
        <w:spacing w:after="0" w:line="301" w:lineRule="auto"/>
        <w:rPr>
          <w:sz w:val="20"/>
          <w:szCs w:val="20"/>
          <w:color w:val="auto"/>
        </w:rPr>
      </w:pPr>
      <w:r>
        <w:rPr>
          <w:rFonts w:ascii="Arial" w:cs="Arial" w:eastAsia="Arial" w:hAnsi="Arial"/>
          <w:sz w:val="17"/>
          <w:szCs w:val="17"/>
          <w:color w:val="auto"/>
        </w:rPr>
        <w:t>contemporaneously terminated the Loan and Security Agreement, dated as of February 23, 2018, as amended. As a result of the extinguishment of the 2018 Notes, the Company recorded a loss on debt extinguishment of $0.7 million during the three months ended March 31,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decreased $0.1 million or 100%, and $0.3 million or 100% for the three and six months ended June 30, 2021, respectively, compared to the same periods in 2020. The decrease is primarily attributable to a reduction in sublease income from two subleases that expired in the second and third quarter of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and, as such, have yet to generate positive cash flows from operations. We have funded our operating activities primarily through financing activities, which include both debt and equity offerings. In October 2020, we completed an initial public offering, resulting in net proceeds of approximately $63.8 million after deducting offering costs, underwriting discounts and commissions. 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In addition, the 2021 Term Loan requires the Company to comply with a minimum liquidity ratio covenant (as defined in the 2021 Term Loan) of not less than 0.95 to 1.00, and has a trailing six-month rolling revenue requirement of not less than 70% of the Company’s projected revenue for each such quarter set forth in the Company’s annual projections. As of June 30, 2021, the Company was in compliance with all restrictive and financial covenants associated with its borrowings.</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2021 we held cash and cash equivalents of $56.3 million. We believe that our existing cash, cash equivalents, and cash generated from sales of our products and services will be sufficient to meet our anticipated needs for at least the next 12 months from the date of this Quarterly Report on Form 10-Q, including amounts due under our PPP loan. During the second quarter 2021, the Company determined that it would apply for forgiveness under the SBA’s Loan Forgiveness program, a change from its previous intent to repay. Subsequently, in July 2021 the Company applied for loan forgiveness. The Company has performed initial calculations for the PPP loan forgiveness according to the terms and conditions of the SBA’s Loan Forgiveness Application and, based on such calculations, expects that the PPP loan will be forgiven in full. The Company cannot currently provide any objective assurance that it will obtain forgiveness in whole or in part. If the loan is forgiven in whole or in part, and legal release is received, the Company will reduce the liability by the amount forgiven and record a gain on extinguishment in the statements of operations.</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64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1"/>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28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(10,236)</w:t>
            </w:r>
          </w:p>
        </w:tc>
        <w:tc>
          <w:tcPr>
            <w:tcW w:w="1000" w:type="dxa"/>
            <w:vAlign w:val="bottom"/>
          </w:tcPr>
          <w:p>
            <w:pPr>
              <w:jc w:val="right"/>
              <w:ind w:right="842"/>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(8,840)</w:t>
            </w:r>
          </w:p>
        </w:tc>
      </w:tr>
      <w:tr>
        <w:trPr>
          <w:trHeight w:val="228"/>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(818)</w:t>
            </w:r>
          </w:p>
        </w:tc>
      </w:tr>
      <w:tr>
        <w:trPr>
          <w:trHeight w:val="227"/>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16,046</w:t>
            </w:r>
          </w:p>
        </w:tc>
        <w:tc>
          <w:tcPr>
            <w:tcW w:w="120" w:type="dxa"/>
            <w:vAlign w:val="bottom"/>
            <w:tcBorders>
              <w:bottom w:val="single" w:sz="8" w:color="CFF0FC"/>
            </w:tcBorders>
          </w:tcPr>
          <w:p>
            <w:pPr>
              <w:spacing w:after="0"/>
              <w:rPr>
                <w:sz w:val="19"/>
                <w:szCs w:val="19"/>
                <w:color w:val="auto"/>
              </w:rPr>
            </w:pPr>
          </w:p>
        </w:tc>
      </w:tr>
      <w:tr>
        <w:trPr>
          <w:trHeight w:val="221"/>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(5,871)</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flows resulted in a net decrease in cash and cash equivalents of $5.9 million during the six months ended June 30, 2021 as compared to the net increase in cash of $6.4 million for the six months ended June 30, 2020. For the six months ended June 30, 2021, net cash used in operating activities increased by approximately $1.4 million, primarily due to a year-over-year increase in net loss of $0.4 million and non-cash adjustments to net loss of $1.7 million, offset by a decrease in cash used by net operating assets and liabilities of $2.7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0" w:name="page31"/>
    <w:bookmarkEnd w:id="30"/>
    <w:p>
      <w:pPr>
        <w:jc w:val="both"/>
        <w:spacing w:after="0" w:line="335" w:lineRule="auto"/>
        <w:rPr>
          <w:sz w:val="20"/>
          <w:szCs w:val="20"/>
          <w:color w:val="auto"/>
        </w:rPr>
      </w:pPr>
      <w:r>
        <w:rPr>
          <w:rFonts w:ascii="Arial" w:cs="Arial" w:eastAsia="Arial" w:hAnsi="Arial"/>
          <w:sz w:val="16"/>
          <w:szCs w:val="16"/>
          <w:color w:val="auto"/>
        </w:rPr>
        <w:t>Net cash used in investing activities during the six months ended June 30, 2021 totaled $0.9 million, an increase of $0.1 million compared to the same period in 2020. The increase in net cash used in investing activities was primarily due to purchases of property and equipment in support of our operations.</w:t>
      </w:r>
    </w:p>
    <w:p>
      <w:pPr>
        <w:spacing w:after="0" w:line="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financing activities during the six months ended June 30, 2021 totaled $5.2 million, a decrease of $10.8 million compared to the same period in 2020. The net cash provided by financing activities for the six months ended June 30, 2021 primarily resulted from the net proceeds from our 2021 Term Loan, offset in part by the extinguishment costs and repayment of our 2018 Notes. The net cash provided by financing activities for the six months ended June 30, 2020 of $16.0 million primarily resulted from proceeds from the issuance of convertible notes and the PPP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closing of our 2021 Term Loan and repayment of our 2018 Notes, our non-cancelable contractual obligations and commitments for borrowings and interest as presented in our Form 10-K have been modified. The following table provides an update as follows as of June 30, 2021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91"/>
              <w:spacing w:after="0" w:line="203" w:lineRule="exact"/>
              <w:rPr>
                <w:sz w:val="20"/>
                <w:szCs w:val="20"/>
                <w:color w:val="auto"/>
              </w:rPr>
            </w:pPr>
            <w:r>
              <w:rPr>
                <w:rFonts w:ascii="Arial" w:cs="Arial" w:eastAsia="Arial" w:hAnsi="Arial"/>
                <w:sz w:val="18"/>
                <w:szCs w:val="18"/>
                <w:b w:val="1"/>
                <w:bCs w:val="1"/>
                <w:color w:val="auto"/>
                <w:w w:val="92"/>
              </w:rPr>
              <w:t>More</w:t>
            </w:r>
          </w:p>
        </w:tc>
        <w:tc>
          <w:tcPr>
            <w:tcW w:w="100" w:type="dxa"/>
            <w:vAlign w:val="bottom"/>
          </w:tcPr>
          <w:p>
            <w:pPr>
              <w:spacing w:after="0"/>
              <w:rPr>
                <w:sz w:val="17"/>
                <w:szCs w:val="17"/>
                <w:color w:val="auto"/>
              </w:rPr>
            </w:pPr>
          </w:p>
        </w:tc>
      </w:tr>
      <w:tr>
        <w:trPr>
          <w:trHeight w:val="214"/>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w w:val="85"/>
              </w:rPr>
              <w:t>Less than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b w:val="1"/>
                <w:bCs w:val="1"/>
                <w:color w:val="auto"/>
                <w:w w:val="97"/>
              </w:rPr>
              <w:t>4 to 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than</w:t>
            </w:r>
          </w:p>
        </w:tc>
      </w:tr>
      <w:tr>
        <w:trPr>
          <w:trHeight w:val="232"/>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b w:val="1"/>
                <w:bCs w:val="1"/>
                <w:color w:val="auto"/>
                <w:w w:val="93"/>
              </w:rPr>
              <w:t>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5 years</w:t>
            </w:r>
          </w:p>
        </w:tc>
      </w:tr>
      <w:tr>
        <w:trPr>
          <w:trHeight w:val="221"/>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15"/>
                <w:szCs w:val="15"/>
                <w:color w:val="auto"/>
              </w:rPr>
              <w:t>(1)</w:t>
            </w: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200" w:type="dxa"/>
            <w:vAlign w:val="bottom"/>
          </w:tcPr>
          <w:p>
            <w:pPr>
              <w:spacing w:after="0"/>
              <w:rPr>
                <w:sz w:val="20"/>
                <w:szCs w:val="20"/>
                <w:color w:val="auto"/>
              </w:rPr>
            </w:pPr>
            <w:r>
              <w:rPr>
                <w:rFonts w:ascii="Arial" w:cs="Arial" w:eastAsia="Arial" w:hAnsi="Arial"/>
                <w:sz w:val="18"/>
                <w:szCs w:val="18"/>
                <w:color w:val="auto"/>
              </w:rPr>
              <w:t xml:space="preserve">Fair value of contingent consideration </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1"/>
        </w:trPr>
        <w:tc>
          <w:tcPr>
            <w:tcW w:w="52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360" w:right="20" w:hanging="353"/>
        <w:spacing w:after="0" w:line="271"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Includes the (a) 2021 Term Loan payments of principal, interest and final payment fee of $2.4 million payment due upon loan maturity and (b) principal and interest payable under the Paycheck Protection Program loan.</w:t>
      </w:r>
    </w:p>
    <w:p>
      <w:pPr>
        <w:jc w:val="both"/>
        <w:ind w:left="360" w:hanging="353"/>
        <w:spacing w:after="0" w:line="269"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The gross margin target associated with the purchase transaction of Integrated Diagnostics, Inc (Indi or Seller) was achieved in the quarter ending June 30, 2021, giving rise to the previously disclosed contingent obligations of $37.0 million in the aggregate payable through the issuance of Company’s shares of common stock. The Company entered into an amendment in August 2021 to the original agreement in which Indi has agreed to forgo the issuance of shares of common stock of the Company that would otherwise be issued to it, and the Company will instead make six quarterly installment payments of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other significant changes to our future contractual obligations as disclosed in our Annual Report on Form 10-K for the year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have not entered into any off-balance sheet arrangements.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condensed financial statements in Part 1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recognize revenue upon delivery of promised diagnostic test results and testing services, in an amount that reflects the consideration which we expect to receive in exchange for our services. To determine revenue recognition for our arrangements with our customers, we perform a five-step process, which includes: (i) identifying the contract(s) with a customer; (ii) identifying the performance obligations in the contract; (iii) determining the transaction price;</w:t>
      </w:r>
    </w:p>
    <w:p>
      <w:pPr>
        <w:spacing w:after="0" w:line="2" w:lineRule="exact"/>
        <w:rPr>
          <w:sz w:val="20"/>
          <w:szCs w:val="20"/>
          <w:color w:val="auto"/>
        </w:rPr>
      </w:pPr>
    </w:p>
    <w:p>
      <w:pPr>
        <w:ind w:firstLine="7"/>
        <w:spacing w:after="0" w:line="256"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the contract; and (v) recognizing revenue when (or as) we satisfy our performance obligations.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Diagnostic service revenues are recognized upon completion of our performance obligation to the deliver test results to our customer, either the prescribing physician or third-party to which we contracted for services to be performed. Testing services revenues are recognized upon completion of our performance obligation to deliver testing results for assay development and testing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purchase transaction with Indi, we recorded contingent consideration pertaining to the amounts potentially payable to Indi’s shareholder pursuant to the terms of the asset purchase agreement. The Company met the gross margin target of $2.0 million for three consecutive months during the three months ended June 30, 2021. The fair value of contingent consideration is assessed at each balance sheet date and changes, if any,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estimated fair value of the contingent consideration is based upon significant assumptions used by management through the date the gross margin target was met, including the probability of successful achievement of the specified product gross margin targets, the period in which the targets were expected to be achieved, and discount rates. As a result of the achievement of the gross margin target, the significant assumption used in the measurement of fair value includes the discount rate. The estimated fair value could materially differ from actual values or fair values determined using different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 option awards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Following the completion of our initial public offering, our Board of Directors has determined the fair value of our common stock is based on our closing price as reported on the date of grant on the primary stock exchange on which our common stock is traded.</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our initial public offering in October 2020, the fair value of our common stock was determined by our Board of Directors in accordance with the methodologies outlined in the American Institute of Certified Public Accountants Practice Aid, Valuation of Privately-Held-Company Equity Securities Issued as Compensation Practice Aid (Practice Aid). In doing so, our Board of Directors determined the best estimate of fair value of our common stock, exercising reasonable judgment and considering numerous objective and subjective factors, by first determining the enterprise value of our business, and then allocating the value among the various classes of our equity securities to derive a per share value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The Company is currently evaluating this guidance and assessing the overall impact on its financial statements.</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emerging growth company can delay the adoption of certain accounting standards until those standards would otherwise apply to private companies.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market risk for changes in interest rates related primarily to our cash and cash equivalents, marketable securities and our indebtedness, including our outstanding 2021 Term Loan. As of June 30, 2021, we had $30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5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Periodically throughout the year, we have maintained balances in various operating accounts in excess of federally insured limits. Our cash and cash equivalents are funds held in checking and bank savings accounts, primarily at two U.S. financial institutions. As of June 30, 2021, a hypothetical 100 basis point increase in interest rates would not have a material impact on our investment portfolio, financial position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changes to our internal control over financial reporting during the three months ended June 30, 2021, that have materially affected, or are reasonable likely to materially effect, our internal controls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3" w:name="page34"/>
    <w:bookmarkEnd w:id="33"/>
    <w:p>
      <w:pPr>
        <w:spacing w:after="0" w:line="335" w:lineRule="auto"/>
        <w:rPr>
          <w:sz w:val="20"/>
          <w:szCs w:val="20"/>
          <w:color w:val="auto"/>
        </w:rPr>
      </w:pPr>
      <w:r>
        <w:rPr>
          <w:rFonts w:ascii="Arial" w:cs="Arial" w:eastAsia="Arial" w:hAnsi="Arial"/>
          <w:sz w:val="16"/>
          <w:szCs w:val="16"/>
          <w:color w:val="auto"/>
        </w:rPr>
        <w:t>This Quarterly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“Item 1A. Risk Factors” of our Annual Report on Form 10-K as of and for the year ended December 31, 2020 includes a discussion of our risk factors. The information presented below updates, and should be read in conjunction with, the risk factors and information we previously disclosed in our Annual Report on Form 10-K, filed with the SEC on March 16, 2021. Except as presented below, there have been no material changes from the risk factors described in our Annual Report on Form 10-K.</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test and Platelia SARS-CoV-2 Total Ab test for commercial diagnostic services. On May 24, 2021, we entered into the First Amendment to the Non-Exclusive License Agreement between Bio-Rad Laboratories, Inc., and Biodesix, Inc. which amended the original agreement such that, effective May 1, 2021, we are not required to pay a royalty of two and one half percent (2.5%) on net service fees. For more information regarding this license and supply agreement and the permission granted to us by Bio-Rad with respect to such tests, please see “Business—Material Agreements—Agreements with Bio-Rad” previously filed in our Form S-1 on October 23, 2020 and Exhibit 10.37 “First Amendment to the Non-Exclusive License Agreement between Bio-Rad Laboratories, Inc., and Biodesix, Inc., dated May 24, 2021.”</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19, 2021 (Effective Date), we entered into an agreement with Silicon Valley Bank, a California corporation (SVB or Lender) to refinance long-term debt (2021 Term Loan). The initial amount borrowed under the 2021 Term Loan was $30 million and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Further, we granted the Lender a security interest in substantially all of our assets.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2021 Term Loan may be prepaid by us at any time, subject to a prepayment penalty of up to 3% of the principal amount, depending on the date of prepayment. The 2021 Term Loan contains customary affirmative and negative covenants for a loan, requires us to comply with a minimum liquidity ratio covenant, and has a trailing six month rolling minimum revenue requirement. Failure to comply with the covenants and loan requirements may result in an event of default.</w:t>
      </w:r>
    </w:p>
    <w:p>
      <w:pPr>
        <w:spacing w:after="0" w:line="8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2021 Term Loan also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These covenants may restrict our ability to pursue new business opportunities and access additional capital.</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of our intellectual property without charge which could have a material adverse effect on our business, financial condition, and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80"/>
          </w:cols>
          <w:pgMar w:left="320" w:top="446"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ind w:right="49"/>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960" w:type="dxa"/>
            <w:vAlign w:val="bottom"/>
            <w:gridSpan w:val="8"/>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880" w:type="dxa"/>
            <w:vAlign w:val="bottom"/>
            <w:gridSpan w:val="2"/>
          </w:tcPr>
          <w:p>
            <w:pPr>
              <w:spacing w:after="0"/>
              <w:rPr>
                <w:sz w:val="20"/>
                <w:szCs w:val="20"/>
                <w:color w:val="auto"/>
              </w:rPr>
            </w:pPr>
            <w:r>
              <w:rPr>
                <w:rFonts w:ascii="Arial" w:cs="Arial" w:eastAsia="Arial" w:hAnsi="Arial"/>
                <w:sz w:val="18"/>
                <w:szCs w:val="18"/>
                <w:color w:val="auto"/>
              </w:rPr>
              <w:t>10.5.2+*</w:t>
            </w:r>
          </w:p>
        </w:tc>
        <w:tc>
          <w:tcPr>
            <w:tcW w:w="80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Forms of Restricted Stock Unit Award Grant Notice and Award Agreement under the 2020 Equity Incentive Plan</w:t>
              </w:r>
            </w:hyperlink>
          </w:p>
        </w:tc>
        <w:tc>
          <w:tcPr>
            <w:tcW w:w="2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10.37*</w:t>
            </w:r>
          </w:p>
        </w:tc>
        <w:tc>
          <w:tcPr>
            <w:tcW w:w="98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First Amendment to the Non-Exclusive License Agreement between Bio-Rad Laboratories, Inc., and Biodesix, Inc., dated May 24, 2021.</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10.38*</w:t>
            </w:r>
          </w:p>
        </w:tc>
        <w:tc>
          <w:tcPr>
            <w:tcW w:w="1024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Amendment No. 2 to Asset Purchase Agreement and Plan of Reorganization</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102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Certification of Principal Executive Officer Pursuant to Rules 13a-14(a) and 15d-14(a) under the Securities Exchange Act of 1934, as Adopted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40" w:type="dxa"/>
            <w:vAlign w:val="bottom"/>
            <w:gridSpan w:val="10"/>
          </w:tcPr>
          <w:p>
            <w:pPr>
              <w:spacing w:after="0" w:line="194" w:lineRule="exact"/>
              <w:rPr>
                <w:rFonts w:ascii="Arial" w:cs="Arial" w:eastAsia="Arial" w:hAnsi="Arial"/>
                <w:sz w:val="18"/>
                <w:szCs w:val="18"/>
                <w:color w:val="0000EE"/>
              </w:rPr>
            </w:pPr>
            <w:hyperlink w:anchor="page55">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10240" w:type="dxa"/>
            <w:vAlign w:val="bottom"/>
            <w:gridSpan w:val="10"/>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14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Pursuant to Section 302 of the Sarbanes-Oxley Act of 2002.</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10240" w:type="dxa"/>
            <w:vAlign w:val="bottom"/>
            <w:gridSpan w:val="10"/>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96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57">
              <w:r>
                <w:rPr>
                  <w:rFonts w:ascii="Arial" w:cs="Arial" w:eastAsia="Arial" w:hAnsi="Arial"/>
                  <w:sz w:val="18"/>
                  <w:szCs w:val="18"/>
                  <w:color w:val="0000EE"/>
                </w:rPr>
                <w:t>Act of 2002.</w:t>
              </w:r>
            </w:hyperlink>
          </w:p>
        </w:tc>
        <w:tc>
          <w:tcPr>
            <w:tcW w:w="2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80" w:type="dxa"/>
            <w:vAlign w:val="bottom"/>
            <w:gridSpan w:val="2"/>
          </w:tcPr>
          <w:p>
            <w:pPr>
              <w:spacing w:after="0"/>
              <w:rPr>
                <w:sz w:val="20"/>
                <w:szCs w:val="20"/>
                <w:color w:val="auto"/>
              </w:rPr>
            </w:pPr>
            <w:r>
              <w:rPr>
                <w:rFonts w:ascii="Arial" w:cs="Arial" w:eastAsia="Arial" w:hAnsi="Arial"/>
                <w:sz w:val="18"/>
                <w:szCs w:val="18"/>
                <w:color w:val="auto"/>
              </w:rPr>
              <w:t>32.2*</w:t>
            </w:r>
          </w:p>
        </w:tc>
        <w:tc>
          <w:tcPr>
            <w:tcW w:w="9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40" w:type="dxa"/>
            <w:vAlign w:val="bottom"/>
            <w:gridSpan w:val="10"/>
          </w:tcPr>
          <w:p>
            <w:pPr>
              <w:spacing w:after="0" w:line="194" w:lineRule="exact"/>
              <w:rPr>
                <w:rFonts w:ascii="Arial" w:cs="Arial" w:eastAsia="Arial" w:hAnsi="Arial"/>
                <w:sz w:val="18"/>
                <w:szCs w:val="18"/>
                <w:color w:val="0000EE"/>
              </w:rPr>
            </w:pPr>
            <w:hyperlink w:anchor="page58">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10"/>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61"/>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1"/>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1"/>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1"/>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1"/>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40" w:hanging="873"/>
        <w:spacing w:after="0"/>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951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7" w:lineRule="exact"/>
        <w:rPr>
          <w:sz w:val="20"/>
          <w:szCs w:val="20"/>
          <w:color w:val="auto"/>
        </w:rPr>
      </w:pPr>
    </w:p>
    <w:p>
      <w:pPr>
        <w:ind w:left="520" w:hanging="51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47"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80" w:type="dxa"/>
            <w:vAlign w:val="bottom"/>
          </w:tcPr>
          <w:p>
            <w:pPr>
              <w:spacing w:after="0"/>
              <w:rPr>
                <w:sz w:val="19"/>
                <w:szCs w:val="19"/>
                <w:color w:val="auto"/>
              </w:rPr>
            </w:pPr>
          </w:p>
        </w:tc>
        <w:tc>
          <w:tcPr>
            <w:tcW w:w="3480" w:type="dxa"/>
            <w:vAlign w:val="bottom"/>
            <w:gridSpan w:val="2"/>
          </w:tcPr>
          <w:p>
            <w:pPr>
              <w:ind w:left="1880"/>
              <w:spacing w:after="0"/>
              <w:rPr>
                <w:sz w:val="20"/>
                <w:szCs w:val="20"/>
                <w:color w:val="auto"/>
              </w:rPr>
            </w:pPr>
            <w:r>
              <w:rPr>
                <w:rFonts w:ascii="Arial" w:cs="Arial" w:eastAsia="Arial" w:hAnsi="Arial"/>
                <w:sz w:val="18"/>
                <w:szCs w:val="18"/>
                <w:color w:val="auto"/>
              </w:rPr>
              <w:t>Biodesix, Inc.</w:t>
            </w:r>
          </w:p>
        </w:tc>
        <w:tc>
          <w:tcPr>
            <w:tcW w:w="4280" w:type="dxa"/>
            <w:vAlign w:val="bottom"/>
          </w:tcPr>
          <w:p>
            <w:pPr>
              <w:spacing w:after="0"/>
              <w:rPr>
                <w:sz w:val="19"/>
                <w:szCs w:val="19"/>
                <w:color w:val="auto"/>
              </w:rPr>
            </w:pPr>
          </w:p>
        </w:tc>
      </w:tr>
      <w:tr>
        <w:trPr>
          <w:trHeight w:val="455"/>
        </w:trPr>
        <w:tc>
          <w:tcPr>
            <w:tcW w:w="3480" w:type="dxa"/>
            <w:vAlign w:val="bottom"/>
          </w:tcPr>
          <w:p>
            <w:pPr>
              <w:spacing w:after="0"/>
              <w:rPr>
                <w:sz w:val="20"/>
                <w:szCs w:val="20"/>
                <w:color w:val="auto"/>
              </w:rPr>
            </w:pPr>
            <w:r>
              <w:rPr>
                <w:rFonts w:ascii="Arial" w:cs="Arial" w:eastAsia="Arial" w:hAnsi="Arial"/>
                <w:sz w:val="18"/>
                <w:szCs w:val="18"/>
                <w:color w:val="auto"/>
              </w:rPr>
              <w:t>Date: August 10, 2021</w:t>
            </w:r>
          </w:p>
        </w:tc>
        <w:tc>
          <w:tcPr>
            <w:tcW w:w="348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280" w:type="dxa"/>
            <w:vAlign w:val="bottom"/>
          </w:tcPr>
          <w:p>
            <w:pPr>
              <w:jc w:val="center"/>
              <w:ind w:right="1231"/>
              <w:spacing w:after="0"/>
              <w:rPr>
                <w:sz w:val="20"/>
                <w:szCs w:val="20"/>
                <w:color w:val="auto"/>
              </w:rPr>
            </w:pPr>
            <w:r>
              <w:rPr>
                <w:rFonts w:ascii="Arial" w:cs="Arial" w:eastAsia="Arial" w:hAnsi="Arial"/>
                <w:sz w:val="18"/>
                <w:szCs w:val="18"/>
                <w:color w:val="auto"/>
                <w:w w:val="94"/>
              </w:rPr>
              <w:t>/s/ RYAN H. SIUREK</w:t>
            </w:r>
          </w:p>
        </w:tc>
      </w:tr>
      <w:tr>
        <w:trPr>
          <w:trHeight w:val="220"/>
        </w:trPr>
        <w:tc>
          <w:tcPr>
            <w:tcW w:w="3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1231"/>
              <w:spacing w:after="0"/>
              <w:rPr>
                <w:sz w:val="20"/>
                <w:szCs w:val="20"/>
                <w:color w:val="auto"/>
              </w:rPr>
            </w:pPr>
            <w:r>
              <w:rPr>
                <w:rFonts w:ascii="Arial" w:cs="Arial" w:eastAsia="Arial" w:hAnsi="Arial"/>
                <w:sz w:val="18"/>
                <w:szCs w:val="18"/>
                <w:i w:val="1"/>
                <w:iCs w:val="1"/>
                <w:color w:val="auto"/>
                <w:w w:val="89"/>
              </w:rPr>
              <w:t>Ryan H. Siurek</w:t>
            </w:r>
          </w:p>
        </w:tc>
      </w:tr>
      <w:tr>
        <w:trPr>
          <w:trHeight w:val="227"/>
        </w:trPr>
        <w:tc>
          <w:tcPr>
            <w:tcW w:w="3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80" w:type="dxa"/>
            <w:vAlign w:val="bottom"/>
          </w:tcPr>
          <w:p>
            <w:pPr>
              <w:jc w:val="center"/>
              <w:ind w:right="1231"/>
              <w:spacing w:after="0"/>
              <w:rPr>
                <w:sz w:val="20"/>
                <w:szCs w:val="20"/>
                <w:color w:val="auto"/>
              </w:rPr>
            </w:pPr>
            <w:r>
              <w:rPr>
                <w:rFonts w:ascii="Arial" w:cs="Arial" w:eastAsia="Arial" w:hAnsi="Arial"/>
                <w:sz w:val="18"/>
                <w:szCs w:val="18"/>
                <w:i w:val="1"/>
                <w:iCs w:val="1"/>
                <w:color w:val="auto"/>
                <w:w w:val="92"/>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4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10.5.2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Biodesix, Inc.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2020 Equity Incentive Plan (as amended and/or restated as of the Date of Grant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granted to Participant a restricted stock unit award relating to the number of restricted stock units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Restricted Stock Unit Award Grant Notice (the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and in the Plan and the Award Agreement, all of which are attached to this Grant Notice and incorporated into this Grant Notice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entirety. Capitalized terms not explicitly defined in this Grant Notice but defined in the Plan or the Award Agreement shall have the meanings set forth in the Plan or the Award Agreement, as applicable. If the Company uses an electronic capitalization table system (such as Carta or Shareworks) and the fields below are blank or the information is otherwise provided in a different format electronically, the blank fields and other information shall be deemed to come from the electronic capitalization system and is considered part of this Grant Notice.</w:t>
      </w:r>
    </w:p>
    <w:p>
      <w:pPr>
        <w:sectPr>
          <w:pgSz w:w="11900" w:h="16838" w:orient="portrait"/>
          <w:cols w:equalWidth="0" w:num="1">
            <w:col w:w="11240"/>
          </w:cols>
          <w:pgMar w:left="320" w:top="121" w:right="339" w:bottom="1440" w:gutter="0" w:footer="0" w:header="0"/>
        </w:sectPr>
      </w:pPr>
    </w:p>
    <w:p>
      <w:pPr>
        <w:spacing w:after="0" w:line="38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Participant:</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Date of Grant:</w:t>
      </w:r>
    </w:p>
    <w:p>
      <w:pPr>
        <w:spacing w:after="0" w:line="1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Vesting Commencement Date:</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Number of Restricted Stock Units</w:t>
      </w:r>
    </w:p>
    <w:p>
      <w:pPr>
        <w:spacing w:after="0" w:line="40"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Subject to Award:</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3006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6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-121285</wp:posOffset>
            </wp:positionV>
            <wp:extent cx="30060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6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-418465</wp:posOffset>
            </wp:positionV>
            <wp:extent cx="3006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6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-571500</wp:posOffset>
            </wp:positionV>
            <wp:extent cx="30060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6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-724535</wp:posOffset>
            </wp:positionV>
            <wp:extent cx="3006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6090" cy="825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4360" w:space="460"/>
            <w:col w:w="642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641985</wp:posOffset>
            </wp:positionV>
            <wp:extent cx="71761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jc w:val="both"/>
        <w:ind w:right="100"/>
        <w:spacing w:after="0" w:line="250" w:lineRule="auto"/>
        <w:rPr>
          <w:sz w:val="20"/>
          <w:szCs w:val="20"/>
          <w:color w:val="auto"/>
        </w:rPr>
      </w:pPr>
      <w:r>
        <w:rPr>
          <w:rFonts w:ascii="Arial" w:cs="Arial" w:eastAsia="Arial" w:hAnsi="Arial"/>
          <w:sz w:val="20"/>
          <w:szCs w:val="20"/>
          <w:b w:val="1"/>
          <w:bCs w:val="1"/>
          <w:color w:val="auto"/>
        </w:rPr>
        <w:t xml:space="preserve">Participant Acknowledgements: </w:t>
      </w:r>
      <w:r>
        <w:rPr>
          <w:rFonts w:ascii="Arial" w:cs="Arial" w:eastAsia="Arial" w:hAnsi="Arial"/>
          <w:sz w:val="20"/>
          <w:szCs w:val="20"/>
          <w:color w:val="auto"/>
        </w:rPr>
        <w:t>By Participant’s signature below or by electronic acceptance or authentication in a form authorized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Participant understands and agrees that the Award is governed by this Restricted Stock Unit Award Grant Notice, and the provisions of the Plan and the Award Agreement, all of which are made a part of this document.</w:t>
      </w:r>
    </w:p>
    <w:p>
      <w:pPr>
        <w:spacing w:after="0" w:line="76"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By accepting this Award, Participant consents to receive this Grant Notice, the Award Agreement, the Plan, and any other Plan-related documents by electronic delivery and to participate in the Plan through an on-line or electronic system established and maintained by the Company or another third party designated by the Company. Participant represents that he or she has read and is familiar with the provisions of the Plan and the Award Agreement. Participant acknowledges and agrees that this Grant Notice and the Award Agreement may not be modified, amended or revised in a manner that materially impairs the rights of the Participant except in a writing signed by Participant and a duly authorized officer of the Company.</w:t>
      </w:r>
    </w:p>
    <w:p>
      <w:pPr>
        <w:spacing w:after="0" w:line="86" w:lineRule="exact"/>
        <w:rPr>
          <w:sz w:val="20"/>
          <w:szCs w:val="20"/>
          <w:color w:val="auto"/>
        </w:rPr>
      </w:pPr>
    </w:p>
    <w:p>
      <w:pPr>
        <w:jc w:val="both"/>
        <w:ind w:right="100"/>
        <w:spacing w:after="0" w:line="256" w:lineRule="auto"/>
        <w:rPr>
          <w:sz w:val="20"/>
          <w:szCs w:val="20"/>
          <w:color w:val="auto"/>
        </w:rPr>
      </w:pPr>
      <w:r>
        <w:rPr>
          <w:rFonts w:ascii="Arial" w:cs="Arial" w:eastAsia="Arial" w:hAnsi="Arial"/>
          <w:sz w:val="19"/>
          <w:szCs w:val="19"/>
          <w:color w:val="auto"/>
        </w:rPr>
        <w:t>Participant further acknowledges that in the event of any conflict between the provisions in this Grant Notice or the Award Agreement and the terms of the Plan, the terms of the Plan shall control. Participant further acknowledges that the Award Agreement sets forth the entire understanding between Participant and the Company regarding the acquisition of Common Stock and supersedes all prior oral and written agreements, promises and/or representations on that subject with the exception of other equity awards previously granted to Participant and any written employment agreement, offer letter, severance agreement, written severance plan or policy, or other written agreement between the Company and Participant in each case that specifies the terms that should govern this Award.</w:t>
      </w:r>
    </w:p>
    <w:p>
      <w:pPr>
        <w:spacing w:after="0" w:line="73" w:lineRule="exact"/>
        <w:rPr>
          <w:sz w:val="20"/>
          <w:szCs w:val="20"/>
          <w:color w:val="auto"/>
        </w:rPr>
      </w:pPr>
    </w:p>
    <w:p>
      <w:pPr>
        <w:jc w:val="both"/>
        <w:ind w:right="100"/>
        <w:spacing w:after="0" w:line="300" w:lineRule="auto"/>
        <w:rPr>
          <w:sz w:val="20"/>
          <w:szCs w:val="20"/>
          <w:color w:val="auto"/>
        </w:rPr>
      </w:pPr>
      <w:r>
        <w:rPr>
          <w:rFonts w:ascii="Arial" w:cs="Arial" w:eastAsia="Arial" w:hAnsi="Arial"/>
          <w:sz w:val="17"/>
          <w:szCs w:val="17"/>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ind w:left="240"/>
              <w:spacing w:after="0"/>
              <w:rPr>
                <w:sz w:val="20"/>
                <w:szCs w:val="20"/>
                <w:color w:val="auto"/>
              </w:rPr>
            </w:pPr>
            <w:r>
              <w:rPr>
                <w:rFonts w:ascii="Arial" w:cs="Arial" w:eastAsia="Arial" w:hAnsi="Arial"/>
                <w:sz w:val="20"/>
                <w:szCs w:val="20"/>
                <w:b w:val="1"/>
                <w:bCs w:val="1"/>
                <w:color w:val="auto"/>
              </w:rPr>
              <w:t>Biodesix, Inc.</w:t>
            </w:r>
          </w:p>
        </w:tc>
        <w:tc>
          <w:tcPr>
            <w:tcW w:w="5600" w:type="dxa"/>
            <w:vAlign w:val="bottom"/>
            <w:gridSpan w:val="3"/>
          </w:tcPr>
          <w:p>
            <w:pPr>
              <w:ind w:left="320"/>
              <w:spacing w:after="0"/>
              <w:rPr>
                <w:sz w:val="20"/>
                <w:szCs w:val="20"/>
                <w:color w:val="auto"/>
              </w:rPr>
            </w:pPr>
            <w:r>
              <w:rPr>
                <w:rFonts w:ascii="Arial" w:cs="Arial" w:eastAsia="Arial" w:hAnsi="Arial"/>
                <w:sz w:val="20"/>
                <w:szCs w:val="20"/>
                <w:b w:val="1"/>
                <w:bCs w:val="1"/>
                <w:color w:val="auto"/>
              </w:rPr>
              <w:t>Participant:</w:t>
            </w:r>
          </w:p>
        </w:tc>
        <w:tc>
          <w:tcPr>
            <w:tcW w:w="0" w:type="dxa"/>
            <w:vAlign w:val="bottom"/>
          </w:tcPr>
          <w:p>
            <w:pPr>
              <w:spacing w:after="0"/>
              <w:rPr>
                <w:sz w:val="1"/>
                <w:szCs w:val="1"/>
                <w:color w:val="auto"/>
              </w:rPr>
            </w:pPr>
          </w:p>
        </w:tc>
      </w:tr>
      <w:tr>
        <w:trPr>
          <w:trHeight w:val="669"/>
        </w:trPr>
        <w:tc>
          <w:tcPr>
            <w:tcW w:w="5740" w:type="dxa"/>
            <w:vAlign w:val="bottom"/>
            <w:gridSpan w:val="2"/>
          </w:tcPr>
          <w:p>
            <w:pPr>
              <w:ind w:left="240"/>
              <w:spacing w:after="0"/>
              <w:rPr>
                <w:sz w:val="20"/>
                <w:szCs w:val="20"/>
                <w:color w:val="auto"/>
              </w:rPr>
            </w:pPr>
            <w:r>
              <w:rPr>
                <w:rFonts w:ascii="Arial" w:cs="Arial" w:eastAsia="Arial" w:hAnsi="Arial"/>
                <w:sz w:val="20"/>
                <w:szCs w:val="20"/>
                <w:color w:val="auto"/>
              </w:rPr>
              <w:t>By:</w:t>
            </w:r>
          </w:p>
        </w:tc>
        <w:tc>
          <w:tcPr>
            <w:tcW w:w="5600" w:type="dxa"/>
            <w:vAlign w:val="bottom"/>
            <w:gridSpan w:val="3"/>
          </w:tcPr>
          <w:p>
            <w:pPr>
              <w:ind w:left="32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49"/>
        </w:trPr>
        <w:tc>
          <w:tcPr>
            <w:tcW w:w="110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4640" w:type="dxa"/>
            <w:vAlign w:val="bottom"/>
          </w:tcPr>
          <w:p>
            <w:pPr>
              <w:ind w:left="1880"/>
              <w:spacing w:after="0"/>
              <w:rPr>
                <w:sz w:val="20"/>
                <w:szCs w:val="20"/>
                <w:color w:val="auto"/>
              </w:rPr>
            </w:pPr>
            <w:r>
              <w:rPr>
                <w:rFonts w:ascii="Arial" w:cs="Arial" w:eastAsia="Arial" w:hAnsi="Arial"/>
                <w:sz w:val="20"/>
                <w:szCs w:val="20"/>
                <w:color w:val="auto"/>
              </w:rPr>
              <w:t>(Signature)</w:t>
            </w:r>
          </w:p>
        </w:tc>
        <w:tc>
          <w:tcPr>
            <w:tcW w:w="1280" w:type="dxa"/>
            <w:vAlign w:val="bottom"/>
          </w:tcPr>
          <w:p>
            <w:pPr>
              <w:spacing w:after="0"/>
              <w:rPr>
                <w:sz w:val="21"/>
                <w:szCs w:val="21"/>
                <w:color w:val="auto"/>
              </w:rPr>
            </w:pPr>
          </w:p>
        </w:tc>
        <w:tc>
          <w:tcPr>
            <w:tcW w:w="4320" w:type="dxa"/>
            <w:vAlign w:val="bottom"/>
            <w:gridSpan w:val="2"/>
          </w:tcPr>
          <w:p>
            <w:pPr>
              <w:ind w:left="1780"/>
              <w:spacing w:after="0"/>
              <w:rPr>
                <w:sz w:val="20"/>
                <w:szCs w:val="20"/>
                <w:color w:val="auto"/>
              </w:rPr>
            </w:pPr>
            <w:r>
              <w:rPr>
                <w:rFonts w:ascii="Arial" w:cs="Arial" w:eastAsia="Arial" w:hAnsi="Arial"/>
                <w:sz w:val="20"/>
                <w:szCs w:val="20"/>
                <w:color w:val="auto"/>
              </w:rPr>
              <w:t>(Signature)</w:t>
            </w:r>
          </w:p>
        </w:tc>
        <w:tc>
          <w:tcPr>
            <w:tcW w:w="0" w:type="dxa"/>
            <w:vAlign w:val="bottom"/>
          </w:tcPr>
          <w:p>
            <w:pPr>
              <w:spacing w:after="0"/>
              <w:rPr>
                <w:sz w:val="1"/>
                <w:szCs w:val="1"/>
                <w:color w:val="auto"/>
              </w:rPr>
            </w:pPr>
          </w:p>
        </w:tc>
      </w:tr>
      <w:tr>
        <w:trPr>
          <w:trHeight w:val="264"/>
        </w:trPr>
        <w:tc>
          <w:tcPr>
            <w:tcW w:w="5740" w:type="dxa"/>
            <w:vAlign w:val="bottom"/>
            <w:gridSpan w:val="2"/>
          </w:tcPr>
          <w:p>
            <w:pPr>
              <w:ind w:left="240"/>
              <w:spacing w:after="0"/>
              <w:rPr>
                <w:sz w:val="20"/>
                <w:szCs w:val="20"/>
                <w:color w:val="auto"/>
              </w:rPr>
            </w:pPr>
            <w:r>
              <w:rPr>
                <w:rFonts w:ascii="Arial" w:cs="Arial" w:eastAsia="Arial" w:hAnsi="Arial"/>
                <w:sz w:val="20"/>
                <w:szCs w:val="20"/>
                <w:color w:val="auto"/>
              </w:rPr>
              <w:t>Title:</w:t>
            </w:r>
          </w:p>
        </w:tc>
        <w:tc>
          <w:tcPr>
            <w:tcW w:w="5600" w:type="dxa"/>
            <w:vAlign w:val="bottom"/>
            <w:gridSpan w:val="3"/>
          </w:tcPr>
          <w:p>
            <w:pPr>
              <w:ind w:left="320"/>
              <w:spacing w:after="0"/>
              <w:rPr>
                <w:sz w:val="20"/>
                <w:szCs w:val="20"/>
                <w:color w:val="auto"/>
              </w:rPr>
            </w:pPr>
            <w:r>
              <w:rPr>
                <w:rFonts w:ascii="Arial" w:cs="Arial" w:eastAsia="Arial" w:hAnsi="Arial"/>
                <w:sz w:val="20"/>
                <w:szCs w:val="20"/>
                <w:color w:val="auto"/>
              </w:rPr>
              <w:t>Email:</w:t>
            </w:r>
          </w:p>
        </w:tc>
        <w:tc>
          <w:tcPr>
            <w:tcW w:w="0" w:type="dxa"/>
            <w:vAlign w:val="bottom"/>
          </w:tcPr>
          <w:p>
            <w:pPr>
              <w:spacing w:after="0"/>
              <w:rPr>
                <w:sz w:val="1"/>
                <w:szCs w:val="1"/>
                <w:color w:val="auto"/>
              </w:rPr>
            </w:pPr>
          </w:p>
        </w:tc>
      </w:tr>
      <w:tr>
        <w:trPr>
          <w:trHeight w:val="49"/>
        </w:trPr>
        <w:tc>
          <w:tcPr>
            <w:tcW w:w="1100" w:type="dxa"/>
            <w:vAlign w:val="bottom"/>
            <w:vMerge w:val="restart"/>
          </w:tcPr>
          <w:p>
            <w:pPr>
              <w:ind w:left="240"/>
              <w:spacing w:after="0"/>
              <w:rPr>
                <w:sz w:val="20"/>
                <w:szCs w:val="20"/>
                <w:color w:val="auto"/>
              </w:rPr>
            </w:pPr>
            <w:r>
              <w:rPr>
                <w:rFonts w:ascii="Arial" w:cs="Arial" w:eastAsia="Arial" w:hAnsi="Arial"/>
                <w:sz w:val="20"/>
                <w:szCs w:val="20"/>
                <w:color w:val="auto"/>
              </w:rPr>
              <w:t>Date:</w:t>
            </w:r>
          </w:p>
        </w:tc>
        <w:tc>
          <w:tcPr>
            <w:tcW w:w="4640" w:type="dxa"/>
            <w:vAlign w:val="bottom"/>
            <w:tcBorders>
              <w:bottom w:val="single" w:sz="8" w:color="auto"/>
            </w:tcBorders>
          </w:tcPr>
          <w:p>
            <w:pPr>
              <w:spacing w:after="0"/>
              <w:rPr>
                <w:sz w:val="4"/>
                <w:szCs w:val="4"/>
                <w:color w:val="auto"/>
              </w:rPr>
            </w:pPr>
          </w:p>
        </w:tc>
        <w:tc>
          <w:tcPr>
            <w:tcW w:w="1280" w:type="dxa"/>
            <w:vAlign w:val="bottom"/>
            <w:vMerge w:val="restart"/>
          </w:tcPr>
          <w:p>
            <w:pPr>
              <w:ind w:left="320"/>
              <w:spacing w:after="0"/>
              <w:rPr>
                <w:sz w:val="20"/>
                <w:szCs w:val="20"/>
                <w:color w:val="auto"/>
              </w:rPr>
            </w:pPr>
            <w:r>
              <w:rPr>
                <w:rFonts w:ascii="Arial" w:cs="Arial" w:eastAsia="Arial" w:hAnsi="Arial"/>
                <w:sz w:val="20"/>
                <w:szCs w:val="20"/>
                <w:color w:val="auto"/>
              </w:rPr>
              <w:t>Date:</w:t>
            </w:r>
          </w:p>
        </w:tc>
        <w:tc>
          <w:tcPr>
            <w:tcW w:w="4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00" w:type="dxa"/>
            <w:vAlign w:val="bottom"/>
            <w:vMerge w:val="continue"/>
          </w:tcPr>
          <w:p>
            <w:pPr>
              <w:spacing w:after="0"/>
              <w:rPr>
                <w:sz w:val="19"/>
                <w:szCs w:val="19"/>
                <w:color w:val="auto"/>
              </w:rPr>
            </w:pPr>
          </w:p>
        </w:tc>
        <w:tc>
          <w:tcPr>
            <w:tcW w:w="46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10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740" w:type="dxa"/>
            <w:vAlign w:val="bottom"/>
            <w:gridSpan w:val="2"/>
          </w:tcPr>
          <w:p>
            <w:pPr>
              <w:ind w:left="380"/>
              <w:spacing w:after="0"/>
              <w:rPr>
                <w:sz w:val="20"/>
                <w:szCs w:val="20"/>
                <w:color w:val="auto"/>
              </w:rPr>
            </w:pPr>
            <w:r>
              <w:rPr>
                <w:rFonts w:ascii="Arial" w:cs="Arial" w:eastAsia="Arial" w:hAnsi="Arial"/>
                <w:sz w:val="20"/>
                <w:szCs w:val="20"/>
                <w:b w:val="1"/>
                <w:bCs w:val="1"/>
                <w:color w:val="auto"/>
                <w:w w:val="93"/>
              </w:rPr>
              <w:t>Attachments</w:t>
            </w:r>
            <w:r>
              <w:rPr>
                <w:rFonts w:ascii="Arial" w:cs="Arial" w:eastAsia="Arial" w:hAnsi="Arial"/>
                <w:sz w:val="20"/>
                <w:szCs w:val="20"/>
                <w:color w:val="auto"/>
                <w:w w:val="93"/>
              </w:rPr>
              <w:t>: Award Agreement and 2020 Equity Incentive Plan</w:t>
            </w: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11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ATTACHMENT 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737870</wp:posOffset>
            </wp:positionV>
            <wp:extent cx="71761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41" w:name="page42"/>
    <w:bookmarkEnd w:id="41"/>
    <w:p>
      <w:pPr>
        <w:ind w:left="4900"/>
        <w:spacing w:after="0"/>
        <w:rPr>
          <w:sz w:val="20"/>
          <w:szCs w:val="20"/>
          <w:color w:val="auto"/>
        </w:rPr>
      </w:pPr>
      <w:r>
        <w:rPr>
          <w:rFonts w:ascii="Arial" w:cs="Arial" w:eastAsia="Arial" w:hAnsi="Arial"/>
          <w:sz w:val="20"/>
          <w:szCs w:val="20"/>
          <w:b w:val="1"/>
          <w:bCs w:val="1"/>
          <w:color w:val="auto"/>
        </w:rPr>
        <w:t>BIODESIX,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AGREEMENT</w:t>
      </w:r>
    </w:p>
    <w:p>
      <w:pPr>
        <w:spacing w:after="0" w:line="200" w:lineRule="exact"/>
        <w:rPr>
          <w:sz w:val="20"/>
          <w:szCs w:val="20"/>
          <w:color w:val="auto"/>
        </w:rPr>
      </w:pPr>
    </w:p>
    <w:p>
      <w:pPr>
        <w:spacing w:after="0" w:line="225"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Pursuant to your Restricted Stock Unit Award Grant Notice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xml:space="preserve">”) and this Award Agreement, </w:t>
      </w:r>
      <w:r>
        <w:rPr>
          <w:rFonts w:ascii="Arial" w:cs="Arial" w:eastAsia="Arial" w:hAnsi="Arial"/>
          <w:sz w:val="20"/>
          <w:szCs w:val="20"/>
          <w:b w:val="1"/>
          <w:bCs w:val="1"/>
          <w:color w:val="auto"/>
        </w:rPr>
        <w:t>Biodesix, Inc.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you a restricted stock unit award under its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relating to the number of Restricted Stock Units specified in your Grant Notice. The Award is granted to you effective as of the date of grant set forth in the Grant Notice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If there is any conflict between the terms in this Award Agreement and the Plan, the terms of the Plan will control. Capitalized terms not explicitly defined in this Award Agreement or in the Grant Notice but defined in the Plan will have the same definitions as in the Plan.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details of your Award, in addition to those set forth in the Grant Notice and the Plan, are as follows:</w:t>
      </w:r>
    </w:p>
    <w:p>
      <w:pPr>
        <w:spacing w:after="0" w:line="205" w:lineRule="exact"/>
        <w:rPr>
          <w:sz w:val="20"/>
          <w:szCs w:val="20"/>
          <w:color w:val="auto"/>
        </w:rPr>
      </w:pPr>
    </w:p>
    <w:p>
      <w:pPr>
        <w:ind w:firstLine="871"/>
        <w:spacing w:after="0" w:line="263" w:lineRule="auto"/>
        <w:tabs>
          <w:tab w:leader="none" w:pos="165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 Your Award will vest as provided in your Grant Notice. Vesting will cease upon the termination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Continuous Service (as defined herein).</w:t>
      </w:r>
    </w:p>
    <w:p>
      <w:pPr>
        <w:spacing w:after="0" w:line="164" w:lineRule="exact"/>
        <w:rPr>
          <w:rFonts w:ascii="Arial" w:cs="Arial" w:eastAsia="Arial" w:hAnsi="Arial"/>
          <w:sz w:val="20"/>
          <w:szCs w:val="20"/>
          <w:b w:val="1"/>
          <w:bCs w:val="1"/>
          <w:color w:val="auto"/>
        </w:rPr>
      </w:pPr>
    </w:p>
    <w:p>
      <w:pPr>
        <w:ind w:right="20" w:firstLine="871"/>
        <w:spacing w:after="0" w:line="263" w:lineRule="auto"/>
        <w:tabs>
          <w:tab w:leader="none" w:pos="165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Restricted Stock Units</w:t>
      </w:r>
      <w:r>
        <w:rPr>
          <w:rFonts w:ascii="Arial" w:cs="Arial" w:eastAsia="Arial" w:hAnsi="Arial"/>
          <w:sz w:val="20"/>
          <w:szCs w:val="20"/>
          <w:color w:val="auto"/>
        </w:rPr>
        <w:t>. The number of Restricted Stock Units subject to your Award will be adjusted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5.7 of the Plan for changes in the capitalization of the Company.</w:t>
      </w:r>
    </w:p>
    <w:p>
      <w:pPr>
        <w:spacing w:after="0" w:line="164" w:lineRule="exact"/>
        <w:rPr>
          <w:rFonts w:ascii="Arial" w:cs="Arial" w:eastAsia="Arial" w:hAnsi="Arial"/>
          <w:sz w:val="20"/>
          <w:szCs w:val="20"/>
          <w:b w:val="1"/>
          <w:bCs w:val="1"/>
          <w:color w:val="auto"/>
        </w:rPr>
      </w:pPr>
    </w:p>
    <w:p>
      <w:pPr>
        <w:jc w:val="both"/>
        <w:ind w:firstLine="871"/>
        <w:spacing w:after="0" w:line="241" w:lineRule="auto"/>
        <w:tabs>
          <w:tab w:leader="none" w:pos="165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For purposes of this Award Agreement, “</w:t>
      </w:r>
      <w:r>
        <w:rPr>
          <w:rFonts w:ascii="Arial" w:cs="Arial" w:eastAsia="Arial" w:hAnsi="Arial"/>
          <w:sz w:val="20"/>
          <w:szCs w:val="20"/>
          <w:b w:val="1"/>
          <w:bCs w:val="1"/>
          <w:i w:val="1"/>
          <w:iCs w:val="1"/>
          <w:color w:val="auto"/>
        </w:rPr>
        <w:t>Continuous Service</w:t>
      </w:r>
      <w:r>
        <w:rPr>
          <w:rFonts w:ascii="Arial" w:cs="Arial" w:eastAsia="Arial" w:hAnsi="Arial"/>
          <w:sz w:val="20"/>
          <w:szCs w:val="20"/>
          <w:color w:val="auto"/>
        </w:rPr>
        <w:t>” means that your service with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provided, however,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88" w:lineRule="exact"/>
        <w:rPr>
          <w:rFonts w:ascii="Arial" w:cs="Arial" w:eastAsia="Arial" w:hAnsi="Arial"/>
          <w:sz w:val="20"/>
          <w:szCs w:val="20"/>
          <w:b w:val="1"/>
          <w:bCs w:val="1"/>
          <w:color w:val="auto"/>
        </w:rPr>
      </w:pPr>
    </w:p>
    <w:p>
      <w:pPr>
        <w:jc w:val="both"/>
        <w:ind w:firstLine="871"/>
        <w:spacing w:after="0" w:line="242" w:lineRule="auto"/>
        <w:tabs>
          <w:tab w:leader="none" w:pos="165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Securities Law Compliance</w:t>
      </w:r>
      <w:r>
        <w:rPr>
          <w:rFonts w:ascii="Arial" w:cs="Arial" w:eastAsia="Arial" w:hAnsi="Arial"/>
          <w:sz w:val="20"/>
          <w:szCs w:val="20"/>
          <w:color w:val="auto"/>
        </w:rPr>
        <w:t>. In no event shall the shares of Common Stock subject to the Award be issued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the Award unless such shares are then registered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or, if not registered, the Company has determined that the issuance of the shares would be exempt from the registration requirements of the Securities Act. The issuance of such shares also must comply with all other applicable laws and regulations governing your Award, and the shares subject to the Award shall not be issued if the Company determines that such issuance would not be in material compliance with such laws and regulations.</w:t>
      </w:r>
    </w:p>
    <w:p>
      <w:pPr>
        <w:spacing w:after="0" w:line="186" w:lineRule="exact"/>
        <w:rPr>
          <w:rFonts w:ascii="Arial" w:cs="Arial" w:eastAsia="Arial" w:hAnsi="Arial"/>
          <w:sz w:val="20"/>
          <w:szCs w:val="20"/>
          <w:b w:val="1"/>
          <w:bCs w:val="1"/>
          <w:color w:val="auto"/>
        </w:rPr>
      </w:pPr>
    </w:p>
    <w:p>
      <w:pPr>
        <w:ind w:firstLine="871"/>
        <w:spacing w:after="0" w:line="263" w:lineRule="auto"/>
        <w:tabs>
          <w:tab w:leader="none" w:pos="1653"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Non-Transferability</w:t>
      </w:r>
      <w:r>
        <w:rPr>
          <w:rFonts w:ascii="Arial" w:cs="Arial" w:eastAsia="Arial" w:hAnsi="Arial"/>
          <w:sz w:val="20"/>
          <w:szCs w:val="20"/>
          <w:color w:val="auto"/>
        </w:rPr>
        <w:t>. Except as otherwise provided in this Section 5, your Award is not transferable, except by will or</w:t>
      </w:r>
      <w:r>
        <w:rPr>
          <w:rFonts w:ascii="Arial" w:cs="Arial" w:eastAsia="Arial" w:hAnsi="Arial"/>
          <w:sz w:val="20"/>
          <w:szCs w:val="20"/>
          <w:b w:val="1"/>
          <w:bCs w:val="1"/>
          <w:color w:val="auto"/>
        </w:rPr>
        <w:t xml:space="preserve"> </w:t>
      </w:r>
      <w:r>
        <w:rPr>
          <w:rFonts w:ascii="Arial" w:cs="Arial" w:eastAsia="Arial" w:hAnsi="Arial"/>
          <w:sz w:val="20"/>
          <w:szCs w:val="20"/>
          <w:color w:val="auto"/>
        </w:rPr>
        <w:t>by the laws of descent and distribution.</w:t>
      </w:r>
    </w:p>
    <w:p>
      <w:pPr>
        <w:spacing w:after="0" w:line="178" w:lineRule="exact"/>
        <w:rPr>
          <w:rFonts w:ascii="Arial" w:cs="Arial" w:eastAsia="Arial" w:hAnsi="Arial"/>
          <w:sz w:val="20"/>
          <w:szCs w:val="20"/>
          <w:b w:val="1"/>
          <w:bCs w:val="1"/>
          <w:color w:val="auto"/>
        </w:rPr>
      </w:pPr>
    </w:p>
    <w:p>
      <w:pPr>
        <w:jc w:val="both"/>
        <w:ind w:right="20" w:firstLine="1735"/>
        <w:spacing w:after="0" w:line="306" w:lineRule="auto"/>
        <w:tabs>
          <w:tab w:leader="none" w:pos="2619" w:val="left"/>
        </w:tabs>
        <w:numPr>
          <w:ilvl w:val="1"/>
          <w:numId w:val="21"/>
        </w:numPr>
        <w:rPr>
          <w:rFonts w:ascii="Arial" w:cs="Arial" w:eastAsia="Arial" w:hAnsi="Arial"/>
          <w:sz w:val="18"/>
          <w:szCs w:val="18"/>
          <w:b w:val="1"/>
          <w:bCs w:val="1"/>
          <w:color w:val="auto"/>
        </w:rPr>
      </w:pPr>
      <w:r>
        <w:rPr>
          <w:rFonts w:ascii="Arial" w:cs="Arial" w:eastAsia="Arial" w:hAnsi="Arial"/>
          <w:sz w:val="17"/>
          <w:szCs w:val="17"/>
          <w:b w:val="1"/>
          <w:bCs w:val="1"/>
          <w:color w:val="auto"/>
        </w:rPr>
        <w:t>Certain Trusts</w:t>
      </w:r>
      <w:r>
        <w:rPr>
          <w:rFonts w:ascii="Arial" w:cs="Arial" w:eastAsia="Arial" w:hAnsi="Arial"/>
          <w:sz w:val="17"/>
          <w:szCs w:val="17"/>
          <w:color w:val="auto"/>
        </w:rPr>
        <w:t>. Upon receiving written permission from the Board or its duly authorized designee, you may</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your Award to a trust if you are considered to be the sole beneficial owner (determined under Section 671 of the Code and applicable state law) while the Award is held in the trust. You and the trustee must enter into transfer and other agreements required by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1761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2" w:name="page43"/>
    <w:bookmarkEnd w:id="42"/>
    <w:p>
      <w:pPr>
        <w:jc w:val="both"/>
        <w:ind w:firstLine="1735"/>
        <w:spacing w:after="0" w:line="271" w:lineRule="auto"/>
        <w:tabs>
          <w:tab w:leader="none" w:pos="2631" w:val="left"/>
        </w:tabs>
        <w:numPr>
          <w:ilvl w:val="1"/>
          <w:numId w:val="22"/>
        </w:numPr>
        <w:rPr>
          <w:rFonts w:ascii="Arial" w:cs="Arial" w:eastAsia="Arial" w:hAnsi="Arial"/>
          <w:sz w:val="19"/>
          <w:szCs w:val="19"/>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Award pursuant to the terms of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76" w:lineRule="exact"/>
        <w:rPr>
          <w:rFonts w:ascii="Arial" w:cs="Arial" w:eastAsia="Arial" w:hAnsi="Arial"/>
          <w:sz w:val="19"/>
          <w:szCs w:val="19"/>
          <w:b w:val="1"/>
          <w:bCs w:val="1"/>
          <w:color w:val="auto"/>
        </w:rPr>
      </w:pPr>
    </w:p>
    <w:p>
      <w:pPr>
        <w:jc w:val="both"/>
        <w:ind w:firstLine="1735"/>
        <w:spacing w:after="0"/>
        <w:tabs>
          <w:tab w:leader="none" w:pos="2607" w:val="left"/>
        </w:tabs>
        <w:numPr>
          <w:ilvl w:val="1"/>
          <w:numId w:val="22"/>
        </w:numPr>
        <w:rPr>
          <w:rFonts w:ascii="Arial" w:cs="Arial" w:eastAsia="Arial" w:hAnsi="Arial"/>
          <w:sz w:val="21"/>
          <w:szCs w:val="21"/>
          <w:b w:val="1"/>
          <w:bCs w:val="1"/>
          <w:color w:val="auto"/>
        </w:rPr>
      </w:pPr>
      <w:r>
        <w:rPr>
          <w:rFonts w:ascii="Arial" w:cs="Arial" w:eastAsia="Arial" w:hAnsi="Arial"/>
          <w:sz w:val="20"/>
          <w:szCs w:val="20"/>
          <w:b w:val="1"/>
          <w:bCs w:val="1"/>
          <w:color w:val="auto"/>
        </w:rPr>
        <w:t>Beneficiary Designation</w:t>
      </w:r>
      <w:r>
        <w:rPr>
          <w:rFonts w:ascii="Arial" w:cs="Arial" w:eastAsia="Arial" w:hAnsi="Arial"/>
          <w:sz w:val="20"/>
          <w:szCs w:val="20"/>
          <w:color w:val="auto"/>
        </w:rPr>
        <w:t>. Upon receiving written permission from the Board or its duly authorized designee,</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by delivering written notice to the Company, in a form approved by the Company, designate a third party who, on your death, will thereafter be entitled to receive the Common Stock or other consideration resulting from the vesting of the Award. In the absence of such a designation, your executor or administrator of your estate will be entitled to receive, on behalf of your estate, the Common Stock or other consideration resulting from the vesting of the Award.</w:t>
      </w:r>
    </w:p>
    <w:p>
      <w:pPr>
        <w:spacing w:after="0" w:line="189" w:lineRule="exact"/>
        <w:rPr>
          <w:rFonts w:ascii="Arial" w:cs="Arial" w:eastAsia="Arial" w:hAnsi="Arial"/>
          <w:sz w:val="21"/>
          <w:szCs w:val="21"/>
          <w:b w:val="1"/>
          <w:bCs w:val="1"/>
          <w:color w:val="auto"/>
        </w:rPr>
      </w:pPr>
    </w:p>
    <w:p>
      <w:pPr>
        <w:jc w:val="both"/>
        <w:ind w:firstLine="871"/>
        <w:spacing w:after="0" w:line="256" w:lineRule="auto"/>
        <w:tabs>
          <w:tab w:leader="none" w:pos="1653"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Issuance or Delivery of Shares</w:t>
      </w:r>
      <w:r>
        <w:rPr>
          <w:rFonts w:ascii="Arial" w:cs="Arial" w:eastAsia="Arial" w:hAnsi="Arial"/>
          <w:sz w:val="19"/>
          <w:szCs w:val="19"/>
          <w:color w:val="auto"/>
        </w:rPr>
        <w:t>. Except as otherwise provided for pursuant to an effective deferral election under a plan</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Company for such purpose (a “</w:t>
      </w:r>
      <w:r>
        <w:rPr>
          <w:rFonts w:ascii="Arial" w:cs="Arial" w:eastAsia="Arial" w:hAnsi="Arial"/>
          <w:sz w:val="19"/>
          <w:szCs w:val="19"/>
          <w:b w:val="1"/>
          <w:bCs w:val="1"/>
          <w:i w:val="1"/>
          <w:iCs w:val="1"/>
          <w:color w:val="auto"/>
        </w:rPr>
        <w:t>deferred compensation plan</w:t>
      </w:r>
      <w:r>
        <w:rPr>
          <w:rFonts w:ascii="Arial" w:cs="Arial" w:eastAsia="Arial" w:hAnsi="Arial"/>
          <w:sz w:val="19"/>
          <w:szCs w:val="19"/>
          <w:color w:val="auto"/>
        </w:rPr>
        <w:t>”), as soon as practicable, and not more than 30 days, after the date any Restricted Stock Units subject to the Award become vested, in whole or in part, the Company shall issue or deliver to you, subject to the conditions of this Award Agreement, a number of shares of Common Stock equal to the number of Restricted Stock Units that have become vested.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Section 9.</w:t>
      </w:r>
    </w:p>
    <w:p>
      <w:pPr>
        <w:spacing w:after="0" w:line="174" w:lineRule="exact"/>
        <w:rPr>
          <w:rFonts w:ascii="Arial" w:cs="Arial" w:eastAsia="Arial" w:hAnsi="Arial"/>
          <w:sz w:val="19"/>
          <w:szCs w:val="19"/>
          <w:b w:val="1"/>
          <w:bCs w:val="1"/>
          <w:color w:val="auto"/>
        </w:rPr>
      </w:pPr>
    </w:p>
    <w:p>
      <w:pPr>
        <w:jc w:val="both"/>
        <w:ind w:firstLine="871"/>
        <w:spacing w:after="0" w:line="245" w:lineRule="auto"/>
        <w:tabs>
          <w:tab w:leader="none" w:pos="1653"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Award Confers No Rights as Stockholder</w:t>
      </w:r>
      <w:r>
        <w:rPr>
          <w:rFonts w:ascii="Arial" w:cs="Arial" w:eastAsia="Arial" w:hAnsi="Arial"/>
          <w:sz w:val="20"/>
          <w:szCs w:val="20"/>
          <w:color w:val="auto"/>
        </w:rPr>
        <w:t>. You shall not be entitled to any privileges of ownership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subject to the Award unless and until such shares are issued following the vesting of the Award, in whole or in part, and you become a stockholder of record with respect to such issued shares. You shall not be considered a stockholder of the Company with respect to any such shares not so issued.</w:t>
      </w:r>
    </w:p>
    <w:p>
      <w:pPr>
        <w:spacing w:after="0" w:line="184" w:lineRule="exact"/>
        <w:rPr>
          <w:rFonts w:ascii="Arial" w:cs="Arial" w:eastAsia="Arial" w:hAnsi="Arial"/>
          <w:sz w:val="20"/>
          <w:szCs w:val="20"/>
          <w:b w:val="1"/>
          <w:bCs w:val="1"/>
          <w:color w:val="auto"/>
        </w:rPr>
      </w:pPr>
    </w:p>
    <w:p>
      <w:pPr>
        <w:jc w:val="both"/>
        <w:ind w:firstLine="871"/>
        <w:spacing w:after="0" w:line="243" w:lineRule="auto"/>
        <w:tabs>
          <w:tab w:leader="none" w:pos="1653"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 Your Award is not an employment or service contract, and nothing in your Award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to create in any way whatsoever any obligation on your part to continue in the employ or service of the Company or an affiliate, or of the Company or an affiliate to continue your employment or service. In addition, nothing in your Award will obligate the Company or an affiliate, their respective stockholders, boards of directors, officers or employees to continue any relationship that you might have as a director or consultant for the Company or an affiliate.</w:t>
      </w:r>
    </w:p>
    <w:p>
      <w:pPr>
        <w:spacing w:after="0" w:line="186" w:lineRule="exact"/>
        <w:rPr>
          <w:rFonts w:ascii="Arial" w:cs="Arial" w:eastAsia="Arial" w:hAnsi="Arial"/>
          <w:sz w:val="20"/>
          <w:szCs w:val="20"/>
          <w:b w:val="1"/>
          <w:bCs w:val="1"/>
          <w:color w:val="auto"/>
        </w:rPr>
      </w:pPr>
    </w:p>
    <w:p>
      <w:pPr>
        <w:ind w:left="1660" w:hanging="789"/>
        <w:spacing w:after="0"/>
        <w:tabs>
          <w:tab w:leader="none" w:pos="1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Obligations</w:t>
      </w:r>
      <w:r>
        <w:rPr>
          <w:rFonts w:ascii="Arial" w:cs="Arial" w:eastAsia="Arial" w:hAnsi="Arial"/>
          <w:sz w:val="20"/>
          <w:szCs w:val="20"/>
          <w:color w:val="auto"/>
        </w:rPr>
        <w:t>.</w:t>
      </w:r>
    </w:p>
    <w:p>
      <w:pPr>
        <w:spacing w:after="0" w:line="230" w:lineRule="exact"/>
        <w:rPr>
          <w:rFonts w:ascii="Arial" w:cs="Arial" w:eastAsia="Arial" w:hAnsi="Arial"/>
          <w:sz w:val="20"/>
          <w:szCs w:val="20"/>
          <w:b w:val="1"/>
          <w:bCs w:val="1"/>
          <w:color w:val="auto"/>
        </w:rPr>
      </w:pPr>
    </w:p>
    <w:p>
      <w:pPr>
        <w:jc w:val="both"/>
        <w:ind w:firstLine="1735"/>
        <w:spacing w:after="0" w:line="271" w:lineRule="auto"/>
        <w:tabs>
          <w:tab w:leader="none" w:pos="2619" w:val="left"/>
        </w:tabs>
        <w:numPr>
          <w:ilvl w:val="1"/>
          <w:numId w:val="23"/>
        </w:numPr>
        <w:rPr>
          <w:rFonts w:ascii="Arial" w:cs="Arial" w:eastAsia="Arial" w:hAnsi="Arial"/>
          <w:sz w:val="19"/>
          <w:szCs w:val="19"/>
          <w:b w:val="1"/>
          <w:bCs w:val="1"/>
          <w:color w:val="auto"/>
        </w:rPr>
      </w:pPr>
      <w:r>
        <w:rPr>
          <w:rFonts w:ascii="Arial" w:cs="Arial" w:eastAsia="Arial" w:hAnsi="Arial"/>
          <w:sz w:val="18"/>
          <w:szCs w:val="18"/>
          <w:color w:val="auto"/>
        </w:rPr>
        <w:t>As a condition precedent to the issuance of Common Stock following the vesting of the Award, you shall, upon request by the Company, pay to the Company such amount as the Company determines is required, under all applicable federal, state, local or other laws or regulations, to be withheld and paid over as income or other withholding taxes (the “</w:t>
      </w:r>
      <w:r>
        <w:rPr>
          <w:rFonts w:ascii="Arial" w:cs="Arial" w:eastAsia="Arial" w:hAnsi="Arial"/>
          <w:sz w:val="18"/>
          <w:szCs w:val="18"/>
          <w:b w:val="1"/>
          <w:bCs w:val="1"/>
          <w:i w:val="1"/>
          <w:iCs w:val="1"/>
          <w:color w:val="auto"/>
        </w:rPr>
        <w:t>Required Tax Payments</w:t>
      </w:r>
      <w:r>
        <w:rPr>
          <w:rFonts w:ascii="Arial" w:cs="Arial" w:eastAsia="Arial" w:hAnsi="Arial"/>
          <w:sz w:val="18"/>
          <w:szCs w:val="18"/>
          <w:color w:val="auto"/>
        </w:rPr>
        <w:t>”) with respect to vesting of the Award. If you shall fail to advance the Required Tax Payments after request by the Company, the Company may, in its discretion, deduct any Required Tax Payments from any amount then or thereafter payable by the Company to you.</w:t>
      </w:r>
    </w:p>
    <w:p>
      <w:pPr>
        <w:spacing w:after="0" w:line="182" w:lineRule="exact"/>
        <w:rPr>
          <w:rFonts w:ascii="Arial" w:cs="Arial" w:eastAsia="Arial" w:hAnsi="Arial"/>
          <w:sz w:val="19"/>
          <w:szCs w:val="19"/>
          <w:b w:val="1"/>
          <w:bCs w:val="1"/>
          <w:color w:val="auto"/>
        </w:rPr>
      </w:pPr>
    </w:p>
    <w:p>
      <w:pPr>
        <w:ind w:firstLine="1735"/>
        <w:spacing w:after="0" w:line="244" w:lineRule="auto"/>
        <w:tabs>
          <w:tab w:leader="none" w:pos="2631" w:val="left"/>
        </w:tabs>
        <w:numPr>
          <w:ilvl w:val="1"/>
          <w:numId w:val="23"/>
        </w:numPr>
        <w:rPr>
          <w:rFonts w:ascii="Arial" w:cs="Arial" w:eastAsia="Arial" w:hAnsi="Arial"/>
          <w:sz w:val="21"/>
          <w:szCs w:val="21"/>
          <w:b w:val="1"/>
          <w:bCs w:val="1"/>
          <w:color w:val="auto"/>
        </w:rPr>
      </w:pPr>
      <w:r>
        <w:rPr>
          <w:rFonts w:ascii="Arial" w:cs="Arial" w:eastAsia="Arial" w:hAnsi="Arial"/>
          <w:sz w:val="20"/>
          <w:szCs w:val="20"/>
          <w:color w:val="auto"/>
        </w:rPr>
        <w:t>You may elect to satisfy your obligation to advance the Required Tax Payments by any of the following means: (i) a cash payment to the Company; (ii) to the extent permitted by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1761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3" w:name="page44"/>
    <w:bookmarkEnd w:id="43"/>
    <w:p>
      <w:pPr>
        <w:jc w:val="both"/>
        <w:spacing w:after="0" w:line="284" w:lineRule="auto"/>
        <w:rPr>
          <w:sz w:val="20"/>
          <w:szCs w:val="20"/>
          <w:color w:val="auto"/>
        </w:rPr>
      </w:pPr>
      <w:r>
        <w:rPr>
          <w:rFonts w:ascii="Arial" w:cs="Arial" w:eastAsia="Arial" w:hAnsi="Arial"/>
          <w:sz w:val="17"/>
          <w:szCs w:val="17"/>
          <w:color w:val="auto"/>
        </w:rPr>
        <w:t>Company,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Arial" w:cs="Arial" w:eastAsia="Arial" w:hAnsi="Arial"/>
          <w:sz w:val="17"/>
          <w:szCs w:val="17"/>
          <w:b w:val="1"/>
          <w:bCs w:val="1"/>
          <w:i w:val="1"/>
          <w:iCs w:val="1"/>
          <w:color w:val="auto"/>
        </w:rPr>
        <w:t>Tax Date</w:t>
      </w:r>
      <w:r>
        <w:rPr>
          <w:rFonts w:ascii="Arial" w:cs="Arial" w:eastAsia="Arial" w:hAnsi="Arial"/>
          <w:sz w:val="17"/>
          <w:szCs w:val="17"/>
          <w:color w:val="auto"/>
        </w:rPr>
        <w:t>”), equal to the Required Tax Payments; (iii) to the extent permitted by the Company, authorizing the Company to withhold whole shares of Common Stock which would otherwise be delivered to you upon the vesting of the Award having an aggregate Fair Market Value, determined as of the Tax Date, equal to the Required Tax Payments; (iv) arranging for a Company-designated broker to sell on the market a portion of the otherwise issuable vested shares of Common Stock that have an aggregate market value sufficient to pay the Required Tax Payments on your behalf and at your direction pursuant to this authorization, or (v) any combination of (i), (ii) and (iii). Notwithstanding the foregoing, if you are subject to Section 16 of the Exchange Act, the Required Tax Payments shall be satisfied pursuant to clause (iv) above unless the Committee determines otherwise.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or certificate representing a share of Common Stock shall be issued or delivered until the Required Tax Payments have been satisfied in full.</w:t>
      </w:r>
    </w:p>
    <w:p>
      <w:pPr>
        <w:spacing w:after="0" w:line="157" w:lineRule="exact"/>
        <w:rPr>
          <w:sz w:val="20"/>
          <w:szCs w:val="20"/>
          <w:color w:val="auto"/>
        </w:rPr>
      </w:pPr>
    </w:p>
    <w:p>
      <w:pPr>
        <w:jc w:val="both"/>
        <w:ind w:firstLine="871"/>
        <w:spacing w:after="0" w:line="315" w:lineRule="auto"/>
        <w:tabs>
          <w:tab w:leader="none" w:pos="1751"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Tax Consequences</w:t>
      </w:r>
      <w:r>
        <w:rPr>
          <w:rFonts w:ascii="Arial" w:cs="Arial" w:eastAsia="Arial" w:hAnsi="Arial"/>
          <w:sz w:val="17"/>
          <w:szCs w:val="17"/>
          <w:color w:val="auto"/>
        </w:rPr>
        <w:t>. You hereby agree that the Company does not have a duty to design or administer the Plan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compensation programs in a manner that minimizes your tax liabilities. You will not make any claim against the Company, or any of its officers, directors, employees, affiliates or representatives related to tax liabilities arising from your Award or your other compensation.</w:t>
      </w:r>
    </w:p>
    <w:p>
      <w:pPr>
        <w:spacing w:after="0" w:line="126" w:lineRule="exact"/>
        <w:rPr>
          <w:rFonts w:ascii="Arial" w:cs="Arial" w:eastAsia="Arial" w:hAnsi="Arial"/>
          <w:sz w:val="17"/>
          <w:szCs w:val="17"/>
          <w:b w:val="1"/>
          <w:bCs w:val="1"/>
          <w:color w:val="auto"/>
        </w:rPr>
      </w:pPr>
    </w:p>
    <w:p>
      <w:pPr>
        <w:jc w:val="both"/>
        <w:ind w:firstLine="871"/>
        <w:spacing w:after="0" w:line="241" w:lineRule="auto"/>
        <w:tabs>
          <w:tab w:leader="none" w:pos="174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Any notices provided for in your Award or the Plan will be given in writing (including electronically) and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8" w:lineRule="exact"/>
        <w:rPr>
          <w:rFonts w:ascii="Arial" w:cs="Arial" w:eastAsia="Arial" w:hAnsi="Arial"/>
          <w:sz w:val="20"/>
          <w:szCs w:val="20"/>
          <w:b w:val="1"/>
          <w:bCs w:val="1"/>
          <w:color w:val="auto"/>
        </w:rPr>
      </w:pPr>
    </w:p>
    <w:p>
      <w:pPr>
        <w:jc w:val="both"/>
        <w:ind w:firstLine="871"/>
        <w:spacing w:after="0" w:line="250" w:lineRule="auto"/>
        <w:tabs>
          <w:tab w:leader="none" w:pos="1751"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Decisions of Board or Committee</w:t>
      </w:r>
      <w:r>
        <w:rPr>
          <w:rFonts w:ascii="Arial" w:cs="Arial" w:eastAsia="Arial" w:hAnsi="Arial"/>
          <w:sz w:val="20"/>
          <w:szCs w:val="20"/>
          <w:color w:val="auto"/>
        </w:rPr>
        <w:t>. The Board or the Committee shall have the right to resolve all questions which may</w:t>
      </w:r>
      <w:r>
        <w:rPr>
          <w:rFonts w:ascii="Arial" w:cs="Arial" w:eastAsia="Arial" w:hAnsi="Arial"/>
          <w:sz w:val="20"/>
          <w:szCs w:val="20"/>
          <w:b w:val="1"/>
          <w:bCs w:val="1"/>
          <w:color w:val="auto"/>
        </w:rPr>
        <w:t xml:space="preserve"> </w:t>
      </w:r>
      <w:r>
        <w:rPr>
          <w:rFonts w:ascii="Arial" w:cs="Arial" w:eastAsia="Arial" w:hAnsi="Arial"/>
          <w:sz w:val="20"/>
          <w:szCs w:val="20"/>
          <w:color w:val="auto"/>
        </w:rPr>
        <w:t>arise in connection with the Award. Any interpretation, determination or other action made or taken by the Board or the Committee regarding the Plan or this Award Agreement shall be final, binding and conclusive.</w:t>
      </w:r>
    </w:p>
    <w:p>
      <w:pPr>
        <w:spacing w:after="0" w:line="177" w:lineRule="exact"/>
        <w:rPr>
          <w:rFonts w:ascii="Arial" w:cs="Arial" w:eastAsia="Arial" w:hAnsi="Arial"/>
          <w:sz w:val="20"/>
          <w:szCs w:val="20"/>
          <w:b w:val="1"/>
          <w:bCs w:val="1"/>
          <w:color w:val="auto"/>
        </w:rPr>
      </w:pPr>
    </w:p>
    <w:p>
      <w:pPr>
        <w:jc w:val="both"/>
        <w:ind w:firstLine="871"/>
        <w:spacing w:after="0" w:line="250" w:lineRule="auto"/>
        <w:tabs>
          <w:tab w:leader="none" w:pos="1751"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Award Agreement shall be binding upon and inure to the benefit of any successor or successors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any person or persons who shall, upon your death, acquire any rights hereunder in accordance with this Award Agreement or the Plan.</w:t>
      </w:r>
    </w:p>
    <w:p>
      <w:pPr>
        <w:spacing w:after="0" w:line="177" w:lineRule="exact"/>
        <w:rPr>
          <w:rFonts w:ascii="Arial" w:cs="Arial" w:eastAsia="Arial" w:hAnsi="Arial"/>
          <w:sz w:val="20"/>
          <w:szCs w:val="20"/>
          <w:b w:val="1"/>
          <w:bCs w:val="1"/>
          <w:color w:val="auto"/>
        </w:rPr>
      </w:pPr>
    </w:p>
    <w:p>
      <w:pPr>
        <w:jc w:val="both"/>
        <w:ind w:firstLine="871"/>
        <w:spacing w:after="0" w:line="293" w:lineRule="auto"/>
        <w:tabs>
          <w:tab w:leader="none" w:pos="1751"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Protected Rights</w:t>
      </w:r>
      <w:r>
        <w:rPr>
          <w:rFonts w:ascii="Arial" w:cs="Arial" w:eastAsia="Arial" w:hAnsi="Arial"/>
          <w:sz w:val="17"/>
          <w:szCs w:val="17"/>
          <w:color w:val="auto"/>
        </w:rPr>
        <w:t>. Pursuant to 18 U.S.C. § 1833(b), “an individual shall not be held criminally or civilly liable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 Federal, State, and local government officials, or to an attorney, for the sole purpose of reporting or investigating a suspected violation of law. You also have the right to disclose trade secrets in a document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1761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9"/>
          <w:szCs w:val="19"/>
          <w:color w:val="auto"/>
        </w:rPr>
        <w:t>filed in a lawsuit or other proceeding, but only if the filing is made under seal and protected from public disclosure. Nothing in this Award Agreement is intended to conflict with 18 U.S.C. § 1833(b) or create liability for disclosures of trade secrets that are expressly allowed by 18 U.S.C. § 1833(b). You understand that nothing contained in this Award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You further understand that this Award Agreement does not limit your ability to communicate with any Government Agencies or otherwise participate in any investigation or proceeding that may be conducted by any Government Agency, including providing documents or other information, without notice to the Company. This Award Agreement does not limit your right to receive an award for information provided to any Government Agencies.</w:t>
      </w:r>
    </w:p>
    <w:p>
      <w:pPr>
        <w:spacing w:after="0" w:line="181" w:lineRule="exact"/>
        <w:rPr>
          <w:sz w:val="20"/>
          <w:szCs w:val="20"/>
          <w:color w:val="auto"/>
        </w:rPr>
      </w:pPr>
    </w:p>
    <w:p>
      <w:pPr>
        <w:jc w:val="both"/>
        <w:ind w:firstLine="871"/>
        <w:spacing w:after="0" w:line="245" w:lineRule="auto"/>
        <w:tabs>
          <w:tab w:leader="none" w:pos="1751"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Plan Document</w:t>
      </w:r>
      <w:r>
        <w:rPr>
          <w:rFonts w:ascii="Arial" w:cs="Arial" w:eastAsia="Arial" w:hAnsi="Arial"/>
          <w:sz w:val="20"/>
          <w:szCs w:val="20"/>
          <w:color w:val="auto"/>
        </w:rPr>
        <w:t>. Your Award is subject to all the provisions of the Plan, the provisions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1761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ATTACHMENT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Equity Incentive Plan</w:t>
      </w:r>
    </w:p>
    <w:p>
      <w:pPr>
        <w:sectPr>
          <w:pgSz w:w="11900" w:h="16838" w:orient="portrait"/>
          <w:cols w:equalWidth="0" w:num="1">
            <w:col w:w="9019"/>
          </w:cols>
          <w:pgMar w:left="1440" w:top="545"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10.37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NON-EXCLUSIVE LICENSE AGREEMENT</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first amendment (“</w:t>
      </w:r>
      <w:r>
        <w:rPr>
          <w:rFonts w:ascii="Arial" w:cs="Arial" w:eastAsia="Arial" w:hAnsi="Arial"/>
          <w:sz w:val="18"/>
          <w:szCs w:val="18"/>
          <w:b w:val="1"/>
          <w:bCs w:val="1"/>
          <w:color w:val="auto"/>
        </w:rPr>
        <w:t>Amendment</w:t>
      </w:r>
      <w:r>
        <w:rPr>
          <w:rFonts w:ascii="Arial" w:cs="Arial" w:eastAsia="Arial" w:hAnsi="Arial"/>
          <w:sz w:val="18"/>
          <w:szCs w:val="18"/>
          <w:color w:val="auto"/>
        </w:rPr>
        <w:t>”) is effective May 24, 2021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is made pursuant to the Non-Exclusive License Agreement dated August 1, 2019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Bio-Rad Laboratories, Inc., having an address at 1000 Alfred Nobel Drive, Hercules, California 94547 (“</w:t>
      </w:r>
      <w:r>
        <w:rPr>
          <w:rFonts w:ascii="Arial" w:cs="Arial" w:eastAsia="Arial" w:hAnsi="Arial"/>
          <w:sz w:val="18"/>
          <w:szCs w:val="18"/>
          <w:b w:val="1"/>
          <w:bCs w:val="1"/>
          <w:color w:val="auto"/>
        </w:rPr>
        <w:t>Bio-Rad</w:t>
      </w:r>
      <w:r>
        <w:rPr>
          <w:rFonts w:ascii="Arial" w:cs="Arial" w:eastAsia="Arial" w:hAnsi="Arial"/>
          <w:sz w:val="18"/>
          <w:szCs w:val="18"/>
          <w:color w:val="auto"/>
        </w:rPr>
        <w:t>”) and Biodesix, Inc., a Delaware corporation, with a principal business address at 2970 Wilderness Place, Suite 100 Boulder, CO 80301, USA (“</w:t>
      </w:r>
      <w:r>
        <w:rPr>
          <w:rFonts w:ascii="Arial" w:cs="Arial" w:eastAsia="Arial" w:hAnsi="Arial"/>
          <w:sz w:val="18"/>
          <w:szCs w:val="18"/>
          <w:b w:val="1"/>
          <w:bCs w:val="1"/>
          <w:color w:val="auto"/>
        </w:rPr>
        <w:t>Biodesix</w:t>
      </w:r>
      <w:r>
        <w:rPr>
          <w:rFonts w:ascii="Arial" w:cs="Arial" w:eastAsia="Arial" w:hAnsi="Arial"/>
          <w:sz w:val="18"/>
          <w:szCs w:val="18"/>
          <w:color w:val="auto"/>
        </w:rPr>
        <w:t>”) (individually, a “Party”; collectively,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have agreed that, effective May 1, 2021, Biodesix shall not be required to pay a royalty as required by the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Parties agree as follows:</w:t>
      </w:r>
    </w:p>
    <w:p>
      <w:pPr>
        <w:spacing w:after="0" w:line="181" w:lineRule="exact"/>
        <w:rPr>
          <w:sz w:val="20"/>
          <w:szCs w:val="20"/>
          <w:color w:val="auto"/>
        </w:rPr>
      </w:pPr>
    </w:p>
    <w:p>
      <w:pPr>
        <w:ind w:left="540" w:hanging="187"/>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4 of the Agreement is amended and replaced with “intentionally omitted.”</w:t>
      </w:r>
    </w:p>
    <w:p>
      <w:pPr>
        <w:spacing w:after="0" w:line="180" w:lineRule="exact"/>
        <w:rPr>
          <w:rFonts w:ascii="Arial" w:cs="Arial" w:eastAsia="Arial" w:hAnsi="Arial"/>
          <w:sz w:val="18"/>
          <w:szCs w:val="18"/>
          <w:color w:val="auto"/>
        </w:rPr>
      </w:pPr>
    </w:p>
    <w:p>
      <w:pPr>
        <w:ind w:left="540" w:hanging="187"/>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5.1 of the Agreement, which describes the royalty reporting, is amended and replaced with “intentionally omitted.”</w:t>
      </w:r>
    </w:p>
    <w:p>
      <w:pPr>
        <w:spacing w:after="0" w:line="194" w:lineRule="exact"/>
        <w:rPr>
          <w:rFonts w:ascii="Arial" w:cs="Arial" w:eastAsia="Arial" w:hAnsi="Arial"/>
          <w:sz w:val="18"/>
          <w:szCs w:val="18"/>
          <w:color w:val="auto"/>
        </w:rPr>
      </w:pPr>
    </w:p>
    <w:p>
      <w:pPr>
        <w:ind w:left="540" w:hanging="187"/>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Capitalized terms used in this First Amendment and not defined herein, have the definitions found in the Agreement.</w:t>
      </w:r>
    </w:p>
    <w:p>
      <w:pPr>
        <w:spacing w:after="0" w:line="180" w:lineRule="exact"/>
        <w:rPr>
          <w:rFonts w:ascii="Arial" w:cs="Arial" w:eastAsia="Arial" w:hAnsi="Arial"/>
          <w:sz w:val="18"/>
          <w:szCs w:val="18"/>
          <w:color w:val="auto"/>
        </w:rPr>
      </w:pPr>
    </w:p>
    <w:p>
      <w:pPr>
        <w:jc w:val="both"/>
        <w:ind w:left="360" w:hanging="7"/>
        <w:spacing w:after="0" w:line="281" w:lineRule="auto"/>
        <w:tabs>
          <w:tab w:leader="none" w:pos="55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other terms of the Agreement remain in full force and effect. Except as explicitly stated in this Amendment, this Amendment shall not act as a waiver of any other right or claim held by either party. This Amendment may only be modified by a written instrument executed by both Parties. If there is an inconsistency between the Agreement and this Amendment, the terms of this Amendment shall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Parties executed this First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gridSpan w:val="2"/>
          </w:tcPr>
          <w:p>
            <w:pPr>
              <w:spacing w:after="0"/>
              <w:rPr>
                <w:sz w:val="20"/>
                <w:szCs w:val="20"/>
                <w:color w:val="auto"/>
              </w:rPr>
            </w:pPr>
            <w:r>
              <w:rPr>
                <w:rFonts w:ascii="Arial" w:cs="Arial" w:eastAsia="Arial" w:hAnsi="Arial"/>
                <w:sz w:val="18"/>
                <w:szCs w:val="18"/>
                <w:color w:val="auto"/>
              </w:rPr>
              <w:t>Bio-Rad Laboratories, Inc.</w:t>
            </w:r>
          </w:p>
        </w:tc>
        <w:tc>
          <w:tcPr>
            <w:tcW w:w="5960" w:type="dxa"/>
            <w:vAlign w:val="bottom"/>
            <w:gridSpan w:val="3"/>
          </w:tcPr>
          <w:p>
            <w:pPr>
              <w:ind w:left="700"/>
              <w:spacing w:after="0"/>
              <w:rPr>
                <w:sz w:val="20"/>
                <w:szCs w:val="20"/>
                <w:color w:val="auto"/>
              </w:rPr>
            </w:pPr>
            <w:r>
              <w:rPr>
                <w:rFonts w:ascii="Arial" w:cs="Arial" w:eastAsia="Arial" w:hAnsi="Arial"/>
                <w:sz w:val="18"/>
                <w:szCs w:val="18"/>
                <w:color w:val="auto"/>
              </w:rPr>
              <w:t>Biodesix, Inc.</w:t>
            </w:r>
          </w:p>
        </w:tc>
      </w:tr>
      <w:tr>
        <w:trPr>
          <w:trHeight w:val="4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Shinoff</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43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Josh Shinoff</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435"/>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Business Development, LSG &amp; DBG</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ectPr>
          <w:pgSz w:w="11900" w:h="16838" w:orient="portrait"/>
          <w:cols w:equalWidth="0" w:num="1">
            <w:col w:w="11240"/>
          </w:cols>
          <w:pgMar w:left="320" w:top="121" w:right="339" w:bottom="1440" w:gutter="0" w:footer="0" w:header="0"/>
        </w:sectPr>
      </w:pPr>
    </w:p>
    <w:bookmarkStart w:id="47" w:name="page48"/>
    <w:bookmarkEnd w:id="47"/>
    <w:p>
      <w:pPr>
        <w:ind w:left="10240"/>
        <w:spacing w:after="0"/>
        <w:rPr>
          <w:sz w:val="20"/>
          <w:szCs w:val="20"/>
          <w:color w:val="auto"/>
        </w:rPr>
      </w:pPr>
      <w:r>
        <w:rPr>
          <w:rFonts w:ascii="Arial" w:cs="Arial" w:eastAsia="Arial" w:hAnsi="Arial"/>
          <w:sz w:val="16"/>
          <w:szCs w:val="16"/>
          <w:b w:val="1"/>
          <w:bCs w:val="1"/>
          <w:color w:val="auto"/>
        </w:rPr>
        <w:t>Exhibit 10.38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2 TO ASSET PURCHASE AGREEMENT AND PLAN OF REORGANIZATION</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Amendment No. 2 to Asset Purchase Agreement and Plan of Reorganization (this “</w:t>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is made and entered into as of August 9, 2021, and amends that certain Asset Purchase Agreement and Plan of Reorganization, dated June 30, 2018, by and among Biodesix,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Integrated Diagnostics, Inc. (“</w:t>
      </w:r>
      <w:r>
        <w:rPr>
          <w:rFonts w:ascii="Arial" w:cs="Arial" w:eastAsia="Arial" w:hAnsi="Arial"/>
          <w:sz w:val="21"/>
          <w:szCs w:val="21"/>
          <w:b w:val="1"/>
          <w:bCs w:val="1"/>
          <w:u w:val="single" w:color="auto"/>
          <w:color w:val="auto"/>
        </w:rPr>
        <w:t>Seller</w:t>
      </w:r>
      <w:r>
        <w:rPr>
          <w:rFonts w:ascii="Arial" w:cs="Arial" w:eastAsia="Arial" w:hAnsi="Arial"/>
          <w:sz w:val="21"/>
          <w:szCs w:val="21"/>
          <w:color w:val="auto"/>
        </w:rPr>
        <w:t>”); and IND Funding LLC (“</w:t>
      </w:r>
      <w:r>
        <w:rPr>
          <w:rFonts w:ascii="Arial" w:cs="Arial" w:eastAsia="Arial" w:hAnsi="Arial"/>
          <w:sz w:val="21"/>
          <w:szCs w:val="21"/>
          <w:b w:val="1"/>
          <w:bCs w:val="1"/>
          <w:u w:val="single" w:color="auto"/>
          <w:color w:val="auto"/>
        </w:rPr>
        <w:t>Stockholder</w:t>
      </w:r>
      <w:r>
        <w:rPr>
          <w:rFonts w:ascii="Arial" w:cs="Arial" w:eastAsia="Arial" w:hAnsi="Arial"/>
          <w:sz w:val="21"/>
          <w:szCs w:val="21"/>
          <w:color w:val="auto"/>
        </w:rPr>
        <w:t>”), as amended by that certain Amendment No. 1 to Asset Purchase Agreement and Plan of Reorganization dated as of July 29, 2021 (as amended,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Capitalized terms used but not defined in this Amendment have the meanings specified for such capitalized terms in the Agreement.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Section 8.11 of the Agreement, the Agreement may be amended, modified, altered or supplemented by</w:t>
      </w:r>
      <w:r>
        <w:rPr>
          <w:rFonts w:ascii="Arial" w:cs="Arial" w:eastAsia="Arial" w:hAnsi="Arial"/>
          <w:sz w:val="20"/>
          <w:szCs w:val="20"/>
          <w:b w:val="1"/>
          <w:bCs w:val="1"/>
          <w:color w:val="auto"/>
        </w:rPr>
        <w:t xml:space="preserve"> </w:t>
      </w:r>
      <w:r>
        <w:rPr>
          <w:rFonts w:ascii="Arial" w:cs="Arial" w:eastAsia="Arial" w:hAnsi="Arial"/>
          <w:sz w:val="20"/>
          <w:szCs w:val="20"/>
          <w:color w:val="auto"/>
        </w:rPr>
        <w:t>means of a written instrument duly executed and delivered on behalf of the Company, Seller and Stockholder; and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Seller and Stockholder desire to amend the Amendment as set forth below pursuant to its terms.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recitals and the mutual promises, representations, warranties and</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ind w:left="860" w:hanging="853"/>
        <w:spacing w:after="0"/>
        <w:tabs>
          <w:tab w:leader="none" w:pos="860"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4620"/>
        <w:spacing w:after="0" w:line="248" w:lineRule="auto"/>
        <w:rPr>
          <w:sz w:val="20"/>
          <w:szCs w:val="20"/>
          <w:color w:val="auto"/>
        </w:rPr>
      </w:pPr>
      <w:r>
        <w:rPr>
          <w:rFonts w:ascii="Arial" w:cs="Arial" w:eastAsia="Arial" w:hAnsi="Arial"/>
          <w:sz w:val="21"/>
          <w:szCs w:val="21"/>
          <w:u w:val="single" w:color="auto"/>
          <w:color w:val="auto"/>
        </w:rPr>
        <w:t>of Section 1.3</w:t>
      </w:r>
      <w:r>
        <w:rPr>
          <w:rFonts w:ascii="Arial" w:cs="Arial" w:eastAsia="Arial" w:hAnsi="Arial"/>
          <w:sz w:val="21"/>
          <w:szCs w:val="21"/>
          <w:color w:val="auto"/>
        </w:rPr>
        <w:t>. Section 1.3 of the Agreement is hereby amended and restated in its entirety as follows:</w:t>
      </w:r>
    </w:p>
    <w:p>
      <w:pPr>
        <w:jc w:val="both"/>
        <w:ind w:left="174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Price</w:t>
      </w:r>
      <w:r>
        <w:rPr>
          <w:rFonts w:ascii="Arial" w:cs="Arial" w:eastAsia="Arial" w:hAnsi="Arial"/>
          <w:sz w:val="19"/>
          <w:szCs w:val="19"/>
          <w:color w:val="auto"/>
        </w:rPr>
        <w:t>. As consideration for the sale, assignment, transfer, conveyance and delivery of the Transferred Assets to Purchaser, at the Closing (a) Purchaser shall issue to Seller at the Closing an aggregate of 10,649,904 shares of Series G Preferred Stock (the “</w:t>
      </w:r>
      <w:r>
        <w:rPr>
          <w:rFonts w:ascii="Arial" w:cs="Arial" w:eastAsia="Arial" w:hAnsi="Arial"/>
          <w:sz w:val="19"/>
          <w:szCs w:val="19"/>
          <w:b w:val="1"/>
          <w:bCs w:val="1"/>
          <w:color w:val="auto"/>
        </w:rPr>
        <w:t>Closing Shares</w:t>
      </w:r>
      <w:r>
        <w:rPr>
          <w:rFonts w:ascii="Arial" w:cs="Arial" w:eastAsia="Arial" w:hAnsi="Arial"/>
          <w:sz w:val="19"/>
          <w:szCs w:val="19"/>
          <w:color w:val="auto"/>
        </w:rPr>
        <w:t>” or the “</w:t>
      </w:r>
      <w:r>
        <w:rPr>
          <w:rFonts w:ascii="Arial" w:cs="Arial" w:eastAsia="Arial" w:hAnsi="Arial"/>
          <w:sz w:val="19"/>
          <w:szCs w:val="19"/>
          <w:b w:val="1"/>
          <w:bCs w:val="1"/>
          <w:color w:val="auto"/>
        </w:rPr>
        <w:t>Securities</w:t>
      </w:r>
      <w:r>
        <w:rPr>
          <w:rFonts w:ascii="Arial" w:cs="Arial" w:eastAsia="Arial" w:hAnsi="Arial"/>
          <w:sz w:val="19"/>
          <w:szCs w:val="19"/>
          <w:color w:val="auto"/>
        </w:rPr>
        <w:t>”), of which 2,129,981 shares of Series G Preferred Stock will be held by Purchaser pursuant to Section 1.4 and Section 7 hereof (the “</w:t>
      </w:r>
      <w:r>
        <w:rPr>
          <w:rFonts w:ascii="Arial" w:cs="Arial" w:eastAsia="Arial" w:hAnsi="Arial"/>
          <w:sz w:val="19"/>
          <w:szCs w:val="19"/>
          <w:b w:val="1"/>
          <w:bCs w:val="1"/>
          <w:color w:val="auto"/>
        </w:rPr>
        <w:t>Holdback Shares</w:t>
      </w:r>
      <w:r>
        <w:rPr>
          <w:rFonts w:ascii="Arial" w:cs="Arial" w:eastAsia="Arial" w:hAnsi="Arial"/>
          <w:sz w:val="19"/>
          <w:szCs w:val="19"/>
          <w:color w:val="auto"/>
        </w:rPr>
        <w:t>”); (b) when and if the Milestone Event is achieved prior to the seventh anniversary of the date hereof, Purchaser shall pay to Seller (or if Seller has been dissolved at such time, to the Stockholders who have executed a Stockholder Package) the Milestone Payment (as defined below) pursuant to the terms of Section 1.9 hereof, (c) Purchaser shall assume the Assumed Liabilities; and (d) Purchaser shall assume all other liabilities of Seller (other than the Assumed Liabilities) up to an amount equal to the amount of Accrued Wages (subject to adjustment pursuant to Section 5.11) (the “</w:t>
      </w:r>
      <w:r>
        <w:rPr>
          <w:rFonts w:ascii="Arial" w:cs="Arial" w:eastAsia="Arial" w:hAnsi="Arial"/>
          <w:sz w:val="19"/>
          <w:szCs w:val="19"/>
          <w:b w:val="1"/>
          <w:bCs w:val="1"/>
          <w:color w:val="auto"/>
        </w:rPr>
        <w:t>Additional Liabilities</w:t>
      </w:r>
      <w:r>
        <w:rPr>
          <w:rFonts w:ascii="Arial" w:cs="Arial" w:eastAsia="Arial" w:hAnsi="Arial"/>
          <w:sz w:val="19"/>
          <w:szCs w:val="19"/>
          <w:color w:val="auto"/>
        </w:rPr>
        <w:t>”), provided, however, that if the Additional Liabilities assumed by Purchaser are less than the amount of Accrued Wages, then Purchaser shall pay to Seller the difference in cash no later than December 31, 2018 ((a), (b), (c) and (d) collectively, the “</w:t>
      </w:r>
      <w:r>
        <w:rPr>
          <w:rFonts w:ascii="Arial" w:cs="Arial" w:eastAsia="Arial" w:hAnsi="Arial"/>
          <w:sz w:val="19"/>
          <w:szCs w:val="19"/>
          <w:b w:val="1"/>
          <w:bCs w:val="1"/>
          <w:color w:val="auto"/>
        </w:rPr>
        <w:t>Purchase Price</w:t>
      </w:r>
      <w:r>
        <w:rPr>
          <w:rFonts w:ascii="Arial" w:cs="Arial" w:eastAsia="Arial" w:hAnsi="Arial"/>
          <w:sz w:val="19"/>
          <w:szCs w:val="19"/>
          <w:color w:val="auto"/>
        </w:rPr>
        <w:t>”). The Closing Shares (including, for the avoidance of doubt, the Holdback Shares except to the extent forfeited pursuant to Section 7.8) shall be reflected on Purchaser’s books and records as issued at Closing to Seller (and Seller shall have the rights to vote and dividends, if any, paid with respect to such Securities), for which stock certificates will be delivered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305435</wp:posOffset>
            </wp:positionV>
            <wp:extent cx="71761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1740"/>
        <w:spacing w:after="0"/>
        <w:rPr>
          <w:sz w:val="20"/>
          <w:szCs w:val="20"/>
          <w:color w:val="auto"/>
        </w:rPr>
      </w:pPr>
      <w:r>
        <w:rPr>
          <w:rFonts w:ascii="Arial" w:cs="Arial" w:eastAsia="Arial" w:hAnsi="Arial"/>
          <w:sz w:val="20"/>
          <w:szCs w:val="20"/>
          <w:color w:val="auto"/>
        </w:rPr>
        <w:t>Purchaser after Closing (subject to the provisions of this Agreement in the case of the Holdback Shares).”</w:t>
      </w:r>
    </w:p>
    <w:p>
      <w:pPr>
        <w:spacing w:after="0" w:line="200" w:lineRule="exact"/>
        <w:rPr>
          <w:sz w:val="20"/>
          <w:szCs w:val="20"/>
          <w:color w:val="auto"/>
        </w:rPr>
      </w:pPr>
    </w:p>
    <w:p>
      <w:pPr>
        <w:spacing w:after="0" w:line="239" w:lineRule="exact"/>
        <w:rPr>
          <w:sz w:val="20"/>
          <w:szCs w:val="20"/>
          <w:color w:val="auto"/>
        </w:rPr>
      </w:pPr>
    </w:p>
    <w:p>
      <w:pPr>
        <w:ind w:left="860" w:hanging="853"/>
        <w:spacing w:after="0"/>
        <w:tabs>
          <w:tab w:leader="none" w:pos="860" w:val="left"/>
        </w:tabs>
        <w:numPr>
          <w:ilvl w:val="0"/>
          <w:numId w:val="28"/>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4620"/>
        <w:spacing w:after="0" w:line="270" w:lineRule="auto"/>
        <w:rPr>
          <w:sz w:val="20"/>
          <w:szCs w:val="20"/>
          <w:color w:val="auto"/>
        </w:rPr>
      </w:pPr>
      <w:r>
        <w:rPr>
          <w:rFonts w:ascii="Arial" w:cs="Arial" w:eastAsia="Arial" w:hAnsi="Arial"/>
          <w:sz w:val="21"/>
          <w:szCs w:val="21"/>
          <w:u w:val="single" w:color="auto"/>
          <w:color w:val="auto"/>
        </w:rPr>
        <w:t>of Section 1.9</w:t>
      </w:r>
      <w:r>
        <w:rPr>
          <w:rFonts w:ascii="Arial" w:cs="Arial" w:eastAsia="Arial" w:hAnsi="Arial"/>
          <w:sz w:val="21"/>
          <w:szCs w:val="21"/>
          <w:color w:val="auto"/>
        </w:rPr>
        <w:t>. Section 1.9 of the Agreement is hereby amended and restated in its entirety as follows:</w:t>
      </w:r>
    </w:p>
    <w:p>
      <w:pPr>
        <w:spacing w:after="0" w:line="14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Milestone Payment</w:t>
      </w:r>
    </w:p>
    <w:p>
      <w:pPr>
        <w:spacing w:after="0" w:line="219" w:lineRule="exact"/>
        <w:rPr>
          <w:sz w:val="20"/>
          <w:szCs w:val="20"/>
          <w:color w:val="auto"/>
        </w:rPr>
      </w:pPr>
    </w:p>
    <w:p>
      <w:pPr>
        <w:jc w:val="both"/>
        <w:ind w:left="1740" w:hanging="5"/>
        <w:spacing w:after="0" w:line="254" w:lineRule="auto"/>
        <w:tabs>
          <w:tab w:leader="none" w:pos="2631"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General</w:t>
      </w:r>
      <w:r>
        <w:rPr>
          <w:rFonts w:ascii="Arial" w:cs="Arial" w:eastAsia="Arial" w:hAnsi="Arial"/>
          <w:sz w:val="20"/>
          <w:szCs w:val="20"/>
          <w:color w:val="auto"/>
        </w:rPr>
        <w:t>. Subject to the terms and conditions of this Section 1.9, if the Milestone Event is achieved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the seventh anniversary of the date hereof, Purchaser shall pay Seller an aggregate amount equal to $36,999,872.57 (the “</w:t>
      </w:r>
      <w:r>
        <w:rPr>
          <w:rFonts w:ascii="Arial" w:cs="Arial" w:eastAsia="Arial" w:hAnsi="Arial"/>
          <w:sz w:val="20"/>
          <w:szCs w:val="20"/>
          <w:b w:val="1"/>
          <w:bCs w:val="1"/>
          <w:color w:val="auto"/>
        </w:rPr>
        <w:t>Milestone Payment</w:t>
      </w:r>
      <w:r>
        <w:rPr>
          <w:rFonts w:ascii="Arial" w:cs="Arial" w:eastAsia="Arial" w:hAnsi="Arial"/>
          <w:sz w:val="20"/>
          <w:szCs w:val="20"/>
          <w:color w:val="auto"/>
        </w:rPr>
        <w:t>”) in seven total quarterly installments (each, an “</w:t>
      </w:r>
      <w:r>
        <w:rPr>
          <w:rFonts w:ascii="Arial" w:cs="Arial" w:eastAsia="Arial" w:hAnsi="Arial"/>
          <w:sz w:val="20"/>
          <w:szCs w:val="20"/>
          <w:b w:val="1"/>
          <w:bCs w:val="1"/>
          <w:color w:val="auto"/>
        </w:rPr>
        <w:t>Installment</w:t>
      </w:r>
      <w:r>
        <w:rPr>
          <w:rFonts w:ascii="Arial" w:cs="Arial" w:eastAsia="Arial" w:hAnsi="Arial"/>
          <w:sz w:val="20"/>
          <w:szCs w:val="20"/>
          <w:color w:val="auto"/>
        </w:rPr>
        <w:t xml:space="preserve"> </w:t>
      </w:r>
      <w:r>
        <w:rPr>
          <w:rFonts w:ascii="Arial" w:cs="Arial" w:eastAsia="Arial" w:hAnsi="Arial"/>
          <w:sz w:val="20"/>
          <w:szCs w:val="20"/>
          <w:b w:val="1"/>
          <w:bCs w:val="1"/>
          <w:color w:val="auto"/>
        </w:rPr>
        <w:t>Payment</w:t>
      </w:r>
      <w:r>
        <w:rPr>
          <w:rFonts w:ascii="Arial" w:cs="Arial" w:eastAsia="Arial" w:hAnsi="Arial"/>
          <w:sz w:val="20"/>
          <w:szCs w:val="20"/>
          <w:color w:val="auto"/>
        </w:rPr>
        <w:t>”), plus interest as described below, with Installment Payments commencing on January 1, 2022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continuing each calendar quarter thereafter for the next six quarters, with the first six installment payments each being equal to 1/8 of the total Milestone Payment, and the final installment payment being equal to 1/4 of the total Milestone Payment. The date of each such Installment Payment shall be referred to as a “</w:t>
      </w:r>
      <w:r>
        <w:rPr>
          <w:rFonts w:ascii="Arial" w:cs="Arial" w:eastAsia="Arial" w:hAnsi="Arial"/>
          <w:sz w:val="20"/>
          <w:szCs w:val="20"/>
          <w:b w:val="1"/>
          <w:bCs w:val="1"/>
          <w:color w:val="auto"/>
        </w:rPr>
        <w:t>Redemption Date</w:t>
      </w:r>
      <w:r>
        <w:rPr>
          <w:rFonts w:ascii="Arial" w:cs="Arial" w:eastAsia="Arial" w:hAnsi="Arial"/>
          <w:sz w:val="20"/>
          <w:szCs w:val="20"/>
          <w:color w:val="auto"/>
        </w:rPr>
        <w:t>.” Notwithstanding the foregoing payment schedule, Purchaser may elect to pay the remainder of the Milestone Payment in full at any time, and in furtherance of the foregoing if Purchaser incurs any indebtedness for borrowed money on or after August 1, 2021 with a principal amount that is funded equal to or greater than the Milestone Payment installments not yet paid as of such indebtedness funding, then Purchaser shall use commercially reasonable efforts to seek necessary consents (from senior lenders of otherwise) to pay the remainder of the then outstanding Milestone Payment in full at or following the time of incurring such indebtedness for borrowed money.</w:t>
      </w:r>
    </w:p>
    <w:p>
      <w:pPr>
        <w:spacing w:after="0" w:line="176" w:lineRule="exact"/>
        <w:rPr>
          <w:rFonts w:ascii="Arial" w:cs="Arial" w:eastAsia="Arial" w:hAnsi="Arial"/>
          <w:sz w:val="20"/>
          <w:szCs w:val="20"/>
          <w:b w:val="1"/>
          <w:bCs w:val="1"/>
          <w:color w:val="auto"/>
        </w:rPr>
      </w:pPr>
    </w:p>
    <w:p>
      <w:pPr>
        <w:jc w:val="both"/>
        <w:ind w:left="1740" w:hanging="5"/>
        <w:spacing w:after="0" w:line="269" w:lineRule="auto"/>
        <w:tabs>
          <w:tab w:leader="none" w:pos="2643"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Interest</w:t>
      </w:r>
      <w:r>
        <w:rPr>
          <w:rFonts w:ascii="Arial" w:cs="Arial" w:eastAsia="Arial" w:hAnsi="Arial"/>
          <w:sz w:val="19"/>
          <w:szCs w:val="19"/>
          <w:color w:val="auto"/>
        </w:rPr>
        <w:t>. If any Installment Payment for any reason is not made on any Redemption Date, Purchaser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pay interest on the Installment Payment at an aggregate per annum rate equal to 6% (increased to 10% if Purchaser is more than three business days late in making an Installment Payment on a Redemption Date beginning on the date such Installment Payment was due and lasting until the late Installment Payment and any interest thereon has been paid in full), with such interest to accrue daily in arrears beginning January 1, 2022; provided, however, that in no event shall such interest exceed the maximum permitted rate of interest under applicable law (the “</w:t>
      </w:r>
      <w:r>
        <w:rPr>
          <w:rFonts w:ascii="Arial" w:cs="Arial" w:eastAsia="Arial" w:hAnsi="Arial"/>
          <w:sz w:val="19"/>
          <w:szCs w:val="19"/>
          <w:b w:val="1"/>
          <w:bCs w:val="1"/>
          <w:color w:val="auto"/>
        </w:rPr>
        <w:t>Maximum Permitted Rate</w:t>
      </w:r>
      <w:r>
        <w:rPr>
          <w:rFonts w:ascii="Arial" w:cs="Arial" w:eastAsia="Arial" w:hAnsi="Arial"/>
          <w:sz w:val="19"/>
          <w:szCs w:val="19"/>
          <w:color w:val="auto"/>
        </w:rPr>
        <w:t>”), provided, however, that Purchaser shall take all such actions as may be necessary, including without limitation, making any applicable governmental filings, to cause the Maximum Permitted Rate to be the highest possible rate. In the event any provision hereof would result in the rate of interest payable hereunder being in excess of the Maximum Permitted Rate, the amount of interest required to be paid hereunder shall automatically be reduced to eliminate such excess; provided, however, that any subsequent increase in the Maximum Permitted Rate shall be retroactively effective to the applicable Redemption Date to the extent permitted by law. For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1761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9" w:name="page50"/>
    <w:bookmarkEnd w:id="49"/>
    <w:p>
      <w:pPr>
        <w:ind w:left="1740"/>
        <w:spacing w:after="0" w:line="270" w:lineRule="auto"/>
        <w:rPr>
          <w:sz w:val="20"/>
          <w:szCs w:val="20"/>
          <w:color w:val="auto"/>
        </w:rPr>
      </w:pPr>
      <w:r>
        <w:rPr>
          <w:rFonts w:ascii="Arial" w:cs="Arial" w:eastAsia="Arial" w:hAnsi="Arial"/>
          <w:sz w:val="21"/>
          <w:szCs w:val="21"/>
          <w:color w:val="auto"/>
        </w:rPr>
        <w:t>avoidance of doubt, there is no prepayment penalty (and no interest shall be due) if any Installment Payments are paid prior to a required Redemption Date.</w:t>
      </w:r>
    </w:p>
    <w:p>
      <w:pPr>
        <w:spacing w:after="0" w:line="152" w:lineRule="exact"/>
        <w:rPr>
          <w:sz w:val="20"/>
          <w:szCs w:val="20"/>
          <w:color w:val="auto"/>
        </w:rPr>
      </w:pPr>
    </w:p>
    <w:p>
      <w:pPr>
        <w:ind w:left="1740" w:hanging="5"/>
        <w:spacing w:after="0" w:line="270" w:lineRule="auto"/>
        <w:tabs>
          <w:tab w:leader="none" w:pos="2619" w:val="left"/>
        </w:tabs>
        <w:numPr>
          <w:ilvl w:val="1"/>
          <w:numId w:val="30"/>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Nature of Milestone Payment</w:t>
      </w:r>
      <w:r>
        <w:rPr>
          <w:rFonts w:ascii="Arial" w:cs="Arial" w:eastAsia="Arial" w:hAnsi="Arial"/>
          <w:sz w:val="21"/>
          <w:szCs w:val="21"/>
          <w:color w:val="auto"/>
        </w:rPr>
        <w:t>. The Milestone Payment set forth in this Section 1.9 shall be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general, unsecured obligation of Purchaser.”</w:t>
      </w:r>
    </w:p>
    <w:p>
      <w:pPr>
        <w:spacing w:after="0" w:line="366" w:lineRule="exact"/>
        <w:rPr>
          <w:rFonts w:ascii="Arial" w:cs="Arial" w:eastAsia="Arial" w:hAnsi="Arial"/>
          <w:sz w:val="21"/>
          <w:szCs w:val="21"/>
          <w:b w:val="1"/>
          <w:bCs w:val="1"/>
          <w:color w:val="auto"/>
        </w:rPr>
      </w:pPr>
    </w:p>
    <w:p>
      <w:pPr>
        <w:ind w:left="860" w:hanging="853"/>
        <w:spacing w:after="0"/>
        <w:tabs>
          <w:tab w:leader="none" w:pos="860" w:val="left"/>
        </w:tabs>
        <w:numPr>
          <w:ilvl w:val="0"/>
          <w:numId w:val="31"/>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5120"/>
        <w:spacing w:after="0" w:line="270" w:lineRule="auto"/>
        <w:rPr>
          <w:sz w:val="20"/>
          <w:szCs w:val="20"/>
          <w:color w:val="auto"/>
        </w:rPr>
      </w:pPr>
      <w:r>
        <w:rPr>
          <w:rFonts w:ascii="Arial" w:cs="Arial" w:eastAsia="Arial" w:hAnsi="Arial"/>
          <w:sz w:val="21"/>
          <w:szCs w:val="21"/>
          <w:u w:val="single" w:color="auto"/>
          <w:color w:val="auto"/>
        </w:rPr>
        <w:t>of Section 1.10</w:t>
      </w:r>
      <w:r>
        <w:rPr>
          <w:rFonts w:ascii="Arial" w:cs="Arial" w:eastAsia="Arial" w:hAnsi="Arial"/>
          <w:sz w:val="21"/>
          <w:szCs w:val="21"/>
          <w:color w:val="auto"/>
        </w:rPr>
        <w:t>. Section 1.10 of the Agreement is hereby amended and restated in its entirety as follows:</w:t>
      </w:r>
    </w:p>
    <w:p>
      <w:pPr>
        <w:spacing w:after="0" w:line="360"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Reserved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hanging="853"/>
        <w:spacing w:after="0"/>
        <w:tabs>
          <w:tab w:leader="none" w:pos="860"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5140"/>
        <w:spacing w:after="0" w:line="270" w:lineRule="auto"/>
        <w:rPr>
          <w:sz w:val="20"/>
          <w:szCs w:val="20"/>
          <w:color w:val="auto"/>
        </w:rPr>
      </w:pPr>
      <w:r>
        <w:rPr>
          <w:rFonts w:ascii="Arial" w:cs="Arial" w:eastAsia="Arial" w:hAnsi="Arial"/>
          <w:sz w:val="21"/>
          <w:szCs w:val="21"/>
          <w:u w:val="single" w:color="auto"/>
          <w:color w:val="auto"/>
        </w:rPr>
        <w:t>of Section 1.11</w:t>
      </w:r>
      <w:r>
        <w:rPr>
          <w:rFonts w:ascii="Arial" w:cs="Arial" w:eastAsia="Arial" w:hAnsi="Arial"/>
          <w:sz w:val="21"/>
          <w:szCs w:val="21"/>
          <w:color w:val="auto"/>
        </w:rPr>
        <w:t>. Section 1.11 of the Agreement is hereby amended and restated in its entirety as follows:</w:t>
      </w:r>
    </w:p>
    <w:p>
      <w:pPr>
        <w:spacing w:after="0" w:line="14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Reserved</w:t>
      </w:r>
      <w:r>
        <w:rPr>
          <w:rFonts w:ascii="Arial" w:cs="Arial" w:eastAsia="Arial" w:hAnsi="Arial"/>
          <w:sz w:val="21"/>
          <w:szCs w:val="21"/>
          <w:color w:val="auto"/>
        </w:rPr>
        <w:t>.”</w:t>
      </w:r>
    </w:p>
    <w:p>
      <w:pPr>
        <w:spacing w:after="0" w:line="200" w:lineRule="exact"/>
        <w:rPr>
          <w:sz w:val="20"/>
          <w:szCs w:val="20"/>
          <w:color w:val="auto"/>
        </w:rPr>
      </w:pPr>
    </w:p>
    <w:p>
      <w:pPr>
        <w:spacing w:after="0" w:line="233" w:lineRule="exact"/>
        <w:rPr>
          <w:sz w:val="20"/>
          <w:szCs w:val="20"/>
          <w:color w:val="auto"/>
        </w:rPr>
      </w:pPr>
    </w:p>
    <w:p>
      <w:pPr>
        <w:ind w:left="860" w:hanging="853"/>
        <w:spacing w:after="0"/>
        <w:tabs>
          <w:tab w:leader="none" w:pos="860"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5120"/>
        <w:spacing w:after="0" w:line="270" w:lineRule="auto"/>
        <w:rPr>
          <w:sz w:val="20"/>
          <w:szCs w:val="20"/>
          <w:color w:val="auto"/>
        </w:rPr>
      </w:pPr>
      <w:r>
        <w:rPr>
          <w:rFonts w:ascii="Arial" w:cs="Arial" w:eastAsia="Arial" w:hAnsi="Arial"/>
          <w:sz w:val="21"/>
          <w:szCs w:val="21"/>
          <w:u w:val="single" w:color="auto"/>
          <w:color w:val="auto"/>
        </w:rPr>
        <w:t>of Section 1.12</w:t>
      </w:r>
      <w:r>
        <w:rPr>
          <w:rFonts w:ascii="Arial" w:cs="Arial" w:eastAsia="Arial" w:hAnsi="Arial"/>
          <w:sz w:val="21"/>
          <w:szCs w:val="21"/>
          <w:color w:val="auto"/>
        </w:rPr>
        <w:t>. Section 1.12 of the Agreement is hereby amended and restated in its entirety as follows:</w:t>
      </w:r>
    </w:p>
    <w:p>
      <w:pPr>
        <w:spacing w:after="0" w:line="360" w:lineRule="exact"/>
        <w:rPr>
          <w:sz w:val="20"/>
          <w:szCs w:val="20"/>
          <w:color w:val="auto"/>
        </w:rPr>
      </w:pPr>
    </w:p>
    <w:p>
      <w:pPr>
        <w:jc w:val="both"/>
        <w:ind w:left="1740"/>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 Distributions</w:t>
      </w:r>
      <w:r>
        <w:rPr>
          <w:rFonts w:ascii="Arial" w:cs="Arial" w:eastAsia="Arial" w:hAnsi="Arial"/>
          <w:sz w:val="20"/>
          <w:szCs w:val="20"/>
          <w:color w:val="auto"/>
        </w:rPr>
        <w:t>. Purchaser hereby covenants to Seller that until all amounts owed and owing to Seller under Section 1.9 (which include, for the avoidance of doubt, all amounts that are owed and accruing but not payable due to the effect of Section 1.11) have been paid in full in cash, Purchaser, either directly or indirectly, will not pay any dividends or make any distribution or payment on account of, or redeem, retire or purchase any capital stock, except that (i) Purchaser may convert any of its convertible securities into other securities pursuant to the terms of such convertible securities or otherwise in exchange thereof, and (ii) Purchaser may pay dividends or distributions solely in its common stock, in each case of (i) and (ii) of this paragraph, as long as no payments in cash are made in connection thereto.”</w:t>
      </w:r>
    </w:p>
    <w:p>
      <w:pPr>
        <w:spacing w:after="0" w:line="168" w:lineRule="exact"/>
        <w:rPr>
          <w:sz w:val="20"/>
          <w:szCs w:val="20"/>
          <w:color w:val="auto"/>
        </w:rPr>
      </w:pPr>
    </w:p>
    <w:p>
      <w:pPr>
        <w:ind w:left="860" w:hanging="853"/>
        <w:spacing w:after="0"/>
        <w:tabs>
          <w:tab w:leader="none" w:pos="860"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4860"/>
        <w:spacing w:after="0" w:line="270" w:lineRule="auto"/>
        <w:rPr>
          <w:sz w:val="20"/>
          <w:szCs w:val="20"/>
          <w:color w:val="auto"/>
        </w:rPr>
      </w:pPr>
      <w:r>
        <w:rPr>
          <w:rFonts w:ascii="Arial" w:cs="Arial" w:eastAsia="Arial" w:hAnsi="Arial"/>
          <w:sz w:val="21"/>
          <w:szCs w:val="21"/>
          <w:u w:val="single" w:color="auto"/>
          <w:color w:val="auto"/>
        </w:rPr>
        <w:t>of Section 7.4(a)</w:t>
      </w:r>
      <w:r>
        <w:rPr>
          <w:rFonts w:ascii="Arial" w:cs="Arial" w:eastAsia="Arial" w:hAnsi="Arial"/>
          <w:sz w:val="21"/>
          <w:szCs w:val="21"/>
          <w:color w:val="auto"/>
        </w:rPr>
        <w:t>. Section 7.4(a) of the Agreement is hereby amended and restated in its entirety as follows:</w:t>
      </w:r>
    </w:p>
    <w:p>
      <w:pPr>
        <w:spacing w:after="0" w:line="152" w:lineRule="exact"/>
        <w:rPr>
          <w:sz w:val="20"/>
          <w:szCs w:val="20"/>
          <w:color w:val="auto"/>
        </w:rPr>
      </w:pPr>
    </w:p>
    <w:p>
      <w:pPr>
        <w:jc w:val="both"/>
        <w:ind w:left="1740"/>
        <w:spacing w:after="0" w:line="246" w:lineRule="auto"/>
        <w:rPr>
          <w:sz w:val="20"/>
          <w:szCs w:val="20"/>
          <w:color w:val="auto"/>
        </w:rPr>
      </w:pPr>
      <w:r>
        <w:rPr>
          <w:rFonts w:ascii="Arial" w:cs="Arial" w:eastAsia="Arial" w:hAnsi="Arial"/>
          <w:sz w:val="21"/>
          <w:szCs w:val="21"/>
          <w:color w:val="auto"/>
        </w:rPr>
        <w:t>“Except in the case of Fraud, recovery from the Holdback Shares and setoff against, or recovery of, 20% of the Milestone Payment (which such remedies shall not be cumulative) shall be the Purchaser Indemnitees’ sole and exclusive remedy for monetary Damages resulting from the matters referred to in Sections 7.2(a) and 7.2(h) (as such Section 7.2(h) relates to Section 7.2(a)); provided, that, the foregoing shall not apply with respect to any breach of the Specified Representations.”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1761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0" w:name="page51"/>
    <w:bookmarkEnd w:id="50"/>
    <w:p>
      <w:pPr>
        <w:ind w:left="860" w:hanging="853"/>
        <w:spacing w:after="0"/>
        <w:tabs>
          <w:tab w:leader="none" w:pos="860" w:val="left"/>
        </w:tabs>
        <w:numPr>
          <w:ilvl w:val="0"/>
          <w:numId w:val="35"/>
        </w:numPr>
        <w:rPr>
          <w:rFonts w:ascii="Arial" w:cs="Arial" w:eastAsia="Arial" w:hAnsi="Arial"/>
          <w:sz w:val="21"/>
          <w:szCs w:val="21"/>
          <w:color w:val="010000"/>
        </w:rPr>
      </w:pPr>
      <w:r>
        <w:rPr>
          <w:rFonts w:ascii="Arial" w:cs="Arial" w:eastAsia="Arial" w:hAnsi="Arial"/>
          <w:sz w:val="21"/>
          <w:szCs w:val="21"/>
          <w:u w:val="single" w:color="auto"/>
          <w:color w:val="auto"/>
        </w:rPr>
        <w:t>Amendment</w:t>
      </w:r>
    </w:p>
    <w:p>
      <w:pPr>
        <w:spacing w:after="0" w:line="213" w:lineRule="exact"/>
        <w:rPr>
          <w:sz w:val="20"/>
          <w:szCs w:val="20"/>
          <w:color w:val="auto"/>
        </w:rPr>
      </w:pPr>
    </w:p>
    <w:p>
      <w:pPr>
        <w:ind w:right="5340"/>
        <w:spacing w:after="0" w:line="270" w:lineRule="auto"/>
        <w:rPr>
          <w:sz w:val="20"/>
          <w:szCs w:val="20"/>
          <w:color w:val="auto"/>
        </w:rPr>
      </w:pPr>
      <w:r>
        <w:rPr>
          <w:rFonts w:ascii="Arial" w:cs="Arial" w:eastAsia="Arial" w:hAnsi="Arial"/>
          <w:sz w:val="21"/>
          <w:szCs w:val="21"/>
          <w:u w:val="single" w:color="auto"/>
          <w:color w:val="auto"/>
        </w:rPr>
        <w:t>of Section 7.9</w:t>
      </w:r>
      <w:r>
        <w:rPr>
          <w:rFonts w:ascii="Arial" w:cs="Arial" w:eastAsia="Arial" w:hAnsi="Arial"/>
          <w:sz w:val="21"/>
          <w:szCs w:val="21"/>
          <w:color w:val="auto"/>
        </w:rPr>
        <w:t>. Section 7.9 of the Agreement is hereby amended and restated in its entirety as follows:</w:t>
      </w:r>
    </w:p>
    <w:p>
      <w:pPr>
        <w:spacing w:after="0" w:line="360" w:lineRule="exact"/>
        <w:rPr>
          <w:sz w:val="20"/>
          <w:szCs w:val="20"/>
          <w:color w:val="auto"/>
        </w:rPr>
      </w:pPr>
    </w:p>
    <w:p>
      <w:pPr>
        <w:jc w:val="both"/>
        <w:ind w:left="174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Setoff</w:t>
      </w:r>
      <w:r>
        <w:rPr>
          <w:rFonts w:ascii="Arial" w:cs="Arial" w:eastAsia="Arial" w:hAnsi="Arial"/>
          <w:sz w:val="20"/>
          <w:szCs w:val="20"/>
          <w:color w:val="auto"/>
        </w:rPr>
        <w:t>. In addition to any rights of setoff or other similar rights that Purchaser or any of the Purchaser Indemnitees may have at common law or otherwise, the Purchaser Indemnitees shall have the right to withhold and deduct any sum that is or may be owed to any Purchaser Indemnitee under this Section 7 from the Holdback Shares, Securities and any payments due under Section 1.9. Purchaser shall have the right, exercisable by delivery of written notice to Seller, to set-off against the Holdback Shares and Securities issuable by Parent or Purchaser pursuant to this Agreement, and any payments due under Section 1.9, an amount equal to the aggregate amount of all Damages relating to Unresolved Claims for indemnification made by the Purchaser Indemnitees; provided, however, that if the amount of any Damages relating to claims for indemnification made by the Purchaser Indemnitees that is setoff against the Holdback Shares, Securities or any payments due under Section 1.9 exceeds the amount by which the payments were reduced for such claim, then, subject to the provisions of this Section 7, the Purchaser Indemnitees shall continue to be entitled to indemnification for the amount of such excess.”</w:t>
      </w:r>
    </w:p>
    <w:p>
      <w:pPr>
        <w:spacing w:after="0" w:line="177" w:lineRule="exact"/>
        <w:rPr>
          <w:sz w:val="20"/>
          <w:szCs w:val="20"/>
          <w:color w:val="auto"/>
        </w:rPr>
      </w:pPr>
    </w:p>
    <w:p>
      <w:pPr>
        <w:jc w:val="both"/>
        <w:ind w:firstLine="7"/>
        <w:spacing w:after="0" w:line="246" w:lineRule="auto"/>
        <w:tabs>
          <w:tab w:leader="none" w:pos="802" w:val="left"/>
        </w:tabs>
        <w:numPr>
          <w:ilvl w:val="0"/>
          <w:numId w:val="36"/>
        </w:numPr>
        <w:rPr>
          <w:rFonts w:ascii="Arial" w:cs="Arial" w:eastAsia="Arial" w:hAnsi="Arial"/>
          <w:sz w:val="21"/>
          <w:szCs w:val="21"/>
          <w:color w:val="010000"/>
        </w:rPr>
      </w:pPr>
      <w:r>
        <w:rPr>
          <w:rFonts w:ascii="Arial" w:cs="Arial" w:eastAsia="Arial" w:hAnsi="Arial"/>
          <w:sz w:val="21"/>
          <w:szCs w:val="21"/>
          <w:u w:val="single" w:color="auto"/>
          <w:color w:val="auto"/>
        </w:rPr>
        <w:t>Reference to and Effect on the Agreement</w:t>
      </w:r>
      <w:r>
        <w:rPr>
          <w:rFonts w:ascii="Arial" w:cs="Arial" w:eastAsia="Arial" w:hAnsi="Arial"/>
          <w:sz w:val="21"/>
          <w:szCs w:val="21"/>
          <w:color w:val="auto"/>
        </w:rPr>
        <w:t>. On or after the date hereof, each reference in the Agreement to “this Agreement,” “hereunder,” “herein” or words of like import in the Agreement shall mean and be a reference to the Agreement as amended hereby. No reference to this Amendment need be made in any instrument or document at any time referring to the Agreement, a reference to the Agreement in any such instrument or document to be deemed a reference to the Agreement as amended hereby.</w:t>
      </w:r>
    </w:p>
    <w:p>
      <w:pPr>
        <w:spacing w:after="0" w:line="180" w:lineRule="exact"/>
        <w:rPr>
          <w:rFonts w:ascii="Arial" w:cs="Arial" w:eastAsia="Arial" w:hAnsi="Arial"/>
          <w:sz w:val="21"/>
          <w:szCs w:val="21"/>
          <w:color w:val="010000"/>
        </w:rPr>
      </w:pPr>
    </w:p>
    <w:p>
      <w:pPr>
        <w:ind w:firstLine="7"/>
        <w:spacing w:after="0" w:line="270" w:lineRule="auto"/>
        <w:tabs>
          <w:tab w:leader="none" w:pos="802" w:val="left"/>
        </w:tabs>
        <w:numPr>
          <w:ilvl w:val="0"/>
          <w:numId w:val="36"/>
        </w:numPr>
        <w:rPr>
          <w:rFonts w:ascii="Arial" w:cs="Arial" w:eastAsia="Arial" w:hAnsi="Arial"/>
          <w:sz w:val="21"/>
          <w:szCs w:val="21"/>
          <w:color w:val="010000"/>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set forth herein, the Agreement shall remain in full force and effect in accordance with their terms.</w:t>
      </w:r>
    </w:p>
    <w:p>
      <w:pPr>
        <w:spacing w:after="0" w:line="152" w:lineRule="exact"/>
        <w:rPr>
          <w:rFonts w:ascii="Arial" w:cs="Arial" w:eastAsia="Arial" w:hAnsi="Arial"/>
          <w:sz w:val="21"/>
          <w:szCs w:val="21"/>
          <w:color w:val="010000"/>
        </w:rPr>
      </w:pPr>
    </w:p>
    <w:p>
      <w:pPr>
        <w:jc w:val="both"/>
        <w:ind w:firstLine="7"/>
        <w:spacing w:after="0" w:line="266" w:lineRule="auto"/>
        <w:tabs>
          <w:tab w:leader="none" w:pos="909" w:val="left"/>
        </w:tabs>
        <w:numPr>
          <w:ilvl w:val="0"/>
          <w:numId w:val="36"/>
        </w:numPr>
        <w:rPr>
          <w:rFonts w:ascii="Arial" w:cs="Arial" w:eastAsia="Arial" w:hAnsi="Arial"/>
          <w:sz w:val="20"/>
          <w:szCs w:val="20"/>
          <w:color w:val="010000"/>
        </w:rPr>
      </w:pPr>
      <w:r>
        <w:rPr>
          <w:rFonts w:ascii="Arial" w:cs="Arial" w:eastAsia="Arial" w:hAnsi="Arial"/>
          <w:sz w:val="20"/>
          <w:szCs w:val="20"/>
          <w:u w:val="single" w:color="auto"/>
          <w:color w:val="auto"/>
        </w:rPr>
        <w:t>Counterparts; Electronic or Facsimile Signatures</w:t>
      </w:r>
      <w:r>
        <w:rPr>
          <w:rFonts w:ascii="Arial" w:cs="Arial" w:eastAsia="Arial" w:hAnsi="Arial"/>
          <w:sz w:val="20"/>
          <w:szCs w:val="20"/>
          <w:color w:val="auto"/>
        </w:rPr>
        <w:t>. This Amendment may be executed in any number of counterparts, each of which shall be an original, 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157" w:lineRule="exact"/>
        <w:rPr>
          <w:rFonts w:ascii="Arial" w:cs="Arial" w:eastAsia="Arial" w:hAnsi="Arial"/>
          <w:sz w:val="20"/>
          <w:szCs w:val="20"/>
          <w:color w:val="010000"/>
        </w:rPr>
      </w:pPr>
    </w:p>
    <w:p>
      <w:pPr>
        <w:ind w:firstLine="7"/>
        <w:spacing w:after="0" w:line="295" w:lineRule="auto"/>
        <w:tabs>
          <w:tab w:leader="none" w:pos="901" w:val="left"/>
        </w:tabs>
        <w:numPr>
          <w:ilvl w:val="0"/>
          <w:numId w:val="36"/>
        </w:numPr>
        <w:rPr>
          <w:rFonts w:ascii="Arial" w:cs="Arial" w:eastAsia="Arial" w:hAnsi="Arial"/>
          <w:sz w:val="20"/>
          <w:szCs w:val="20"/>
          <w:color w:val="010000"/>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Legal Requirements of the State of Delaware applicable to Contracts executed in and to be performed entirely within such State.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1761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21"/>
          <w:szCs w:val="21"/>
          <w:color w:val="auto"/>
        </w:rPr>
        <w:t>IN WITNESS WHEREOF, the parties have executed this Amendment to be duly executed and delivered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IODESIX</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5200" w:type="dxa"/>
        <w:tblCellMar>
          <w:top w:w="0" w:type="dxa"/>
          <w:left w:w="0" w:type="dxa"/>
          <w:bottom w:w="0" w:type="dxa"/>
          <w:right w:w="0" w:type="dxa"/>
        </w:tblCellMar>
      </w:tblPr>
      <w:tr>
        <w:trPr>
          <w:trHeight w:val="241"/>
        </w:trPr>
        <w:tc>
          <w:tcPr>
            <w:tcW w:w="800" w:type="dxa"/>
            <w:vAlign w:val="bottom"/>
            <w:gridSpan w:val="3"/>
          </w:tcPr>
          <w:p>
            <w:pPr>
              <w:spacing w:after="0"/>
              <w:rPr>
                <w:sz w:val="20"/>
                <w:szCs w:val="20"/>
                <w:color w:val="auto"/>
              </w:rPr>
            </w:pPr>
            <w:r>
              <w:rPr>
                <w:rFonts w:ascii="Arial" w:cs="Arial" w:eastAsia="Arial" w:hAnsi="Arial"/>
                <w:sz w:val="21"/>
                <w:szCs w:val="21"/>
                <w:color w:val="auto"/>
              </w:rPr>
              <w:t>By:</w:t>
            </w:r>
          </w:p>
        </w:tc>
        <w:tc>
          <w:tcPr>
            <w:tcW w:w="2820" w:type="dxa"/>
            <w:vAlign w:val="bottom"/>
            <w:gridSpan w:val="2"/>
          </w:tcPr>
          <w:p>
            <w:pPr>
              <w:ind w:left="240"/>
              <w:spacing w:after="0"/>
              <w:rPr>
                <w:sz w:val="20"/>
                <w:szCs w:val="20"/>
                <w:color w:val="auto"/>
              </w:rPr>
            </w:pPr>
            <w:r>
              <w:rPr>
                <w:rFonts w:ascii="Arial" w:cs="Arial" w:eastAsia="Arial" w:hAnsi="Arial"/>
                <w:sz w:val="21"/>
                <w:szCs w:val="21"/>
                <w:color w:val="auto"/>
                <w:w w:val="96"/>
              </w:rPr>
              <w:t>/s/ ROBIN HARPER COWIE</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453"/>
        </w:trPr>
        <w:tc>
          <w:tcPr>
            <w:tcW w:w="800" w:type="dxa"/>
            <w:vAlign w:val="bottom"/>
            <w:gridSpan w:val="3"/>
          </w:tcPr>
          <w:p>
            <w:pPr>
              <w:spacing w:after="0"/>
              <w:rPr>
                <w:sz w:val="20"/>
                <w:szCs w:val="20"/>
                <w:color w:val="auto"/>
              </w:rPr>
            </w:pPr>
            <w:r>
              <w:rPr>
                <w:rFonts w:ascii="Arial" w:cs="Arial" w:eastAsia="Arial" w:hAnsi="Arial"/>
                <w:sz w:val="21"/>
                <w:szCs w:val="21"/>
                <w:color w:val="auto"/>
              </w:rPr>
              <w:t>Name:</w:t>
            </w:r>
          </w:p>
        </w:tc>
        <w:tc>
          <w:tcPr>
            <w:tcW w:w="2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Arial" w:cs="Arial" w:eastAsia="Arial" w:hAnsi="Arial"/>
                <w:sz w:val="21"/>
                <w:szCs w:val="21"/>
                <w:color w:val="auto"/>
              </w:rPr>
              <w:t>Robin Harper</w:t>
            </w:r>
          </w:p>
        </w:tc>
      </w:tr>
      <w:tr>
        <w:trPr>
          <w:trHeight w:val="273"/>
        </w:trPr>
        <w:tc>
          <w:tcPr>
            <w:tcW w:w="800" w:type="dxa"/>
            <w:vAlign w:val="bottom"/>
            <w:gridSpan w:val="3"/>
          </w:tcPr>
          <w:p>
            <w:pPr>
              <w:spacing w:after="0"/>
              <w:rPr>
                <w:sz w:val="20"/>
                <w:szCs w:val="20"/>
                <w:color w:val="auto"/>
              </w:rPr>
            </w:pPr>
            <w:r>
              <w:rPr>
                <w:rFonts w:ascii="Arial" w:cs="Arial" w:eastAsia="Arial" w:hAnsi="Arial"/>
                <w:sz w:val="21"/>
                <w:szCs w:val="21"/>
                <w:color w:val="auto"/>
              </w:rPr>
              <w:t>Cowie</w:t>
            </w:r>
          </w:p>
        </w:tc>
        <w:tc>
          <w:tcPr>
            <w:tcW w:w="24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455"/>
        </w:trPr>
        <w:tc>
          <w:tcPr>
            <w:tcW w:w="800" w:type="dxa"/>
            <w:vAlign w:val="bottom"/>
            <w:gridSpan w:val="3"/>
          </w:tcPr>
          <w:p>
            <w:pPr>
              <w:spacing w:after="0"/>
              <w:rPr>
                <w:sz w:val="20"/>
                <w:szCs w:val="20"/>
                <w:color w:val="auto"/>
              </w:rPr>
            </w:pPr>
            <w:r>
              <w:rPr>
                <w:rFonts w:ascii="Arial" w:cs="Arial" w:eastAsia="Arial" w:hAnsi="Arial"/>
                <w:sz w:val="21"/>
                <w:szCs w:val="21"/>
                <w:color w:val="auto"/>
              </w:rPr>
              <w:t>Title:</w:t>
            </w:r>
          </w:p>
        </w:tc>
        <w:tc>
          <w:tcPr>
            <w:tcW w:w="24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1"/>
                <w:szCs w:val="2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No. 2 to Asset Purchase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761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546" w:right="359" w:bottom="1440" w:gutter="0" w:footer="0" w:header="0"/>
        </w:sectPr>
      </w:pPr>
    </w:p>
    <w:bookmarkStart w:id="52" w:name="page53"/>
    <w:bookmarkEnd w:id="52"/>
    <w:p>
      <w:pPr>
        <w:spacing w:after="0" w:line="270" w:lineRule="auto"/>
        <w:rPr>
          <w:sz w:val="20"/>
          <w:szCs w:val="20"/>
          <w:color w:val="auto"/>
        </w:rPr>
      </w:pPr>
      <w:r>
        <w:rPr>
          <w:rFonts w:ascii="Arial" w:cs="Arial" w:eastAsia="Arial" w:hAnsi="Arial"/>
          <w:sz w:val="21"/>
          <w:szCs w:val="21"/>
          <w:color w:val="auto"/>
        </w:rPr>
        <w:t>IN WITNESS WHEREOF, the parties have executed this Amendment to be duly executed and delivered as of the day and year first written above.</w:t>
      </w:r>
    </w:p>
    <w:p>
      <w:pPr>
        <w:spacing w:after="0" w:line="387" w:lineRule="exact"/>
        <w:rPr>
          <w:sz w:val="20"/>
          <w:szCs w:val="20"/>
          <w:color w:val="auto"/>
        </w:rPr>
      </w:pPr>
    </w:p>
    <w:p>
      <w:pPr>
        <w:ind w:left="5400"/>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4"/>
          <w:szCs w:val="14"/>
          <w:b w:val="1"/>
          <w:bCs w:val="1"/>
          <w:color w:val="auto"/>
        </w:rPr>
        <w:t>NTEGRATED</w:t>
      </w:r>
      <w:r>
        <w:rPr>
          <w:rFonts w:ascii="Arial" w:cs="Arial" w:eastAsia="Arial" w:hAnsi="Arial"/>
          <w:sz w:val="21"/>
          <w:szCs w:val="21"/>
          <w:b w:val="1"/>
          <w:bCs w:val="1"/>
          <w:color w:val="auto"/>
        </w:rPr>
        <w:t xml:space="preserve"> D</w:t>
      </w:r>
      <w:r>
        <w:rPr>
          <w:rFonts w:ascii="Arial" w:cs="Arial" w:eastAsia="Arial" w:hAnsi="Arial"/>
          <w:sz w:val="14"/>
          <w:szCs w:val="14"/>
          <w:b w:val="1"/>
          <w:bCs w:val="1"/>
          <w:color w:val="auto"/>
        </w:rPr>
        <w:t>IAGNOSTICS</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STEPHEN J. DENELSKY</w:t>
      </w:r>
    </w:p>
    <w:p>
      <w:pPr>
        <w:ind w:left="5200"/>
        <w:spacing w:after="0"/>
        <w:rPr>
          <w:sz w:val="20"/>
          <w:szCs w:val="20"/>
          <w:color w:val="auto"/>
        </w:rPr>
      </w:pPr>
      <w:r>
        <w:rPr>
          <w:rFonts w:ascii="Arial" w:cs="Arial" w:eastAsia="Arial" w:hAnsi="Arial"/>
          <w:sz w:val="21"/>
          <w:szCs w:val="21"/>
          <w:color w:val="auto"/>
        </w:rPr>
        <w:t>Name: Stephen J. DeNelsky</w:t>
      </w:r>
    </w:p>
    <w:p>
      <w:pPr>
        <w:ind w:left="5200"/>
        <w:spacing w:after="0"/>
        <w:rPr>
          <w:sz w:val="20"/>
          <w:szCs w:val="20"/>
          <w:color w:val="auto"/>
        </w:rPr>
      </w:pPr>
      <w:r>
        <w:rPr>
          <w:rFonts w:ascii="Arial" w:cs="Arial" w:eastAsia="Arial" w:hAnsi="Arial"/>
          <w:sz w:val="21"/>
          <w:szCs w:val="21"/>
          <w:color w:val="auto"/>
        </w:rPr>
        <w:t>Title: Managing Partner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No. 2 to Asset Purchase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761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546" w:right="359" w:bottom="1440" w:gutter="0" w:footer="0" w:header="0"/>
        </w:sectPr>
      </w:pPr>
    </w:p>
    <w:bookmarkStart w:id="53" w:name="page54"/>
    <w:bookmarkEnd w:id="53"/>
    <w:p>
      <w:pPr>
        <w:spacing w:after="0" w:line="270" w:lineRule="auto"/>
        <w:rPr>
          <w:sz w:val="20"/>
          <w:szCs w:val="20"/>
          <w:color w:val="auto"/>
        </w:rPr>
      </w:pPr>
      <w:r>
        <w:rPr>
          <w:rFonts w:ascii="Arial" w:cs="Arial" w:eastAsia="Arial" w:hAnsi="Arial"/>
          <w:sz w:val="21"/>
          <w:szCs w:val="21"/>
          <w:color w:val="auto"/>
        </w:rPr>
        <w:t>IN WITNESS WHEREOF, the parties have executed this Amendment to be duly executed and delivered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IND F</w:t>
      </w:r>
      <w:r>
        <w:rPr>
          <w:rFonts w:ascii="Arial" w:cs="Arial" w:eastAsia="Arial" w:hAnsi="Arial"/>
          <w:sz w:val="14"/>
          <w:szCs w:val="14"/>
          <w:b w:val="1"/>
          <w:bCs w:val="1"/>
          <w:color w:val="auto"/>
        </w:rPr>
        <w:t>UNDING</w:t>
      </w:r>
      <w:r>
        <w:rPr>
          <w:rFonts w:ascii="Arial" w:cs="Arial" w:eastAsia="Arial" w:hAnsi="Arial"/>
          <w:sz w:val="21"/>
          <w:szCs w:val="21"/>
          <w:b w:val="1"/>
          <w:bCs w:val="1"/>
          <w:color w:val="auto"/>
        </w:rPr>
        <w:t xml:space="preserve"> LLC</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STEPHEN J. DENELSKY</w:t>
      </w:r>
    </w:p>
    <w:p>
      <w:pPr>
        <w:ind w:left="5200"/>
        <w:spacing w:after="0"/>
        <w:rPr>
          <w:sz w:val="20"/>
          <w:szCs w:val="20"/>
          <w:color w:val="auto"/>
        </w:rPr>
      </w:pPr>
      <w:r>
        <w:rPr>
          <w:rFonts w:ascii="Arial" w:cs="Arial" w:eastAsia="Arial" w:hAnsi="Arial"/>
          <w:sz w:val="21"/>
          <w:szCs w:val="21"/>
          <w:color w:val="auto"/>
        </w:rPr>
        <w:t>Name: Stephen J. DeNelsky</w:t>
      </w:r>
    </w:p>
    <w:p>
      <w:pPr>
        <w:ind w:left="5200"/>
        <w:spacing w:after="0"/>
        <w:rPr>
          <w:sz w:val="20"/>
          <w:szCs w:val="20"/>
          <w:color w:val="auto"/>
        </w:rPr>
      </w:pPr>
      <w:r>
        <w:rPr>
          <w:rFonts w:ascii="Arial" w:cs="Arial" w:eastAsia="Arial" w:hAnsi="Arial"/>
          <w:sz w:val="21"/>
          <w:szCs w:val="21"/>
          <w:color w:val="auto"/>
        </w:rPr>
        <w:t>Title: Managing Partner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No. 2 to Asset Purchase Agreement and Plan of Reorganization</w:t>
      </w:r>
    </w:p>
    <w:p>
      <w:pPr>
        <w:sectPr>
          <w:pgSz w:w="11900" w:h="16838" w:orient="portrait"/>
          <w:cols w:equalWidth="0" w:num="1">
            <w:col w:w="11220"/>
          </w:cols>
          <w:pgMar w:left="320" w:top="546"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18" w:lineRule="exact"/>
        <w:rPr>
          <w:sz w:val="20"/>
          <w:szCs w:val="20"/>
          <w:color w:val="auto"/>
        </w:rPr>
      </w:pPr>
    </w:p>
    <w:p>
      <w:pPr>
        <w:ind w:left="1420" w:hanging="860"/>
        <w:spacing w:after="0"/>
        <w:tabs>
          <w:tab w:leader="none" w:pos="1420" w:val="left"/>
        </w:tabs>
        <w:numPr>
          <w:ilvl w:val="0"/>
          <w:numId w:val="3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4" w:lineRule="exact"/>
        <w:rPr>
          <w:rFonts w:ascii="Arial" w:cs="Arial" w:eastAsia="Arial" w:hAnsi="Arial"/>
          <w:sz w:val="20"/>
          <w:szCs w:val="20"/>
          <w:color w:val="auto"/>
        </w:rPr>
      </w:pPr>
    </w:p>
    <w:p>
      <w:pPr>
        <w:jc w:val="both"/>
        <w:ind w:left="1420" w:hanging="860"/>
        <w:spacing w:after="0" w:line="245" w:lineRule="auto"/>
        <w:tabs>
          <w:tab w:leader="none" w:pos="1420" w:val="left"/>
        </w:tabs>
        <w:numPr>
          <w:ilvl w:val="0"/>
          <w:numId w:val="37"/>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20"/>
          <w:szCs w:val="20"/>
          <w:color w:val="auto"/>
        </w:rPr>
      </w:pPr>
    </w:p>
    <w:p>
      <w:pPr>
        <w:ind w:left="1420" w:hanging="860"/>
        <w:spacing w:after="0" w:line="320"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jc w:val="both"/>
        <w:ind w:left="1420" w:hanging="860"/>
        <w:spacing w:after="0" w:line="278"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8" w:lineRule="exact"/>
        <w:rPr>
          <w:rFonts w:ascii="Arial" w:cs="Arial" w:eastAsia="Arial" w:hAnsi="Arial"/>
          <w:sz w:val="17"/>
          <w:szCs w:val="17"/>
          <w:color w:val="auto"/>
        </w:rPr>
      </w:pPr>
    </w:p>
    <w:p>
      <w:pPr>
        <w:jc w:val="both"/>
        <w:ind w:left="2280" w:hanging="864"/>
        <w:spacing w:after="0" w:line="297" w:lineRule="auto"/>
        <w:tabs>
          <w:tab w:leader="none" w:pos="2280" w:val="left"/>
        </w:tabs>
        <w:numPr>
          <w:ilvl w:val="1"/>
          <w:numId w:val="37"/>
        </w:numPr>
        <w:rPr>
          <w:rFonts w:ascii="Arial" w:cs="Arial" w:eastAsia="Arial" w:hAnsi="Arial"/>
          <w:sz w:val="17"/>
          <w:szCs w:val="17"/>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7"/>
          <w:szCs w:val="17"/>
          <w:color w:val="auto"/>
        </w:rPr>
      </w:pPr>
    </w:p>
    <w:p>
      <w:pPr>
        <w:ind w:left="2280" w:hanging="864"/>
        <w:spacing w:after="0"/>
        <w:tabs>
          <w:tab w:leader="none" w:pos="2280" w:val="left"/>
        </w:tabs>
        <w:numPr>
          <w:ilvl w:val="1"/>
          <w:numId w:val="37"/>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7" w:lineRule="exact"/>
        <w:rPr>
          <w:rFonts w:ascii="Arial" w:cs="Arial" w:eastAsia="Arial" w:hAnsi="Arial"/>
          <w:sz w:val="20"/>
          <w:szCs w:val="20"/>
          <w:color w:val="auto"/>
        </w:rPr>
      </w:pPr>
    </w:p>
    <w:p>
      <w:pPr>
        <w:jc w:val="both"/>
        <w:ind w:left="2280" w:hanging="864"/>
        <w:spacing w:after="0" w:line="245" w:lineRule="auto"/>
        <w:tabs>
          <w:tab w:leader="none" w:pos="2280" w:val="left"/>
        </w:tabs>
        <w:numPr>
          <w:ilvl w:val="1"/>
          <w:numId w:val="37"/>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0"/>
          <w:szCs w:val="20"/>
          <w:color w:val="auto"/>
        </w:rPr>
      </w:pPr>
    </w:p>
    <w:p>
      <w:pPr>
        <w:jc w:val="both"/>
        <w:ind w:left="2280" w:hanging="864"/>
        <w:spacing w:after="0" w:line="297" w:lineRule="auto"/>
        <w:tabs>
          <w:tab w:leader="none" w:pos="2280" w:val="left"/>
        </w:tabs>
        <w:numPr>
          <w:ilvl w:val="1"/>
          <w:numId w:val="37"/>
        </w:numPr>
        <w:rPr>
          <w:rFonts w:ascii="Arial" w:cs="Arial" w:eastAsia="Arial" w:hAnsi="Arial"/>
          <w:sz w:val="17"/>
          <w:szCs w:val="17"/>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7"/>
          <w:szCs w:val="17"/>
          <w:color w:val="auto"/>
        </w:rPr>
      </w:pPr>
    </w:p>
    <w:p>
      <w:pPr>
        <w:jc w:val="both"/>
        <w:ind w:left="1420" w:hanging="860"/>
        <w:spacing w:after="0" w:line="245" w:lineRule="auto"/>
        <w:tabs>
          <w:tab w:leader="none" w:pos="1420" w:val="left"/>
        </w:tabs>
        <w:numPr>
          <w:ilvl w:val="0"/>
          <w:numId w:val="37"/>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20"/>
          <w:szCs w:val="20"/>
          <w:color w:val="auto"/>
        </w:rPr>
      </w:pPr>
    </w:p>
    <w:p>
      <w:pPr>
        <w:jc w:val="both"/>
        <w:ind w:left="2280" w:hanging="864"/>
        <w:spacing w:after="0" w:line="245" w:lineRule="auto"/>
        <w:tabs>
          <w:tab w:leader="none" w:pos="2280" w:val="left"/>
        </w:tabs>
        <w:numPr>
          <w:ilvl w:val="1"/>
          <w:numId w:val="37"/>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20"/>
          <w:szCs w:val="20"/>
          <w:color w:val="auto"/>
        </w:rPr>
      </w:pPr>
    </w:p>
    <w:p>
      <w:pPr>
        <w:ind w:left="2280" w:hanging="864"/>
        <w:spacing w:after="0" w:line="244" w:lineRule="auto"/>
        <w:tabs>
          <w:tab w:leader="none" w:pos="2280" w:val="left"/>
        </w:tabs>
        <w:numPr>
          <w:ilvl w:val="1"/>
          <w:numId w:val="37"/>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360" w:val="left"/>
          <w:tab w:leader="none" w:pos="786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30480</wp:posOffset>
            </wp:positionV>
            <wp:extent cx="35496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54"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Scott Hutton</w:t>
      </w:r>
    </w:p>
    <w:p>
      <w:pPr>
        <w:spacing w:after="0" w:line="60"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18" w:lineRule="exact"/>
        <w:rPr>
          <w:sz w:val="20"/>
          <w:szCs w:val="20"/>
          <w:color w:val="auto"/>
        </w:rPr>
      </w:pPr>
    </w:p>
    <w:p>
      <w:pPr>
        <w:ind w:left="1420" w:hanging="860"/>
        <w:spacing w:after="0"/>
        <w:tabs>
          <w:tab w:leader="none" w:pos="1420" w:val="left"/>
        </w:tabs>
        <w:numPr>
          <w:ilvl w:val="0"/>
          <w:numId w:val="3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4" w:lineRule="exact"/>
        <w:rPr>
          <w:rFonts w:ascii="Arial" w:cs="Arial" w:eastAsia="Arial" w:hAnsi="Arial"/>
          <w:sz w:val="20"/>
          <w:szCs w:val="20"/>
          <w:color w:val="auto"/>
        </w:rPr>
      </w:pPr>
    </w:p>
    <w:p>
      <w:pPr>
        <w:jc w:val="both"/>
        <w:ind w:left="1420" w:hanging="860"/>
        <w:spacing w:after="0" w:line="245" w:lineRule="auto"/>
        <w:tabs>
          <w:tab w:leader="none" w:pos="1420" w:val="left"/>
        </w:tabs>
        <w:numPr>
          <w:ilvl w:val="0"/>
          <w:numId w:val="3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20"/>
          <w:szCs w:val="20"/>
          <w:color w:val="auto"/>
        </w:rPr>
      </w:pPr>
    </w:p>
    <w:p>
      <w:pPr>
        <w:ind w:left="1420" w:hanging="860"/>
        <w:spacing w:after="0" w:line="320"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jc w:val="both"/>
        <w:ind w:left="1420" w:hanging="860"/>
        <w:spacing w:after="0" w:line="278"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8" w:lineRule="exact"/>
        <w:rPr>
          <w:rFonts w:ascii="Arial" w:cs="Arial" w:eastAsia="Arial" w:hAnsi="Arial"/>
          <w:sz w:val="17"/>
          <w:szCs w:val="17"/>
          <w:color w:val="auto"/>
        </w:rPr>
      </w:pPr>
    </w:p>
    <w:p>
      <w:pPr>
        <w:jc w:val="both"/>
        <w:ind w:left="2280" w:hanging="864"/>
        <w:spacing w:after="0" w:line="297" w:lineRule="auto"/>
        <w:tabs>
          <w:tab w:leader="none" w:pos="2280" w:val="left"/>
        </w:tabs>
        <w:numPr>
          <w:ilvl w:val="1"/>
          <w:numId w:val="38"/>
        </w:numPr>
        <w:rPr>
          <w:rFonts w:ascii="Arial" w:cs="Arial" w:eastAsia="Arial" w:hAnsi="Arial"/>
          <w:sz w:val="17"/>
          <w:szCs w:val="17"/>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7"/>
          <w:szCs w:val="17"/>
          <w:color w:val="auto"/>
        </w:rPr>
      </w:pPr>
    </w:p>
    <w:p>
      <w:pPr>
        <w:ind w:left="2280" w:hanging="864"/>
        <w:spacing w:after="0"/>
        <w:tabs>
          <w:tab w:leader="none" w:pos="2280" w:val="left"/>
        </w:tabs>
        <w:numPr>
          <w:ilvl w:val="1"/>
          <w:numId w:val="38"/>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7" w:lineRule="exact"/>
        <w:rPr>
          <w:rFonts w:ascii="Arial" w:cs="Arial" w:eastAsia="Arial" w:hAnsi="Arial"/>
          <w:sz w:val="20"/>
          <w:szCs w:val="20"/>
          <w:color w:val="auto"/>
        </w:rPr>
      </w:pPr>
    </w:p>
    <w:p>
      <w:pPr>
        <w:jc w:val="both"/>
        <w:ind w:left="2280" w:hanging="864"/>
        <w:spacing w:after="0" w:line="245" w:lineRule="auto"/>
        <w:tabs>
          <w:tab w:leader="none" w:pos="2280" w:val="left"/>
        </w:tabs>
        <w:numPr>
          <w:ilvl w:val="1"/>
          <w:numId w:val="38"/>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0"/>
          <w:szCs w:val="20"/>
          <w:color w:val="auto"/>
        </w:rPr>
      </w:pPr>
    </w:p>
    <w:p>
      <w:pPr>
        <w:jc w:val="both"/>
        <w:ind w:left="2280" w:hanging="864"/>
        <w:spacing w:after="0" w:line="297" w:lineRule="auto"/>
        <w:tabs>
          <w:tab w:leader="none" w:pos="2280" w:val="left"/>
        </w:tabs>
        <w:numPr>
          <w:ilvl w:val="1"/>
          <w:numId w:val="38"/>
        </w:numPr>
        <w:rPr>
          <w:rFonts w:ascii="Arial" w:cs="Arial" w:eastAsia="Arial" w:hAnsi="Arial"/>
          <w:sz w:val="17"/>
          <w:szCs w:val="17"/>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7"/>
          <w:szCs w:val="17"/>
          <w:color w:val="auto"/>
        </w:rPr>
      </w:pPr>
    </w:p>
    <w:p>
      <w:pPr>
        <w:jc w:val="both"/>
        <w:ind w:left="1420" w:hanging="860"/>
        <w:spacing w:after="0" w:line="245" w:lineRule="auto"/>
        <w:tabs>
          <w:tab w:leader="none" w:pos="1420" w:val="left"/>
        </w:tabs>
        <w:numPr>
          <w:ilvl w:val="0"/>
          <w:numId w:val="38"/>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20"/>
          <w:szCs w:val="20"/>
          <w:color w:val="auto"/>
        </w:rPr>
      </w:pPr>
    </w:p>
    <w:p>
      <w:pPr>
        <w:jc w:val="both"/>
        <w:ind w:left="2280" w:hanging="864"/>
        <w:spacing w:after="0" w:line="245" w:lineRule="auto"/>
        <w:tabs>
          <w:tab w:leader="none" w:pos="2280" w:val="left"/>
        </w:tabs>
        <w:numPr>
          <w:ilvl w:val="1"/>
          <w:numId w:val="38"/>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20"/>
          <w:szCs w:val="20"/>
          <w:color w:val="auto"/>
        </w:rPr>
      </w:pPr>
    </w:p>
    <w:p>
      <w:pPr>
        <w:ind w:left="2280" w:hanging="864"/>
        <w:spacing w:after="0" w:line="244" w:lineRule="auto"/>
        <w:tabs>
          <w:tab w:leader="none" w:pos="2280" w:val="left"/>
        </w:tabs>
        <w:numPr>
          <w:ilvl w:val="1"/>
          <w:numId w:val="38"/>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380" w:val="left"/>
          <w:tab w:leader="none" w:pos="758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30480</wp:posOffset>
            </wp:positionV>
            <wp:extent cx="35413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54"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Robin Harper Cowie</w:t>
      </w:r>
    </w:p>
    <w:p>
      <w:pPr>
        <w:spacing w:after="0" w:line="60"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June 30,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2180" w:hanging="764"/>
        <w:spacing w:after="0"/>
        <w:tabs>
          <w:tab w:leader="none" w:pos="2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2180" w:hanging="764"/>
        <w:spacing w:after="0" w:line="271" w:lineRule="auto"/>
        <w:tabs>
          <w:tab w:leader="none" w:pos="2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20"/>
                <w:szCs w:val="20"/>
                <w:color w:val="auto"/>
              </w:rPr>
            </w:pPr>
            <w:r>
              <w:rPr>
                <w:rFonts w:ascii="Arial" w:cs="Arial" w:eastAsia="Arial" w:hAnsi="Arial"/>
                <w:sz w:val="18"/>
                <w:szCs w:val="18"/>
                <w:color w:val="auto"/>
              </w:rPr>
              <w:t>Date: August 10, 2021</w:t>
            </w:r>
          </w:p>
        </w:tc>
        <w:tc>
          <w:tcPr>
            <w:tcW w:w="2520" w:type="dxa"/>
            <w:vAlign w:val="bottom"/>
          </w:tcPr>
          <w:p>
            <w:pPr>
              <w:ind w:left="15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Scott Hutton</w:t>
            </w:r>
          </w:p>
        </w:tc>
      </w:tr>
      <w:tr>
        <w:trPr>
          <w:trHeight w:val="194"/>
        </w:trPr>
        <w:tc>
          <w:tcPr>
            <w:tcW w:w="3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500" w:type="dxa"/>
            <w:vAlign w:val="bottom"/>
          </w:tcPr>
          <w:p>
            <w:pPr>
              <w:jc w:val="center"/>
              <w:spacing w:after="0" w:line="194" w:lineRule="exact"/>
              <w:rPr>
                <w:sz w:val="20"/>
                <w:szCs w:val="20"/>
                <w:color w:val="auto"/>
              </w:rPr>
            </w:pPr>
            <w:r>
              <w:rPr>
                <w:rFonts w:ascii="Arial" w:cs="Arial" w:eastAsia="Arial" w:hAnsi="Arial"/>
                <w:sz w:val="18"/>
                <w:szCs w:val="18"/>
                <w:color w:val="auto"/>
                <w:w w:val="90"/>
              </w:rPr>
              <w:t>Scott Hutton</w:t>
            </w:r>
          </w:p>
        </w:tc>
      </w:tr>
      <w:tr>
        <w:trPr>
          <w:trHeight w:val="227"/>
        </w:trPr>
        <w:tc>
          <w:tcPr>
            <w:tcW w:w="3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June 30,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2180" w:hanging="764"/>
        <w:spacing w:after="0"/>
        <w:tabs>
          <w:tab w:leader="none" w:pos="2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2180" w:hanging="764"/>
        <w:spacing w:after="0" w:line="271" w:lineRule="auto"/>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20"/>
                <w:szCs w:val="20"/>
                <w:color w:val="auto"/>
              </w:rPr>
            </w:pPr>
            <w:r>
              <w:rPr>
                <w:rFonts w:ascii="Arial" w:cs="Arial" w:eastAsia="Arial" w:hAnsi="Arial"/>
                <w:sz w:val="18"/>
                <w:szCs w:val="18"/>
                <w:color w:val="auto"/>
              </w:rPr>
              <w:t>Date: August 10, 2021</w:t>
            </w:r>
          </w:p>
        </w:tc>
        <w:tc>
          <w:tcPr>
            <w:tcW w:w="2520" w:type="dxa"/>
            <w:vAlign w:val="bottom"/>
          </w:tcPr>
          <w:p>
            <w:pPr>
              <w:ind w:left="15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Robin Harper Cowie</w:t>
            </w:r>
          </w:p>
        </w:tc>
      </w:tr>
      <w:tr>
        <w:trPr>
          <w:trHeight w:val="194"/>
        </w:trPr>
        <w:tc>
          <w:tcPr>
            <w:tcW w:w="3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500" w:type="dxa"/>
            <w:vAlign w:val="bottom"/>
          </w:tcPr>
          <w:p>
            <w:pPr>
              <w:jc w:val="center"/>
              <w:spacing w:after="0" w:line="194" w:lineRule="exact"/>
              <w:rPr>
                <w:sz w:val="20"/>
                <w:szCs w:val="20"/>
                <w:color w:val="auto"/>
              </w:rPr>
            </w:pPr>
            <w:r>
              <w:rPr>
                <w:rFonts w:ascii="Arial" w:cs="Arial" w:eastAsia="Arial" w:hAnsi="Arial"/>
                <w:sz w:val="18"/>
                <w:szCs w:val="18"/>
                <w:color w:val="auto"/>
                <w:w w:val="91"/>
              </w:rPr>
              <w:t>Robin Harper Cowie</w:t>
            </w:r>
          </w:p>
        </w:tc>
      </w:tr>
      <w:tr>
        <w:trPr>
          <w:trHeight w:val="227"/>
        </w:trPr>
        <w:tc>
          <w:tcPr>
            <w:tcW w:w="3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bullet"/>
      <w:start w:val="1"/>
    </w:lvl>
  </w:abstractNum>
  <w:abstractNum w:abstractNumId="7">
    <w:nsid w:val="75A2A8D4"/>
    <w:multiLevelType w:val="hybridMultilevel"/>
    <w:lvl w:ilvl="0">
      <w:lvlJc w:val="left"/>
      <w:lvlText w:val="2"/>
      <w:numFmt w:val="bullet"/>
      <w:start w:val="1"/>
    </w:lvl>
  </w:abstractNum>
  <w:abstractNum w:abstractNumId="8">
    <w:nsid w:val="8EDBDAB"/>
    <w:multiLevelType w:val="hybridMultilevel"/>
    <w:lvl w:ilvl="0">
      <w:lvlJc w:val="left"/>
      <w:lvlText w:val="3"/>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Roman"/>
      <w:start w:val="4"/>
    </w:lvl>
  </w:abstractNum>
  <w:abstractNum w:abstractNumId="17">
    <w:nsid w:val="2901D82"/>
    <w:multiLevelType w:val="hybridMultilevel"/>
    <w:lvl w:ilvl="0">
      <w:lvlJc w:val="left"/>
      <w:lvlText w:val="*"/>
      <w:numFmt w:val="bullet"/>
      <w:start w:val="1"/>
    </w:lvl>
    <w:lvl w:ilvl="1">
      <w:lvlJc w:val="left"/>
      <w:lvlText w:val="%2"/>
      <w:numFmt w:val="decimal"/>
      <w:start w:val="104"/>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lvl w:ilvl="1">
      <w:lvlJc w:val="left"/>
      <w:lvlText w:val="(%2)"/>
      <w:numFmt w:val="lowerLetter"/>
      <w:start w:val="1"/>
    </w:lvl>
  </w:abstractNum>
  <w:abstractNum w:abstractNumId="21">
    <w:nsid w:val="7C3DBD3D"/>
    <w:multiLevelType w:val="hybridMultilevel"/>
    <w:lvl w:ilvl="0">
      <w:lvlJc w:val="left"/>
      <w:lvlText w:val="%1"/>
      <w:numFmt w:val="decimal"/>
      <w:start w:val="1"/>
    </w:lvl>
    <w:lvl w:ilvl="1">
      <w:lvlJc w:val="left"/>
      <w:lvlText w:val="(%2)"/>
      <w:numFmt w:val="lowerLetter"/>
      <w:start w:val="2"/>
    </w:lvl>
  </w:abstractNum>
  <w:abstractNum w:abstractNumId="22">
    <w:nsid w:val="737B8DDC"/>
    <w:multiLevelType w:val="hybridMultilevel"/>
    <w:lvl w:ilvl="0">
      <w:lvlJc w:val="left"/>
      <w:lvlText w:val="%1."/>
      <w:numFmt w:val="decimal"/>
      <w:start w:val="6"/>
    </w:lvl>
    <w:lvl w:ilvl="1">
      <w:lvlJc w:val="left"/>
      <w:lvlText w:val="(%2)"/>
      <w:numFmt w:val="lowerLetter"/>
      <w:start w:val="1"/>
    </w:lvl>
  </w:abstractNum>
  <w:abstractNum w:abstractNumId="23">
    <w:nsid w:val="6CEAF087"/>
    <w:multiLevelType w:val="hybridMultilevel"/>
    <w:lvl w:ilvl="0">
      <w:lvlJc w:val="left"/>
      <w:lvlText w:val="%1."/>
      <w:numFmt w:val="decimal"/>
      <w:start w:val="10"/>
    </w:lvl>
  </w:abstractNum>
  <w:abstractNum w:abstractNumId="24">
    <w:nsid w:val="22221A70"/>
    <w:multiLevelType w:val="hybridMultilevel"/>
    <w:lvl w:ilvl="0">
      <w:lvlJc w:val="left"/>
      <w:lvlText w:val="%1."/>
      <w:numFmt w:val="decimal"/>
      <w:start w:val="15"/>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decimal"/>
      <w:start w:val="1"/>
    </w:lvl>
    <w:lvl w:ilvl="1">
      <w:lvlJc w:val="left"/>
      <w:lvlText w:val="(%2)"/>
      <w:numFmt w:val="lowerLetter"/>
      <w:start w:val="3"/>
    </w:lvl>
  </w:abstractNum>
  <w:abstractNum w:abstractNumId="30">
    <w:nsid w:val="440BADFC"/>
    <w:multiLevelType w:val="hybridMultilevel"/>
    <w:lvl w:ilvl="0">
      <w:lvlJc w:val="left"/>
      <w:lvlText w:val="%1."/>
      <w:numFmt w:val="decimal"/>
      <w:start w:val="3"/>
    </w:lvl>
    <w:lvl w:ilvl="1">
      <w:lvlJc w:val="left"/>
      <w:lvlText w:val="%2"/>
      <w:numFmt w:val="lowerLetter"/>
      <w:start w:val="1"/>
    </w:lvl>
  </w:abstractNum>
  <w:abstractNum w:abstractNumId="31">
    <w:nsid w:val="5072367"/>
    <w:multiLevelType w:val="hybridMultilevel"/>
    <w:lvl w:ilvl="0">
      <w:lvlJc w:val="left"/>
      <w:lvlText w:val="%1."/>
      <w:numFmt w:val="decimal"/>
      <w:start w:val="4"/>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decimal"/>
      <w:start w:val="6"/>
    </w:lvl>
  </w:abstractNum>
  <w:abstractNum w:abstractNumId="34">
    <w:nsid w:val="7724C67E"/>
    <w:multiLevelType w:val="hybridMultilevel"/>
    <w:lvl w:ilvl="0">
      <w:lvlJc w:val="left"/>
      <w:lvlText w:val="%1."/>
      <w:numFmt w:val="decimal"/>
      <w:start w:val="7"/>
    </w:lvl>
  </w:abstractNum>
  <w:abstractNum w:abstractNumId="35">
    <w:nsid w:val="5C482A97"/>
    <w:multiLevelType w:val="hybridMultilevel"/>
    <w:lvl w:ilvl="0">
      <w:lvlJc w:val="left"/>
      <w:lvlText w:val="%1."/>
      <w:numFmt w:val="decimal"/>
      <w:start w:val="8"/>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2021-08-10T15:41:02Z</dcterms:created>
  <dcterms:modified xsi:type="dcterms:W3CDTF">2021-08-10T15:41:02Z</dcterms:modified>
</cp:coreProperties>
</file>