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88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8828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SCHULER JACK W</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7"/>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BIODESIX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BDSX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4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2920" w:type="dxa"/>
            <w:vAlign w:val="bottom"/>
            <w:gridSpan w:val="7"/>
            <w:vMerge w:val="continue"/>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2970 WILDERNESS PLACE</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12/15/2022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SUITE 100</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8"/>
            <w:vMerge w:val="continue"/>
          </w:tcPr>
          <w:p>
            <w:pPr>
              <w:spacing w:after="0"/>
              <w:rPr>
                <w:sz w:val="6"/>
                <w:szCs w:val="6"/>
                <w:color w:val="auto"/>
              </w:rPr>
            </w:pPr>
          </w:p>
        </w:tc>
        <w:tc>
          <w:tcPr>
            <w:tcW w:w="34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340" w:type="dxa"/>
            <w:vAlign w:val="bottom"/>
            <w:gridSpan w:val="3"/>
            <w:vMerge w:val="restart"/>
          </w:tcPr>
          <w:p>
            <w:pPr>
              <w:ind w:left="80"/>
              <w:spacing w:after="0" w:line="187" w:lineRule="exact"/>
              <w:rPr>
                <w:sz w:val="20"/>
                <w:szCs w:val="20"/>
                <w:color w:val="auto"/>
              </w:rPr>
            </w:pPr>
            <w:r>
              <w:rPr>
                <w:rFonts w:ascii="Times New Roman" w:cs="Times New Roman" w:eastAsia="Times New Roman" w:hAnsi="Times New Roman"/>
                <w:sz w:val="17"/>
                <w:szCs w:val="17"/>
                <w:color w:val="0000FF"/>
              </w:rPr>
              <w:t>12/19/2022</w:t>
            </w:r>
          </w:p>
        </w:tc>
        <w:tc>
          <w:tcPr>
            <w:tcW w:w="60" w:type="dxa"/>
            <w:vAlign w:val="bottom"/>
            <w:vMerge w:val="restart"/>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vMerge w:val="restart"/>
          </w:tcPr>
          <w:p>
            <w:pPr>
              <w:spacing w:after="0"/>
              <w:rPr>
                <w:sz w:val="6"/>
                <w:szCs w:val="6"/>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340" w:type="dxa"/>
            <w:vAlign w:val="bottom"/>
            <w:gridSpan w:val="3"/>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480" w:type="dxa"/>
            <w:vAlign w:val="bottom"/>
            <w:gridSpan w:val="3"/>
            <w:vMerge w:val="continue"/>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7"/>
          </w:tcPr>
          <w:p>
            <w:pPr>
              <w:spacing w:after="0" w:line="187"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BOULDER</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80301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line="146"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6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234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400" w:type="dxa"/>
            <w:vAlign w:val="bottom"/>
            <w:tcBorders>
              <w:top w:val="single" w:sz="8" w:color="2C2C2C"/>
            </w:tcBorders>
            <w:gridSpan w:val="19"/>
          </w:tcPr>
          <w:p>
            <w:pPr>
              <w:ind w:left="2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20" w:type="dxa"/>
            <w:vAlign w:val="bottom"/>
            <w:gridSpan w:val="3"/>
          </w:tcPr>
          <w:p>
            <w:pPr>
              <w:ind w:left="200"/>
              <w:spacing w:after="0"/>
              <w:rPr>
                <w:sz w:val="20"/>
                <w:szCs w:val="20"/>
                <w:color w:val="auto"/>
              </w:rPr>
            </w:pPr>
            <w:r>
              <w:rPr>
                <w:rFonts w:ascii="Arial" w:cs="Arial" w:eastAsia="Arial" w:hAnsi="Arial"/>
                <w:sz w:val="12"/>
                <w:szCs w:val="12"/>
                <w:b w:val="1"/>
                <w:bCs w:val="1"/>
                <w:color w:val="auto"/>
              </w:rPr>
              <w:t>2A. Deemed</w:t>
            </w:r>
          </w:p>
        </w:tc>
        <w:tc>
          <w:tcPr>
            <w:tcW w:w="120" w:type="dxa"/>
            <w:vAlign w:val="bottom"/>
            <w:gridSpan w:val="2"/>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19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2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Jack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00" w:type="dxa"/>
            <w:vAlign w:val="bottom"/>
            <w:gridSpan w:val="4"/>
          </w:tcPr>
          <w:p>
            <w:pPr>
              <w:ind w:left="680"/>
              <w:spacing w:after="0"/>
              <w:rPr>
                <w:sz w:val="20"/>
                <w:szCs w:val="20"/>
                <w:color w:val="auto"/>
              </w:rPr>
            </w:pPr>
            <w:r>
              <w:rPr>
                <w:rFonts w:ascii="Times New Roman" w:cs="Times New Roman" w:eastAsia="Times New Roman" w:hAnsi="Times New Roman"/>
                <w:sz w:val="17"/>
                <w:szCs w:val="17"/>
                <w:color w:val="0000FF"/>
              </w:rPr>
              <w:t>12/15/2022</w:t>
            </w: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Pr>
          <w:p>
            <w:pPr>
              <w:jc w:val="right"/>
              <w:ind w:right="75"/>
              <w:spacing w:after="0" w:line="213" w:lineRule="exact"/>
              <w:rPr>
                <w:sz w:val="20"/>
                <w:szCs w:val="20"/>
                <w:color w:val="auto"/>
              </w:rPr>
            </w:pPr>
            <w:r>
              <w:rPr>
                <w:rFonts w:ascii="Times New Roman" w:cs="Times New Roman" w:eastAsia="Times New Roman" w:hAnsi="Times New Roman"/>
                <w:sz w:val="17"/>
                <w:szCs w:val="17"/>
                <w:color w:val="0000FF"/>
              </w:rPr>
              <w:t>10,000</w:t>
            </w:r>
            <w:r>
              <w:rPr>
                <w:rFonts w:ascii="Times New Roman" w:cs="Times New Roman" w:eastAsia="Times New Roman" w:hAnsi="Times New Roman"/>
                <w:sz w:val="22"/>
                <w:szCs w:val="22"/>
                <w:color w:val="008000"/>
                <w:vertAlign w:val="superscript"/>
              </w:rPr>
              <w:t>(3)</w:t>
            </w:r>
          </w:p>
        </w:tc>
        <w:tc>
          <w:tcPr>
            <w:tcW w:w="4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4"/>
          </w:tcPr>
          <w:p>
            <w:pPr>
              <w:ind w:left="4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1.6476</w:t>
            </w:r>
            <w:r>
              <w:rPr>
                <w:rFonts w:ascii="Times New Roman" w:cs="Times New Roman" w:eastAsia="Times New Roman" w:hAnsi="Times New Roman"/>
                <w:sz w:val="22"/>
                <w:szCs w:val="22"/>
                <w:color w:val="008000"/>
                <w:vertAlign w:val="superscript"/>
              </w:rPr>
              <w:t>(1)</w:t>
            </w:r>
          </w:p>
        </w:tc>
        <w:tc>
          <w:tcPr>
            <w:tcW w:w="1200" w:type="dxa"/>
            <w:vAlign w:val="bottom"/>
            <w:gridSpan w:val="2"/>
          </w:tcPr>
          <w:p>
            <w:pPr>
              <w:ind w:left="120"/>
              <w:spacing w:after="0" w:line="213" w:lineRule="exact"/>
              <w:rPr>
                <w:sz w:val="20"/>
                <w:szCs w:val="20"/>
                <w:color w:val="auto"/>
              </w:rPr>
            </w:pPr>
            <w:r>
              <w:rPr>
                <w:rFonts w:ascii="Times New Roman" w:cs="Times New Roman" w:eastAsia="Times New Roman" w:hAnsi="Times New Roman"/>
                <w:sz w:val="17"/>
                <w:szCs w:val="17"/>
                <w:color w:val="0000FF"/>
              </w:rPr>
              <w:t>20,319,189</w:t>
            </w:r>
            <w:r>
              <w:rPr>
                <w:rFonts w:ascii="Times New Roman" w:cs="Times New Roman" w:eastAsia="Times New Roman" w:hAnsi="Times New Roman"/>
                <w:sz w:val="22"/>
                <w:szCs w:val="22"/>
                <w:color w:val="008000"/>
                <w:vertAlign w:val="superscript"/>
              </w:rPr>
              <w:t>(3)</w:t>
            </w:r>
          </w:p>
        </w:tc>
        <w:tc>
          <w:tcPr>
            <w:tcW w:w="920" w:type="dxa"/>
            <w:vAlign w:val="bottom"/>
          </w:tcPr>
          <w:p>
            <w:pPr>
              <w:ind w:left="32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(2)</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Schuler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92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$1.62 to $1.65, inclusive. The Reporting Person undertakes to provide to the Issuer, any security holder of the Issuer, or the staff of the Securities and Exchange Commission, upon request, full information regarding the number of shares purchased at each separate price within the range.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Jack W. Schuler is the sole trustee of the Jack W. Schuler Living Trust.</w:t>
      </w:r>
    </w:p>
    <w:p>
      <w:pPr>
        <w:spacing w:after="0" w:line="5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amendment is being filed to correct the number of shares reported as purchased by the Jack W. Schuler Living Trust on December 15, 2022, which was inadvertently over-reported as 20,000 shares instead of 10,000 shares in the Form 4 filed by the Reporting Person on December 19, 2022. As such, the total number of shares reported as beneficially owned by the Jack W. Schuler Living Trust in each Form 4 filed between December 19, 2022 and this Form 4 was inadvertently over-reported by 10,000 shares.</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Robin H. Cowie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683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Jack</w:t>
      </w:r>
      <w:r>
        <w:rPr>
          <w:sz w:val="20"/>
          <w:szCs w:val="20"/>
          <w:color w:val="auto"/>
        </w:rPr>
        <w:tab/>
      </w:r>
      <w:r>
        <w:rPr>
          <w:rFonts w:ascii="Times New Roman" w:cs="Times New Roman" w:eastAsia="Times New Roman" w:hAnsi="Times New Roman"/>
          <w:sz w:val="17"/>
          <w:szCs w:val="17"/>
          <w:color w:val="0000FF"/>
        </w:rPr>
        <w:t>01/31/2023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359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591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21412" TargetMode="External"/><Relationship Id="rId13"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2023-01-31T12:03:06Z</dcterms:created>
  <dcterms:modified xsi:type="dcterms:W3CDTF">2023-01-31T12:03:06Z</dcterms:modified>
</cp:coreProperties>
</file>