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u w:val="single" w:color="auto"/>
          <w:color w:val="auto"/>
        </w:rPr>
        <w:t>Biodesix,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(Name of Issuer)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Common Stock, par value $0.001 per share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(Title of Class of Securities)</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09075X108</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(CUSIP Number)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December 31, 2020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ind w:left="260" w:hanging="243"/>
        <w:spacing w:after="0"/>
        <w:tabs>
          <w:tab w:leader="none" w:pos="26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1" w:lineRule="exact"/>
        <w:rPr>
          <w:rFonts w:ascii="MS PGothic" w:cs="MS PGothic" w:eastAsia="MS PGothic" w:hAnsi="MS PGothic"/>
          <w:sz w:val="22"/>
          <w:szCs w:val="22"/>
          <w:color w:val="auto"/>
        </w:rPr>
      </w:pPr>
    </w:p>
    <w:p>
      <w:pPr>
        <w:jc w:val="both"/>
        <w:ind w:left="20" w:right="9720" w:hanging="3"/>
        <w:spacing w:after="0" w:line="253" w:lineRule="exact"/>
        <w:tabs>
          <w:tab w:leader="none" w:pos="263" w:val="left"/>
        </w:tabs>
        <w:numPr>
          <w:ilvl w:val="1"/>
          <w:numId w:val="1"/>
        </w:numPr>
        <w:rPr>
          <w:rFonts w:ascii="MS PGothic" w:cs="MS PGothic" w:eastAsia="MS PGothic" w:hAnsi="MS PGothic"/>
          <w:sz w:val="19"/>
          <w:szCs w:val="19"/>
          <w:color w:val="auto"/>
        </w:rPr>
      </w:pPr>
      <w:r>
        <w:rPr>
          <w:rFonts w:ascii="Arial" w:cs="Arial" w:eastAsia="Arial" w:hAnsi="Arial"/>
          <w:sz w:val="19"/>
          <w:szCs w:val="19"/>
          <w:color w:val="auto"/>
        </w:rPr>
        <w:t xml:space="preserve">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ind w:left="320" w:right="60" w:hanging="310"/>
        <w:spacing w:after="0" w:line="258" w:lineRule="auto"/>
        <w:rPr>
          <w:rFonts w:ascii="MS PGothic" w:cs="MS PGothic" w:eastAsia="MS PGothic" w:hAnsi="MS PGothic"/>
          <w:sz w:val="19"/>
          <w:szCs w:val="19"/>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4" w:lineRule="exact"/>
        <w:rPr>
          <w:sz w:val="24"/>
          <w:szCs w:val="24"/>
          <w:color w:val="auto"/>
        </w:rPr>
      </w:pPr>
    </w:p>
    <w:p>
      <w:pPr>
        <w:ind w:left="320" w:hanging="312"/>
        <w:spacing w:after="0" w:line="263"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purposes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26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09075X108</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240"/>
              <w:spacing w:after="0"/>
              <w:rPr>
                <w:sz w:val="20"/>
                <w:szCs w:val="20"/>
                <w:color w:val="auto"/>
              </w:rPr>
            </w:pPr>
            <w:r>
              <w:rPr>
                <w:rFonts w:ascii="Arial" w:cs="Arial" w:eastAsia="Arial" w:hAnsi="Arial"/>
                <w:sz w:val="18"/>
                <w:szCs w:val="18"/>
                <w:color w:val="auto"/>
                <w:w w:val="83"/>
              </w:rPr>
              <w:t>Page 2 of 5 Pages</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8"/>
                <w:szCs w:val="18"/>
                <w:color w:val="auto"/>
              </w:rPr>
              <w:t>John Patience</w:t>
            </w: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2,875,810 (1)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1,940,870</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2,875,810 (1)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1,940,870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color w:val="auto"/>
              </w:rPr>
              <w:t>4,816,680 (1)</w:t>
            </w: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9"/>
              </w:rPr>
              <w:t>18.1% (2)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amount includes 5,860 Shares that the Reporting Person has the right to acquire upon exercise of options exercisable within 60 days of the Event Date of this filing.</w:t>
      </w:r>
    </w:p>
    <w:p>
      <w:pPr>
        <w:spacing w:after="0" w:line="1"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is based on the sum of 26,561,504 Shares outstanding as of December 31, 2020, as reported in the Issuer’s annual report on Form 10-K filed March 16, 2021, plus 5,860 Shares that the Reporting Person has the right to acquire upon exercise of options exercisable within 60 days of the Event Date of this filing.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760" w:type="dxa"/>
            <w:vAlign w:val="bottom"/>
            <w:gridSpan w:val="2"/>
            <w:vMerge w:val="restart"/>
          </w:tcPr>
          <w:p>
            <w:pPr>
              <w:spacing w:after="0"/>
              <w:rPr>
                <w:sz w:val="20"/>
                <w:szCs w:val="20"/>
                <w:color w:val="auto"/>
              </w:rPr>
            </w:pPr>
            <w:r>
              <w:rPr>
                <w:rFonts w:ascii="Arial" w:cs="Arial" w:eastAsia="Arial" w:hAnsi="Arial"/>
                <w:sz w:val="18"/>
                <w:szCs w:val="18"/>
                <w:color w:val="auto"/>
                <w:w w:val="93"/>
              </w:rPr>
              <w:t>CUSIP No. 09075X108</w:t>
            </w:r>
          </w:p>
        </w:tc>
        <w:tc>
          <w:tcPr>
            <w:tcW w:w="8040" w:type="dxa"/>
            <w:vAlign w:val="bottom"/>
          </w:tcPr>
          <w:p>
            <w:pPr>
              <w:ind w:left="3220"/>
              <w:spacing w:after="0"/>
              <w:rPr>
                <w:sz w:val="20"/>
                <w:szCs w:val="20"/>
                <w:color w:val="auto"/>
              </w:rPr>
            </w:pPr>
            <w:r>
              <w:rPr>
                <w:rFonts w:ascii="Arial" w:cs="Arial" w:eastAsia="Arial" w:hAnsi="Arial"/>
                <w:sz w:val="18"/>
                <w:szCs w:val="18"/>
                <w:color w:val="auto"/>
              </w:rPr>
              <w:t>SCHEDULE 13G</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w w:val="95"/>
              </w:rPr>
              <w:t>Page 3 of 5 Pages</w:t>
            </w:r>
          </w:p>
        </w:tc>
        <w:tc>
          <w:tcPr>
            <w:tcW w:w="0" w:type="dxa"/>
            <w:vAlign w:val="bottom"/>
          </w:tcPr>
          <w:p>
            <w:pPr>
              <w:spacing w:after="0"/>
              <w:rPr>
                <w:sz w:val="1"/>
                <w:szCs w:val="1"/>
                <w:color w:val="auto"/>
              </w:rPr>
            </w:pPr>
          </w:p>
        </w:tc>
      </w:tr>
      <w:tr>
        <w:trPr>
          <w:trHeight w:val="216"/>
        </w:trPr>
        <w:tc>
          <w:tcPr>
            <w:tcW w:w="1760" w:type="dxa"/>
            <w:vAlign w:val="bottom"/>
            <w:gridSpan w:val="2"/>
            <w:vMerge w:val="continue"/>
          </w:tcPr>
          <w:p>
            <w:pPr>
              <w:spacing w:after="0"/>
              <w:rPr>
                <w:sz w:val="18"/>
                <w:szCs w:val="18"/>
                <w:color w:val="auto"/>
              </w:rPr>
            </w:pPr>
          </w:p>
        </w:tc>
        <w:tc>
          <w:tcPr>
            <w:tcW w:w="80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Item 1(a).</w:t>
            </w:r>
          </w:p>
        </w:tc>
        <w:tc>
          <w:tcPr>
            <w:tcW w:w="8780" w:type="dxa"/>
            <w:vAlign w:val="bottom"/>
            <w:gridSpan w:val="2"/>
          </w:tcPr>
          <w:p>
            <w:pPr>
              <w:ind w:left="300"/>
              <w:spacing w:after="0"/>
              <w:rPr>
                <w:sz w:val="20"/>
                <w:szCs w:val="20"/>
                <w:color w:val="auto"/>
              </w:rPr>
            </w:pPr>
            <w:r>
              <w:rPr>
                <w:rFonts w:ascii="Arial" w:cs="Arial" w:eastAsia="Arial" w:hAnsi="Arial"/>
                <w:sz w:val="18"/>
                <w:szCs w:val="18"/>
                <w:b w:val="1"/>
                <w:bCs w:val="1"/>
                <w:color w:val="auto"/>
              </w:rPr>
              <w:t>Name of Issuer:</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20" w:type="dxa"/>
            <w:vAlign w:val="bottom"/>
          </w:tcPr>
          <w:p>
            <w:pPr>
              <w:spacing w:after="0"/>
              <w:rPr>
                <w:sz w:val="24"/>
                <w:szCs w:val="24"/>
                <w:color w:val="auto"/>
              </w:rPr>
            </w:pPr>
          </w:p>
        </w:tc>
        <w:tc>
          <w:tcPr>
            <w:tcW w:w="8780" w:type="dxa"/>
            <w:vAlign w:val="bottom"/>
            <w:gridSpan w:val="2"/>
          </w:tcPr>
          <w:p>
            <w:pPr>
              <w:ind w:left="280"/>
              <w:spacing w:after="0"/>
              <w:rPr>
                <w:sz w:val="20"/>
                <w:szCs w:val="20"/>
                <w:color w:val="auto"/>
              </w:rPr>
            </w:pPr>
            <w:r>
              <w:rPr>
                <w:rFonts w:ascii="Arial" w:cs="Arial" w:eastAsia="Arial" w:hAnsi="Arial"/>
                <w:sz w:val="22"/>
                <w:szCs w:val="22"/>
                <w:color w:val="auto"/>
              </w:rPr>
              <w:t>Biodesix, Inc.</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Item 1(b).</w:t>
            </w:r>
          </w:p>
        </w:tc>
        <w:tc>
          <w:tcPr>
            <w:tcW w:w="8780" w:type="dxa"/>
            <w:vAlign w:val="bottom"/>
            <w:gridSpan w:val="2"/>
          </w:tcPr>
          <w:p>
            <w:pPr>
              <w:ind w:left="300"/>
              <w:spacing w:after="0"/>
              <w:rPr>
                <w:sz w:val="20"/>
                <w:szCs w:val="20"/>
                <w:color w:val="auto"/>
              </w:rPr>
            </w:pPr>
            <w:r>
              <w:rPr>
                <w:rFonts w:ascii="Arial" w:cs="Arial" w:eastAsia="Arial" w:hAnsi="Arial"/>
                <w:sz w:val="18"/>
                <w:szCs w:val="18"/>
                <w:b w:val="1"/>
                <w:bCs w:val="1"/>
                <w:color w:val="auto"/>
              </w:rPr>
              <w:t>Address of Issuer’s Principal Executive Offices: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20" w:type="dxa"/>
            <w:vAlign w:val="bottom"/>
          </w:tcPr>
          <w:p>
            <w:pPr>
              <w:spacing w:after="0"/>
              <w:rPr>
                <w:sz w:val="24"/>
                <w:szCs w:val="24"/>
                <w:color w:val="auto"/>
              </w:rPr>
            </w:pPr>
          </w:p>
        </w:tc>
        <w:tc>
          <w:tcPr>
            <w:tcW w:w="8780" w:type="dxa"/>
            <w:vAlign w:val="bottom"/>
            <w:gridSpan w:val="2"/>
          </w:tcPr>
          <w:p>
            <w:pPr>
              <w:ind w:left="300"/>
              <w:spacing w:after="0"/>
              <w:rPr>
                <w:sz w:val="20"/>
                <w:szCs w:val="20"/>
                <w:color w:val="auto"/>
              </w:rPr>
            </w:pPr>
            <w:r>
              <w:rPr>
                <w:rFonts w:ascii="Arial" w:cs="Arial" w:eastAsia="Arial" w:hAnsi="Arial"/>
                <w:sz w:val="22"/>
                <w:szCs w:val="22"/>
                <w:color w:val="auto"/>
              </w:rPr>
              <w:t>2970 Wilderness Place, Suite 100, Boulder, Colorado 80301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Item 2(a).</w:t>
            </w:r>
          </w:p>
        </w:tc>
        <w:tc>
          <w:tcPr>
            <w:tcW w:w="8780" w:type="dxa"/>
            <w:vAlign w:val="bottom"/>
            <w:gridSpan w:val="2"/>
          </w:tcPr>
          <w:p>
            <w:pPr>
              <w:ind w:left="300"/>
              <w:spacing w:after="0"/>
              <w:rPr>
                <w:sz w:val="20"/>
                <w:szCs w:val="20"/>
                <w:color w:val="auto"/>
              </w:rPr>
            </w:pPr>
            <w:r>
              <w:rPr>
                <w:rFonts w:ascii="Arial" w:cs="Arial" w:eastAsia="Arial" w:hAnsi="Arial"/>
                <w:sz w:val="18"/>
                <w:szCs w:val="18"/>
                <w:b w:val="1"/>
                <w:bCs w:val="1"/>
                <w:color w:val="auto"/>
              </w:rPr>
              <w:t>Name of Person Filing:</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20" w:type="dxa"/>
            <w:vAlign w:val="bottom"/>
          </w:tcPr>
          <w:p>
            <w:pPr>
              <w:spacing w:after="0"/>
              <w:rPr>
                <w:sz w:val="24"/>
                <w:szCs w:val="24"/>
                <w:color w:val="auto"/>
              </w:rPr>
            </w:pPr>
          </w:p>
        </w:tc>
        <w:tc>
          <w:tcPr>
            <w:tcW w:w="8780" w:type="dxa"/>
            <w:vAlign w:val="bottom"/>
            <w:gridSpan w:val="2"/>
          </w:tcPr>
          <w:p>
            <w:pPr>
              <w:ind w:left="300"/>
              <w:spacing w:after="0"/>
              <w:rPr>
                <w:sz w:val="20"/>
                <w:szCs w:val="20"/>
                <w:color w:val="auto"/>
              </w:rPr>
            </w:pPr>
            <w:r>
              <w:rPr>
                <w:rFonts w:ascii="Arial" w:cs="Arial" w:eastAsia="Arial" w:hAnsi="Arial"/>
                <w:sz w:val="22"/>
                <w:szCs w:val="22"/>
                <w:color w:val="auto"/>
              </w:rPr>
              <w:t>John Patience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Item 2(b).</w:t>
            </w:r>
          </w:p>
        </w:tc>
        <w:tc>
          <w:tcPr>
            <w:tcW w:w="8780" w:type="dxa"/>
            <w:vAlign w:val="bottom"/>
            <w:gridSpan w:val="2"/>
          </w:tcPr>
          <w:p>
            <w:pPr>
              <w:ind w:left="300"/>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20" w:type="dxa"/>
            <w:vAlign w:val="bottom"/>
          </w:tcPr>
          <w:p>
            <w:pPr>
              <w:spacing w:after="0"/>
              <w:rPr>
                <w:sz w:val="24"/>
                <w:szCs w:val="24"/>
                <w:color w:val="auto"/>
              </w:rPr>
            </w:pPr>
          </w:p>
        </w:tc>
        <w:tc>
          <w:tcPr>
            <w:tcW w:w="8780" w:type="dxa"/>
            <w:vAlign w:val="bottom"/>
            <w:gridSpan w:val="2"/>
          </w:tcPr>
          <w:p>
            <w:pPr>
              <w:ind w:left="300"/>
              <w:spacing w:after="0"/>
              <w:rPr>
                <w:sz w:val="20"/>
                <w:szCs w:val="20"/>
                <w:color w:val="auto"/>
              </w:rPr>
            </w:pPr>
            <w:r>
              <w:rPr>
                <w:rFonts w:ascii="Arial" w:cs="Arial" w:eastAsia="Arial" w:hAnsi="Arial"/>
                <w:sz w:val="22"/>
                <w:szCs w:val="22"/>
                <w:color w:val="auto"/>
              </w:rPr>
              <w:t>c/o Biodesix, Inc. 2970 Wilderness Place, Suite 100, Boulder, Colorado 80301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Item 2(c).</w:t>
            </w:r>
          </w:p>
        </w:tc>
        <w:tc>
          <w:tcPr>
            <w:tcW w:w="8780" w:type="dxa"/>
            <w:vAlign w:val="bottom"/>
            <w:gridSpan w:val="2"/>
          </w:tcPr>
          <w:p>
            <w:pPr>
              <w:ind w:left="300"/>
              <w:spacing w:after="0"/>
              <w:rPr>
                <w:sz w:val="20"/>
                <w:szCs w:val="20"/>
                <w:color w:val="auto"/>
              </w:rPr>
            </w:pPr>
            <w:r>
              <w:rPr>
                <w:rFonts w:ascii="Arial" w:cs="Arial" w:eastAsia="Arial" w:hAnsi="Arial"/>
                <w:sz w:val="18"/>
                <w:szCs w:val="18"/>
                <w:b w:val="1"/>
                <w:bCs w:val="1"/>
                <w:color w:val="auto"/>
              </w:rPr>
              <w:t>Citizenship</w:t>
            </w:r>
            <w:r>
              <w:rPr>
                <w:rFonts w:ascii="Arial" w:cs="Arial" w:eastAsia="Arial" w:hAnsi="Arial"/>
                <w:sz w:val="18"/>
                <w:szCs w:val="18"/>
                <w:color w:val="auto"/>
              </w:rPr>
              <w: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20" w:type="dxa"/>
            <w:vAlign w:val="bottom"/>
          </w:tcPr>
          <w:p>
            <w:pPr>
              <w:spacing w:after="0"/>
              <w:rPr>
                <w:sz w:val="24"/>
                <w:szCs w:val="24"/>
                <w:color w:val="auto"/>
              </w:rPr>
            </w:pPr>
          </w:p>
        </w:tc>
        <w:tc>
          <w:tcPr>
            <w:tcW w:w="8780" w:type="dxa"/>
            <w:vAlign w:val="bottom"/>
            <w:gridSpan w:val="2"/>
          </w:tcPr>
          <w:p>
            <w:pPr>
              <w:ind w:left="300"/>
              <w:spacing w:after="0"/>
              <w:rPr>
                <w:sz w:val="20"/>
                <w:szCs w:val="20"/>
                <w:color w:val="auto"/>
              </w:rPr>
            </w:pPr>
            <w:r>
              <w:rPr>
                <w:rFonts w:ascii="Arial" w:cs="Arial" w:eastAsia="Arial" w:hAnsi="Arial"/>
                <w:sz w:val="22"/>
                <w:szCs w:val="22"/>
                <w:color w:val="auto"/>
              </w:rPr>
              <w:t>United States of America</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8780" w:type="dxa"/>
            <w:vAlign w:val="bottom"/>
            <w:gridSpan w:val="2"/>
          </w:tcPr>
          <w:p>
            <w:pPr>
              <w:ind w:left="280"/>
              <w:spacing w:after="0"/>
              <w:rPr>
                <w:sz w:val="20"/>
                <w:szCs w:val="20"/>
                <w:color w:val="auto"/>
              </w:rPr>
            </w:pPr>
            <w:r>
              <w:rPr>
                <w:rFonts w:ascii="Arial" w:cs="Arial" w:eastAsia="Arial" w:hAnsi="Arial"/>
                <w:sz w:val="18"/>
                <w:szCs w:val="18"/>
                <w:b w:val="1"/>
                <w:bCs w:val="1"/>
                <w:color w:val="auto"/>
              </w:rPr>
              <w:t>Title of Class of Securities: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20" w:type="dxa"/>
            <w:vAlign w:val="bottom"/>
          </w:tcPr>
          <w:p>
            <w:pPr>
              <w:spacing w:after="0"/>
              <w:rPr>
                <w:sz w:val="24"/>
                <w:szCs w:val="24"/>
                <w:color w:val="auto"/>
              </w:rPr>
            </w:pPr>
          </w:p>
        </w:tc>
        <w:tc>
          <w:tcPr>
            <w:tcW w:w="8780" w:type="dxa"/>
            <w:vAlign w:val="bottom"/>
            <w:gridSpan w:val="2"/>
          </w:tcPr>
          <w:p>
            <w:pPr>
              <w:ind w:left="300"/>
              <w:spacing w:after="0"/>
              <w:rPr>
                <w:sz w:val="20"/>
                <w:szCs w:val="20"/>
                <w:color w:val="auto"/>
              </w:rPr>
            </w:pPr>
            <w:r>
              <w:rPr>
                <w:rFonts w:ascii="Arial" w:cs="Arial" w:eastAsia="Arial" w:hAnsi="Arial"/>
                <w:sz w:val="22"/>
                <w:szCs w:val="22"/>
                <w:color w:val="auto"/>
              </w:rPr>
              <w:t>Common Stock, par value $0.001 per share (the “Shares”)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8780" w:type="dxa"/>
            <w:vAlign w:val="bottom"/>
            <w:gridSpan w:val="2"/>
          </w:tcPr>
          <w:p>
            <w:pPr>
              <w:ind w:left="280"/>
              <w:spacing w:after="0"/>
              <w:rPr>
                <w:sz w:val="20"/>
                <w:szCs w:val="20"/>
                <w:color w:val="auto"/>
              </w:rPr>
            </w:pPr>
            <w:r>
              <w:rPr>
                <w:rFonts w:ascii="Arial" w:cs="Arial" w:eastAsia="Arial" w:hAnsi="Arial"/>
                <w:sz w:val="18"/>
                <w:szCs w:val="18"/>
                <w:b w:val="1"/>
                <w:bCs w:val="1"/>
                <w:color w:val="auto"/>
              </w:rPr>
              <w:t>CUSIP Number:</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20" w:type="dxa"/>
            <w:vAlign w:val="bottom"/>
          </w:tcPr>
          <w:p>
            <w:pPr>
              <w:spacing w:after="0"/>
              <w:rPr>
                <w:sz w:val="24"/>
                <w:szCs w:val="24"/>
                <w:color w:val="auto"/>
              </w:rPr>
            </w:pPr>
          </w:p>
        </w:tc>
        <w:tc>
          <w:tcPr>
            <w:tcW w:w="8780" w:type="dxa"/>
            <w:vAlign w:val="bottom"/>
            <w:gridSpan w:val="2"/>
          </w:tcPr>
          <w:p>
            <w:pPr>
              <w:ind w:left="300"/>
              <w:spacing w:after="0"/>
              <w:rPr>
                <w:sz w:val="20"/>
                <w:szCs w:val="20"/>
                <w:color w:val="auto"/>
              </w:rPr>
            </w:pPr>
            <w:r>
              <w:rPr>
                <w:rFonts w:ascii="Arial" w:cs="Arial" w:eastAsia="Arial" w:hAnsi="Arial"/>
                <w:sz w:val="22"/>
                <w:szCs w:val="22"/>
                <w:color w:val="auto"/>
              </w:rPr>
              <w:t>09075X108</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780" w:type="dxa"/>
            <w:vAlign w:val="bottom"/>
            <w:gridSpan w:val="2"/>
          </w:tcPr>
          <w:p>
            <w:pPr>
              <w:ind w:left="280"/>
              <w:spacing w:after="0"/>
              <w:rPr>
                <w:sz w:val="20"/>
                <w:szCs w:val="20"/>
                <w:color w:val="auto"/>
              </w:rPr>
            </w:pPr>
            <w:r>
              <w:rPr>
                <w:rFonts w:ascii="Arial" w:cs="Arial" w:eastAsia="Arial" w:hAnsi="Arial"/>
                <w:sz w:val="18"/>
                <w:szCs w:val="18"/>
                <w:b w:val="1"/>
                <w:bCs w:val="1"/>
                <w:color w:val="auto"/>
                <w:w w:val="92"/>
              </w:rPr>
              <w:t>If this Statement is filed pursuant to 240.13d-1(b) or 240.13d-2(b) or (c), check whether the person filing is a:</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20" w:type="dxa"/>
            <w:vAlign w:val="bottom"/>
          </w:tcPr>
          <w:p>
            <w:pPr>
              <w:spacing w:after="0"/>
              <w:rPr>
                <w:sz w:val="24"/>
                <w:szCs w:val="24"/>
                <w:color w:val="auto"/>
              </w:rPr>
            </w:pPr>
          </w:p>
        </w:tc>
        <w:tc>
          <w:tcPr>
            <w:tcW w:w="8780" w:type="dxa"/>
            <w:vAlign w:val="bottom"/>
            <w:gridSpan w:val="2"/>
          </w:tcPr>
          <w:p>
            <w:pPr>
              <w:ind w:left="280"/>
              <w:spacing w:after="0"/>
              <w:rPr>
                <w:sz w:val="20"/>
                <w:szCs w:val="20"/>
                <w:color w:val="auto"/>
              </w:rPr>
            </w:pPr>
            <w:r>
              <w:rPr>
                <w:rFonts w:ascii="Arial" w:cs="Arial" w:eastAsia="Arial" w:hAnsi="Arial"/>
                <w:sz w:val="22"/>
                <w:szCs w:val="22"/>
                <w:color w:val="auto"/>
              </w:rPr>
              <w:t>Not applicable.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780" w:type="dxa"/>
            <w:vAlign w:val="bottom"/>
            <w:gridSpan w:val="2"/>
          </w:tcPr>
          <w:p>
            <w:pPr>
              <w:ind w:left="280"/>
              <w:spacing w:after="0"/>
              <w:rPr>
                <w:sz w:val="20"/>
                <w:szCs w:val="20"/>
                <w:color w:val="auto"/>
              </w:rPr>
            </w:pPr>
            <w:r>
              <w:rPr>
                <w:rFonts w:ascii="Arial" w:cs="Arial" w:eastAsia="Arial" w:hAnsi="Arial"/>
                <w:sz w:val="18"/>
                <w:szCs w:val="18"/>
                <w:b w:val="1"/>
                <w:bCs w:val="1"/>
                <w:color w:val="auto"/>
              </w:rPr>
              <w:t>Ownership</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20" w:type="dxa"/>
            <w:vAlign w:val="bottom"/>
          </w:tcPr>
          <w:p>
            <w:pPr>
              <w:spacing w:after="0"/>
              <w:rPr>
                <w:sz w:val="24"/>
                <w:szCs w:val="24"/>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(a)</w:t>
            </w:r>
          </w:p>
        </w:tc>
        <w:tc>
          <w:tcPr>
            <w:tcW w:w="8040" w:type="dxa"/>
            <w:vAlign w:val="bottom"/>
          </w:tcPr>
          <w:p>
            <w:pPr>
              <w:ind w:left="60"/>
              <w:spacing w:after="0"/>
              <w:rPr>
                <w:sz w:val="20"/>
                <w:szCs w:val="20"/>
                <w:color w:val="auto"/>
              </w:rPr>
            </w:pPr>
            <w:r>
              <w:rPr>
                <w:rFonts w:ascii="Arial" w:cs="Arial" w:eastAsia="Arial" w:hAnsi="Arial"/>
                <w:sz w:val="18"/>
                <w:szCs w:val="18"/>
                <w:color w:val="auto"/>
              </w:rPr>
              <w:t>Amount Beneficially Owned:</w:t>
            </w:r>
          </w:p>
        </w:tc>
        <w:tc>
          <w:tcPr>
            <w:tcW w:w="1440" w:type="dxa"/>
            <w:vAlign w:val="bottom"/>
          </w:tcPr>
          <w:p>
            <w:pPr>
              <w:jc w:val="right"/>
              <w:spacing w:after="0"/>
              <w:rPr>
                <w:sz w:val="20"/>
                <w:szCs w:val="20"/>
                <w:color w:val="auto"/>
              </w:rPr>
            </w:pPr>
            <w:r>
              <w:rPr>
                <w:rFonts w:ascii="Arial" w:cs="Arial" w:eastAsia="Arial" w:hAnsi="Arial"/>
                <w:sz w:val="18"/>
                <w:szCs w:val="18"/>
                <w:color w:val="auto"/>
              </w:rPr>
              <w:t>4,816,680 (1)(2)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(b)</w:t>
            </w:r>
          </w:p>
        </w:tc>
        <w:tc>
          <w:tcPr>
            <w:tcW w:w="8040" w:type="dxa"/>
            <w:vAlign w:val="bottom"/>
          </w:tcPr>
          <w:p>
            <w:pPr>
              <w:ind w:left="60"/>
              <w:spacing w:after="0"/>
              <w:rPr>
                <w:sz w:val="20"/>
                <w:szCs w:val="20"/>
                <w:color w:val="auto"/>
              </w:rPr>
            </w:pPr>
            <w:r>
              <w:rPr>
                <w:rFonts w:ascii="Arial" w:cs="Arial" w:eastAsia="Arial" w:hAnsi="Arial"/>
                <w:sz w:val="18"/>
                <w:szCs w:val="18"/>
                <w:color w:val="auto"/>
              </w:rPr>
              <w:t>Percent of Class:</w:t>
            </w:r>
          </w:p>
        </w:tc>
        <w:tc>
          <w:tcPr>
            <w:tcW w:w="1440" w:type="dxa"/>
            <w:vAlign w:val="bottom"/>
          </w:tcPr>
          <w:p>
            <w:pPr>
              <w:jc w:val="right"/>
              <w:spacing w:after="0"/>
              <w:rPr>
                <w:sz w:val="20"/>
                <w:szCs w:val="20"/>
                <w:color w:val="auto"/>
              </w:rPr>
            </w:pPr>
            <w:r>
              <w:rPr>
                <w:rFonts w:ascii="Arial" w:cs="Arial" w:eastAsia="Arial" w:hAnsi="Arial"/>
                <w:sz w:val="18"/>
                <w:szCs w:val="18"/>
                <w:color w:val="auto"/>
              </w:rPr>
              <w:t>18.1% (3)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(c)</w:t>
            </w:r>
          </w:p>
        </w:tc>
        <w:tc>
          <w:tcPr>
            <w:tcW w:w="8040" w:type="dxa"/>
            <w:vAlign w:val="bottom"/>
          </w:tcPr>
          <w:p>
            <w:pPr>
              <w:ind w:left="60"/>
              <w:spacing w:after="0"/>
              <w:rPr>
                <w:sz w:val="20"/>
                <w:szCs w:val="20"/>
                <w:color w:val="auto"/>
              </w:rPr>
            </w:pPr>
            <w:r>
              <w:rPr>
                <w:rFonts w:ascii="Arial" w:cs="Arial" w:eastAsia="Arial" w:hAnsi="Arial"/>
                <w:sz w:val="18"/>
                <w:szCs w:val="18"/>
                <w:color w:val="auto"/>
              </w:rPr>
              <w:t>Number of shares as to which such person has: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(i)  sole power to vote or to direct the vote:</w:t>
            </w:r>
          </w:p>
        </w:tc>
        <w:tc>
          <w:tcPr>
            <w:tcW w:w="1440" w:type="dxa"/>
            <w:vAlign w:val="bottom"/>
          </w:tcPr>
          <w:p>
            <w:pPr>
              <w:jc w:val="right"/>
              <w:spacing w:after="0"/>
              <w:rPr>
                <w:sz w:val="20"/>
                <w:szCs w:val="20"/>
                <w:color w:val="auto"/>
              </w:rPr>
            </w:pPr>
            <w:r>
              <w:rPr>
                <w:rFonts w:ascii="Arial" w:cs="Arial" w:eastAsia="Arial" w:hAnsi="Arial"/>
                <w:sz w:val="18"/>
                <w:szCs w:val="18"/>
                <w:color w:val="auto"/>
              </w:rPr>
              <w:t>2,875,810 (1)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(ii)  shared power to vote or to direct the vote:</w:t>
            </w:r>
          </w:p>
        </w:tc>
        <w:tc>
          <w:tcPr>
            <w:tcW w:w="1440" w:type="dxa"/>
            <w:vAlign w:val="bottom"/>
          </w:tcPr>
          <w:p>
            <w:pPr>
              <w:jc w:val="right"/>
              <w:spacing w:after="0"/>
              <w:rPr>
                <w:sz w:val="20"/>
                <w:szCs w:val="20"/>
                <w:color w:val="auto"/>
              </w:rPr>
            </w:pPr>
            <w:r>
              <w:rPr>
                <w:rFonts w:ascii="Arial" w:cs="Arial" w:eastAsia="Arial" w:hAnsi="Arial"/>
                <w:sz w:val="18"/>
                <w:szCs w:val="18"/>
                <w:color w:val="auto"/>
              </w:rPr>
              <w:t>1,940,870 (2)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(iii) sole power to dispose or to direct the disposition of:</w:t>
            </w:r>
          </w:p>
        </w:tc>
        <w:tc>
          <w:tcPr>
            <w:tcW w:w="1440" w:type="dxa"/>
            <w:vAlign w:val="bottom"/>
          </w:tcPr>
          <w:p>
            <w:pPr>
              <w:jc w:val="right"/>
              <w:spacing w:after="0"/>
              <w:rPr>
                <w:sz w:val="20"/>
                <w:szCs w:val="20"/>
                <w:color w:val="auto"/>
              </w:rPr>
            </w:pPr>
            <w:r>
              <w:rPr>
                <w:rFonts w:ascii="Arial" w:cs="Arial" w:eastAsia="Arial" w:hAnsi="Arial"/>
                <w:sz w:val="18"/>
                <w:szCs w:val="18"/>
                <w:color w:val="auto"/>
              </w:rPr>
              <w:t>2,875,810 (1)</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(iv) shared power to dispose or to direct the disposition of:</w:t>
            </w:r>
          </w:p>
        </w:tc>
        <w:tc>
          <w:tcPr>
            <w:tcW w:w="1440" w:type="dxa"/>
            <w:vAlign w:val="bottom"/>
          </w:tcPr>
          <w:p>
            <w:pPr>
              <w:jc w:val="right"/>
              <w:spacing w:after="0"/>
              <w:rPr>
                <w:sz w:val="20"/>
                <w:szCs w:val="20"/>
                <w:color w:val="auto"/>
              </w:rPr>
            </w:pPr>
            <w:r>
              <w:rPr>
                <w:rFonts w:ascii="Arial" w:cs="Arial" w:eastAsia="Arial" w:hAnsi="Arial"/>
                <w:sz w:val="18"/>
                <w:szCs w:val="18"/>
                <w:color w:val="auto"/>
              </w:rPr>
              <w:t>1,940,870 (2)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12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amount includes (i) 58,597 Shares held directly by the Reporting Person, (ii) 2,811,353 shares held by John Patience Living Trust dated 7/23/1993, over which the Reporting Person is sole trustee, and (iii) 5,860 Shares that the Reporting Person has the right to acquire upon exercise of options exercisable within 60 days of the Event Date of this filing.</w:t>
      </w:r>
    </w:p>
    <w:p>
      <w:pPr>
        <w:spacing w:after="0" w:line="2"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amount includes (i) 1,910,870 shares held by Patience Enterprises LP, over which the Reporting Person is sole general partner and (ii) 30,000 Shares held by the Reporting Person’s spouse.</w:t>
      </w:r>
    </w:p>
    <w:p>
      <w:pPr>
        <w:ind w:left="660" w:right="8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is based on the sum of 26,561,504 Shares outstanding as of December 31, 2020, as reported in the Issuer’s annual report on Form 10-K filed March 16, 2021, plus 5,860 Shares that the Reporting Person has the right to acquire upon exercise of options exercisable within 60 days of the Event Date of this filing.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4 of 5 Pages</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ind w:left="1300" w:right="58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5 of 5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Dated: January 10, 2022</w:t>
      </w:r>
    </w:p>
    <w:p>
      <w:pPr>
        <w:spacing w:after="0" w:line="1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John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13335</wp:posOffset>
            </wp:positionV>
            <wp:extent cx="3437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37255" cy="17145"/>
                    </a:xfrm>
                    <a:prstGeom prst="rect">
                      <a:avLst/>
                    </a:prstGeom>
                    <a:noFill/>
                  </pic:spPr>
                </pic:pic>
              </a:graphicData>
            </a:graphic>
          </wp:anchor>
        </w:drawing>
      </w:r>
    </w:p>
    <w:p>
      <w:pPr>
        <w:spacing w:after="0" w:line="1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Patience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2022-01-10T15:08:35Z</dcterms:created>
  <dcterms:modified xsi:type="dcterms:W3CDTF">2022-01-10T15:08:35Z</dcterms:modified>
</cp:coreProperties>
</file>