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Strobeck Matthew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BIODESIX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BDSX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2970 WILDERNESS PLACE,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100</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BOULDER CO</w:t>
            </w:r>
          </w:p>
        </w:tc>
        <w:tc>
          <w:tcPr>
            <w:tcW w:w="880" w:type="dxa"/>
            <w:vAlign w:val="bottom"/>
          </w:tcPr>
          <w:p>
            <w:pPr>
              <w:jc w:val="right"/>
              <w:spacing w:after="0"/>
              <w:rPr>
                <w:sz w:val="20"/>
                <w:szCs w:val="20"/>
                <w:color w:val="auto"/>
              </w:rPr>
            </w:pPr>
            <w:r>
              <w:rPr>
                <w:rFonts w:ascii="Arial" w:cs="Arial" w:eastAsia="Arial" w:hAnsi="Arial"/>
                <w:sz w:val="20"/>
                <w:szCs w:val="20"/>
                <w:color w:val="0000FF"/>
              </w:rPr>
              <w:t>80301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6050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605091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040" w:type="dxa"/>
            <w:vAlign w:val="bottom"/>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8"/>
              <w:spacing w:after="0"/>
              <w:rPr>
                <w:sz w:val="20"/>
                <w:szCs w:val="20"/>
                <w:color w:val="auto"/>
              </w:rPr>
            </w:pPr>
            <w:r>
              <w:rPr>
                <w:rFonts w:ascii="Arial" w:cs="Arial" w:eastAsia="Arial" w:hAnsi="Arial"/>
                <w:sz w:val="20"/>
                <w:szCs w:val="20"/>
                <w:color w:val="0000FF"/>
                <w:w w:val="88"/>
              </w:rPr>
              <w:t>16,847</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40" w:type="dxa"/>
            <w:vAlign w:val="bottom"/>
          </w:tcPr>
          <w:p>
            <w:pPr>
              <w:ind w:left="80"/>
              <w:spacing w:after="0"/>
              <w:rPr>
                <w:sz w:val="20"/>
                <w:szCs w:val="20"/>
                <w:color w:val="auto"/>
              </w:rPr>
            </w:pPr>
            <w:r>
              <w:rPr>
                <w:rFonts w:ascii="Arial" w:cs="Arial" w:eastAsia="Arial" w:hAnsi="Arial"/>
                <w:sz w:val="20"/>
                <w:szCs w:val="20"/>
                <w:color w:val="0000FF"/>
              </w:rPr>
              <w:t>Series D Preferred Stock</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8"/>
              <w:spacing w:after="0"/>
              <w:rPr>
                <w:sz w:val="20"/>
                <w:szCs w:val="20"/>
                <w:color w:val="auto"/>
              </w:rPr>
            </w:pPr>
            <w:r>
              <w:rPr>
                <w:rFonts w:ascii="Arial" w:cs="Arial" w:eastAsia="Arial" w:hAnsi="Arial"/>
                <w:sz w:val="20"/>
                <w:szCs w:val="20"/>
                <w:color w:val="0000FF"/>
                <w:w w:val="85"/>
              </w:rPr>
              <w:t>115,610</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40" w:type="dxa"/>
            <w:vAlign w:val="bottom"/>
          </w:tcPr>
          <w:p>
            <w:pPr>
              <w:ind w:left="80"/>
              <w:spacing w:after="0"/>
              <w:rPr>
                <w:sz w:val="20"/>
                <w:szCs w:val="20"/>
                <w:color w:val="auto"/>
              </w:rPr>
            </w:pPr>
            <w:r>
              <w:rPr>
                <w:rFonts w:ascii="Arial" w:cs="Arial" w:eastAsia="Arial" w:hAnsi="Arial"/>
                <w:sz w:val="20"/>
                <w:szCs w:val="20"/>
                <w:color w:val="0000FF"/>
              </w:rPr>
              <w:t>Series E Preferred Stock</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8"/>
              <w:spacing w:after="0"/>
              <w:rPr>
                <w:sz w:val="20"/>
                <w:szCs w:val="20"/>
                <w:color w:val="auto"/>
              </w:rPr>
            </w:pPr>
            <w:r>
              <w:rPr>
                <w:rFonts w:ascii="Arial" w:cs="Arial" w:eastAsia="Arial" w:hAnsi="Arial"/>
                <w:sz w:val="20"/>
                <w:szCs w:val="20"/>
                <w:color w:val="0000FF"/>
                <w:w w:val="85"/>
              </w:rPr>
              <w:t>126,503</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40" w:type="dxa"/>
            <w:vAlign w:val="bottom"/>
          </w:tcPr>
          <w:p>
            <w:pPr>
              <w:ind w:left="80"/>
              <w:spacing w:after="0"/>
              <w:rPr>
                <w:sz w:val="20"/>
                <w:szCs w:val="20"/>
                <w:color w:val="auto"/>
              </w:rPr>
            </w:pPr>
            <w:r>
              <w:rPr>
                <w:rFonts w:ascii="Arial" w:cs="Arial" w:eastAsia="Arial" w:hAnsi="Arial"/>
                <w:sz w:val="20"/>
                <w:szCs w:val="20"/>
                <w:color w:val="0000FF"/>
              </w:rPr>
              <w:t>Series F Preferred Stock</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8"/>
              <w:spacing w:after="0"/>
              <w:rPr>
                <w:sz w:val="20"/>
                <w:szCs w:val="20"/>
                <w:color w:val="auto"/>
              </w:rPr>
            </w:pPr>
            <w:r>
              <w:rPr>
                <w:rFonts w:ascii="Arial" w:cs="Arial" w:eastAsia="Arial" w:hAnsi="Arial"/>
                <w:sz w:val="20"/>
                <w:szCs w:val="20"/>
                <w:color w:val="0000FF"/>
                <w:w w:val="85"/>
              </w:rPr>
              <w:t>152,212</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40" w:type="dxa"/>
            <w:vAlign w:val="bottom"/>
          </w:tcPr>
          <w:p>
            <w:pPr>
              <w:ind w:left="80"/>
              <w:spacing w:after="0"/>
              <w:rPr>
                <w:sz w:val="20"/>
                <w:szCs w:val="20"/>
                <w:color w:val="auto"/>
              </w:rPr>
            </w:pPr>
            <w:r>
              <w:rPr>
                <w:rFonts w:ascii="Arial" w:cs="Arial" w:eastAsia="Arial" w:hAnsi="Arial"/>
                <w:sz w:val="20"/>
                <w:szCs w:val="20"/>
                <w:color w:val="0000FF"/>
              </w:rPr>
              <w:t>Series G Preferred Stock</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8"/>
              <w:spacing w:after="0"/>
              <w:rPr>
                <w:sz w:val="20"/>
                <w:szCs w:val="20"/>
                <w:color w:val="auto"/>
              </w:rPr>
            </w:pPr>
            <w:r>
              <w:rPr>
                <w:rFonts w:ascii="Arial" w:cs="Arial" w:eastAsia="Arial" w:hAnsi="Arial"/>
                <w:sz w:val="20"/>
                <w:szCs w:val="20"/>
                <w:color w:val="0000FF"/>
                <w:w w:val="85"/>
              </w:rPr>
              <w:t>279,699</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40" w:type="dxa"/>
            <w:vAlign w:val="bottom"/>
          </w:tcPr>
          <w:p>
            <w:pPr>
              <w:ind w:left="80"/>
              <w:spacing w:after="0"/>
              <w:rPr>
                <w:sz w:val="20"/>
                <w:szCs w:val="20"/>
                <w:color w:val="auto"/>
              </w:rPr>
            </w:pPr>
            <w:r>
              <w:rPr>
                <w:rFonts w:ascii="Arial" w:cs="Arial" w:eastAsia="Arial" w:hAnsi="Arial"/>
                <w:sz w:val="20"/>
                <w:szCs w:val="20"/>
                <w:color w:val="0000FF"/>
              </w:rPr>
              <w:t>Series H Preferred Stock</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8"/>
              <w:spacing w:after="0"/>
              <w:rPr>
                <w:sz w:val="20"/>
                <w:szCs w:val="20"/>
                <w:color w:val="auto"/>
              </w:rPr>
            </w:pPr>
            <w:r>
              <w:rPr>
                <w:rFonts w:ascii="Arial" w:cs="Arial" w:eastAsia="Arial" w:hAnsi="Arial"/>
                <w:sz w:val="20"/>
                <w:szCs w:val="20"/>
                <w:color w:val="0000FF"/>
                <w:w w:val="85"/>
              </w:rPr>
              <w:t>140,877</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40" w:type="dxa"/>
            <w:vAlign w:val="bottom"/>
            <w:vMerge w:val="restart"/>
          </w:tcPr>
          <w:p>
            <w:pPr>
              <w:ind w:left="80"/>
              <w:spacing w:after="0"/>
              <w:rPr>
                <w:sz w:val="20"/>
                <w:szCs w:val="20"/>
                <w:color w:val="auto"/>
              </w:rPr>
            </w:pPr>
            <w:r>
              <w:rPr>
                <w:rFonts w:ascii="Arial" w:cs="Arial" w:eastAsia="Arial" w:hAnsi="Arial"/>
                <w:sz w:val="20"/>
                <w:szCs w:val="20"/>
                <w:color w:val="0000FF"/>
              </w:rPr>
              <w:t>Series H Preferred Stock</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21,974</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920" w:type="dxa"/>
            <w:vAlign w:val="bottom"/>
            <w:vMerge w:val="restart"/>
          </w:tcPr>
          <w:p>
            <w:pPr>
              <w:jc w:val="center"/>
              <w:spacing w:after="0"/>
              <w:rPr>
                <w:sz w:val="20"/>
                <w:szCs w:val="20"/>
                <w:color w:val="auto"/>
              </w:rPr>
            </w:pPr>
            <w:r>
              <w:rPr>
                <w:rFonts w:ascii="Arial" w:cs="Arial" w:eastAsia="Arial" w:hAnsi="Arial"/>
                <w:sz w:val="39"/>
                <w:szCs w:val="39"/>
                <w:color w:val="0000FF"/>
                <w:w w:val="86"/>
                <w:vertAlign w:val="subscript"/>
              </w:rPr>
              <w:t>I</w:t>
            </w:r>
            <w:r>
              <w:rPr>
                <w:rFonts w:ascii="Arial" w:cs="Arial" w:eastAsia="Arial" w:hAnsi="Arial"/>
                <w:sz w:val="13"/>
                <w:szCs w:val="13"/>
                <w:color w:val="008000"/>
                <w:w w:val="86"/>
              </w:rPr>
              <w:t>(2)</w:t>
            </w:r>
          </w:p>
        </w:tc>
        <w:tc>
          <w:tcPr>
            <w:tcW w:w="1460" w:type="dxa"/>
            <w:vAlign w:val="bottom"/>
          </w:tcPr>
          <w:p>
            <w:pPr>
              <w:ind w:left="80"/>
              <w:spacing w:after="0"/>
              <w:rPr>
                <w:sz w:val="20"/>
                <w:szCs w:val="20"/>
                <w:color w:val="auto"/>
              </w:rPr>
            </w:pPr>
            <w:r>
              <w:rPr>
                <w:rFonts w:ascii="Arial" w:cs="Arial" w:eastAsia="Arial" w:hAnsi="Arial"/>
                <w:sz w:val="20"/>
                <w:szCs w:val="20"/>
                <w:color w:val="0000FF"/>
              </w:rPr>
              <w:t>By Clajer</w:t>
            </w:r>
          </w:p>
        </w:tc>
        <w:tc>
          <w:tcPr>
            <w:tcW w:w="0" w:type="dxa"/>
            <w:vAlign w:val="bottom"/>
          </w:tcPr>
          <w:p>
            <w:pPr>
              <w:spacing w:after="0"/>
              <w:rPr>
                <w:sz w:val="1"/>
                <w:szCs w:val="1"/>
                <w:color w:val="auto"/>
              </w:rPr>
            </w:pPr>
          </w:p>
        </w:tc>
      </w:tr>
      <w:tr>
        <w:trPr>
          <w:trHeight w:val="190"/>
        </w:trPr>
        <w:tc>
          <w:tcPr>
            <w:tcW w:w="3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vMerge w:val="restart"/>
          </w:tcPr>
          <w:p>
            <w:pPr>
              <w:ind w:left="80"/>
              <w:spacing w:after="0"/>
              <w:rPr>
                <w:sz w:val="20"/>
                <w:szCs w:val="20"/>
                <w:color w:val="auto"/>
              </w:rPr>
            </w:pPr>
            <w:r>
              <w:rPr>
                <w:rFonts w:ascii="Arial" w:cs="Arial" w:eastAsia="Arial" w:hAnsi="Arial"/>
                <w:sz w:val="20"/>
                <w:szCs w:val="20"/>
                <w:color w:val="0000FF"/>
              </w:rPr>
              <w:t>Capital LLC</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30"/>
        </w:trPr>
        <w:tc>
          <w:tcPr>
            <w:tcW w:w="3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304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07/15/2029</w:t>
            </w:r>
          </w:p>
        </w:tc>
        <w:tc>
          <w:tcPr>
            <w:tcW w:w="170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8"/>
              <w:spacing w:after="0"/>
              <w:rPr>
                <w:sz w:val="20"/>
                <w:szCs w:val="20"/>
                <w:color w:val="auto"/>
              </w:rPr>
            </w:pPr>
            <w:r>
              <w:rPr>
                <w:rFonts w:ascii="Arial" w:cs="Arial" w:eastAsia="Arial" w:hAnsi="Arial"/>
                <w:sz w:val="20"/>
                <w:szCs w:val="20"/>
                <w:color w:val="0000FF"/>
                <w:w w:val="88"/>
              </w:rPr>
              <w:t>35,158</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6.83</w:t>
            </w:r>
          </w:p>
        </w:tc>
        <w:tc>
          <w:tcPr>
            <w:tcW w:w="9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4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04/14/2030</w:t>
            </w:r>
          </w:p>
        </w:tc>
        <w:tc>
          <w:tcPr>
            <w:tcW w:w="170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8"/>
              <w:spacing w:after="0"/>
              <w:rPr>
                <w:sz w:val="20"/>
                <w:szCs w:val="20"/>
                <w:color w:val="auto"/>
              </w:rPr>
            </w:pPr>
            <w:r>
              <w:rPr>
                <w:rFonts w:ascii="Arial" w:cs="Arial" w:eastAsia="Arial" w:hAnsi="Arial"/>
                <w:sz w:val="20"/>
                <w:szCs w:val="20"/>
                <w:color w:val="0000FF"/>
                <w:w w:val="88"/>
              </w:rPr>
              <w:t>35,158</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6.83</w:t>
            </w:r>
          </w:p>
        </w:tc>
        <w:tc>
          <w:tcPr>
            <w:tcW w:w="9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4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jc w:val="center"/>
              <w:spacing w:after="0"/>
              <w:rPr>
                <w:sz w:val="20"/>
                <w:szCs w:val="20"/>
                <w:color w:val="auto"/>
              </w:rPr>
            </w:pPr>
            <w:r>
              <w:rPr>
                <w:rFonts w:ascii="Arial" w:cs="Arial" w:eastAsia="Arial" w:hAnsi="Arial"/>
                <w:sz w:val="15"/>
                <w:szCs w:val="15"/>
                <w:color w:val="0000FF"/>
                <w:w w:val="90"/>
              </w:rPr>
              <w:t>01/30/2013</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01/29/2022</w:t>
            </w:r>
          </w:p>
        </w:tc>
        <w:tc>
          <w:tcPr>
            <w:tcW w:w="170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48"/>
              <w:spacing w:after="0"/>
              <w:rPr>
                <w:sz w:val="20"/>
                <w:szCs w:val="20"/>
                <w:color w:val="auto"/>
              </w:rPr>
            </w:pPr>
            <w:r>
              <w:rPr>
                <w:rFonts w:ascii="Arial" w:cs="Arial" w:eastAsia="Arial" w:hAnsi="Arial"/>
                <w:sz w:val="20"/>
                <w:szCs w:val="20"/>
                <w:color w:val="0000FF"/>
                <w:w w:val="87"/>
              </w:rPr>
              <w:t>3,369</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23.74</w:t>
            </w:r>
          </w:p>
        </w:tc>
        <w:tc>
          <w:tcPr>
            <w:tcW w:w="9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40" w:type="dxa"/>
            <w:vAlign w:val="bottom"/>
            <w:vMerge w:val="restart"/>
          </w:tcPr>
          <w:p>
            <w:pPr>
              <w:ind w:left="80"/>
              <w:spacing w:after="0"/>
              <w:rPr>
                <w:sz w:val="20"/>
                <w:szCs w:val="20"/>
                <w:color w:val="auto"/>
              </w:rPr>
            </w:pPr>
            <w:r>
              <w:rPr>
                <w:rFonts w:ascii="Arial" w:cs="Arial" w:eastAsia="Arial" w:hAnsi="Arial"/>
                <w:sz w:val="20"/>
                <w:szCs w:val="20"/>
                <w:color w:val="0000FF"/>
                <w:w w:val="91"/>
              </w:rPr>
              <w:t>3% Convertible Debt due June 2021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06/30/2021</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18,714</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920" w:type="dxa"/>
            <w:vAlign w:val="bottom"/>
            <w:vMerge w:val="restart"/>
          </w:tcPr>
          <w:p>
            <w:pPr>
              <w:jc w:val="center"/>
              <w:spacing w:after="0"/>
              <w:rPr>
                <w:sz w:val="20"/>
                <w:szCs w:val="20"/>
                <w:color w:val="auto"/>
              </w:rPr>
            </w:pPr>
            <w:r>
              <w:rPr>
                <w:rFonts w:ascii="Arial" w:cs="Arial" w:eastAsia="Arial" w:hAnsi="Arial"/>
                <w:sz w:val="39"/>
                <w:szCs w:val="39"/>
                <w:color w:val="0000FF"/>
                <w:w w:val="86"/>
                <w:vertAlign w:val="subscript"/>
              </w:rPr>
              <w:t>I</w:t>
            </w:r>
            <w:r>
              <w:rPr>
                <w:rFonts w:ascii="Arial" w:cs="Arial" w:eastAsia="Arial" w:hAnsi="Arial"/>
                <w:sz w:val="13"/>
                <w:szCs w:val="13"/>
                <w:color w:val="008000"/>
                <w:w w:val="86"/>
              </w:rPr>
              <w:t>(2)</w:t>
            </w:r>
          </w:p>
        </w:tc>
        <w:tc>
          <w:tcPr>
            <w:tcW w:w="1460" w:type="dxa"/>
            <w:vAlign w:val="bottom"/>
          </w:tcPr>
          <w:p>
            <w:pPr>
              <w:ind w:left="80"/>
              <w:spacing w:after="0"/>
              <w:rPr>
                <w:sz w:val="20"/>
                <w:szCs w:val="20"/>
                <w:color w:val="auto"/>
              </w:rPr>
            </w:pPr>
            <w:r>
              <w:rPr>
                <w:rFonts w:ascii="Arial" w:cs="Arial" w:eastAsia="Arial" w:hAnsi="Arial"/>
                <w:sz w:val="20"/>
                <w:szCs w:val="20"/>
                <w:color w:val="0000FF"/>
              </w:rPr>
              <w:t>By Clajer</w:t>
            </w:r>
          </w:p>
        </w:tc>
        <w:tc>
          <w:tcPr>
            <w:tcW w:w="0" w:type="dxa"/>
            <w:vAlign w:val="bottom"/>
          </w:tcPr>
          <w:p>
            <w:pPr>
              <w:spacing w:after="0"/>
              <w:rPr>
                <w:sz w:val="1"/>
                <w:szCs w:val="1"/>
                <w:color w:val="auto"/>
              </w:rPr>
            </w:pPr>
          </w:p>
        </w:tc>
      </w:tr>
      <w:tr>
        <w:trPr>
          <w:trHeight w:val="190"/>
        </w:trPr>
        <w:tc>
          <w:tcPr>
            <w:tcW w:w="3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vMerge w:val="restart"/>
          </w:tcPr>
          <w:p>
            <w:pPr>
              <w:ind w:left="80"/>
              <w:spacing w:after="0"/>
              <w:rPr>
                <w:sz w:val="20"/>
                <w:szCs w:val="20"/>
                <w:color w:val="auto"/>
              </w:rPr>
            </w:pPr>
            <w:r>
              <w:rPr>
                <w:rFonts w:ascii="Arial" w:cs="Arial" w:eastAsia="Arial" w:hAnsi="Arial"/>
                <w:sz w:val="20"/>
                <w:szCs w:val="20"/>
                <w:color w:val="0000FF"/>
              </w:rPr>
              <w:t>Capital LLC</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30"/>
        </w:trPr>
        <w:tc>
          <w:tcPr>
            <w:tcW w:w="3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3040" w:type="dxa"/>
            <w:vAlign w:val="bottom"/>
          </w:tcPr>
          <w:p>
            <w:pPr>
              <w:ind w:left="80"/>
              <w:spacing w:after="0"/>
              <w:rPr>
                <w:sz w:val="20"/>
                <w:szCs w:val="20"/>
                <w:color w:val="auto"/>
              </w:rPr>
            </w:pPr>
            <w:r>
              <w:rPr>
                <w:rFonts w:ascii="Arial" w:cs="Arial" w:eastAsia="Arial" w:hAnsi="Arial"/>
                <w:sz w:val="20"/>
                <w:szCs w:val="20"/>
                <w:color w:val="0000FF"/>
                <w:w w:val="91"/>
              </w:rPr>
              <w:t>3% Convertible Debt due June 2021</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06/30/2021</w:t>
            </w:r>
          </w:p>
        </w:tc>
        <w:tc>
          <w:tcPr>
            <w:tcW w:w="170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8"/>
              <w:spacing w:after="0"/>
              <w:rPr>
                <w:sz w:val="20"/>
                <w:szCs w:val="20"/>
                <w:color w:val="auto"/>
              </w:rPr>
            </w:pPr>
            <w:r>
              <w:rPr>
                <w:rFonts w:ascii="Arial" w:cs="Arial" w:eastAsia="Arial" w:hAnsi="Arial"/>
                <w:sz w:val="20"/>
                <w:szCs w:val="20"/>
                <w:color w:val="0000FF"/>
                <w:w w:val="88"/>
              </w:rPr>
              <w:t>76,631</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(5)</w:t>
            </w:r>
          </w:p>
        </w:tc>
        <w:tc>
          <w:tcPr>
            <w:tcW w:w="9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40" w:type="dxa"/>
            <w:vAlign w:val="bottom"/>
            <w:vMerge w:val="restart"/>
          </w:tcPr>
          <w:p>
            <w:pPr>
              <w:ind w:left="80"/>
              <w:spacing w:after="0"/>
              <w:rPr>
                <w:sz w:val="20"/>
                <w:szCs w:val="20"/>
                <w:color w:val="auto"/>
              </w:rPr>
            </w:pPr>
            <w:r>
              <w:rPr>
                <w:rFonts w:ascii="Arial" w:cs="Arial" w:eastAsia="Arial" w:hAnsi="Arial"/>
                <w:sz w:val="20"/>
                <w:szCs w:val="20"/>
                <w:color w:val="0000FF"/>
                <w:w w:val="91"/>
              </w:rPr>
              <w:t>3% Convertible Debt due June 2021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06/30/2021</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48"/>
              <w:spacing w:after="0"/>
              <w:rPr>
                <w:sz w:val="20"/>
                <w:szCs w:val="20"/>
                <w:color w:val="auto"/>
              </w:rPr>
            </w:pPr>
            <w:r>
              <w:rPr>
                <w:rFonts w:ascii="Arial" w:cs="Arial" w:eastAsia="Arial" w:hAnsi="Arial"/>
                <w:sz w:val="20"/>
                <w:szCs w:val="20"/>
                <w:color w:val="0000FF"/>
                <w:w w:val="87"/>
              </w:rPr>
              <w:t>3,522</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920" w:type="dxa"/>
            <w:vAlign w:val="bottom"/>
            <w:vMerge w:val="restart"/>
          </w:tcPr>
          <w:p>
            <w:pPr>
              <w:jc w:val="center"/>
              <w:spacing w:after="0"/>
              <w:rPr>
                <w:sz w:val="20"/>
                <w:szCs w:val="20"/>
                <w:color w:val="auto"/>
              </w:rPr>
            </w:pPr>
            <w:r>
              <w:rPr>
                <w:rFonts w:ascii="Arial" w:cs="Arial" w:eastAsia="Arial" w:hAnsi="Arial"/>
                <w:sz w:val="39"/>
                <w:szCs w:val="39"/>
                <w:color w:val="0000FF"/>
                <w:w w:val="86"/>
                <w:vertAlign w:val="subscript"/>
              </w:rPr>
              <w:t>I</w:t>
            </w:r>
            <w:r>
              <w:rPr>
                <w:rFonts w:ascii="Arial" w:cs="Arial" w:eastAsia="Arial" w:hAnsi="Arial"/>
                <w:sz w:val="13"/>
                <w:szCs w:val="13"/>
                <w:color w:val="008000"/>
                <w:w w:val="86"/>
              </w:rPr>
              <w:t>(6)</w:t>
            </w:r>
          </w:p>
        </w:tc>
        <w:tc>
          <w:tcPr>
            <w:tcW w:w="1460" w:type="dxa"/>
            <w:vAlign w:val="bottom"/>
          </w:tcPr>
          <w:p>
            <w:pPr>
              <w:ind w:left="80"/>
              <w:spacing w:after="0"/>
              <w:rPr>
                <w:sz w:val="20"/>
                <w:szCs w:val="20"/>
                <w:color w:val="auto"/>
              </w:rPr>
            </w:pPr>
            <w:r>
              <w:rPr>
                <w:rFonts w:ascii="Arial" w:cs="Arial" w:eastAsia="Arial" w:hAnsi="Arial"/>
                <w:sz w:val="20"/>
                <w:szCs w:val="20"/>
                <w:color w:val="0000FF"/>
              </w:rPr>
              <w:t>By UGMA</w:t>
            </w:r>
          </w:p>
        </w:tc>
        <w:tc>
          <w:tcPr>
            <w:tcW w:w="0" w:type="dxa"/>
            <w:vAlign w:val="bottom"/>
          </w:tcPr>
          <w:p>
            <w:pPr>
              <w:spacing w:after="0"/>
              <w:rPr>
                <w:sz w:val="1"/>
                <w:szCs w:val="1"/>
                <w:color w:val="auto"/>
              </w:rPr>
            </w:pPr>
          </w:p>
        </w:tc>
      </w:tr>
      <w:tr>
        <w:trPr>
          <w:trHeight w:val="190"/>
        </w:trPr>
        <w:tc>
          <w:tcPr>
            <w:tcW w:w="3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vMerge w:val="restart"/>
          </w:tcPr>
          <w:p>
            <w:pPr>
              <w:ind w:left="80"/>
              <w:spacing w:after="0"/>
              <w:rPr>
                <w:sz w:val="20"/>
                <w:szCs w:val="20"/>
                <w:color w:val="auto"/>
              </w:rPr>
            </w:pPr>
            <w:r>
              <w:rPr>
                <w:rFonts w:ascii="Arial" w:cs="Arial" w:eastAsia="Arial" w:hAnsi="Arial"/>
                <w:sz w:val="20"/>
                <w:szCs w:val="20"/>
                <w:color w:val="0000FF"/>
              </w:rPr>
              <w:t>Account</w:t>
            </w:r>
            <w:r>
              <w:rPr>
                <w:rFonts w:ascii="Arial" w:cs="Arial" w:eastAsia="Arial" w:hAnsi="Arial"/>
                <w:sz w:val="25"/>
                <w:szCs w:val="25"/>
                <w:color w:val="008000"/>
                <w:vertAlign w:val="superscript"/>
              </w:rPr>
              <w:t>(6)</w:t>
            </w:r>
          </w:p>
        </w:tc>
        <w:tc>
          <w:tcPr>
            <w:tcW w:w="0" w:type="dxa"/>
            <w:vAlign w:val="bottom"/>
          </w:tcPr>
          <w:p>
            <w:pPr>
              <w:spacing w:after="0"/>
              <w:rPr>
                <w:sz w:val="1"/>
                <w:szCs w:val="1"/>
                <w:color w:val="auto"/>
              </w:rPr>
            </w:pPr>
          </w:p>
        </w:tc>
      </w:tr>
      <w:tr>
        <w:trPr>
          <w:trHeight w:val="130"/>
        </w:trPr>
        <w:tc>
          <w:tcPr>
            <w:tcW w:w="3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3040" w:type="dxa"/>
            <w:vAlign w:val="bottom"/>
            <w:vMerge w:val="restart"/>
          </w:tcPr>
          <w:p>
            <w:pPr>
              <w:ind w:left="80"/>
              <w:spacing w:after="0"/>
              <w:rPr>
                <w:sz w:val="20"/>
                <w:szCs w:val="20"/>
                <w:color w:val="auto"/>
              </w:rPr>
            </w:pPr>
            <w:r>
              <w:rPr>
                <w:rFonts w:ascii="Arial" w:cs="Arial" w:eastAsia="Arial" w:hAnsi="Arial"/>
                <w:sz w:val="20"/>
                <w:szCs w:val="20"/>
                <w:color w:val="0000FF"/>
                <w:w w:val="91"/>
              </w:rPr>
              <w:t>3% Convertible Debt due June 2021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06/30/2021</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48"/>
              <w:spacing w:after="0"/>
              <w:rPr>
                <w:sz w:val="20"/>
                <w:szCs w:val="20"/>
                <w:color w:val="auto"/>
              </w:rPr>
            </w:pPr>
            <w:r>
              <w:rPr>
                <w:rFonts w:ascii="Arial" w:cs="Arial" w:eastAsia="Arial" w:hAnsi="Arial"/>
                <w:sz w:val="20"/>
                <w:szCs w:val="20"/>
                <w:color w:val="0000FF"/>
                <w:w w:val="87"/>
              </w:rPr>
              <w:t>3,522</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920" w:type="dxa"/>
            <w:vAlign w:val="bottom"/>
            <w:vMerge w:val="restart"/>
          </w:tcPr>
          <w:p>
            <w:pPr>
              <w:jc w:val="center"/>
              <w:spacing w:after="0"/>
              <w:rPr>
                <w:sz w:val="20"/>
                <w:szCs w:val="20"/>
                <w:color w:val="auto"/>
              </w:rPr>
            </w:pPr>
            <w:r>
              <w:rPr>
                <w:rFonts w:ascii="Arial" w:cs="Arial" w:eastAsia="Arial" w:hAnsi="Arial"/>
                <w:sz w:val="39"/>
                <w:szCs w:val="39"/>
                <w:color w:val="0000FF"/>
                <w:w w:val="86"/>
                <w:vertAlign w:val="subscript"/>
              </w:rPr>
              <w:t>I</w:t>
            </w:r>
            <w:r>
              <w:rPr>
                <w:rFonts w:ascii="Arial" w:cs="Arial" w:eastAsia="Arial" w:hAnsi="Arial"/>
                <w:sz w:val="13"/>
                <w:szCs w:val="13"/>
                <w:color w:val="008000"/>
                <w:w w:val="86"/>
              </w:rPr>
              <w:t>(6)</w:t>
            </w:r>
          </w:p>
        </w:tc>
        <w:tc>
          <w:tcPr>
            <w:tcW w:w="1460" w:type="dxa"/>
            <w:vAlign w:val="bottom"/>
          </w:tcPr>
          <w:p>
            <w:pPr>
              <w:ind w:left="80"/>
              <w:spacing w:after="0"/>
              <w:rPr>
                <w:sz w:val="20"/>
                <w:szCs w:val="20"/>
                <w:color w:val="auto"/>
              </w:rPr>
            </w:pPr>
            <w:r>
              <w:rPr>
                <w:rFonts w:ascii="Arial" w:cs="Arial" w:eastAsia="Arial" w:hAnsi="Arial"/>
                <w:sz w:val="20"/>
                <w:szCs w:val="20"/>
                <w:color w:val="0000FF"/>
              </w:rPr>
              <w:t>By UGMA</w:t>
            </w:r>
          </w:p>
        </w:tc>
        <w:tc>
          <w:tcPr>
            <w:tcW w:w="0" w:type="dxa"/>
            <w:vAlign w:val="bottom"/>
          </w:tcPr>
          <w:p>
            <w:pPr>
              <w:spacing w:after="0"/>
              <w:rPr>
                <w:sz w:val="1"/>
                <w:szCs w:val="1"/>
                <w:color w:val="auto"/>
              </w:rPr>
            </w:pPr>
          </w:p>
        </w:tc>
      </w:tr>
      <w:tr>
        <w:trPr>
          <w:trHeight w:val="190"/>
        </w:trPr>
        <w:tc>
          <w:tcPr>
            <w:tcW w:w="3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vMerge w:val="restart"/>
          </w:tcPr>
          <w:p>
            <w:pPr>
              <w:ind w:left="80"/>
              <w:spacing w:after="0"/>
              <w:rPr>
                <w:sz w:val="20"/>
                <w:szCs w:val="20"/>
                <w:color w:val="auto"/>
              </w:rPr>
            </w:pPr>
            <w:r>
              <w:rPr>
                <w:rFonts w:ascii="Arial" w:cs="Arial" w:eastAsia="Arial" w:hAnsi="Arial"/>
                <w:sz w:val="20"/>
                <w:szCs w:val="20"/>
                <w:color w:val="0000FF"/>
              </w:rPr>
              <w:t>Account</w:t>
            </w:r>
            <w:r>
              <w:rPr>
                <w:rFonts w:ascii="Arial" w:cs="Arial" w:eastAsia="Arial" w:hAnsi="Arial"/>
                <w:sz w:val="25"/>
                <w:szCs w:val="25"/>
                <w:color w:val="008000"/>
                <w:vertAlign w:val="superscript"/>
              </w:rPr>
              <w:t>(6)</w:t>
            </w:r>
          </w:p>
        </w:tc>
        <w:tc>
          <w:tcPr>
            <w:tcW w:w="0" w:type="dxa"/>
            <w:vAlign w:val="bottom"/>
          </w:tcPr>
          <w:p>
            <w:pPr>
              <w:spacing w:after="0"/>
              <w:rPr>
                <w:sz w:val="1"/>
                <w:szCs w:val="1"/>
                <w:color w:val="auto"/>
              </w:rPr>
            </w:pPr>
          </w:p>
        </w:tc>
      </w:tr>
      <w:tr>
        <w:trPr>
          <w:trHeight w:val="130"/>
        </w:trPr>
        <w:tc>
          <w:tcPr>
            <w:tcW w:w="3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3040" w:type="dxa"/>
            <w:vAlign w:val="bottom"/>
            <w:vMerge w:val="restart"/>
          </w:tcPr>
          <w:p>
            <w:pPr>
              <w:ind w:left="80"/>
              <w:spacing w:after="0"/>
              <w:rPr>
                <w:sz w:val="20"/>
                <w:szCs w:val="20"/>
                <w:color w:val="auto"/>
              </w:rPr>
            </w:pPr>
            <w:r>
              <w:rPr>
                <w:rFonts w:ascii="Arial" w:cs="Arial" w:eastAsia="Arial" w:hAnsi="Arial"/>
                <w:sz w:val="20"/>
                <w:szCs w:val="20"/>
                <w:color w:val="0000FF"/>
                <w:w w:val="91"/>
              </w:rPr>
              <w:t>3% Convertible Debt due June 2021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06/30/2021</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48"/>
              <w:spacing w:after="0"/>
              <w:rPr>
                <w:sz w:val="20"/>
                <w:szCs w:val="20"/>
                <w:color w:val="auto"/>
              </w:rPr>
            </w:pPr>
            <w:r>
              <w:rPr>
                <w:rFonts w:ascii="Arial" w:cs="Arial" w:eastAsia="Arial" w:hAnsi="Arial"/>
                <w:sz w:val="20"/>
                <w:szCs w:val="20"/>
                <w:color w:val="0000FF"/>
                <w:w w:val="87"/>
              </w:rPr>
              <w:t>3,522</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920" w:type="dxa"/>
            <w:vAlign w:val="bottom"/>
            <w:vMerge w:val="restart"/>
          </w:tcPr>
          <w:p>
            <w:pPr>
              <w:jc w:val="center"/>
              <w:spacing w:after="0"/>
              <w:rPr>
                <w:sz w:val="20"/>
                <w:szCs w:val="20"/>
                <w:color w:val="auto"/>
              </w:rPr>
            </w:pPr>
            <w:r>
              <w:rPr>
                <w:rFonts w:ascii="Arial" w:cs="Arial" w:eastAsia="Arial" w:hAnsi="Arial"/>
                <w:sz w:val="39"/>
                <w:szCs w:val="39"/>
                <w:color w:val="0000FF"/>
                <w:w w:val="86"/>
                <w:vertAlign w:val="subscript"/>
              </w:rPr>
              <w:t>I</w:t>
            </w:r>
            <w:r>
              <w:rPr>
                <w:rFonts w:ascii="Arial" w:cs="Arial" w:eastAsia="Arial" w:hAnsi="Arial"/>
                <w:sz w:val="13"/>
                <w:szCs w:val="13"/>
                <w:color w:val="008000"/>
                <w:w w:val="86"/>
              </w:rPr>
              <w:t>(6)</w:t>
            </w:r>
          </w:p>
        </w:tc>
        <w:tc>
          <w:tcPr>
            <w:tcW w:w="1460" w:type="dxa"/>
            <w:vAlign w:val="bottom"/>
          </w:tcPr>
          <w:p>
            <w:pPr>
              <w:ind w:left="80"/>
              <w:spacing w:after="0"/>
              <w:rPr>
                <w:sz w:val="20"/>
                <w:szCs w:val="20"/>
                <w:color w:val="auto"/>
              </w:rPr>
            </w:pPr>
            <w:r>
              <w:rPr>
                <w:rFonts w:ascii="Arial" w:cs="Arial" w:eastAsia="Arial" w:hAnsi="Arial"/>
                <w:sz w:val="20"/>
                <w:szCs w:val="20"/>
                <w:color w:val="0000FF"/>
              </w:rPr>
              <w:t>By UGMA</w:t>
            </w:r>
          </w:p>
        </w:tc>
        <w:tc>
          <w:tcPr>
            <w:tcW w:w="0" w:type="dxa"/>
            <w:vAlign w:val="bottom"/>
          </w:tcPr>
          <w:p>
            <w:pPr>
              <w:spacing w:after="0"/>
              <w:rPr>
                <w:sz w:val="1"/>
                <w:szCs w:val="1"/>
                <w:color w:val="auto"/>
              </w:rPr>
            </w:pPr>
          </w:p>
        </w:tc>
      </w:tr>
      <w:tr>
        <w:trPr>
          <w:trHeight w:val="190"/>
        </w:trPr>
        <w:tc>
          <w:tcPr>
            <w:tcW w:w="3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vMerge w:val="restart"/>
          </w:tcPr>
          <w:p>
            <w:pPr>
              <w:ind w:left="80"/>
              <w:spacing w:after="0"/>
              <w:rPr>
                <w:sz w:val="20"/>
                <w:szCs w:val="20"/>
                <w:color w:val="auto"/>
              </w:rPr>
            </w:pPr>
            <w:r>
              <w:rPr>
                <w:rFonts w:ascii="Arial" w:cs="Arial" w:eastAsia="Arial" w:hAnsi="Arial"/>
                <w:sz w:val="20"/>
                <w:szCs w:val="20"/>
                <w:color w:val="0000FF"/>
              </w:rPr>
              <w:t>Account</w:t>
            </w:r>
            <w:r>
              <w:rPr>
                <w:rFonts w:ascii="Arial" w:cs="Arial" w:eastAsia="Arial" w:hAnsi="Arial"/>
                <w:sz w:val="25"/>
                <w:szCs w:val="25"/>
                <w:color w:val="008000"/>
                <w:vertAlign w:val="superscript"/>
              </w:rPr>
              <w:t>(6)</w:t>
            </w:r>
          </w:p>
        </w:tc>
        <w:tc>
          <w:tcPr>
            <w:tcW w:w="0" w:type="dxa"/>
            <w:vAlign w:val="bottom"/>
          </w:tcPr>
          <w:p>
            <w:pPr>
              <w:spacing w:after="0"/>
              <w:rPr>
                <w:sz w:val="1"/>
                <w:szCs w:val="1"/>
                <w:color w:val="auto"/>
              </w:rPr>
            </w:pPr>
          </w:p>
        </w:tc>
      </w:tr>
      <w:tr>
        <w:trPr>
          <w:trHeight w:val="120"/>
        </w:trPr>
        <w:tc>
          <w:tcPr>
            <w:tcW w:w="30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-4478020</wp:posOffset>
            </wp:positionV>
            <wp:extent cx="6927850" cy="447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47865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1819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819910"/>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40" w:type="dxa"/>
            <w:vAlign w:val="bottom"/>
            <w:vMerge w:val="restart"/>
          </w:tcPr>
          <w:p>
            <w:pPr>
              <w:ind w:left="80"/>
              <w:spacing w:after="0"/>
              <w:rPr>
                <w:sz w:val="20"/>
                <w:szCs w:val="20"/>
                <w:color w:val="auto"/>
              </w:rPr>
            </w:pPr>
            <w:r>
              <w:rPr>
                <w:rFonts w:ascii="Arial" w:cs="Arial" w:eastAsia="Arial" w:hAnsi="Arial"/>
                <w:sz w:val="20"/>
                <w:szCs w:val="20"/>
                <w:color w:val="0000FF"/>
                <w:w w:val="91"/>
              </w:rPr>
              <w:t>3% Convertible Debt due June 2021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right"/>
              <w:ind w:right="25"/>
              <w:spacing w:after="0"/>
              <w:rPr>
                <w:sz w:val="20"/>
                <w:szCs w:val="20"/>
                <w:color w:val="auto"/>
              </w:rPr>
            </w:pPr>
            <w:r>
              <w:rPr>
                <w:rFonts w:ascii="Arial" w:cs="Arial" w:eastAsia="Arial" w:hAnsi="Arial"/>
                <w:sz w:val="15"/>
                <w:szCs w:val="15"/>
                <w:color w:val="0000FF"/>
              </w:rPr>
              <w:t>06/30/2021</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ind w:left="300"/>
              <w:spacing w:after="0"/>
              <w:rPr>
                <w:sz w:val="20"/>
                <w:szCs w:val="20"/>
                <w:color w:val="auto"/>
              </w:rPr>
            </w:pPr>
            <w:r>
              <w:rPr>
                <w:rFonts w:ascii="Arial" w:cs="Arial" w:eastAsia="Arial" w:hAnsi="Arial"/>
                <w:sz w:val="20"/>
                <w:szCs w:val="20"/>
                <w:color w:val="0000FF"/>
              </w:rPr>
              <w:t>3,522</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8000"/>
              </w:rPr>
              <w:t>(5)</w:t>
            </w:r>
          </w:p>
        </w:tc>
        <w:tc>
          <w:tcPr>
            <w:tcW w:w="920" w:type="dxa"/>
            <w:vAlign w:val="bottom"/>
            <w:vMerge w:val="restart"/>
          </w:tcPr>
          <w:p>
            <w:pPr>
              <w:ind w:left="360"/>
              <w:spacing w:after="0"/>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(6)</w:t>
            </w:r>
          </w:p>
        </w:tc>
        <w:tc>
          <w:tcPr>
            <w:tcW w:w="1460" w:type="dxa"/>
            <w:vAlign w:val="bottom"/>
          </w:tcPr>
          <w:p>
            <w:pPr>
              <w:ind w:left="80"/>
              <w:spacing w:after="0"/>
              <w:rPr>
                <w:sz w:val="20"/>
                <w:szCs w:val="20"/>
                <w:color w:val="auto"/>
              </w:rPr>
            </w:pPr>
            <w:r>
              <w:rPr>
                <w:rFonts w:ascii="Arial" w:cs="Arial" w:eastAsia="Arial" w:hAnsi="Arial"/>
                <w:sz w:val="20"/>
                <w:szCs w:val="20"/>
                <w:color w:val="0000FF"/>
              </w:rPr>
              <w:t>By UGMA</w:t>
            </w:r>
          </w:p>
        </w:tc>
        <w:tc>
          <w:tcPr>
            <w:tcW w:w="0" w:type="dxa"/>
            <w:vAlign w:val="bottom"/>
          </w:tcPr>
          <w:p>
            <w:pPr>
              <w:spacing w:after="0"/>
              <w:rPr>
                <w:sz w:val="1"/>
                <w:szCs w:val="1"/>
                <w:color w:val="auto"/>
              </w:rPr>
            </w:pPr>
          </w:p>
        </w:tc>
      </w:tr>
      <w:tr>
        <w:trPr>
          <w:trHeight w:val="190"/>
        </w:trPr>
        <w:tc>
          <w:tcPr>
            <w:tcW w:w="3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vMerge w:val="restart"/>
          </w:tcPr>
          <w:p>
            <w:pPr>
              <w:ind w:left="80"/>
              <w:spacing w:after="0"/>
              <w:rPr>
                <w:sz w:val="20"/>
                <w:szCs w:val="20"/>
                <w:color w:val="auto"/>
              </w:rPr>
            </w:pPr>
            <w:r>
              <w:rPr>
                <w:rFonts w:ascii="Arial" w:cs="Arial" w:eastAsia="Arial" w:hAnsi="Arial"/>
                <w:sz w:val="20"/>
                <w:szCs w:val="20"/>
                <w:color w:val="0000FF"/>
              </w:rPr>
              <w:t>Account</w:t>
            </w:r>
            <w:r>
              <w:rPr>
                <w:rFonts w:ascii="Arial" w:cs="Arial" w:eastAsia="Arial" w:hAnsi="Arial"/>
                <w:sz w:val="25"/>
                <w:szCs w:val="25"/>
                <w:color w:val="008000"/>
                <w:vertAlign w:val="superscript"/>
              </w:rPr>
              <w:t>(6)</w:t>
            </w: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18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Every share of Series C Preferred Stock, Series D Preferred Stock, Series E Preferred Stock, Series F Preferred Stock, Series G Preferred Stock and Series H Preferred Stock, (collectively, the "Preferred Stock") is convertible into approximately 0.1684664 shares of Issuer Common Stock ("Common Stock") upon the closing of the Issuer's initial public offering ("IPO"). Share numbers give effect to such conversion. The Preferred Stock has no expiration date.</w:t>
      </w:r>
    </w:p>
    <w:p>
      <w:pPr>
        <w:spacing w:after="0" w:line="35" w:lineRule="exact"/>
        <w:rPr>
          <w:rFonts w:ascii="Arial" w:cs="Arial" w:eastAsia="Arial" w:hAnsi="Arial"/>
          <w:sz w:val="15"/>
          <w:szCs w:val="15"/>
          <w:color w:val="008000"/>
        </w:rPr>
      </w:pPr>
    </w:p>
    <w:p>
      <w:pPr>
        <w:ind w:left="20" w:right="18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an affiliate of Clajer Capital LLC. The reporting person disclaims beneficial ownership of these shares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5"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vested in 12 successive, equal monthly installments measured from April 1, 2019.</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in 12 successive, equal monthly installments measured from April 1, 2020.</w:t>
      </w:r>
    </w:p>
    <w:p>
      <w:pPr>
        <w:spacing w:after="0" w:line="52" w:lineRule="exact"/>
        <w:rPr>
          <w:rFonts w:ascii="Arial" w:cs="Arial" w:eastAsia="Arial" w:hAnsi="Arial"/>
          <w:sz w:val="15"/>
          <w:szCs w:val="15"/>
          <w:color w:val="008000"/>
        </w:rPr>
      </w:pPr>
    </w:p>
    <w:p>
      <w:pPr>
        <w:ind w:left="20" w:right="6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Convertible Debt pays interest at 3% per annum and is payable in full upon maturity through the conversion to Series H Preferred Stock at 80% of the original issuance price of $1.15 per share. On or before the maturity date and if the Convertible Debt is unpaid, the outstanding principal and unpaid accrued interest shall be automatically converted into Common Stock at the completion of the IPO. The conversion price will be equal to 80% of the price per share paid for the Common Stock sold in the IPO. The conversion price is $14.40, or 80% of the $18 price per share paid for the Common Stock sold in the IPO.</w:t>
      </w:r>
    </w:p>
    <w:p>
      <w:pPr>
        <w:spacing w:after="0" w:line="36" w:lineRule="exact"/>
        <w:rPr>
          <w:rFonts w:ascii="Arial" w:cs="Arial" w:eastAsia="Arial" w:hAnsi="Arial"/>
          <w:sz w:val="15"/>
          <w:szCs w:val="15"/>
          <w:color w:val="008000"/>
        </w:rPr>
      </w:pPr>
    </w:p>
    <w:p>
      <w:pPr>
        <w:ind w:left="20" w:right="1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disclaims beneficial ownership of these shares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8"/>
              </w:rPr>
              <w:t>/s/ Robin H. Cowie as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10/27/2020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7"/>
              </w:rPr>
              <w:t>Matthew Strobeck</w:t>
            </w: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22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6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4" w:right="49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Scott Hutton, David Poticha and Robin Harper Cowie, or any of them acting individually, and with full power of substitution, the undersigned's true and lawful attorney-in-fact to:</w:t>
      </w:r>
    </w:p>
    <w:p>
      <w:pPr>
        <w:spacing w:after="0" w:line="231" w:lineRule="exact"/>
        <w:rPr>
          <w:sz w:val="20"/>
          <w:szCs w:val="20"/>
          <w:color w:val="auto"/>
        </w:rPr>
      </w:pPr>
    </w:p>
    <w:p>
      <w:pPr>
        <w:ind w:left="1520" w:right="619" w:hanging="935"/>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935"/>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Biodesix, Inc., a public limited company incorporated under the laws of England and Wales (the "Company"), Forms 3, 4, and 5, including amendments thereto, in accordance with Section 16(a) of the Securities Exchange Act of 1934 and the rules and regulations thereunder;</w:t>
      </w:r>
    </w:p>
    <w:p>
      <w:pPr>
        <w:spacing w:after="0" w:line="209" w:lineRule="exact"/>
        <w:rPr>
          <w:rFonts w:ascii="Courier New" w:cs="Courier New" w:eastAsia="Courier New" w:hAnsi="Courier New"/>
          <w:sz w:val="18"/>
          <w:szCs w:val="18"/>
          <w:color w:val="auto"/>
        </w:rPr>
      </w:pPr>
    </w:p>
    <w:p>
      <w:pPr>
        <w:ind w:left="1520" w:right="619" w:hanging="935"/>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520" w:right="619" w:hanging="935"/>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4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233"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2020.</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 Matthew Strobeck</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Matthew Strobeck</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1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377832" TargetMode="External"/><Relationship Id="rId11"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2020-10-27T19:52:49Z</dcterms:created>
  <dcterms:modified xsi:type="dcterms:W3CDTF">2020-10-27T19:52:49Z</dcterms:modified>
</cp:coreProperties>
</file>