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Hutton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536,719</w:t>
            </w:r>
            <w:r>
              <w:rPr>
                <w:rFonts w:ascii="Times;serif" w:hAnsi="Times;serif"/>
                <w:color w:val="008000"/>
                <w:position w:val="7"/>
                <w:sz w:val="16"/>
                <w:sz w:val="20"/>
                <w:shd w:fill="FFFFFF" w:val="clear"/>
              </w:rPr>
              <w:t>(2)</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1.3909</w:t>
            </w:r>
            <w:r>
              <w:rPr>
                <w:rFonts w:ascii="Times;serif" w:hAnsi="Times;serif"/>
                <w:color w:val="008000"/>
                <w:position w:val="7"/>
                <w:sz w:val="16"/>
                <w:sz w:val="20"/>
                <w:shd w:fill="FFFFFF" w:val="clear"/>
              </w:rPr>
              <w:t>(4)</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534,792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w:t>
            </w:r>
            <w:r>
              <w:rPr>
                <w:rFonts w:ascii="Times;serif" w:hAnsi="Times;serif"/>
                <w:color w:val="008000"/>
                <w:position w:val="7"/>
                <w:sz w:val="16"/>
                <w:sz w:val="20"/>
                <w:shd w:fill="FFFFFF" w:val="clear"/>
              </w:rPr>
              <w:t>(5)</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532,979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61,060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6,139 shares purchased under the Issuer's Employee Stock Purchase Plan on August 30,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the Issuer's Common Stock were sold automatically to cover taxes upon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$1.36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$1.39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RSUs vest in a series of sixteen successive quarterly installments measured from February 8, 2022,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Scott Hutton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7361"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4714</Characters>
  <CharactersWithSpaces>5518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