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(Rule 13d-102)</w:t>
      </w:r>
    </w:p>
    <w:p>
      <w:pPr>
        <w:spacing w:after="0" w:line="206" w:lineRule="exact"/>
        <w:rPr>
          <w:sz w:val="24"/>
          <w:szCs w:val="24"/>
          <w:color w:val="auto"/>
        </w:rPr>
      </w:pPr>
    </w:p>
    <w:p>
      <w:pPr>
        <w:jc w:val="center"/>
        <w:ind w:left="500" w:right="2640"/>
        <w:spacing w:after="0" w:line="243" w:lineRule="auto"/>
        <w:rPr>
          <w:sz w:val="20"/>
          <w:szCs w:val="20"/>
          <w:color w:val="auto"/>
        </w:rPr>
      </w:pPr>
      <w:r>
        <w:rPr>
          <w:rFonts w:ascii="Arial" w:cs="Arial" w:eastAsia="Arial" w:hAnsi="Arial"/>
          <w:sz w:val="22"/>
          <w:szCs w:val="22"/>
          <w:b w:val="1"/>
          <w:bCs w:val="1"/>
          <w:color w:val="auto"/>
        </w:rPr>
        <w:t>Information to be Included in Statements Filed Pursuant to § 240.13d-1(b), (c) and (d) and Amendments Thereto Filed Pursuant to § 240.13d-2</w:t>
      </w:r>
    </w:p>
    <w:p>
      <w:pPr>
        <w:spacing w:after="0" w:line="17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Biodesix,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09075X108</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2"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19" w:lineRule="exact"/>
        <w:rPr>
          <w:sz w:val="24"/>
          <w:szCs w:val="24"/>
          <w:color w:val="auto"/>
        </w:rPr>
      </w:pPr>
    </w:p>
    <w:p>
      <w:pPr>
        <w:ind w:left="420"/>
        <w:spacing w:after="0" w:line="207" w:lineRule="exact"/>
        <w:rPr>
          <w:sz w:val="24"/>
          <w:szCs w:val="24"/>
          <w:color w:val="auto"/>
        </w:rPr>
      </w:pPr>
      <w:r>
        <w:rPr>
          <w:rFonts w:ascii="MS PGothic" w:cs="MS PGothic" w:eastAsia="MS PGothic" w:hAnsi="MS PGothic"/>
          <w:sz w:val="18"/>
          <w:szCs w:val="18"/>
          <w:color w:val="auto"/>
        </w:rPr>
        <w:t>☒</w:t>
      </w:r>
      <w:r>
        <w:rPr>
          <w:rFonts w:ascii="Arial" w:cs="Arial" w:eastAsia="Arial" w:hAnsi="Arial"/>
          <w:sz w:val="16"/>
          <w:szCs w:val="16"/>
          <w:color w:val="auto"/>
        </w:rPr>
        <w:t>Rule 13d-1(d)</w:t>
      </w:r>
    </w:p>
    <w:p>
      <w:pPr>
        <w:spacing w:after="0" w:line="284" w:lineRule="exact"/>
        <w:rPr>
          <w:sz w:val="24"/>
          <w:szCs w:val="24"/>
          <w:color w:val="auto"/>
        </w:rPr>
      </w:pPr>
    </w:p>
    <w:p>
      <w:pPr>
        <w:ind w:left="420" w:hanging="432"/>
        <w:spacing w:after="0" w:line="308" w:lineRule="auto"/>
        <w:rPr>
          <w:sz w:val="24"/>
          <w:szCs w:val="24"/>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right="6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0"/>
          </w:cols>
          <w:pgMar w:left="440" w:top="517" w:right="519" w:bottom="1440" w:gutter="0" w:footer="0" w:header="0"/>
        </w:sectPr>
      </w:pPr>
    </w:p>
    <w:bookmarkStart w:id="1" w:name="page2"/>
    <w:bookmarkEnd w:id="1"/>
    <w:p>
      <w:pPr>
        <w:spacing w:after="0"/>
        <w:tabs>
          <w:tab w:leader="none" w:pos="5220" w:val="left"/>
          <w:tab w:leader="none" w:pos="10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09075X108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1 of 6</w:t>
      </w:r>
    </w:p>
    <w:p>
      <w:pPr>
        <w:spacing w:after="0" w:line="171" w:lineRule="exact"/>
        <w:rPr>
          <w:sz w:val="20"/>
          <w:szCs w:val="20"/>
          <w:color w:val="auto"/>
        </w:rPr>
      </w:pPr>
    </w:p>
    <w:p>
      <w:pPr>
        <w:ind w:left="620" w:hanging="377"/>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52209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3415" cy="5220970"/>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IND Funding LLC</w:t>
      </w:r>
    </w:p>
    <w:p>
      <w:pPr>
        <w:spacing w:after="0" w:line="36" w:lineRule="exact"/>
        <w:rPr>
          <w:sz w:val="20"/>
          <w:szCs w:val="20"/>
          <w:color w:val="auto"/>
        </w:rPr>
      </w:pPr>
    </w:p>
    <w:p>
      <w:pPr>
        <w:ind w:left="620" w:hanging="377"/>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36"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52" w:lineRule="exact"/>
        <w:rPr>
          <w:sz w:val="20"/>
          <w:szCs w:val="20"/>
          <w:color w:val="auto"/>
        </w:rPr>
      </w:pPr>
    </w:p>
    <w:tbl>
      <w:tblPr>
        <w:tblLayout w:type="fixed"/>
        <w:tblInd w:w="240" w:type="dxa"/>
        <w:tblCellMar>
          <w:top w:w="0" w:type="dxa"/>
          <w:left w:w="0" w:type="dxa"/>
          <w:bottom w:w="0" w:type="dxa"/>
          <w:right w:w="0" w:type="dxa"/>
        </w:tblCellMar>
      </w:tblPr>
      <w:tr>
        <w:trPr>
          <w:trHeight w:val="244"/>
        </w:trPr>
        <w:tc>
          <w:tcPr>
            <w:tcW w:w="98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500" w:type="dxa"/>
            <w:vAlign w:val="bottom"/>
            <w:tcBorders>
              <w:bottom w:val="single" w:sz="8" w:color="auto"/>
            </w:tcBorders>
          </w:tcPr>
          <w:p>
            <w:pPr>
              <w:spacing w:after="0"/>
              <w:rPr>
                <w:sz w:val="21"/>
                <w:szCs w:val="21"/>
                <w:color w:val="auto"/>
              </w:rPr>
            </w:pPr>
          </w:p>
        </w:tc>
        <w:tc>
          <w:tcPr>
            <w:tcW w:w="93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84"/>
              </w:rPr>
              <w:t>Shares</w:t>
            </w:r>
          </w:p>
        </w:tc>
        <w:tc>
          <w:tcPr>
            <w:tcW w:w="50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930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96"/>
              </w:rPr>
              <w:t>Beneficially</w:t>
            </w:r>
          </w:p>
        </w:tc>
        <w:tc>
          <w:tcPr>
            <w:tcW w:w="50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2,190,427</w:t>
            </w:r>
          </w:p>
        </w:tc>
        <w:tc>
          <w:tcPr>
            <w:tcW w:w="0" w:type="dxa"/>
            <w:vAlign w:val="bottom"/>
          </w:tcPr>
          <w:p>
            <w:pPr>
              <w:spacing w:after="0"/>
              <w:rPr>
                <w:sz w:val="1"/>
                <w:szCs w:val="1"/>
                <w:color w:val="auto"/>
              </w:rPr>
            </w:pPr>
          </w:p>
        </w:tc>
      </w:tr>
      <w:tr>
        <w:trPr>
          <w:trHeight w:val="230"/>
        </w:trPr>
        <w:tc>
          <w:tcPr>
            <w:tcW w:w="98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500" w:type="dxa"/>
            <w:vAlign w:val="bottom"/>
            <w:tcBorders>
              <w:bottom w:val="single" w:sz="8" w:color="auto"/>
            </w:tcBorders>
          </w:tcPr>
          <w:p>
            <w:pPr>
              <w:spacing w:after="0"/>
              <w:rPr>
                <w:sz w:val="20"/>
                <w:szCs w:val="20"/>
                <w:color w:val="auto"/>
              </w:rPr>
            </w:pPr>
          </w:p>
        </w:tc>
        <w:tc>
          <w:tcPr>
            <w:tcW w:w="93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8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87"/>
              </w:rPr>
              <w:t>Each</w:t>
            </w:r>
          </w:p>
        </w:tc>
        <w:tc>
          <w:tcPr>
            <w:tcW w:w="500" w:type="dxa"/>
            <w:vAlign w:val="bottom"/>
          </w:tcPr>
          <w:p>
            <w:pPr>
              <w:jc w:val="right"/>
              <w:ind w:right="70"/>
              <w:spacing w:after="0" w:line="182" w:lineRule="exact"/>
              <w:rPr>
                <w:sz w:val="20"/>
                <w:szCs w:val="20"/>
                <w:color w:val="auto"/>
              </w:rPr>
            </w:pPr>
            <w:r>
              <w:rPr>
                <w:rFonts w:ascii="Arial" w:cs="Arial" w:eastAsia="Arial" w:hAnsi="Arial"/>
                <w:sz w:val="18"/>
                <w:szCs w:val="18"/>
                <w:color w:val="auto"/>
              </w:rPr>
              <w:t>7</w:t>
            </w:r>
          </w:p>
        </w:tc>
        <w:tc>
          <w:tcPr>
            <w:tcW w:w="930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92"/>
              </w:rPr>
              <w:t>Reporting</w:t>
            </w:r>
          </w:p>
        </w:tc>
        <w:tc>
          <w:tcPr>
            <w:tcW w:w="500" w:type="dxa"/>
            <w:vAlign w:val="bottom"/>
          </w:tcPr>
          <w:p>
            <w:pPr>
              <w:spacing w:after="0"/>
              <w:rPr>
                <w:sz w:val="18"/>
                <w:szCs w:val="18"/>
                <w:color w:val="auto"/>
              </w:rPr>
            </w:pPr>
          </w:p>
        </w:tc>
        <w:tc>
          <w:tcPr>
            <w:tcW w:w="9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80" w:type="dxa"/>
            <w:vAlign w:val="bottom"/>
          </w:tcPr>
          <w:p>
            <w:pPr>
              <w:jc w:val="center"/>
              <w:spacing w:after="0"/>
              <w:rPr>
                <w:sz w:val="20"/>
                <w:szCs w:val="20"/>
                <w:color w:val="auto"/>
              </w:rPr>
            </w:pPr>
            <w:r>
              <w:rPr>
                <w:rFonts w:ascii="Arial" w:cs="Arial" w:eastAsia="Arial" w:hAnsi="Arial"/>
                <w:sz w:val="18"/>
                <w:szCs w:val="18"/>
                <w:color w:val="auto"/>
                <w:w w:val="87"/>
              </w:rPr>
              <w:t>Person</w:t>
            </w:r>
          </w:p>
        </w:tc>
        <w:tc>
          <w:tcPr>
            <w:tcW w:w="500" w:type="dxa"/>
            <w:vAlign w:val="bottom"/>
          </w:tcPr>
          <w:p>
            <w:pPr>
              <w:spacing w:after="0"/>
              <w:rPr>
                <w:sz w:val="18"/>
                <w:szCs w:val="18"/>
                <w:color w:val="auto"/>
              </w:rPr>
            </w:pPr>
          </w:p>
        </w:tc>
        <w:tc>
          <w:tcPr>
            <w:tcW w:w="930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980" w:type="dxa"/>
            <w:vAlign w:val="bottom"/>
            <w:vMerge w:val="restart"/>
          </w:tcPr>
          <w:p>
            <w:pPr>
              <w:jc w:val="center"/>
              <w:spacing w:after="0"/>
              <w:rPr>
                <w:sz w:val="20"/>
                <w:szCs w:val="20"/>
                <w:color w:val="auto"/>
              </w:rPr>
            </w:pPr>
            <w:r>
              <w:rPr>
                <w:rFonts w:ascii="Arial" w:cs="Arial" w:eastAsia="Arial" w:hAnsi="Arial"/>
                <w:sz w:val="18"/>
                <w:szCs w:val="18"/>
                <w:color w:val="auto"/>
                <w:w w:val="94"/>
              </w:rPr>
              <w:t>With</w:t>
            </w:r>
          </w:p>
        </w:tc>
        <w:tc>
          <w:tcPr>
            <w:tcW w:w="50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80" w:type="dxa"/>
            <w:vAlign w:val="bottom"/>
            <w:vMerge w:val="continue"/>
          </w:tcPr>
          <w:p>
            <w:pPr>
              <w:spacing w:after="0"/>
              <w:rPr>
                <w:sz w:val="12"/>
                <w:szCs w:val="12"/>
                <w:color w:val="auto"/>
              </w:rPr>
            </w:pPr>
          </w:p>
        </w:tc>
        <w:tc>
          <w:tcPr>
            <w:tcW w:w="50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8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9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2,190,427</w:t>
      </w:r>
    </w:p>
    <w:p>
      <w:pPr>
        <w:spacing w:after="0" w:line="36" w:lineRule="exact"/>
        <w:rPr>
          <w:sz w:val="20"/>
          <w:szCs w:val="20"/>
          <w:color w:val="auto"/>
        </w:rPr>
      </w:pPr>
    </w:p>
    <w:p>
      <w:pPr>
        <w:ind w:left="600" w:hanging="357"/>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2,190,427</w:t>
      </w:r>
    </w:p>
    <w:p>
      <w:pPr>
        <w:spacing w:after="0" w:line="36" w:lineRule="exact"/>
        <w:rPr>
          <w:sz w:val="20"/>
          <w:szCs w:val="20"/>
          <w:color w:val="auto"/>
        </w:rPr>
      </w:pPr>
    </w:p>
    <w:p>
      <w:pPr>
        <w:ind w:left="620" w:hanging="467"/>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6740" w:hanging="467"/>
        <w:spacing w:after="0" w:line="402" w:lineRule="auto"/>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 8.2%</w:t>
      </w:r>
    </w:p>
    <w:p>
      <w:pPr>
        <w:spacing w:after="0" w:line="1" w:lineRule="exact"/>
        <w:rPr>
          <w:rFonts w:ascii="Arial" w:cs="Arial" w:eastAsia="Arial" w:hAnsi="Arial"/>
          <w:sz w:val="18"/>
          <w:szCs w:val="18"/>
          <w:color w:val="auto"/>
        </w:rPr>
      </w:pPr>
    </w:p>
    <w:p>
      <w:pPr>
        <w:ind w:left="600" w:hanging="447"/>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52"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OO</w:t>
      </w:r>
    </w:p>
    <w:p>
      <w:pPr>
        <w:sectPr>
          <w:pgSz w:w="11900" w:h="16838" w:orient="portrait"/>
          <w:cols w:equalWidth="0" w:num="1">
            <w:col w:w="11020"/>
          </w:cols>
          <w:pgMar w:left="440" w:top="274" w:right="439" w:bottom="1440" w:gutter="0" w:footer="0" w:header="0"/>
        </w:sectPr>
      </w:pPr>
    </w:p>
    <w:bookmarkStart w:id="2" w:name="page3"/>
    <w:bookmarkEnd w:id="2"/>
    <w:p>
      <w:pPr>
        <w:spacing w:after="0"/>
        <w:tabs>
          <w:tab w:leader="none" w:pos="5220" w:val="left"/>
          <w:tab w:leader="none" w:pos="10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09075X108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2 of 6</w:t>
      </w:r>
    </w:p>
    <w:p>
      <w:pPr>
        <w:spacing w:after="0" w:line="171" w:lineRule="exact"/>
        <w:rPr>
          <w:sz w:val="20"/>
          <w:szCs w:val="20"/>
          <w:color w:val="auto"/>
        </w:rPr>
      </w:pPr>
    </w:p>
    <w:p>
      <w:pPr>
        <w:ind w:left="620" w:hanging="377"/>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5220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03415" cy="522033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Life Sciences Alternative Funding LLC</w:t>
      </w:r>
    </w:p>
    <w:p>
      <w:pPr>
        <w:spacing w:after="0" w:line="36" w:lineRule="exact"/>
        <w:rPr>
          <w:sz w:val="20"/>
          <w:szCs w:val="20"/>
          <w:color w:val="auto"/>
        </w:rPr>
      </w:pPr>
    </w:p>
    <w:p>
      <w:pPr>
        <w:ind w:left="620" w:hanging="377"/>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36"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52" w:lineRule="exact"/>
        <w:rPr>
          <w:sz w:val="20"/>
          <w:szCs w:val="20"/>
          <w:color w:val="auto"/>
        </w:rPr>
      </w:pPr>
    </w:p>
    <w:tbl>
      <w:tblPr>
        <w:tblLayout w:type="fixed"/>
        <w:tblInd w:w="240" w:type="dxa"/>
        <w:tblCellMar>
          <w:top w:w="0" w:type="dxa"/>
          <w:left w:w="0" w:type="dxa"/>
          <w:bottom w:w="0" w:type="dxa"/>
          <w:right w:w="0" w:type="dxa"/>
        </w:tblCellMar>
      </w:tblPr>
      <w:tr>
        <w:trPr>
          <w:trHeight w:val="244"/>
        </w:trPr>
        <w:tc>
          <w:tcPr>
            <w:tcW w:w="98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500" w:type="dxa"/>
            <w:vAlign w:val="bottom"/>
            <w:tcBorders>
              <w:bottom w:val="single" w:sz="8" w:color="auto"/>
            </w:tcBorders>
          </w:tcPr>
          <w:p>
            <w:pPr>
              <w:spacing w:after="0"/>
              <w:rPr>
                <w:sz w:val="21"/>
                <w:szCs w:val="21"/>
                <w:color w:val="auto"/>
              </w:rPr>
            </w:pPr>
          </w:p>
        </w:tc>
        <w:tc>
          <w:tcPr>
            <w:tcW w:w="93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84"/>
              </w:rPr>
              <w:t>Shares</w:t>
            </w:r>
          </w:p>
        </w:tc>
        <w:tc>
          <w:tcPr>
            <w:tcW w:w="50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930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96"/>
              </w:rPr>
              <w:t>Beneficially</w:t>
            </w:r>
          </w:p>
        </w:tc>
        <w:tc>
          <w:tcPr>
            <w:tcW w:w="50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2,190,427</w:t>
            </w:r>
          </w:p>
        </w:tc>
        <w:tc>
          <w:tcPr>
            <w:tcW w:w="0" w:type="dxa"/>
            <w:vAlign w:val="bottom"/>
          </w:tcPr>
          <w:p>
            <w:pPr>
              <w:spacing w:after="0"/>
              <w:rPr>
                <w:sz w:val="1"/>
                <w:szCs w:val="1"/>
                <w:color w:val="auto"/>
              </w:rPr>
            </w:pPr>
          </w:p>
        </w:tc>
      </w:tr>
      <w:tr>
        <w:trPr>
          <w:trHeight w:val="230"/>
        </w:trPr>
        <w:tc>
          <w:tcPr>
            <w:tcW w:w="98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500" w:type="dxa"/>
            <w:vAlign w:val="bottom"/>
            <w:tcBorders>
              <w:bottom w:val="single" w:sz="8" w:color="auto"/>
            </w:tcBorders>
          </w:tcPr>
          <w:p>
            <w:pPr>
              <w:spacing w:after="0"/>
              <w:rPr>
                <w:sz w:val="20"/>
                <w:szCs w:val="20"/>
                <w:color w:val="auto"/>
              </w:rPr>
            </w:pPr>
          </w:p>
        </w:tc>
        <w:tc>
          <w:tcPr>
            <w:tcW w:w="93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8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87"/>
              </w:rPr>
              <w:t>Each</w:t>
            </w:r>
          </w:p>
        </w:tc>
        <w:tc>
          <w:tcPr>
            <w:tcW w:w="500" w:type="dxa"/>
            <w:vAlign w:val="bottom"/>
          </w:tcPr>
          <w:p>
            <w:pPr>
              <w:jc w:val="right"/>
              <w:ind w:right="70"/>
              <w:spacing w:after="0" w:line="182" w:lineRule="exact"/>
              <w:rPr>
                <w:sz w:val="20"/>
                <w:szCs w:val="20"/>
                <w:color w:val="auto"/>
              </w:rPr>
            </w:pPr>
            <w:r>
              <w:rPr>
                <w:rFonts w:ascii="Arial" w:cs="Arial" w:eastAsia="Arial" w:hAnsi="Arial"/>
                <w:sz w:val="18"/>
                <w:szCs w:val="18"/>
                <w:color w:val="auto"/>
              </w:rPr>
              <w:t>7</w:t>
            </w:r>
          </w:p>
        </w:tc>
        <w:tc>
          <w:tcPr>
            <w:tcW w:w="930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92"/>
              </w:rPr>
              <w:t>Reporting</w:t>
            </w:r>
          </w:p>
        </w:tc>
        <w:tc>
          <w:tcPr>
            <w:tcW w:w="500" w:type="dxa"/>
            <w:vAlign w:val="bottom"/>
          </w:tcPr>
          <w:p>
            <w:pPr>
              <w:spacing w:after="0"/>
              <w:rPr>
                <w:sz w:val="18"/>
                <w:szCs w:val="18"/>
                <w:color w:val="auto"/>
              </w:rPr>
            </w:pPr>
          </w:p>
        </w:tc>
        <w:tc>
          <w:tcPr>
            <w:tcW w:w="9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80" w:type="dxa"/>
            <w:vAlign w:val="bottom"/>
          </w:tcPr>
          <w:p>
            <w:pPr>
              <w:jc w:val="center"/>
              <w:spacing w:after="0"/>
              <w:rPr>
                <w:sz w:val="20"/>
                <w:szCs w:val="20"/>
                <w:color w:val="auto"/>
              </w:rPr>
            </w:pPr>
            <w:r>
              <w:rPr>
                <w:rFonts w:ascii="Arial" w:cs="Arial" w:eastAsia="Arial" w:hAnsi="Arial"/>
                <w:sz w:val="18"/>
                <w:szCs w:val="18"/>
                <w:color w:val="auto"/>
                <w:w w:val="87"/>
              </w:rPr>
              <w:t>Person</w:t>
            </w:r>
          </w:p>
        </w:tc>
        <w:tc>
          <w:tcPr>
            <w:tcW w:w="500" w:type="dxa"/>
            <w:vAlign w:val="bottom"/>
          </w:tcPr>
          <w:p>
            <w:pPr>
              <w:spacing w:after="0"/>
              <w:rPr>
                <w:sz w:val="18"/>
                <w:szCs w:val="18"/>
                <w:color w:val="auto"/>
              </w:rPr>
            </w:pPr>
          </w:p>
        </w:tc>
        <w:tc>
          <w:tcPr>
            <w:tcW w:w="930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980" w:type="dxa"/>
            <w:vAlign w:val="bottom"/>
            <w:vMerge w:val="restart"/>
          </w:tcPr>
          <w:p>
            <w:pPr>
              <w:jc w:val="center"/>
              <w:spacing w:after="0"/>
              <w:rPr>
                <w:sz w:val="20"/>
                <w:szCs w:val="20"/>
                <w:color w:val="auto"/>
              </w:rPr>
            </w:pPr>
            <w:r>
              <w:rPr>
                <w:rFonts w:ascii="Arial" w:cs="Arial" w:eastAsia="Arial" w:hAnsi="Arial"/>
                <w:sz w:val="18"/>
                <w:szCs w:val="18"/>
                <w:color w:val="auto"/>
                <w:w w:val="94"/>
              </w:rPr>
              <w:t>With</w:t>
            </w:r>
          </w:p>
        </w:tc>
        <w:tc>
          <w:tcPr>
            <w:tcW w:w="50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80" w:type="dxa"/>
            <w:vAlign w:val="bottom"/>
            <w:vMerge w:val="continue"/>
          </w:tcPr>
          <w:p>
            <w:pPr>
              <w:spacing w:after="0"/>
              <w:rPr>
                <w:sz w:val="12"/>
                <w:szCs w:val="12"/>
                <w:color w:val="auto"/>
              </w:rPr>
            </w:pPr>
          </w:p>
        </w:tc>
        <w:tc>
          <w:tcPr>
            <w:tcW w:w="50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8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9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2,190,427</w:t>
      </w:r>
    </w:p>
    <w:p>
      <w:pPr>
        <w:spacing w:after="0" w:line="36" w:lineRule="exact"/>
        <w:rPr>
          <w:sz w:val="20"/>
          <w:szCs w:val="20"/>
          <w:color w:val="auto"/>
        </w:rPr>
      </w:pPr>
    </w:p>
    <w:p>
      <w:pPr>
        <w:ind w:left="600" w:hanging="357"/>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2,190,427</w:t>
      </w:r>
    </w:p>
    <w:p>
      <w:pPr>
        <w:spacing w:after="0" w:line="36" w:lineRule="exact"/>
        <w:rPr>
          <w:sz w:val="20"/>
          <w:szCs w:val="20"/>
          <w:color w:val="auto"/>
        </w:rPr>
      </w:pPr>
    </w:p>
    <w:p>
      <w:pPr>
        <w:ind w:left="620" w:hanging="467"/>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right="6740" w:hanging="467"/>
        <w:spacing w:after="0" w:line="402" w:lineRule="auto"/>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Percent of Class Represented by Amount in Row 9 8.2%</w:t>
      </w:r>
    </w:p>
    <w:p>
      <w:pPr>
        <w:spacing w:after="0" w:line="1" w:lineRule="exact"/>
        <w:rPr>
          <w:rFonts w:ascii="Arial" w:cs="Arial" w:eastAsia="Arial" w:hAnsi="Arial"/>
          <w:sz w:val="18"/>
          <w:szCs w:val="18"/>
          <w:color w:val="auto"/>
        </w:rPr>
      </w:pPr>
    </w:p>
    <w:p>
      <w:pPr>
        <w:ind w:left="600" w:hanging="447"/>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52"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OO</w:t>
      </w:r>
    </w:p>
    <w:p>
      <w:pPr>
        <w:sectPr>
          <w:pgSz w:w="11900" w:h="16838" w:orient="portrait"/>
          <w:cols w:equalWidth="0" w:num="1">
            <w:col w:w="11020"/>
          </w:cols>
          <w:pgMar w:left="440" w:top="274" w:right="439" w:bottom="1440" w:gutter="0" w:footer="0" w:header="0"/>
        </w:sectPr>
      </w:pPr>
    </w:p>
    <w:bookmarkStart w:id="3" w:name="page4"/>
    <w:bookmarkEnd w:id="3"/>
    <w:p>
      <w:pPr>
        <w:spacing w:after="0"/>
        <w:tabs>
          <w:tab w:leader="none" w:pos="5220" w:val="left"/>
          <w:tab w:leader="none" w:pos="10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09075X108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3 of 6</w:t>
      </w:r>
    </w:p>
    <w:p>
      <w:pPr>
        <w:spacing w:after="0" w:line="15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(a) Name of Issuer:</w:t>
      </w:r>
    </w:p>
    <w:p>
      <w:pPr>
        <w:spacing w:after="0" w:line="12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Biodesix, Inc. (the “Issuer”).</w:t>
      </w:r>
    </w:p>
    <w:p>
      <w:pPr>
        <w:spacing w:after="0" w:line="370"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(b) Address of Issuer’s Principal Executive Offices:</w:t>
      </w:r>
    </w:p>
    <w:p>
      <w:pPr>
        <w:spacing w:after="0" w:line="12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2970 Wilderness Place, Suite 100, Boulder, Colorado 80301.</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(a) Name of Person Filing:</w:t>
      </w:r>
    </w:p>
    <w:p>
      <w:pPr>
        <w:spacing w:after="0" w:line="121" w:lineRule="exact"/>
        <w:rPr>
          <w:sz w:val="20"/>
          <w:szCs w:val="20"/>
          <w:color w:val="auto"/>
        </w:rPr>
      </w:pPr>
    </w:p>
    <w:p>
      <w:pPr>
        <w:ind w:left="1420" w:right="120"/>
        <w:spacing w:after="0" w:line="277" w:lineRule="auto"/>
        <w:rPr>
          <w:sz w:val="20"/>
          <w:szCs w:val="20"/>
          <w:color w:val="auto"/>
        </w:rPr>
      </w:pPr>
      <w:r>
        <w:rPr>
          <w:rFonts w:ascii="Arial" w:cs="Arial" w:eastAsia="Arial" w:hAnsi="Arial"/>
          <w:sz w:val="18"/>
          <w:szCs w:val="18"/>
          <w:color w:val="auto"/>
        </w:rPr>
        <w:t>This statement is filed on behalf of IND Funding LLC and Life Sciences Alternative Funding LLC (each a “Reporting Person,” and together the “Reporting Persons”).</w:t>
      </w:r>
    </w:p>
    <w:p>
      <w:pPr>
        <w:spacing w:after="0" w:line="315"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(b) Address or Principal Business Office:</w:t>
      </w:r>
    </w:p>
    <w:p>
      <w:pPr>
        <w:spacing w:after="0" w:line="12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The business address of each of the Reporting Persons is 131 Cushman Road, Scarsdale, NY 10583.</w:t>
      </w:r>
    </w:p>
    <w:p>
      <w:pPr>
        <w:spacing w:after="0" w:line="370"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(c) Citizenship of each Reporting Person is:</w:t>
      </w:r>
    </w:p>
    <w:p>
      <w:pPr>
        <w:spacing w:after="0" w:line="12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Each of the Reporting Persons is organized under the laws of the State of Delaware.</w:t>
      </w:r>
    </w:p>
    <w:p>
      <w:pPr>
        <w:spacing w:after="0" w:line="370"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(d) Title of Class of Securities:</w:t>
      </w:r>
    </w:p>
    <w:p>
      <w:pPr>
        <w:spacing w:after="0" w:line="12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Common Stock, par value $0.001 per share (“Common Stock”).</w:t>
      </w:r>
    </w:p>
    <w:p>
      <w:pPr>
        <w:spacing w:after="0" w:line="370" w:lineRule="exact"/>
        <w:rPr>
          <w:sz w:val="20"/>
          <w:szCs w:val="20"/>
          <w:color w:val="auto"/>
        </w:rPr>
      </w:pPr>
    </w:p>
    <w:p>
      <w:pPr>
        <w:ind w:left="1420" w:right="8400" w:hanging="331"/>
        <w:spacing w:after="0" w:line="445" w:lineRule="auto"/>
        <w:tabs>
          <w:tab w:leader="none" w:pos="1326"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CUSIP Number: </w:t>
      </w:r>
      <w:r>
        <w:rPr>
          <w:rFonts w:ascii="Arial" w:cs="Arial" w:eastAsia="Arial" w:hAnsi="Arial"/>
          <w:sz w:val="17"/>
          <w:szCs w:val="17"/>
          <w:color w:val="auto"/>
        </w:rPr>
        <w:t>09075X108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020"/>
          </w:cols>
          <w:pgMar w:left="440" w:top="274" w:right="439" w:bottom="1440" w:gutter="0" w:footer="0" w:header="0"/>
        </w:sectPr>
      </w:pPr>
    </w:p>
    <w:bookmarkStart w:id="4" w:name="page5"/>
    <w:bookmarkEnd w:id="4"/>
    <w:p>
      <w:pPr>
        <w:spacing w:after="0"/>
        <w:rPr>
          <w:sz w:val="20"/>
          <w:szCs w:val="20"/>
          <w:color w:val="auto"/>
        </w:rPr>
      </w:pPr>
      <w:r>
        <w:rPr>
          <w:rFonts w:ascii="Arial" w:cs="Arial" w:eastAsia="Arial" w:hAnsi="Arial"/>
          <w:sz w:val="16"/>
          <w:szCs w:val="16"/>
          <w:color w:val="auto"/>
        </w:rPr>
        <w:t>CUSIP No. 09075X108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-194310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Page 4 of 6</w:t>
      </w:r>
    </w:p>
    <w:p>
      <w:pPr>
        <w:spacing w:after="0" w:line="177" w:lineRule="exact"/>
        <w:rPr>
          <w:sz w:val="20"/>
          <w:szCs w:val="20"/>
          <w:color w:val="auto"/>
        </w:rPr>
      </w:pPr>
    </w:p>
    <w:p>
      <w:pPr>
        <w:sectPr>
          <w:pgSz w:w="11900" w:h="16838" w:orient="portrait"/>
          <w:cols w:equalWidth="0" w:num="3">
            <w:col w:w="4520" w:space="720"/>
            <w:col w:w="4240" w:space="720"/>
            <w:col w:w="820"/>
          </w:cols>
          <w:pgMar w:left="440" w:top="274" w:right="439" w:bottom="1440" w:gutter="0" w:footer="0" w:header="0"/>
        </w:sectPr>
      </w:pPr>
    </w:p>
    <w:p>
      <w:pPr>
        <w:spacing w:after="0"/>
        <w:rPr>
          <w:sz w:val="20"/>
          <w:szCs w:val="20"/>
          <w:color w:val="auto"/>
        </w:rPr>
      </w:pPr>
      <w:r>
        <w:rPr>
          <w:rFonts w:ascii="Arial" w:cs="Arial" w:eastAsia="Arial" w:hAnsi="Arial"/>
          <w:sz w:val="18"/>
          <w:szCs w:val="18"/>
          <w:b w:val="1"/>
          <w:bCs w:val="1"/>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Ownership.</w:t>
      </w:r>
    </w:p>
    <w:p>
      <w:pPr>
        <w:spacing w:after="0" w:line="153" w:lineRule="exact"/>
        <w:rPr>
          <w:sz w:val="20"/>
          <w:szCs w:val="20"/>
          <w:color w:val="auto"/>
        </w:rPr>
      </w:pPr>
    </w:p>
    <w:p>
      <w:pPr>
        <w:sectPr>
          <w:pgSz w:w="11900" w:h="16838" w:orient="portrait"/>
          <w:cols w:equalWidth="0" w:num="2">
            <w:col w:w="660" w:space="420"/>
            <w:col w:w="9940"/>
          </w:cols>
          <w:pgMar w:left="440" w:top="274" w:right="439" w:bottom="1440" w:gutter="0" w:footer="0" w:header="0"/>
          <w:type w:val="continuous"/>
        </w:sectPr>
      </w:pPr>
    </w:p>
    <w:p>
      <w:pPr>
        <w:ind w:left="1080"/>
        <w:spacing w:after="0"/>
        <w:rPr>
          <w:sz w:val="20"/>
          <w:szCs w:val="20"/>
          <w:color w:val="auto"/>
        </w:rPr>
      </w:pPr>
      <w:r>
        <w:rPr>
          <w:rFonts w:ascii="Arial" w:cs="Arial" w:eastAsia="Arial" w:hAnsi="Arial"/>
          <w:sz w:val="17"/>
          <w:szCs w:val="17"/>
          <w:b w:val="1"/>
          <w:bCs w:val="1"/>
          <w:color w:val="auto"/>
        </w:rPr>
        <w:t>(a-c)</w:t>
      </w:r>
    </w:p>
    <w:p>
      <w:pPr>
        <w:sectPr>
          <w:pgSz w:w="11900" w:h="16838" w:orient="portrait"/>
          <w:cols w:equalWidth="0" w:num="1">
            <w:col w:w="11020"/>
          </w:cols>
          <w:pgMar w:left="440" w:top="274" w:right="439" w:bottom="1440" w:gutter="0" w:footer="0" w:header="0"/>
          <w:type w:val="continuous"/>
        </w:sectPr>
      </w:pPr>
    </w:p>
    <w:p>
      <w:pPr>
        <w:spacing w:after="0" w:line="133"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The ownership information presented below represents beneficial ownership of Common Stock of the Issuer as of December 31, 2020 and the date hereof, based upon 26,861,021 shares of Common Stock outstanding as of May 7, 2021, as disclosed in the quarterly report on Form 10-Q as filed by the Issuer with the Securities and Exchange Commission on May 11, 2021.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7"/>
              </w:rPr>
              <w:t>Sole</w:t>
            </w:r>
          </w:p>
        </w:tc>
        <w:tc>
          <w:tcPr>
            <w:tcW w:w="840" w:type="dxa"/>
            <w:vAlign w:val="bottom"/>
            <w:vMerge w:val="restart"/>
          </w:tcPr>
          <w:p>
            <w:pPr>
              <w:jc w:val="center"/>
              <w:ind w:left="4"/>
              <w:spacing w:after="0"/>
              <w:rPr>
                <w:sz w:val="20"/>
                <w:szCs w:val="20"/>
                <w:color w:val="auto"/>
              </w:rPr>
            </w:pPr>
            <w:r>
              <w:rPr>
                <w:rFonts w:ascii="Arial" w:cs="Arial" w:eastAsia="Arial" w:hAnsi="Arial"/>
                <w:sz w:val="14"/>
                <w:szCs w:val="14"/>
                <w:b w:val="1"/>
                <w:bCs w:val="1"/>
                <w:color w:val="auto"/>
                <w:w w:val="92"/>
              </w:rPr>
              <w:t>Shared</w:t>
            </w: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power</w:t>
            </w: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4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1"/>
              </w:rPr>
              <w:t>Sole</w:t>
            </w: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Shared</w:t>
            </w: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8"/>
              </w:rPr>
              <w:t>to dispose</w:t>
            </w:r>
          </w:p>
        </w:tc>
        <w:tc>
          <w:tcPr>
            <w:tcW w:w="840" w:type="dxa"/>
            <w:vAlign w:val="bottom"/>
          </w:tcPr>
          <w:p>
            <w:pPr>
              <w:jc w:val="center"/>
              <w:ind w:left="24"/>
              <w:spacing w:after="0" w:line="158" w:lineRule="exact"/>
              <w:rPr>
                <w:sz w:val="20"/>
                <w:szCs w:val="20"/>
                <w:color w:val="auto"/>
              </w:rPr>
            </w:pPr>
            <w:r>
              <w:rPr>
                <w:rFonts w:ascii="Arial" w:cs="Arial" w:eastAsia="Arial" w:hAnsi="Arial"/>
                <w:sz w:val="14"/>
                <w:szCs w:val="14"/>
                <w:b w:val="1"/>
                <w:bCs w:val="1"/>
                <w:color w:val="auto"/>
                <w:w w:val="92"/>
              </w:rPr>
              <w:t>power to</w:t>
            </w: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power</w:t>
            </w:r>
          </w:p>
        </w:tc>
        <w:tc>
          <w:tcPr>
            <w:tcW w:w="940" w:type="dxa"/>
            <w:vAlign w:val="bottom"/>
            <w:vMerge w:val="continue"/>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or to</w:t>
            </w:r>
          </w:p>
        </w:tc>
        <w:tc>
          <w:tcPr>
            <w:tcW w:w="840" w:type="dxa"/>
            <w:vAlign w:val="bottom"/>
          </w:tcPr>
          <w:p>
            <w:pPr>
              <w:jc w:val="center"/>
              <w:ind w:left="24"/>
              <w:spacing w:after="0" w:line="149" w:lineRule="exact"/>
              <w:rPr>
                <w:sz w:val="20"/>
                <w:szCs w:val="20"/>
                <w:color w:val="auto"/>
              </w:rPr>
            </w:pPr>
            <w:r>
              <w:rPr>
                <w:rFonts w:ascii="Arial" w:cs="Arial" w:eastAsia="Arial" w:hAnsi="Arial"/>
                <w:sz w:val="14"/>
                <w:szCs w:val="14"/>
                <w:b w:val="1"/>
                <w:bCs w:val="1"/>
                <w:color w:val="auto"/>
                <w:w w:val="87"/>
              </w:rPr>
              <w:t>dispose or</w:t>
            </w: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2420" w:type="dxa"/>
            <w:vAlign w:val="bottom"/>
            <w:vMerge w:val="restart"/>
          </w:tcPr>
          <w:p>
            <w:pPr>
              <w:jc w:val="center"/>
              <w:ind w:left="1401"/>
              <w:spacing w:after="0"/>
              <w:rPr>
                <w:sz w:val="20"/>
                <w:szCs w:val="20"/>
                <w:color w:val="auto"/>
              </w:rPr>
            </w:pPr>
            <w:r>
              <w:rPr>
                <w:rFonts w:ascii="Arial" w:cs="Arial" w:eastAsia="Arial" w:hAnsi="Arial"/>
                <w:sz w:val="14"/>
                <w:szCs w:val="14"/>
                <w:b w:val="1"/>
                <w:bCs w:val="1"/>
                <w:color w:val="auto"/>
                <w:w w:val="94"/>
              </w:rPr>
              <w:t>Amount</w:t>
            </w:r>
          </w:p>
        </w:tc>
        <w:tc>
          <w:tcPr>
            <w:tcW w:w="7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to vote</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power to</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direct</w:t>
            </w:r>
          </w:p>
        </w:tc>
        <w:tc>
          <w:tcPr>
            <w:tcW w:w="840" w:type="dxa"/>
            <w:vAlign w:val="bottom"/>
          </w:tcPr>
          <w:p>
            <w:pPr>
              <w:jc w:val="center"/>
              <w:ind w:left="24"/>
              <w:spacing w:after="0" w:line="149" w:lineRule="exact"/>
              <w:rPr>
                <w:sz w:val="20"/>
                <w:szCs w:val="20"/>
                <w:color w:val="auto"/>
              </w:rPr>
            </w:pPr>
            <w:r>
              <w:rPr>
                <w:rFonts w:ascii="Arial" w:cs="Arial" w:eastAsia="Arial" w:hAnsi="Arial"/>
                <w:sz w:val="14"/>
                <w:szCs w:val="14"/>
                <w:b w:val="1"/>
                <w:bCs w:val="1"/>
                <w:color w:val="auto"/>
                <w:w w:val="90"/>
              </w:rPr>
              <w:t>to direct</w:t>
            </w: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2420" w:type="dxa"/>
            <w:vAlign w:val="bottom"/>
            <w:vMerge w:val="continue"/>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or to</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vote or to</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the</w:t>
            </w:r>
          </w:p>
        </w:tc>
        <w:tc>
          <w:tcPr>
            <w:tcW w:w="840" w:type="dxa"/>
            <w:vAlign w:val="bottom"/>
          </w:tcPr>
          <w:p>
            <w:pPr>
              <w:jc w:val="center"/>
              <w:ind w:left="24"/>
              <w:spacing w:after="0" w:line="149" w:lineRule="exact"/>
              <w:rPr>
                <w:sz w:val="20"/>
                <w:szCs w:val="20"/>
                <w:color w:val="auto"/>
              </w:rPr>
            </w:pPr>
            <w:r>
              <w:rPr>
                <w:rFonts w:ascii="Arial" w:cs="Arial" w:eastAsia="Arial" w:hAnsi="Arial"/>
                <w:sz w:val="14"/>
                <w:szCs w:val="14"/>
                <w:b w:val="1"/>
                <w:bCs w:val="1"/>
                <w:color w:val="auto"/>
                <w:w w:val="85"/>
              </w:rPr>
              <w:t>the</w:t>
            </w:r>
          </w:p>
        </w:tc>
        <w:tc>
          <w:tcPr>
            <w:tcW w:w="0" w:type="dxa"/>
            <w:vAlign w:val="bottom"/>
          </w:tcPr>
          <w:p>
            <w:pPr>
              <w:spacing w:after="0"/>
              <w:rPr>
                <w:sz w:val="1"/>
                <w:szCs w:val="1"/>
                <w:color w:val="auto"/>
              </w:rPr>
            </w:pPr>
          </w:p>
        </w:tc>
      </w:tr>
      <w:tr>
        <w:trPr>
          <w:trHeight w:val="148"/>
        </w:trPr>
        <w:tc>
          <w:tcPr>
            <w:tcW w:w="4440" w:type="dxa"/>
            <w:vAlign w:val="bottom"/>
            <w:vMerge w:val="restart"/>
          </w:tcPr>
          <w:p>
            <w:pPr>
              <w:spacing w:after="0"/>
              <w:rPr>
                <w:sz w:val="20"/>
                <w:szCs w:val="20"/>
                <w:color w:val="auto"/>
              </w:rPr>
            </w:pPr>
            <w:r>
              <w:rPr>
                <w:rFonts w:ascii="Arial" w:cs="Arial" w:eastAsia="Arial" w:hAnsi="Arial"/>
                <w:sz w:val="14"/>
                <w:szCs w:val="14"/>
                <w:b w:val="1"/>
                <w:bCs w:val="1"/>
                <w:color w:val="auto"/>
              </w:rPr>
              <w:t>Reporting Person</w:t>
            </w:r>
          </w:p>
        </w:tc>
        <w:tc>
          <w:tcPr>
            <w:tcW w:w="2420" w:type="dxa"/>
            <w:vAlign w:val="bottom"/>
          </w:tcPr>
          <w:p>
            <w:pPr>
              <w:jc w:val="center"/>
              <w:ind w:left="1401"/>
              <w:spacing w:after="0" w:line="149" w:lineRule="exact"/>
              <w:rPr>
                <w:sz w:val="20"/>
                <w:szCs w:val="20"/>
                <w:color w:val="auto"/>
              </w:rPr>
            </w:pPr>
            <w:r>
              <w:rPr>
                <w:rFonts w:ascii="Arial" w:cs="Arial" w:eastAsia="Arial" w:hAnsi="Arial"/>
                <w:sz w:val="14"/>
                <w:szCs w:val="14"/>
                <w:b w:val="1"/>
                <w:bCs w:val="1"/>
                <w:color w:val="auto"/>
                <w:w w:val="91"/>
              </w:rPr>
              <w:t>beneficially</w:t>
            </w:r>
          </w:p>
        </w:tc>
        <w:tc>
          <w:tcPr>
            <w:tcW w:w="720" w:type="dxa"/>
            <w:vAlign w:val="bottom"/>
            <w:vMerge w:val="continue"/>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direct</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direct the</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disposition</w:t>
            </w:r>
          </w:p>
        </w:tc>
        <w:tc>
          <w:tcPr>
            <w:tcW w:w="840" w:type="dxa"/>
            <w:vAlign w:val="bottom"/>
          </w:tcPr>
          <w:p>
            <w:pPr>
              <w:jc w:val="center"/>
              <w:ind w:left="24"/>
              <w:spacing w:after="0" w:line="149" w:lineRule="exact"/>
              <w:rPr>
                <w:sz w:val="20"/>
                <w:szCs w:val="20"/>
                <w:color w:val="auto"/>
              </w:rPr>
            </w:pPr>
            <w:r>
              <w:rPr>
                <w:rFonts w:ascii="Arial" w:cs="Arial" w:eastAsia="Arial" w:hAnsi="Arial"/>
                <w:sz w:val="14"/>
                <w:szCs w:val="14"/>
                <w:b w:val="1"/>
                <w:bCs w:val="1"/>
                <w:color w:val="auto"/>
                <w:w w:val="88"/>
              </w:rPr>
              <w:t>disposition</w:t>
            </w:r>
          </w:p>
        </w:tc>
        <w:tc>
          <w:tcPr>
            <w:tcW w:w="0" w:type="dxa"/>
            <w:vAlign w:val="bottom"/>
          </w:tcPr>
          <w:p>
            <w:pPr>
              <w:spacing w:after="0"/>
              <w:rPr>
                <w:sz w:val="1"/>
                <w:szCs w:val="1"/>
                <w:color w:val="auto"/>
              </w:rPr>
            </w:pPr>
          </w:p>
        </w:tc>
      </w:tr>
      <w:tr>
        <w:trPr>
          <w:trHeight w:val="176"/>
        </w:trPr>
        <w:tc>
          <w:tcPr>
            <w:tcW w:w="4440" w:type="dxa"/>
            <w:vAlign w:val="bottom"/>
            <w:vMerge w:val="continue"/>
          </w:tcPr>
          <w:p>
            <w:pPr>
              <w:spacing w:after="0"/>
              <w:rPr>
                <w:sz w:val="15"/>
                <w:szCs w:val="15"/>
                <w:color w:val="auto"/>
              </w:rPr>
            </w:pPr>
          </w:p>
        </w:tc>
        <w:tc>
          <w:tcPr>
            <w:tcW w:w="2420" w:type="dxa"/>
            <w:vAlign w:val="bottom"/>
          </w:tcPr>
          <w:p>
            <w:pPr>
              <w:jc w:val="center"/>
              <w:ind w:left="1421"/>
              <w:spacing w:after="0"/>
              <w:rPr>
                <w:sz w:val="20"/>
                <w:szCs w:val="20"/>
                <w:color w:val="auto"/>
              </w:rPr>
            </w:pPr>
            <w:r>
              <w:rPr>
                <w:rFonts w:ascii="Arial" w:cs="Arial" w:eastAsia="Arial" w:hAnsi="Arial"/>
                <w:sz w:val="14"/>
                <w:szCs w:val="14"/>
                <w:b w:val="1"/>
                <w:bCs w:val="1"/>
                <w:color w:val="auto"/>
                <w:w w:val="90"/>
              </w:rPr>
              <w:t>owned</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of class:</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the vote:</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9"/>
              </w:rPr>
              <w:t>vote: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of:</w:t>
            </w:r>
          </w:p>
        </w:tc>
        <w:tc>
          <w:tcPr>
            <w:tcW w:w="840" w:type="dxa"/>
            <w:vAlign w:val="bottom"/>
          </w:tcPr>
          <w:p>
            <w:pPr>
              <w:jc w:val="center"/>
              <w:ind w:left="24"/>
              <w:spacing w:after="0"/>
              <w:rPr>
                <w:sz w:val="20"/>
                <w:szCs w:val="20"/>
                <w:color w:val="auto"/>
              </w:rPr>
            </w:pPr>
            <w:r>
              <w:rPr>
                <w:rFonts w:ascii="Arial" w:cs="Arial" w:eastAsia="Arial" w:hAnsi="Arial"/>
                <w:sz w:val="14"/>
                <w:szCs w:val="14"/>
                <w:b w:val="1"/>
                <w:bCs w:val="1"/>
                <w:color w:val="auto"/>
              </w:rPr>
              <w:t>of:</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IND Funding LLC</w:t>
            </w:r>
          </w:p>
        </w:tc>
        <w:tc>
          <w:tcPr>
            <w:tcW w:w="2420" w:type="dxa"/>
            <w:vAlign w:val="bottom"/>
            <w:shd w:val="clear" w:color="auto" w:fill="CCEEFF"/>
          </w:tcPr>
          <w:p>
            <w:pPr>
              <w:jc w:val="center"/>
              <w:ind w:left="1421"/>
              <w:spacing w:after="0"/>
              <w:rPr>
                <w:sz w:val="20"/>
                <w:szCs w:val="20"/>
                <w:color w:val="auto"/>
              </w:rPr>
            </w:pPr>
            <w:r>
              <w:rPr>
                <w:rFonts w:ascii="Arial" w:cs="Arial" w:eastAsia="Arial" w:hAnsi="Arial"/>
                <w:sz w:val="18"/>
                <w:szCs w:val="18"/>
                <w:color w:val="auto"/>
                <w:w w:val="89"/>
              </w:rPr>
              <w:t>2,190,427</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8.2%</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2,190,427</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840" w:type="dxa"/>
            <w:vAlign w:val="bottom"/>
            <w:shd w:val="clear" w:color="auto" w:fill="CCEEFF"/>
          </w:tcPr>
          <w:p>
            <w:pPr>
              <w:jc w:val="center"/>
              <w:ind w:left="4"/>
              <w:spacing w:after="0"/>
              <w:rPr>
                <w:sz w:val="20"/>
                <w:szCs w:val="20"/>
                <w:color w:val="auto"/>
              </w:rPr>
            </w:pPr>
            <w:r>
              <w:rPr>
                <w:rFonts w:ascii="Arial" w:cs="Arial" w:eastAsia="Arial" w:hAnsi="Arial"/>
                <w:sz w:val="18"/>
                <w:szCs w:val="18"/>
                <w:color w:val="auto"/>
                <w:w w:val="89"/>
              </w:rPr>
              <w:t>2,190,427</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Life Sciences Alternative Funding LLC</w:t>
            </w:r>
          </w:p>
        </w:tc>
        <w:tc>
          <w:tcPr>
            <w:tcW w:w="2420" w:type="dxa"/>
            <w:vAlign w:val="bottom"/>
          </w:tcPr>
          <w:p>
            <w:pPr>
              <w:jc w:val="center"/>
              <w:ind w:left="1421"/>
              <w:spacing w:after="0"/>
              <w:rPr>
                <w:sz w:val="20"/>
                <w:szCs w:val="20"/>
                <w:color w:val="auto"/>
              </w:rPr>
            </w:pPr>
            <w:r>
              <w:rPr>
                <w:rFonts w:ascii="Arial" w:cs="Arial" w:eastAsia="Arial" w:hAnsi="Arial"/>
                <w:sz w:val="18"/>
                <w:szCs w:val="18"/>
                <w:color w:val="auto"/>
                <w:w w:val="89"/>
              </w:rPr>
              <w:t>2,190,427</w:t>
            </w:r>
          </w:p>
        </w:tc>
        <w:tc>
          <w:tcPr>
            <w:tcW w:w="720" w:type="dxa"/>
            <w:vAlign w:val="bottom"/>
          </w:tcPr>
          <w:p>
            <w:pPr>
              <w:jc w:val="center"/>
              <w:spacing w:after="0"/>
              <w:rPr>
                <w:sz w:val="20"/>
                <w:szCs w:val="20"/>
                <w:color w:val="auto"/>
              </w:rPr>
            </w:pPr>
            <w:r>
              <w:rPr>
                <w:rFonts w:ascii="Arial" w:cs="Arial" w:eastAsia="Arial" w:hAnsi="Arial"/>
                <w:sz w:val="18"/>
                <w:szCs w:val="18"/>
                <w:color w:val="auto"/>
                <w:w w:val="92"/>
              </w:rPr>
              <w:t>8.2%</w:t>
            </w:r>
          </w:p>
        </w:tc>
        <w:tc>
          <w:tcPr>
            <w:tcW w:w="76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2,190,427</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840" w:type="dxa"/>
            <w:vAlign w:val="bottom"/>
          </w:tcPr>
          <w:p>
            <w:pPr>
              <w:jc w:val="center"/>
              <w:ind w:left="4"/>
              <w:spacing w:after="0"/>
              <w:rPr>
                <w:sz w:val="20"/>
                <w:szCs w:val="20"/>
                <w:color w:val="auto"/>
              </w:rPr>
            </w:pPr>
            <w:r>
              <w:rPr>
                <w:rFonts w:ascii="Arial" w:cs="Arial" w:eastAsia="Arial" w:hAnsi="Arial"/>
                <w:sz w:val="18"/>
                <w:szCs w:val="18"/>
                <w:color w:val="auto"/>
                <w:w w:val="89"/>
              </w:rPr>
              <w:t>2,190,427</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The shares reported herein consists of (a) 1,896,374 shares of Common Stock held by IND Funding LLC and (b) 294,053 shares of Common Stock held by Life Sciences Alternative Funding LLC.</w:t>
      </w:r>
    </w:p>
    <w:p>
      <w:pPr>
        <w:spacing w:after="0" w:line="31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080" w:right="580" w:hanging="1092"/>
        <w:spacing w:after="0" w:line="282" w:lineRule="auto"/>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Certification.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020"/>
          </w:cols>
          <w:pgMar w:left="440" w:top="274" w:right="439" w:bottom="1440" w:gutter="0" w:footer="0" w:header="0"/>
          <w:type w:val="continuous"/>
        </w:sectPr>
      </w:pPr>
    </w:p>
    <w:bookmarkStart w:id="5" w:name="page6"/>
    <w:bookmarkEnd w:id="5"/>
    <w:p>
      <w:pPr>
        <w:spacing w:after="0"/>
        <w:tabs>
          <w:tab w:leader="none" w:pos="5220" w:val="left"/>
          <w:tab w:leader="none" w:pos="10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09075X108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5 of 6</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r>
        <w:rPr>
          <w:rFonts w:ascii="Arial" w:cs="Arial" w:eastAsia="Arial" w:hAnsi="Arial"/>
          <w:sz w:val="18"/>
          <w:szCs w:val="18"/>
          <w:color w:val="auto"/>
        </w:rPr>
        <w:t>: May 28, 2021</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IND Funding LLC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J. DeNelsky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Stephen J. DeNelsky</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Managing Member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Life Sciences Alternative Funding LLC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J. DeNelsky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Stephen J. DeNelsky</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President</w:t>
      </w:r>
    </w:p>
    <w:p>
      <w:pPr>
        <w:sectPr>
          <w:pgSz w:w="11900" w:h="16838" w:orient="portrait"/>
          <w:cols w:equalWidth="0" w:num="1">
            <w:col w:w="11020"/>
          </w:cols>
          <w:pgMar w:left="440" w:top="274" w:right="4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3260" w:type="dxa"/>
            <w:vAlign w:val="bottom"/>
            <w:gridSpan w:val="4"/>
          </w:tcPr>
          <w:p>
            <w:pPr>
              <w:spacing w:after="0"/>
              <w:rPr>
                <w:sz w:val="20"/>
                <w:szCs w:val="20"/>
                <w:color w:val="auto"/>
              </w:rPr>
            </w:pPr>
            <w:r>
              <w:rPr>
                <w:rFonts w:ascii="Arial" w:cs="Arial" w:eastAsia="Arial" w:hAnsi="Arial"/>
                <w:sz w:val="18"/>
                <w:szCs w:val="18"/>
                <w:color w:val="auto"/>
              </w:rPr>
              <w:t>CUSIP No. 09075X108</w:t>
            </w:r>
          </w:p>
        </w:tc>
        <w:tc>
          <w:tcPr>
            <w:tcW w:w="5000" w:type="dxa"/>
            <w:vAlign w:val="bottom"/>
          </w:tcPr>
          <w:p>
            <w:pPr>
              <w:ind w:left="1980"/>
              <w:spacing w:after="0"/>
              <w:rPr>
                <w:sz w:val="20"/>
                <w:szCs w:val="20"/>
                <w:color w:val="auto"/>
              </w:rPr>
            </w:pPr>
            <w:r>
              <w:rPr>
                <w:rFonts w:ascii="Arial" w:cs="Arial" w:eastAsia="Arial" w:hAnsi="Arial"/>
                <w:sz w:val="18"/>
                <w:szCs w:val="18"/>
                <w:color w:val="auto"/>
              </w:rPr>
              <w:t>Schedule 13G</w:t>
            </w:r>
          </w:p>
        </w:tc>
        <w:tc>
          <w:tcPr>
            <w:tcW w:w="2760" w:type="dxa"/>
            <w:vAlign w:val="bottom"/>
          </w:tcPr>
          <w:p>
            <w:pPr>
              <w:ind w:left="1940"/>
              <w:spacing w:after="0"/>
              <w:rPr>
                <w:sz w:val="20"/>
                <w:szCs w:val="20"/>
                <w:color w:val="auto"/>
              </w:rPr>
            </w:pPr>
            <w:r>
              <w:rPr>
                <w:rFonts w:ascii="Arial" w:cs="Arial" w:eastAsia="Arial" w:hAnsi="Arial"/>
                <w:sz w:val="18"/>
                <w:szCs w:val="18"/>
                <w:color w:val="auto"/>
                <w:w w:val="86"/>
              </w:rPr>
              <w:t>Page 6 of 6</w:t>
            </w:r>
          </w:p>
        </w:tc>
      </w:tr>
      <w:tr>
        <w:trPr>
          <w:trHeight w:val="364"/>
        </w:trPr>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0" w:type="dxa"/>
            <w:vAlign w:val="bottom"/>
          </w:tcPr>
          <w:p>
            <w:pPr>
              <w:ind w:left="1440"/>
              <w:spacing w:after="0"/>
              <w:rPr>
                <w:sz w:val="20"/>
                <w:szCs w:val="20"/>
                <w:color w:val="auto"/>
              </w:rPr>
            </w:pPr>
            <w:r>
              <w:rPr>
                <w:rFonts w:ascii="Arial" w:cs="Arial" w:eastAsia="Arial" w:hAnsi="Arial"/>
                <w:sz w:val="18"/>
                <w:szCs w:val="18"/>
                <w:b w:val="1"/>
                <w:bCs w:val="1"/>
                <w:color w:val="auto"/>
              </w:rPr>
              <w:t>LIST OF EXHIBITS</w:t>
            </w:r>
          </w:p>
        </w:tc>
        <w:tc>
          <w:tcPr>
            <w:tcW w:w="2760" w:type="dxa"/>
            <w:vAlign w:val="bottom"/>
          </w:tcPr>
          <w:p>
            <w:pPr>
              <w:spacing w:after="0"/>
              <w:rPr>
                <w:sz w:val="24"/>
                <w:szCs w:val="24"/>
                <w:color w:val="auto"/>
              </w:rPr>
            </w:pPr>
          </w:p>
        </w:tc>
      </w:tr>
      <w:tr>
        <w:trPr>
          <w:trHeight w:val="392"/>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820" w:type="dxa"/>
            <w:vAlign w:val="bottom"/>
          </w:tcPr>
          <w:p>
            <w:pPr>
              <w:spacing w:after="0"/>
              <w:rPr>
                <w:sz w:val="24"/>
                <w:szCs w:val="2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100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277"/>
        </w:trPr>
        <w:tc>
          <w:tcPr>
            <w:tcW w:w="720" w:type="dxa"/>
            <w:vAlign w:val="bottom"/>
          </w:tcPr>
          <w:p>
            <w:pPr>
              <w:spacing w:after="0"/>
              <w:rPr>
                <w:sz w:val="20"/>
                <w:szCs w:val="20"/>
                <w:color w:val="auto"/>
              </w:rPr>
            </w:pPr>
            <w:r>
              <w:rPr>
                <w:rFonts w:ascii="Arial" w:cs="Arial" w:eastAsia="Arial" w:hAnsi="Arial"/>
                <w:sz w:val="18"/>
                <w:szCs w:val="18"/>
                <w:color w:val="auto"/>
              </w:rPr>
              <w:t>99</w:t>
            </w:r>
          </w:p>
        </w:tc>
        <w:tc>
          <w:tcPr>
            <w:tcW w:w="820" w:type="dxa"/>
            <w:vAlign w:val="bottom"/>
          </w:tcPr>
          <w:p>
            <w:pPr>
              <w:spacing w:after="0"/>
              <w:rPr>
                <w:sz w:val="24"/>
                <w:szCs w:val="24"/>
                <w:color w:val="auto"/>
              </w:rPr>
            </w:pPr>
          </w:p>
        </w:tc>
        <w:tc>
          <w:tcPr>
            <w:tcW w:w="172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8">
              <w:r>
                <w:rPr>
                  <w:rFonts w:ascii="Arial" w:cs="Arial" w:eastAsia="Arial" w:hAnsi="Arial"/>
                  <w:sz w:val="18"/>
                  <w:szCs w:val="18"/>
                  <w:color w:val="0000EE"/>
                  <w:w w:val="92"/>
                </w:rPr>
                <w:t>Joint Filing Agreement.</w:t>
              </w:r>
            </w:hyperlink>
          </w:p>
        </w:tc>
        <w:tc>
          <w:tcPr>
            <w:tcW w:w="5000" w:type="dxa"/>
            <w:vAlign w:val="bottom"/>
          </w:tcPr>
          <w:p>
            <w:pPr>
              <w:spacing w:after="0"/>
              <w:rPr>
                <w:sz w:val="24"/>
                <w:szCs w:val="24"/>
                <w:color w:val="auto"/>
              </w:rPr>
            </w:pPr>
          </w:p>
        </w:tc>
        <w:tc>
          <w:tcPr>
            <w:tcW w:w="27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99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In accordance with Rule 13d-1(k)(1) promulgated under the Securities Exchange Act of 1934, as amended, the undersigned hereby agree that they are jointly filing this statement on Schedule 13G. Each of them is responsible for the timely filing of such statement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the undersigned hereby execute this Joint Filing Agreement as of the 28</w:t>
      </w:r>
      <w:r>
        <w:rPr>
          <w:rFonts w:ascii="Arial" w:cs="Arial" w:eastAsia="Arial" w:hAnsi="Arial"/>
          <w:sz w:val="15"/>
          <w:szCs w:val="15"/>
          <w:color w:val="auto"/>
        </w:rPr>
        <w:t>th</w:t>
      </w:r>
      <w:r>
        <w:rPr>
          <w:rFonts w:ascii="Arial" w:cs="Arial" w:eastAsia="Arial" w:hAnsi="Arial"/>
          <w:sz w:val="18"/>
          <w:szCs w:val="18"/>
          <w:color w:val="auto"/>
        </w:rPr>
        <w:t xml:space="preserve"> day of May,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IND Funding LLC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J. DeNelsky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Stephen J. DeNelsky</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Managing Member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Life Sciences Alternative Funding LLC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J. DeNelsky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Stephen J. DeNelsky</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President</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bullet"/>
      <w:start w:val="1"/>
    </w:lvl>
  </w:abstractNum>
  <w:abstractNum w:abstractNumId="3">
    <w:nsid w:val="12200854"/>
    <w:multiLevelType w:val="hybridMultilevel"/>
    <w:lvl w:ilvl="0">
      <w:lvlJc w:val="left"/>
      <w:lvlText w:val="2"/>
      <w:numFmt w:val="bullet"/>
      <w:start w:val="1"/>
    </w:lvl>
  </w:abstractNum>
  <w:abstractNum w:abstractNumId="4">
    <w:nsid w:val="4DB127F8"/>
    <w:multiLevelType w:val="hybridMultilevel"/>
    <w:lvl w:ilvl="0">
      <w:lvlJc w:val="left"/>
      <w:lvlText w:val="3"/>
      <w:numFmt w:val="bullet"/>
      <w:start w:val="1"/>
    </w:lvl>
  </w:abstractNum>
  <w:abstractNum w:abstractNumId="5">
    <w:nsid w:val="216231B"/>
    <w:multiLevelType w:val="hybridMultilevel"/>
    <w:lvl w:ilvl="0">
      <w:lvlJc w:val="left"/>
      <w:lvlText w:val="4"/>
      <w:numFmt w:val="bullet"/>
      <w:start w:val="1"/>
    </w:lvl>
  </w:abstractNum>
  <w:abstractNum w:abstractNumId="6">
    <w:nsid w:val="1F16E9E8"/>
    <w:multiLevelType w:val="hybridMultilevel"/>
    <w:lvl w:ilvl="0">
      <w:lvlJc w:val="left"/>
      <w:lvlText w:val="9"/>
      <w:numFmt w:val="bullet"/>
      <w:start w:val="1"/>
    </w:lvl>
  </w:abstractNum>
  <w:abstractNum w:abstractNumId="7">
    <w:nsid w:val="1190CDE7"/>
    <w:multiLevelType w:val="hybridMultilevel"/>
    <w:lvl w:ilvl="0">
      <w:lvlJc w:val="left"/>
      <w:lvlText w:val="%1"/>
      <w:numFmt w:val="decimal"/>
      <w:start w:val="10"/>
    </w:lvl>
  </w:abstractNum>
  <w:abstractNum w:abstractNumId="8">
    <w:nsid w:val="66EF438D"/>
    <w:multiLevelType w:val="hybridMultilevel"/>
    <w:lvl w:ilvl="0">
      <w:lvlJc w:val="left"/>
      <w:lvlText w:val="1"/>
      <w:numFmt w:val="bullet"/>
      <w:start w:val="1"/>
    </w:lvl>
  </w:abstractNum>
  <w:abstractNum w:abstractNumId="9">
    <w:nsid w:val="140E0F76"/>
    <w:multiLevelType w:val="hybridMultilevel"/>
    <w:lvl w:ilvl="0">
      <w:lvlJc w:val="left"/>
      <w:lvlText w:val="2"/>
      <w:numFmt w:val="bullet"/>
      <w:start w:val="1"/>
    </w:lvl>
  </w:abstractNum>
  <w:abstractNum w:abstractNumId="10">
    <w:nsid w:val="3352255A"/>
    <w:multiLevelType w:val="hybridMultilevel"/>
    <w:lvl w:ilvl="0">
      <w:lvlJc w:val="left"/>
      <w:lvlText w:val="3"/>
      <w:numFmt w:val="bullet"/>
      <w:start w:val="1"/>
    </w:lvl>
  </w:abstractNum>
  <w:abstractNum w:abstractNumId="11">
    <w:nsid w:val="109CF92E"/>
    <w:multiLevelType w:val="hybridMultilevel"/>
    <w:lvl w:ilvl="0">
      <w:lvlJc w:val="left"/>
      <w:lvlText w:val="4"/>
      <w:numFmt w:val="bullet"/>
      <w:start w:val="1"/>
    </w:lvl>
  </w:abstractNum>
  <w:abstractNum w:abstractNumId="12">
    <w:nsid w:val="DED7263"/>
    <w:multiLevelType w:val="hybridMultilevel"/>
    <w:lvl w:ilvl="0">
      <w:lvlJc w:val="left"/>
      <w:lvlText w:val="9"/>
      <w:numFmt w:val="bullet"/>
      <w:start w:val="1"/>
    </w:lvl>
  </w:abstractNum>
  <w:abstractNum w:abstractNumId="13">
    <w:nsid w:val="7FDCC233"/>
    <w:multiLevelType w:val="hybridMultilevel"/>
    <w:lvl w:ilvl="0">
      <w:lvlJc w:val="left"/>
      <w:lvlText w:val="%1"/>
      <w:numFmt w:val="decimal"/>
      <w:start w:val="10"/>
    </w:lvl>
  </w:abstractNum>
  <w:abstractNum w:abstractNumId="14">
    <w:nsid w:val="1BEFD79F"/>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2021-06-01T05:26:05Z</dcterms:created>
  <dcterms:modified xsi:type="dcterms:W3CDTF">2021-06-01T05:26:05Z</dcterms:modified>
</cp:coreProperties>
</file>