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229870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4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December 10,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216535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Biodesix,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040" w:type="dxa"/>
        <w:tblCellMar>
          <w:top w:w="0" w:type="dxa"/>
          <w:left w:w="0" w:type="dxa"/>
          <w:bottom w:w="0" w:type="dxa"/>
          <w:right w:w="0" w:type="dxa"/>
        </w:tblCellMar>
      </w:tblPr>
      <w:tr>
        <w:trPr>
          <w:trHeight w:val="212"/>
        </w:trPr>
        <w:tc>
          <w:tcPr>
            <w:tcW w:w="3580" w:type="dxa"/>
            <w:vAlign w:val="bottom"/>
          </w:tcPr>
          <w:p>
            <w:pPr>
              <w:jc w:val="center"/>
              <w:ind w:right="1859"/>
              <w:spacing w:after="0"/>
              <w:rPr>
                <w:sz w:val="20"/>
                <w:szCs w:val="20"/>
                <w:color w:val="auto"/>
              </w:rPr>
            </w:pPr>
            <w:r>
              <w:rPr>
                <w:rFonts w:ascii="Arial" w:cs="Arial" w:eastAsia="Arial" w:hAnsi="Arial"/>
                <w:sz w:val="18"/>
                <w:szCs w:val="18"/>
                <w:b w:val="1"/>
                <w:bCs w:val="1"/>
                <w:color w:val="auto"/>
                <w:w w:val="91"/>
              </w:rPr>
              <w:t>Delaware</w:t>
            </w:r>
          </w:p>
        </w:tc>
        <w:tc>
          <w:tcPr>
            <w:tcW w:w="2400" w:type="dxa"/>
            <w:vAlign w:val="bottom"/>
          </w:tcPr>
          <w:p>
            <w:pPr>
              <w:ind w:left="600"/>
              <w:spacing w:after="0"/>
              <w:rPr>
                <w:sz w:val="20"/>
                <w:szCs w:val="20"/>
                <w:color w:val="auto"/>
              </w:rPr>
            </w:pPr>
            <w:r>
              <w:rPr>
                <w:rFonts w:ascii="Arial" w:cs="Arial" w:eastAsia="Arial" w:hAnsi="Arial"/>
                <w:sz w:val="18"/>
                <w:szCs w:val="18"/>
                <w:b w:val="1"/>
                <w:bCs w:val="1"/>
                <w:color w:val="auto"/>
              </w:rPr>
              <w:t>001-39659</w:t>
            </w:r>
          </w:p>
        </w:tc>
        <w:tc>
          <w:tcPr>
            <w:tcW w:w="2800" w:type="dxa"/>
            <w:vAlign w:val="bottom"/>
          </w:tcPr>
          <w:p>
            <w:pPr>
              <w:jc w:val="center"/>
              <w:ind w:left="1581"/>
              <w:spacing w:after="0"/>
              <w:rPr>
                <w:sz w:val="20"/>
                <w:szCs w:val="20"/>
                <w:color w:val="auto"/>
              </w:rPr>
            </w:pPr>
            <w:r>
              <w:rPr>
                <w:rFonts w:ascii="Arial" w:cs="Arial" w:eastAsia="Arial" w:hAnsi="Arial"/>
                <w:sz w:val="18"/>
                <w:szCs w:val="18"/>
                <w:b w:val="1"/>
                <w:bCs w:val="1"/>
                <w:color w:val="auto"/>
                <w:w w:val="89"/>
              </w:rPr>
              <w:t>20-3986492</w:t>
            </w:r>
          </w:p>
        </w:tc>
      </w:tr>
      <w:tr>
        <w:trPr>
          <w:trHeight w:val="148"/>
        </w:trPr>
        <w:tc>
          <w:tcPr>
            <w:tcW w:w="3580" w:type="dxa"/>
            <w:vAlign w:val="bottom"/>
          </w:tcPr>
          <w:p>
            <w:pPr>
              <w:jc w:val="center"/>
              <w:ind w:right="185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00" w:type="dxa"/>
            <w:vAlign w:val="bottom"/>
          </w:tcPr>
          <w:p>
            <w:pPr>
              <w:ind w:left="600"/>
              <w:spacing w:after="0" w:line="149" w:lineRule="exact"/>
              <w:rPr>
                <w:sz w:val="20"/>
                <w:szCs w:val="20"/>
                <w:color w:val="auto"/>
              </w:rPr>
            </w:pPr>
            <w:r>
              <w:rPr>
                <w:rFonts w:ascii="Arial" w:cs="Arial" w:eastAsia="Arial" w:hAnsi="Arial"/>
                <w:sz w:val="14"/>
                <w:szCs w:val="14"/>
                <w:b w:val="1"/>
                <w:bCs w:val="1"/>
                <w:color w:val="auto"/>
              </w:rPr>
              <w:t>(Commission</w:t>
            </w:r>
          </w:p>
        </w:tc>
        <w:tc>
          <w:tcPr>
            <w:tcW w:w="2800" w:type="dxa"/>
            <w:vAlign w:val="bottom"/>
          </w:tcPr>
          <w:p>
            <w:pPr>
              <w:jc w:val="center"/>
              <w:ind w:left="1581"/>
              <w:spacing w:after="0" w:line="149" w:lineRule="exact"/>
              <w:rPr>
                <w:sz w:val="20"/>
                <w:szCs w:val="20"/>
                <w:color w:val="auto"/>
              </w:rPr>
            </w:pPr>
            <w:r>
              <w:rPr>
                <w:rFonts w:ascii="Arial" w:cs="Arial" w:eastAsia="Arial" w:hAnsi="Arial"/>
                <w:sz w:val="14"/>
                <w:szCs w:val="14"/>
                <w:b w:val="1"/>
                <w:bCs w:val="1"/>
                <w:color w:val="auto"/>
                <w:w w:val="94"/>
              </w:rPr>
              <w:t>(I.R.S. Employer</w:t>
            </w:r>
          </w:p>
        </w:tc>
      </w:tr>
      <w:tr>
        <w:trPr>
          <w:trHeight w:val="186"/>
        </w:trPr>
        <w:tc>
          <w:tcPr>
            <w:tcW w:w="3580" w:type="dxa"/>
            <w:vAlign w:val="bottom"/>
          </w:tcPr>
          <w:p>
            <w:pPr>
              <w:jc w:val="center"/>
              <w:ind w:right="1839"/>
              <w:spacing w:after="0"/>
              <w:rPr>
                <w:sz w:val="20"/>
                <w:szCs w:val="20"/>
                <w:color w:val="auto"/>
              </w:rPr>
            </w:pPr>
            <w:r>
              <w:rPr>
                <w:rFonts w:ascii="Arial" w:cs="Arial" w:eastAsia="Arial" w:hAnsi="Arial"/>
                <w:sz w:val="14"/>
                <w:szCs w:val="14"/>
                <w:b w:val="1"/>
                <w:bCs w:val="1"/>
                <w:color w:val="auto"/>
                <w:w w:val="94"/>
              </w:rPr>
              <w:t>of incorporation)</w:t>
            </w:r>
          </w:p>
        </w:tc>
        <w:tc>
          <w:tcPr>
            <w:tcW w:w="2400" w:type="dxa"/>
            <w:vAlign w:val="bottom"/>
          </w:tcPr>
          <w:p>
            <w:pPr>
              <w:ind w:left="580"/>
              <w:spacing w:after="0"/>
              <w:rPr>
                <w:sz w:val="20"/>
                <w:szCs w:val="20"/>
                <w:color w:val="auto"/>
              </w:rPr>
            </w:pPr>
            <w:r>
              <w:rPr>
                <w:rFonts w:ascii="Arial" w:cs="Arial" w:eastAsia="Arial" w:hAnsi="Arial"/>
                <w:sz w:val="14"/>
                <w:szCs w:val="14"/>
                <w:b w:val="1"/>
                <w:bCs w:val="1"/>
                <w:color w:val="auto"/>
              </w:rPr>
              <w:t>File Number)</w:t>
            </w:r>
          </w:p>
        </w:tc>
        <w:tc>
          <w:tcPr>
            <w:tcW w:w="2800" w:type="dxa"/>
            <w:vAlign w:val="bottom"/>
          </w:tcPr>
          <w:p>
            <w:pPr>
              <w:jc w:val="center"/>
              <w:ind w:left="1581"/>
              <w:spacing w:after="0"/>
              <w:rPr>
                <w:sz w:val="20"/>
                <w:szCs w:val="20"/>
                <w:color w:val="auto"/>
              </w:rPr>
            </w:pPr>
            <w:r>
              <w:rPr>
                <w:rFonts w:ascii="Arial" w:cs="Arial" w:eastAsia="Arial" w:hAnsi="Arial"/>
                <w:sz w:val="14"/>
                <w:szCs w:val="14"/>
                <w:b w:val="1"/>
                <w:bCs w:val="1"/>
                <w:color w:val="auto"/>
                <w:w w:val="96"/>
              </w:rPr>
              <w:t>Identification No.)</w:t>
            </w:r>
          </w:p>
        </w:tc>
      </w:tr>
      <w:tr>
        <w:trPr>
          <w:trHeight w:val="399"/>
        </w:trPr>
        <w:tc>
          <w:tcPr>
            <w:tcW w:w="3580" w:type="dxa"/>
            <w:vAlign w:val="bottom"/>
          </w:tcPr>
          <w:p>
            <w:pPr>
              <w:jc w:val="center"/>
              <w:ind w:right="19"/>
              <w:spacing w:after="0"/>
              <w:rPr>
                <w:sz w:val="20"/>
                <w:szCs w:val="20"/>
                <w:color w:val="auto"/>
              </w:rPr>
            </w:pPr>
            <w:r>
              <w:rPr>
                <w:rFonts w:ascii="Arial" w:cs="Arial" w:eastAsia="Arial" w:hAnsi="Arial"/>
                <w:sz w:val="18"/>
                <w:szCs w:val="18"/>
                <w:b w:val="1"/>
                <w:bCs w:val="1"/>
                <w:color w:val="auto"/>
                <w:w w:val="89"/>
              </w:rPr>
              <w:t>2970 Wilderness Place, Suite 100</w:t>
            </w:r>
          </w:p>
        </w:tc>
        <w:tc>
          <w:tcPr>
            <w:tcW w:w="240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25"/>
        </w:trPr>
        <w:tc>
          <w:tcPr>
            <w:tcW w:w="3580" w:type="dxa"/>
            <w:vAlign w:val="bottom"/>
          </w:tcPr>
          <w:p>
            <w:pPr>
              <w:jc w:val="center"/>
              <w:ind w:right="19"/>
              <w:spacing w:after="0"/>
              <w:rPr>
                <w:sz w:val="20"/>
                <w:szCs w:val="20"/>
                <w:color w:val="auto"/>
              </w:rPr>
            </w:pPr>
            <w:r>
              <w:rPr>
                <w:rFonts w:ascii="Arial" w:cs="Arial" w:eastAsia="Arial" w:hAnsi="Arial"/>
                <w:sz w:val="18"/>
                <w:szCs w:val="18"/>
                <w:b w:val="1"/>
                <w:bCs w:val="1"/>
                <w:color w:val="auto"/>
                <w:w w:val="89"/>
              </w:rPr>
              <w:t>Boulder, Colorado</w:t>
            </w:r>
          </w:p>
        </w:tc>
        <w:tc>
          <w:tcPr>
            <w:tcW w:w="2400" w:type="dxa"/>
            <w:vAlign w:val="bottom"/>
          </w:tcPr>
          <w:p>
            <w:pPr>
              <w:spacing w:after="0"/>
              <w:rPr>
                <w:sz w:val="19"/>
                <w:szCs w:val="19"/>
                <w:color w:val="auto"/>
              </w:rPr>
            </w:pPr>
          </w:p>
        </w:tc>
        <w:tc>
          <w:tcPr>
            <w:tcW w:w="2800" w:type="dxa"/>
            <w:vAlign w:val="bottom"/>
          </w:tcPr>
          <w:p>
            <w:pPr>
              <w:jc w:val="right"/>
              <w:ind w:right="1181"/>
              <w:spacing w:after="0"/>
              <w:rPr>
                <w:sz w:val="20"/>
                <w:szCs w:val="20"/>
                <w:color w:val="auto"/>
              </w:rPr>
            </w:pPr>
            <w:r>
              <w:rPr>
                <w:rFonts w:ascii="Arial" w:cs="Arial" w:eastAsia="Arial" w:hAnsi="Arial"/>
                <w:sz w:val="18"/>
                <w:szCs w:val="18"/>
                <w:b w:val="1"/>
                <w:bCs w:val="1"/>
                <w:color w:val="auto"/>
              </w:rPr>
              <w:t>80301</w:t>
            </w:r>
          </w:p>
        </w:tc>
      </w:tr>
      <w:tr>
        <w:trPr>
          <w:trHeight w:val="186"/>
        </w:trPr>
        <w:tc>
          <w:tcPr>
            <w:tcW w:w="3580" w:type="dxa"/>
            <w:vAlign w:val="bottom"/>
          </w:tcPr>
          <w:p>
            <w:pPr>
              <w:jc w:val="center"/>
              <w:ind w:right="19"/>
              <w:spacing w:after="0"/>
              <w:rPr>
                <w:sz w:val="20"/>
                <w:szCs w:val="20"/>
                <w:color w:val="auto"/>
              </w:rPr>
            </w:pPr>
            <w:r>
              <w:rPr>
                <w:rFonts w:ascii="Arial" w:cs="Arial" w:eastAsia="Arial" w:hAnsi="Arial"/>
                <w:sz w:val="14"/>
                <w:szCs w:val="14"/>
                <w:b w:val="1"/>
                <w:bCs w:val="1"/>
                <w:color w:val="auto"/>
                <w:w w:val="92"/>
              </w:rPr>
              <w:t>(Address of Principal Executive Office)</w:t>
            </w:r>
          </w:p>
        </w:tc>
        <w:tc>
          <w:tcPr>
            <w:tcW w:w="2400" w:type="dxa"/>
            <w:vAlign w:val="bottom"/>
          </w:tcPr>
          <w:p>
            <w:pPr>
              <w:spacing w:after="0"/>
              <w:rPr>
                <w:sz w:val="16"/>
                <w:szCs w:val="16"/>
                <w:color w:val="auto"/>
              </w:rPr>
            </w:pPr>
          </w:p>
        </w:tc>
        <w:tc>
          <w:tcPr>
            <w:tcW w:w="2800" w:type="dxa"/>
            <w:vAlign w:val="bottom"/>
          </w:tcPr>
          <w:p>
            <w:pPr>
              <w:jc w:val="center"/>
              <w:ind w:right="81"/>
              <w:spacing w:after="0"/>
              <w:rPr>
                <w:sz w:val="20"/>
                <w:szCs w:val="20"/>
                <w:color w:val="auto"/>
              </w:rPr>
            </w:pPr>
            <w:r>
              <w:rPr>
                <w:rFonts w:ascii="Arial" w:cs="Arial" w:eastAsia="Arial" w:hAnsi="Arial"/>
                <w:sz w:val="14"/>
                <w:szCs w:val="14"/>
                <w:b w:val="1"/>
                <w:bCs w:val="1"/>
                <w:color w:val="auto"/>
                <w:w w:val="98"/>
              </w:rPr>
              <w:t>(Zip Code)</w:t>
            </w:r>
          </w:p>
        </w:tc>
      </w:tr>
    </w:tbl>
    <w:p>
      <w:pPr>
        <w:spacing w:after="0" w:line="14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(303) 417-0500</w:t>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210820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6"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 pursuant to Rule 425 under the Securities Act (17 CFR 230.425)</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 pursuant to Rule 14d-2(b) under the Exchange Act (17 CFR 240.14d-2(b))</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 pursuant to Rule 13e-4(c) under the Exchange Act (17 CFR 240.13e-4(c))</w:t>
      </w:r>
    </w:p>
    <w:p>
      <w:pPr>
        <w:spacing w:after="0" w:line="185"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par value of $0.001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5"/>
              </w:rPr>
              <w:t>BDSX</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56"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133350</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December 10, 2020, Biodesix, Inc. (the “Company”) issued a press release announcing its financial results for the fiscal quarter ended September 30, 2020. A copy of the press release is furnished as Exhibit 99.1 to this report and is incorporated herein by reference.</w:t>
      </w:r>
    </w:p>
    <w:p>
      <w:pPr>
        <w:spacing w:after="0" w:line="170" w:lineRule="exact"/>
        <w:rPr>
          <w:sz w:val="20"/>
          <w:szCs w:val="20"/>
          <w:color w:val="auto"/>
        </w:rPr>
      </w:pPr>
    </w:p>
    <w:p>
      <w:pPr>
        <w:ind w:right="320"/>
        <w:spacing w:after="0" w:line="263" w:lineRule="auto"/>
        <w:rPr>
          <w:sz w:val="20"/>
          <w:szCs w:val="20"/>
          <w:color w:val="auto"/>
        </w:rPr>
      </w:pPr>
      <w:r>
        <w:rPr>
          <w:rFonts w:ascii="Arial" w:cs="Arial" w:eastAsia="Arial" w:hAnsi="Arial"/>
          <w:sz w:val="18"/>
          <w:szCs w:val="18"/>
          <w:color w:val="auto"/>
        </w:rPr>
        <w:t>Exhibit 99.1 is furnished pursuant to Item 2.02 of this Form 8-K and shall not be deemed “filed” for the purposes of Section 18 of the Securities Exchange Act of 1934, or incorporated by reference in any filing under the Securities Act of 1933 or the Securities Exchange Act of 1934, except as shall be expressly set forth by specific reference in such filing.</w:t>
      </w:r>
    </w:p>
    <w:p>
      <w:pPr>
        <w:spacing w:after="0" w:line="328"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 Exhibits:</w:t>
      </w:r>
    </w:p>
    <w:p>
      <w:pPr>
        <w:spacing w:after="0" w:line="244" w:lineRule="exact"/>
        <w:rPr>
          <w:sz w:val="20"/>
          <w:szCs w:val="20"/>
          <w:color w:val="auto"/>
        </w:rPr>
      </w:pPr>
    </w:p>
    <w:p>
      <w:pPr>
        <w:ind w:left="60"/>
        <w:spacing w:after="0"/>
        <w:tabs>
          <w:tab w:leader="none" w:pos="640" w:val="left"/>
        </w:tabs>
        <w:rPr>
          <w:sz w:val="20"/>
          <w:szCs w:val="20"/>
          <w:color w:val="auto"/>
        </w:rPr>
      </w:pPr>
      <w:r>
        <w:rPr>
          <w:rFonts w:ascii="Arial" w:cs="Arial" w:eastAsia="Arial" w:hAnsi="Arial"/>
          <w:sz w:val="14"/>
          <w:szCs w:val="14"/>
          <w:b w:val="1"/>
          <w:bCs w:val="1"/>
          <w:u w:val="single" w:color="auto"/>
          <w:color w:val="auto"/>
        </w:rPr>
        <w:t>No.</w:t>
      </w:r>
      <w:r>
        <w:rPr>
          <w:sz w:val="20"/>
          <w:szCs w:val="20"/>
          <w:color w:val="auto"/>
        </w:rPr>
        <w:tab/>
      </w:r>
      <w:r>
        <w:rPr>
          <w:rFonts w:ascii="Arial" w:cs="Arial" w:eastAsia="Arial" w:hAnsi="Arial"/>
          <w:sz w:val="14"/>
          <w:szCs w:val="14"/>
          <w:b w:val="1"/>
          <w:bCs w:val="1"/>
          <w:u w:val="single" w:color="auto"/>
          <w:color w:val="auto"/>
        </w:rPr>
        <w:t>Exhibit</w:t>
      </w:r>
    </w:p>
    <w:p>
      <w:pPr>
        <w:spacing w:after="0" w:line="117" w:lineRule="exact"/>
        <w:rPr>
          <w:sz w:val="20"/>
          <w:szCs w:val="20"/>
          <w:color w:val="auto"/>
        </w:rPr>
      </w:pPr>
    </w:p>
    <w:p>
      <w:pPr>
        <w:spacing w:after="0"/>
        <w:tabs>
          <w:tab w:leader="none" w:pos="64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issued by Biodesix, Inc. dated December 10, 2020</w:t>
        </w:r>
      </w:hyperlink>
    </w:p>
    <w:p>
      <w:pPr>
        <w:spacing w:after="0" w:line="117"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ectPr>
          <w:pgSz w:w="11900" w:h="16838" w:orient="portrait"/>
          <w:cols w:equalWidth="0" w:num="1">
            <w:col w:w="11000"/>
          </w:cols>
          <w:pgMar w:left="440" w:top="297" w:right="4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w:t>
      </w:r>
    </w:p>
    <w:p>
      <w:pPr>
        <w:spacing w:after="0" w:line="225"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20" w:type="dxa"/>
            <w:vAlign w:val="bottom"/>
          </w:tcPr>
          <w:p>
            <w:pPr>
              <w:spacing w:after="0"/>
              <w:rPr>
                <w:sz w:val="20"/>
                <w:szCs w:val="20"/>
                <w:color w:val="auto"/>
              </w:rPr>
            </w:pPr>
            <w:r>
              <w:rPr>
                <w:rFonts w:ascii="Arial" w:cs="Arial" w:eastAsia="Arial" w:hAnsi="Arial"/>
                <w:sz w:val="18"/>
                <w:szCs w:val="18"/>
                <w:color w:val="auto"/>
              </w:rPr>
              <w:t>Dated: December 10, 2020</w:t>
            </w:r>
          </w:p>
        </w:tc>
        <w:tc>
          <w:tcPr>
            <w:tcW w:w="7300" w:type="dxa"/>
            <w:vAlign w:val="bottom"/>
            <w:gridSpan w:val="2"/>
          </w:tcPr>
          <w:p>
            <w:pPr>
              <w:ind w:left="1800"/>
              <w:spacing w:after="0"/>
              <w:rPr>
                <w:sz w:val="20"/>
                <w:szCs w:val="20"/>
                <w:color w:val="auto"/>
              </w:rPr>
            </w:pPr>
            <w:r>
              <w:rPr>
                <w:rFonts w:ascii="Arial" w:cs="Arial" w:eastAsia="Arial" w:hAnsi="Arial"/>
                <w:sz w:val="18"/>
                <w:szCs w:val="18"/>
                <w:color w:val="auto"/>
              </w:rPr>
              <w:t>BIODESIX, INC.</w:t>
            </w:r>
          </w:p>
        </w:tc>
      </w:tr>
      <w:tr>
        <w:trPr>
          <w:trHeight w:val="432"/>
        </w:trPr>
        <w:tc>
          <w:tcPr>
            <w:tcW w:w="3720" w:type="dxa"/>
            <w:vAlign w:val="bottom"/>
          </w:tcPr>
          <w:p>
            <w:pPr>
              <w:spacing w:after="0"/>
              <w:rPr>
                <w:sz w:val="24"/>
                <w:szCs w:val="24"/>
                <w:color w:val="auto"/>
              </w:rPr>
            </w:pPr>
          </w:p>
        </w:tc>
        <w:tc>
          <w:tcPr>
            <w:tcW w:w="2440" w:type="dxa"/>
            <w:vAlign w:val="bottom"/>
          </w:tcPr>
          <w:p>
            <w:pPr>
              <w:ind w:left="1800"/>
              <w:spacing w:after="0"/>
              <w:rPr>
                <w:sz w:val="20"/>
                <w:szCs w:val="20"/>
                <w:color w:val="auto"/>
              </w:rPr>
            </w:pPr>
            <w:r>
              <w:rPr>
                <w:rFonts w:ascii="Arial" w:cs="Arial" w:eastAsia="Arial" w:hAnsi="Arial"/>
                <w:sz w:val="18"/>
                <w:szCs w:val="18"/>
                <w:color w:val="auto"/>
              </w:rPr>
              <w:t>By:</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Robin Harper Cowie</w:t>
            </w:r>
          </w:p>
        </w:tc>
      </w:tr>
      <w:tr>
        <w:trPr>
          <w:trHeight w:val="209"/>
        </w:trPr>
        <w:tc>
          <w:tcPr>
            <w:tcW w:w="3720" w:type="dxa"/>
            <w:vAlign w:val="bottom"/>
          </w:tcPr>
          <w:p>
            <w:pPr>
              <w:spacing w:after="0"/>
              <w:rPr>
                <w:sz w:val="18"/>
                <w:szCs w:val="18"/>
                <w:color w:val="auto"/>
              </w:rPr>
            </w:pPr>
          </w:p>
        </w:tc>
        <w:tc>
          <w:tcPr>
            <w:tcW w:w="2440" w:type="dxa"/>
            <w:vAlign w:val="bottom"/>
          </w:tcPr>
          <w:p>
            <w:pPr>
              <w:ind w:left="1800"/>
              <w:spacing w:after="0"/>
              <w:rPr>
                <w:sz w:val="20"/>
                <w:szCs w:val="20"/>
                <w:color w:val="auto"/>
              </w:rPr>
            </w:pPr>
            <w:r>
              <w:rPr>
                <w:rFonts w:ascii="Arial" w:cs="Arial" w:eastAsia="Arial" w:hAnsi="Arial"/>
                <w:sz w:val="18"/>
                <w:szCs w:val="18"/>
                <w:color w:val="auto"/>
              </w:rPr>
              <w:t>Name:</w:t>
            </w:r>
          </w:p>
        </w:tc>
        <w:tc>
          <w:tcPr>
            <w:tcW w:w="4860" w:type="dxa"/>
            <w:vAlign w:val="bottom"/>
          </w:tcPr>
          <w:p>
            <w:pPr>
              <w:spacing w:after="0"/>
              <w:rPr>
                <w:sz w:val="20"/>
                <w:szCs w:val="20"/>
                <w:color w:val="auto"/>
              </w:rPr>
            </w:pPr>
            <w:r>
              <w:rPr>
                <w:rFonts w:ascii="Arial" w:cs="Arial" w:eastAsia="Arial" w:hAnsi="Arial"/>
                <w:sz w:val="18"/>
                <w:szCs w:val="18"/>
                <w:color w:val="auto"/>
              </w:rPr>
              <w:t>Robin Harper Cowie</w:t>
            </w:r>
          </w:p>
        </w:tc>
      </w:tr>
      <w:tr>
        <w:trPr>
          <w:trHeight w:val="230"/>
        </w:trPr>
        <w:tc>
          <w:tcPr>
            <w:tcW w:w="3720" w:type="dxa"/>
            <w:vAlign w:val="bottom"/>
          </w:tcPr>
          <w:p>
            <w:pPr>
              <w:spacing w:after="0"/>
              <w:rPr>
                <w:sz w:val="20"/>
                <w:szCs w:val="20"/>
                <w:color w:val="auto"/>
              </w:rPr>
            </w:pPr>
          </w:p>
        </w:tc>
        <w:tc>
          <w:tcPr>
            <w:tcW w:w="2440" w:type="dxa"/>
            <w:vAlign w:val="bottom"/>
          </w:tcPr>
          <w:p>
            <w:pPr>
              <w:ind w:left="1800"/>
              <w:spacing w:after="0"/>
              <w:rPr>
                <w:sz w:val="20"/>
                <w:szCs w:val="20"/>
                <w:color w:val="auto"/>
              </w:rPr>
            </w:pPr>
            <w:r>
              <w:rPr>
                <w:rFonts w:ascii="Arial" w:cs="Arial" w:eastAsia="Arial" w:hAnsi="Arial"/>
                <w:sz w:val="18"/>
                <w:szCs w:val="18"/>
                <w:color w:val="auto"/>
              </w:rPr>
              <w:t>Title:</w:t>
            </w:r>
          </w:p>
        </w:tc>
        <w:tc>
          <w:tcPr>
            <w:tcW w:w="486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020"/>
          </w:cols>
          <w:pgMar w:left="440" w:top="301"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2406015</wp:posOffset>
            </wp:positionH>
            <wp:positionV relativeFrom="paragraph">
              <wp:posOffset>171450</wp:posOffset>
            </wp:positionV>
            <wp:extent cx="2185670" cy="6858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185670" cy="685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Biodesix Announces Third Quarter 2020 Results and Provides Corporate Update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Generates record quarterly revenue of $9.2 million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Raises net proceeds of $63 million through initial public offering</w:t>
      </w:r>
    </w:p>
    <w:p>
      <w:pPr>
        <w:spacing w:after="0" w:line="225" w:lineRule="exact"/>
        <w:rPr>
          <w:sz w:val="20"/>
          <w:szCs w:val="20"/>
          <w:color w:val="auto"/>
        </w:rPr>
      </w:pPr>
    </w:p>
    <w:p>
      <w:pPr>
        <w:ind w:left="140"/>
        <w:spacing w:after="0"/>
        <w:rPr>
          <w:sz w:val="20"/>
          <w:szCs w:val="20"/>
          <w:color w:val="auto"/>
        </w:rPr>
      </w:pPr>
      <w:r>
        <w:rPr>
          <w:rFonts w:ascii="Arial" w:cs="Arial" w:eastAsia="Arial" w:hAnsi="Arial"/>
          <w:sz w:val="16"/>
          <w:szCs w:val="16"/>
          <w:i w:val="1"/>
          <w:iCs w:val="1"/>
          <w:color w:val="auto"/>
        </w:rPr>
        <w:t>Adds to the significant and growing body of evidence demonstrating the clinical value of its portfolio of blood based diagnostic tests for lung disease</w:t>
      </w:r>
    </w:p>
    <w:p>
      <w:pPr>
        <w:spacing w:after="0" w:line="244"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 xml:space="preserve">Boulder, CO, December 10, 2020 </w:t>
      </w:r>
      <w:r>
        <w:rPr>
          <w:rFonts w:ascii="Arial" w:cs="Arial" w:eastAsia="Arial" w:hAnsi="Arial"/>
          <w:sz w:val="18"/>
          <w:szCs w:val="18"/>
          <w:color w:val="auto"/>
        </w:rPr>
        <w:t>- Biodesix, Inc. a leading data-driven diagnostic solutions company with a focus in lung disease, today announced</w:t>
      </w:r>
      <w:r>
        <w:rPr>
          <w:rFonts w:ascii="Arial" w:cs="Arial" w:eastAsia="Arial" w:hAnsi="Arial"/>
          <w:sz w:val="18"/>
          <w:szCs w:val="18"/>
          <w:b w:val="1"/>
          <w:bCs w:val="1"/>
          <w:color w:val="auto"/>
        </w:rPr>
        <w:t xml:space="preserve"> </w:t>
      </w:r>
      <w:r>
        <w:rPr>
          <w:rFonts w:ascii="Arial" w:cs="Arial" w:eastAsia="Arial" w:hAnsi="Arial"/>
          <w:sz w:val="18"/>
          <w:szCs w:val="18"/>
          <w:color w:val="auto"/>
        </w:rPr>
        <w:t>financial and operating results for the third quarter ended September 30, 2020 and provided a corporate update.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2020 and Recent Highlights</w:t>
      </w:r>
    </w:p>
    <w:p>
      <w:pPr>
        <w:spacing w:after="0" w:line="135" w:lineRule="exact"/>
        <w:rPr>
          <w:sz w:val="20"/>
          <w:szCs w:val="20"/>
          <w:color w:val="auto"/>
        </w:rPr>
      </w:pPr>
    </w:p>
    <w:p>
      <w:pPr>
        <w:ind w:left="960" w:hanging="424"/>
        <w:spacing w:after="0"/>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Generated record quarterly revenue of $9.2 million for the third quarter ended September 30, 2020.</w:t>
      </w:r>
    </w:p>
    <w:p>
      <w:pPr>
        <w:spacing w:after="0" w:line="130" w:lineRule="exact"/>
        <w:rPr>
          <w:rFonts w:ascii="Arial" w:cs="Arial" w:eastAsia="Arial" w:hAnsi="Arial"/>
          <w:sz w:val="18"/>
          <w:szCs w:val="18"/>
          <w:color w:val="auto"/>
        </w:rPr>
      </w:pPr>
    </w:p>
    <w:p>
      <w:pPr>
        <w:ind w:left="960" w:right="160" w:hanging="424"/>
        <w:spacing w:after="0" w:line="277" w:lineRule="auto"/>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Completed initial public offering (IPO) that raised net proceeds of approximately $63 million after deducting offering costs, underwriting discounts and commissions.</w:t>
      </w:r>
    </w:p>
    <w:p>
      <w:pPr>
        <w:spacing w:after="0" w:line="75" w:lineRule="exact"/>
        <w:rPr>
          <w:rFonts w:ascii="Arial" w:cs="Arial" w:eastAsia="Arial" w:hAnsi="Arial"/>
          <w:sz w:val="18"/>
          <w:szCs w:val="18"/>
          <w:color w:val="auto"/>
        </w:rPr>
      </w:pPr>
    </w:p>
    <w:p>
      <w:pPr>
        <w:ind w:left="960" w:right="140" w:hanging="424"/>
        <w:spacing w:after="0" w:line="263" w:lineRule="auto"/>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Announced a strategic partnership with the Big Ten Conference whereby Biodesix is conducting ddPCR</w:t>
      </w:r>
      <w:r>
        <w:rPr>
          <w:rFonts w:ascii="Arial" w:cs="Arial" w:eastAsia="Arial" w:hAnsi="Arial"/>
          <w:sz w:val="15"/>
          <w:szCs w:val="15"/>
          <w:color w:val="auto"/>
        </w:rPr>
        <w:t>™</w:t>
      </w:r>
      <w:r>
        <w:rPr>
          <w:rFonts w:ascii="Arial" w:cs="Arial" w:eastAsia="Arial" w:hAnsi="Arial"/>
          <w:sz w:val="18"/>
          <w:szCs w:val="18"/>
          <w:color w:val="auto"/>
        </w:rPr>
        <w:t xml:space="preserve"> COVID-19 validation testing and managing the onsite testing of rapid antigen SARS-CoV-2 testing for all student-athletes and staff personnel involved in close contact sports competition.</w:t>
      </w:r>
    </w:p>
    <w:p>
      <w:pPr>
        <w:spacing w:after="0" w:line="89" w:lineRule="exact"/>
        <w:rPr>
          <w:rFonts w:ascii="Arial" w:cs="Arial" w:eastAsia="Arial" w:hAnsi="Arial"/>
          <w:sz w:val="18"/>
          <w:szCs w:val="18"/>
          <w:color w:val="auto"/>
        </w:rPr>
      </w:pPr>
    </w:p>
    <w:p>
      <w:pPr>
        <w:ind w:left="960" w:right="80" w:hanging="424"/>
        <w:spacing w:after="0" w:line="286" w:lineRule="auto"/>
        <w:tabs>
          <w:tab w:leader="none" w:pos="960" w:val="left"/>
        </w:tabs>
        <w:numPr>
          <w:ilvl w:val="0"/>
          <w:numId w:val="2"/>
        </w:numPr>
        <w:rPr>
          <w:rFonts w:ascii="Arial" w:cs="Arial" w:eastAsia="Arial" w:hAnsi="Arial"/>
          <w:sz w:val="17"/>
          <w:szCs w:val="17"/>
          <w:color w:val="auto"/>
        </w:rPr>
      </w:pPr>
      <w:r>
        <w:rPr>
          <w:rFonts w:ascii="Arial" w:cs="Arial" w:eastAsia="Arial" w:hAnsi="Arial"/>
          <w:sz w:val="17"/>
          <w:szCs w:val="17"/>
          <w:color w:val="auto"/>
        </w:rPr>
        <w:t>Published an extended analysis of data from the company’s Nodify XL2</w:t>
      </w:r>
      <w:r>
        <w:rPr>
          <w:rFonts w:ascii="Arial" w:cs="Arial" w:eastAsia="Arial" w:hAnsi="Arial"/>
          <w:sz w:val="14"/>
          <w:szCs w:val="14"/>
          <w:color w:val="auto"/>
        </w:rPr>
        <w:t>®</w:t>
      </w:r>
      <w:r>
        <w:rPr>
          <w:rFonts w:ascii="Arial" w:cs="Arial" w:eastAsia="Arial" w:hAnsi="Arial"/>
          <w:sz w:val="17"/>
          <w:szCs w:val="17"/>
          <w:color w:val="auto"/>
        </w:rPr>
        <w:t xml:space="preserve"> lung nodule test in the American College of Chest Physicians (CHEST) Journal. The data demonstrate that all nodules in the study group that were established as benign after one year remained benign after two years, the guideline-recommended surveillance period to radiologically confirm a benign diagnosis.</w:t>
      </w:r>
    </w:p>
    <w:p>
      <w:pPr>
        <w:spacing w:after="0" w:line="70" w:lineRule="exact"/>
        <w:rPr>
          <w:rFonts w:ascii="Arial" w:cs="Arial" w:eastAsia="Arial" w:hAnsi="Arial"/>
          <w:sz w:val="17"/>
          <w:szCs w:val="17"/>
          <w:color w:val="auto"/>
        </w:rPr>
      </w:pPr>
    </w:p>
    <w:p>
      <w:pPr>
        <w:ind w:left="960" w:right="280" w:hanging="424"/>
        <w:spacing w:after="0" w:line="277" w:lineRule="auto"/>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Presented data from three studies at the American College of Chest Physicians (CHEST 2020) Annual Meeting highlighting the clinical value of the company’s Nodify XL2</w:t>
      </w:r>
      <w:r>
        <w:rPr>
          <w:rFonts w:ascii="Arial" w:cs="Arial" w:eastAsia="Arial" w:hAnsi="Arial"/>
          <w:sz w:val="15"/>
          <w:szCs w:val="15"/>
          <w:color w:val="auto"/>
        </w:rPr>
        <w:t>®</w:t>
      </w:r>
      <w:r>
        <w:rPr>
          <w:rFonts w:ascii="Arial" w:cs="Arial" w:eastAsia="Arial" w:hAnsi="Arial"/>
          <w:sz w:val="18"/>
          <w:szCs w:val="18"/>
          <w:color w:val="auto"/>
        </w:rPr>
        <w:t xml:space="preserve"> and Nodify CDT</w:t>
      </w:r>
      <w:r>
        <w:rPr>
          <w:rFonts w:ascii="Arial" w:cs="Arial" w:eastAsia="Arial" w:hAnsi="Arial"/>
          <w:sz w:val="15"/>
          <w:szCs w:val="15"/>
          <w:color w:val="auto"/>
        </w:rPr>
        <w:t>™</w:t>
      </w:r>
      <w:r>
        <w:rPr>
          <w:rFonts w:ascii="Arial" w:cs="Arial" w:eastAsia="Arial" w:hAnsi="Arial"/>
          <w:sz w:val="18"/>
          <w:szCs w:val="18"/>
          <w:color w:val="auto"/>
        </w:rPr>
        <w:t xml:space="preserve"> lung nodule risk assessment tests.</w:t>
      </w:r>
    </w:p>
    <w:p>
      <w:pPr>
        <w:spacing w:after="0" w:line="170"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“We recently achieved a very significant milestone with our IPO and transition to a public company,” stated Scott Hutton, Chief Executive Officer of Biodesix. “With the proceeds from the offering, we plan to continue to market our suite of commercially available diagnostic tests, including our Biodesix Lung Reflex</w:t>
      </w:r>
      <w:r>
        <w:rPr>
          <w:rFonts w:ascii="Arial" w:cs="Arial" w:eastAsia="Arial" w:hAnsi="Arial"/>
          <w:sz w:val="15"/>
          <w:szCs w:val="15"/>
          <w:color w:val="auto"/>
        </w:rPr>
        <w:t>®</w:t>
      </w:r>
      <w:r>
        <w:rPr>
          <w:rFonts w:ascii="Arial" w:cs="Arial" w:eastAsia="Arial" w:hAnsi="Arial"/>
          <w:sz w:val="18"/>
          <w:szCs w:val="18"/>
          <w:color w:val="auto"/>
        </w:rPr>
        <w:t xml:space="preserve"> and Nodify Lung</w:t>
      </w:r>
      <w:r>
        <w:rPr>
          <w:rFonts w:ascii="Arial" w:cs="Arial" w:eastAsia="Arial" w:hAnsi="Arial"/>
          <w:sz w:val="15"/>
          <w:szCs w:val="15"/>
          <w:color w:val="auto"/>
        </w:rPr>
        <w:t>™</w:t>
      </w:r>
      <w:r>
        <w:rPr>
          <w:rFonts w:ascii="Arial" w:cs="Arial" w:eastAsia="Arial" w:hAnsi="Arial"/>
          <w:sz w:val="18"/>
          <w:szCs w:val="18"/>
          <w:color w:val="auto"/>
        </w:rPr>
        <w:t xml:space="preserve"> testing strategies, in addition to our COVID-19 testing, while also investing in the discovery, development, and validation of innovative new tests leveraging our proprietary AI-driven discovery platform.</w:t>
      </w:r>
    </w:p>
    <w:p>
      <w:pPr>
        <w:spacing w:after="0" w:line="187"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“We continue to monitor the COVID-19 pandemic carefully in light of the recent surge in case counts around the country, and we are pleased to be able to play an important part in the fight against this dangerous virus through our WorkSafe testing program. To this point, our lung disease-focused core business continues to perform well even while healthcare facilities devote time and resources to combat COVID-19 and travel restrictions affect our commercial efforts. We believe this is a testament to the valuable clinical information that our tests provide along critical points of the lung disease care continuum,” concluded Mr. Hutton.</w:t>
      </w:r>
    </w:p>
    <w:p>
      <w:pPr>
        <w:sectPr>
          <w:pgSz w:w="11900" w:h="16838" w:orient="portrait"/>
          <w:cols w:equalWidth="0" w:num="1">
            <w:col w:w="11020"/>
          </w:cols>
          <w:pgMar w:left="440" w:top="121" w:right="439" w:bottom="1440" w:gutter="0" w:footer="0" w:header="0"/>
        </w:sectPr>
      </w:pPr>
    </w:p>
    <w:bookmarkStart w:id="4" w:name="page5"/>
    <w:bookmarkEnd w:id="4"/>
    <w:p>
      <w:pPr>
        <w:spacing w:after="0" w:line="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7797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77978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Financial Results</w:t>
      </w:r>
    </w:p>
    <w:p>
      <w:pPr>
        <w:spacing w:after="0" w:line="117"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b w:val="1"/>
          <w:bCs w:val="1"/>
          <w:color w:val="auto"/>
        </w:rPr>
        <w:t xml:space="preserve">Revenue. </w:t>
      </w:r>
      <w:r>
        <w:rPr>
          <w:rFonts w:ascii="Arial" w:cs="Arial" w:eastAsia="Arial" w:hAnsi="Arial"/>
          <w:sz w:val="16"/>
          <w:szCs w:val="16"/>
          <w:color w:val="auto"/>
        </w:rPr>
        <w:t>Revenue for the three months ended September 30, 2020 was $9.2 million, as compared to $3.9 million for the comparable period in 2019, an</w:t>
      </w:r>
      <w:r>
        <w:rPr>
          <w:rFonts w:ascii="Arial" w:cs="Arial" w:eastAsia="Arial" w:hAnsi="Arial"/>
          <w:sz w:val="16"/>
          <w:szCs w:val="16"/>
          <w:b w:val="1"/>
          <w:bCs w:val="1"/>
          <w:color w:val="auto"/>
        </w:rPr>
        <w:t xml:space="preserve"> </w:t>
      </w:r>
      <w:r>
        <w:rPr>
          <w:rFonts w:ascii="Arial" w:cs="Arial" w:eastAsia="Arial" w:hAnsi="Arial"/>
          <w:sz w:val="16"/>
          <w:szCs w:val="16"/>
          <w:color w:val="auto"/>
        </w:rPr>
        <w:t>increase of 133%. This increase was due to $5.5 million of revenue from our two COVID-19 diagnostic tests, partially offset by a modest decline in our non-COVID-19 diagnostic test volumes of $0.7 million as health care practitioners, including pulmonologists, were increasingly diverted to pandemic-related care. In addition, company sales efforts continued to be impacted by travel and other COVID-19 pandemic related restrictions. Revenue for the nine months ended September 30, 2020 was $18.5 million, as compared to $16.3 million for the comparable period in 2019, an increase of 14%.</w:t>
      </w:r>
    </w:p>
    <w:p>
      <w:pPr>
        <w:spacing w:after="0" w:line="154"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b w:val="1"/>
          <w:bCs w:val="1"/>
          <w:color w:val="auto"/>
        </w:rPr>
        <w:t xml:space="preserve">Direct costs and expenses. </w:t>
      </w:r>
      <w:r>
        <w:rPr>
          <w:rFonts w:ascii="Arial" w:cs="Arial" w:eastAsia="Arial" w:hAnsi="Arial"/>
          <w:sz w:val="18"/>
          <w:szCs w:val="18"/>
          <w:color w:val="auto"/>
        </w:rPr>
        <w:t>Direct costs and expenses for the three months ended September 30, 2020 were $3.9 million, as compared to $1.5 million</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comparable period of 2019, an increase of 159%. Direct costs and expenses for the nine months ended September 30, 2020 were $7.3 million compared to $4.2 million for the nine months ended September 30, 2019, an increase of 73%. The increase in costs were primarily driven by the release of the company’s Nodify CDT</w:t>
      </w:r>
      <w:r>
        <w:rPr>
          <w:rFonts w:ascii="Arial" w:cs="Arial" w:eastAsia="Arial" w:hAnsi="Arial"/>
          <w:sz w:val="15"/>
          <w:szCs w:val="15"/>
          <w:color w:val="auto"/>
        </w:rPr>
        <w:t>™</w:t>
      </w:r>
      <w:r>
        <w:rPr>
          <w:rFonts w:ascii="Arial" w:cs="Arial" w:eastAsia="Arial" w:hAnsi="Arial"/>
          <w:sz w:val="18"/>
          <w:szCs w:val="18"/>
          <w:color w:val="auto"/>
        </w:rPr>
        <w:t xml:space="preserve"> test and its COVID-19 testing program in 2020.</w:t>
      </w:r>
    </w:p>
    <w:p>
      <w:pPr>
        <w:spacing w:after="0" w:line="180"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 xml:space="preserve">Research and development. </w:t>
      </w:r>
      <w:r>
        <w:rPr>
          <w:rFonts w:ascii="Arial" w:cs="Arial" w:eastAsia="Arial" w:hAnsi="Arial"/>
          <w:sz w:val="18"/>
          <w:szCs w:val="18"/>
          <w:color w:val="auto"/>
        </w:rPr>
        <w:t>Research and development expenses for the three months ended September 30, 2020 were $2.7 million, as compared to</w:t>
      </w:r>
      <w:r>
        <w:rPr>
          <w:rFonts w:ascii="Arial" w:cs="Arial" w:eastAsia="Arial" w:hAnsi="Arial"/>
          <w:sz w:val="18"/>
          <w:szCs w:val="18"/>
          <w:b w:val="1"/>
          <w:bCs w:val="1"/>
          <w:color w:val="auto"/>
        </w:rPr>
        <w:t xml:space="preserve"> </w:t>
      </w:r>
      <w:r>
        <w:rPr>
          <w:rFonts w:ascii="Arial" w:cs="Arial" w:eastAsia="Arial" w:hAnsi="Arial"/>
          <w:sz w:val="18"/>
          <w:szCs w:val="18"/>
          <w:color w:val="auto"/>
        </w:rPr>
        <w:t>$2.4 million for the comparable period in 2019, an increase of 15%. Research and development expenses for the nine months ended September 30, 2020 were $7.7 million, as compared to $8.0 million for the comparable period in 2019, a decrease of 3%.</w:t>
      </w:r>
    </w:p>
    <w:p>
      <w:pPr>
        <w:spacing w:after="0" w:line="176" w:lineRule="exact"/>
        <w:rPr>
          <w:sz w:val="20"/>
          <w:szCs w:val="20"/>
          <w:color w:val="auto"/>
        </w:rPr>
      </w:pPr>
    </w:p>
    <w:p>
      <w:pPr>
        <w:spacing w:after="0" w:line="258" w:lineRule="auto"/>
        <w:rPr>
          <w:sz w:val="20"/>
          <w:szCs w:val="20"/>
          <w:color w:val="auto"/>
        </w:rPr>
      </w:pPr>
      <w:r>
        <w:rPr>
          <w:rFonts w:ascii="Arial" w:cs="Arial" w:eastAsia="Arial" w:hAnsi="Arial"/>
          <w:sz w:val="18"/>
          <w:szCs w:val="18"/>
          <w:b w:val="1"/>
          <w:bCs w:val="1"/>
          <w:color w:val="auto"/>
        </w:rPr>
        <w:t xml:space="preserve">Sales, marketing, general and administrative. </w:t>
      </w:r>
      <w:r>
        <w:rPr>
          <w:rFonts w:ascii="Arial" w:cs="Arial" w:eastAsia="Arial" w:hAnsi="Arial"/>
          <w:sz w:val="18"/>
          <w:szCs w:val="18"/>
          <w:color w:val="auto"/>
        </w:rPr>
        <w:t>Sales, marketing, general and administrative expenses for the three months ended September 30, 2020</w:t>
      </w:r>
      <w:r>
        <w:rPr>
          <w:rFonts w:ascii="Arial" w:cs="Arial" w:eastAsia="Arial" w:hAnsi="Arial"/>
          <w:sz w:val="18"/>
          <w:szCs w:val="18"/>
          <w:b w:val="1"/>
          <w:bCs w:val="1"/>
          <w:color w:val="auto"/>
        </w:rPr>
        <w:t xml:space="preserve"> </w:t>
      </w:r>
      <w:r>
        <w:rPr>
          <w:rFonts w:ascii="Arial" w:cs="Arial" w:eastAsia="Arial" w:hAnsi="Arial"/>
          <w:sz w:val="18"/>
          <w:szCs w:val="18"/>
          <w:color w:val="auto"/>
        </w:rPr>
        <w:t>were $7.9 million, as compared to $8.2 million for the comparable period in 2019, a decrease of 4%. Sales, marketing, general and administrative expenses for the nine months ended September 30, 2020 were $22.8 million, as compared to $24.1 million for the comparable period in 2019, a decrease of 5%. The decrease was driven by reductions in travel and related expenses as the COVID-19 pandemic reduced or eliminated the travel and related expenses.</w:t>
      </w:r>
    </w:p>
    <w:p>
      <w:pPr>
        <w:spacing w:after="0" w:line="183"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color w:val="auto"/>
        </w:rPr>
        <w:t xml:space="preserve">Operating loss. </w:t>
      </w:r>
      <w:r>
        <w:rPr>
          <w:rFonts w:ascii="Arial" w:cs="Arial" w:eastAsia="Arial" w:hAnsi="Arial"/>
          <w:sz w:val="18"/>
          <w:szCs w:val="18"/>
          <w:color w:val="auto"/>
        </w:rPr>
        <w:t>Operating loss for the three months ended September 30, 2020 was $6.2 million, as compared to an operating loss of $9.0 million for</w:t>
      </w:r>
      <w:r>
        <w:rPr>
          <w:rFonts w:ascii="Arial" w:cs="Arial" w:eastAsia="Arial" w:hAnsi="Arial"/>
          <w:sz w:val="18"/>
          <w:szCs w:val="18"/>
          <w:b w:val="1"/>
          <w:bCs w:val="1"/>
          <w:color w:val="auto"/>
        </w:rPr>
        <w:t xml:space="preserve"> </w:t>
      </w:r>
      <w:r>
        <w:rPr>
          <w:rFonts w:ascii="Arial" w:cs="Arial" w:eastAsia="Arial" w:hAnsi="Arial"/>
          <w:sz w:val="18"/>
          <w:szCs w:val="18"/>
          <w:color w:val="auto"/>
        </w:rPr>
        <w:t>the comparable period in 2019, a decrease of 31%. Operating loss for the nine months ended September 30, 2020 was $20.3 million, as compared to an operating loss of $23.2 million for the comparable period in 2019, a decrease of 13%. The decrease was due in part to higher revenue in the third quarter of 2020 as compared to the third quarter of 2019.</w:t>
      </w:r>
    </w:p>
    <w:p>
      <w:pPr>
        <w:spacing w:after="0" w:line="180" w:lineRule="exact"/>
        <w:rPr>
          <w:sz w:val="20"/>
          <w:szCs w:val="20"/>
          <w:color w:val="auto"/>
        </w:rPr>
      </w:pPr>
    </w:p>
    <w:p>
      <w:pPr>
        <w:jc w:val="both"/>
        <w:ind w:right="200"/>
        <w:spacing w:after="0" w:line="266" w:lineRule="auto"/>
        <w:rPr>
          <w:sz w:val="20"/>
          <w:szCs w:val="20"/>
          <w:color w:val="auto"/>
        </w:rPr>
      </w:pPr>
      <w:r>
        <w:rPr>
          <w:rFonts w:ascii="Arial" w:cs="Arial" w:eastAsia="Arial" w:hAnsi="Arial"/>
          <w:sz w:val="18"/>
          <w:szCs w:val="18"/>
          <w:b w:val="1"/>
          <w:bCs w:val="1"/>
          <w:color w:val="auto"/>
        </w:rPr>
        <w:t xml:space="preserve">Net loss. </w:t>
      </w:r>
      <w:r>
        <w:rPr>
          <w:rFonts w:ascii="Arial" w:cs="Arial" w:eastAsia="Arial" w:hAnsi="Arial"/>
          <w:sz w:val="18"/>
          <w:szCs w:val="18"/>
          <w:color w:val="auto"/>
        </w:rPr>
        <w:t>Net loss for the three months ended September 30, 2020 was $8.9 million, as compared to $9.6 million for the comparable period in 2019, a</w:t>
      </w:r>
      <w:r>
        <w:rPr>
          <w:rFonts w:ascii="Arial" w:cs="Arial" w:eastAsia="Arial" w:hAnsi="Arial"/>
          <w:sz w:val="18"/>
          <w:szCs w:val="18"/>
          <w:b w:val="1"/>
          <w:bCs w:val="1"/>
          <w:color w:val="auto"/>
        </w:rPr>
        <w:t xml:space="preserve"> </w:t>
      </w:r>
      <w:r>
        <w:rPr>
          <w:rFonts w:ascii="Arial" w:cs="Arial" w:eastAsia="Arial" w:hAnsi="Arial"/>
          <w:sz w:val="18"/>
          <w:szCs w:val="18"/>
          <w:color w:val="auto"/>
        </w:rPr>
        <w:t>decrease of 8%. Net loss for the nine months ended September 30, 2020 was $26.8 million, as compared to $24.2 million for the comparable period in 2019, an increase of 11%.</w:t>
      </w:r>
    </w:p>
    <w:p>
      <w:pPr>
        <w:sectPr>
          <w:pgSz w:w="11900" w:h="16838" w:orient="portrait"/>
          <w:cols w:equalWidth="0" w:num="1">
            <w:col w:w="11000"/>
          </w:cols>
          <w:pgMar w:left="440" w:top="1440" w:right="459" w:bottom="1440" w:gutter="0" w:footer="0" w:header="0"/>
        </w:sectPr>
      </w:pPr>
    </w:p>
    <w:bookmarkStart w:id="5" w:name="page6"/>
    <w:bookmarkEnd w:id="5"/>
    <w:p>
      <w:pPr>
        <w:spacing w:after="0" w:line="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7797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779780"/>
                    </a:xfrm>
                    <a:prstGeom prst="rect">
                      <a:avLst/>
                    </a:prstGeom>
                    <a:noFill/>
                  </pic:spPr>
                </pic:pic>
              </a:graphicData>
            </a:graphic>
          </wp:anchor>
        </w:drawing>
      </w:r>
    </w:p>
    <w:p>
      <w:pPr>
        <w:spacing w:after="0" w:line="261" w:lineRule="auto"/>
        <w:rPr>
          <w:sz w:val="20"/>
          <w:szCs w:val="20"/>
          <w:color w:val="auto"/>
        </w:rPr>
      </w:pPr>
      <w:r>
        <w:rPr>
          <w:rFonts w:ascii="Arial" w:cs="Arial" w:eastAsia="Arial" w:hAnsi="Arial"/>
          <w:sz w:val="18"/>
          <w:szCs w:val="18"/>
          <w:b w:val="1"/>
          <w:bCs w:val="1"/>
          <w:color w:val="auto"/>
        </w:rPr>
        <w:t xml:space="preserve">Cash and cash equivalents. </w:t>
      </w:r>
      <w:r>
        <w:rPr>
          <w:rFonts w:ascii="Arial" w:cs="Arial" w:eastAsia="Arial" w:hAnsi="Arial"/>
          <w:sz w:val="18"/>
          <w:szCs w:val="18"/>
          <w:color w:val="auto"/>
        </w:rPr>
        <w:t>As of September 30, 2020, the company held cash and cash equivalents of $6.3 million, as compared to $5.3 million as of</w:t>
      </w:r>
      <w:r>
        <w:rPr>
          <w:rFonts w:ascii="Arial" w:cs="Arial" w:eastAsia="Arial" w:hAnsi="Arial"/>
          <w:sz w:val="18"/>
          <w:szCs w:val="18"/>
          <w:b w:val="1"/>
          <w:bCs w:val="1"/>
          <w:color w:val="auto"/>
        </w:rPr>
        <w:t xml:space="preserve"> </w:t>
      </w:r>
      <w:r>
        <w:rPr>
          <w:rFonts w:ascii="Arial" w:cs="Arial" w:eastAsia="Arial" w:hAnsi="Arial"/>
          <w:sz w:val="18"/>
          <w:szCs w:val="18"/>
          <w:color w:val="auto"/>
        </w:rPr>
        <w:t>December 31, 2019. Subsequent to the end of the third quarter, the company completed a successful initial public offering that raised net proceeds of approximately $63 million. As a result of the completion of the initial public offering, the company estimates that it has sufficient cash resources to meet its cash obligations through at least the next 12 months.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Biodesix</w:t>
      </w:r>
    </w:p>
    <w:p>
      <w:pPr>
        <w:spacing w:after="0" w:line="121"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Biodesix is a leading diagnostic company with a focus in lung disease. The company develops diagnostic tests addressing important clinical questions by combining multi-omics through the power of artificial intelligence. Biodesix is the first company to offer six non-invasive tests for patients with diseases of the lung. Biodesix launched the SARS-CoV-2 ddPCR</w:t>
      </w:r>
      <w:r>
        <w:rPr>
          <w:rFonts w:ascii="Arial" w:cs="Arial" w:eastAsia="Arial" w:hAnsi="Arial"/>
          <w:sz w:val="14"/>
          <w:szCs w:val="14"/>
          <w:color w:val="auto"/>
        </w:rPr>
        <w:t>™</w:t>
      </w:r>
      <w:r>
        <w:rPr>
          <w:rFonts w:ascii="Arial" w:cs="Arial" w:eastAsia="Arial" w:hAnsi="Arial"/>
          <w:sz w:val="17"/>
          <w:szCs w:val="17"/>
          <w:color w:val="auto"/>
        </w:rPr>
        <w:t xml:space="preserve"> test and the Platelia SARS-CoV-2 Total Ab in response to the global pandemic and virus that impacts the lung and causes COVID-19. The blood based Biodesix Lung Reflex</w:t>
      </w:r>
      <w:r>
        <w:rPr>
          <w:rFonts w:ascii="Arial" w:cs="Arial" w:eastAsia="Arial" w:hAnsi="Arial"/>
          <w:sz w:val="14"/>
          <w:szCs w:val="14"/>
          <w:color w:val="auto"/>
        </w:rPr>
        <w:t>®</w:t>
      </w:r>
      <w:r>
        <w:rPr>
          <w:rFonts w:ascii="Arial" w:cs="Arial" w:eastAsia="Arial" w:hAnsi="Arial"/>
          <w:sz w:val="17"/>
          <w:szCs w:val="17"/>
          <w:color w:val="auto"/>
        </w:rPr>
        <w:t xml:space="preserve"> strategy for lung cancer patients integrates the GeneStrat</w:t>
      </w:r>
      <w:r>
        <w:rPr>
          <w:rFonts w:ascii="Arial" w:cs="Arial" w:eastAsia="Arial" w:hAnsi="Arial"/>
          <w:sz w:val="14"/>
          <w:szCs w:val="14"/>
          <w:color w:val="auto"/>
        </w:rPr>
        <w:t>®</w:t>
      </w:r>
      <w:r>
        <w:rPr>
          <w:rFonts w:ascii="Arial" w:cs="Arial" w:eastAsia="Arial" w:hAnsi="Arial"/>
          <w:sz w:val="17"/>
          <w:szCs w:val="17"/>
          <w:color w:val="auto"/>
        </w:rPr>
        <w:t xml:space="preserve"> and VeriStrat</w:t>
      </w:r>
      <w:r>
        <w:rPr>
          <w:rFonts w:ascii="Arial" w:cs="Arial" w:eastAsia="Arial" w:hAnsi="Arial"/>
          <w:sz w:val="14"/>
          <w:szCs w:val="14"/>
          <w:color w:val="auto"/>
        </w:rPr>
        <w:t>®</w:t>
      </w:r>
      <w:r>
        <w:rPr>
          <w:rFonts w:ascii="Arial" w:cs="Arial" w:eastAsia="Arial" w:hAnsi="Arial"/>
          <w:sz w:val="17"/>
          <w:szCs w:val="17"/>
          <w:color w:val="auto"/>
        </w:rPr>
        <w:t xml:space="preserve"> tests to support treatment decisions with results in 72 hours, expediting time to treatment. The blood based Nodify Lung</w:t>
      </w:r>
      <w:r>
        <w:rPr>
          <w:rFonts w:ascii="Arial" w:cs="Arial" w:eastAsia="Arial" w:hAnsi="Arial"/>
          <w:sz w:val="14"/>
          <w:szCs w:val="14"/>
          <w:color w:val="auto"/>
        </w:rPr>
        <w:t>™</w:t>
      </w:r>
      <w:r>
        <w:rPr>
          <w:rFonts w:ascii="Arial" w:cs="Arial" w:eastAsia="Arial" w:hAnsi="Arial"/>
          <w:sz w:val="17"/>
          <w:szCs w:val="17"/>
          <w:color w:val="auto"/>
        </w:rPr>
        <w:t xml:space="preserve"> nodule risk assessment testing strategy, consisting of the Nodify XL2</w:t>
      </w:r>
      <w:r>
        <w:rPr>
          <w:rFonts w:ascii="Arial" w:cs="Arial" w:eastAsia="Arial" w:hAnsi="Arial"/>
          <w:sz w:val="14"/>
          <w:szCs w:val="14"/>
          <w:color w:val="auto"/>
        </w:rPr>
        <w:t>®</w:t>
      </w:r>
      <w:r>
        <w:rPr>
          <w:rFonts w:ascii="Arial" w:cs="Arial" w:eastAsia="Arial" w:hAnsi="Arial"/>
          <w:sz w:val="17"/>
          <w:szCs w:val="17"/>
          <w:color w:val="auto"/>
        </w:rPr>
        <w:t xml:space="preserve"> and the Nodify CDT</w:t>
      </w:r>
      <w:r>
        <w:rPr>
          <w:rFonts w:ascii="Arial" w:cs="Arial" w:eastAsia="Arial" w:hAnsi="Arial"/>
          <w:sz w:val="14"/>
          <w:szCs w:val="14"/>
          <w:color w:val="auto"/>
        </w:rPr>
        <w:t>™</w:t>
      </w:r>
      <w:r>
        <w:rPr>
          <w:rFonts w:ascii="Arial" w:cs="Arial" w:eastAsia="Arial" w:hAnsi="Arial"/>
          <w:sz w:val="17"/>
          <w:szCs w:val="17"/>
          <w:color w:val="auto"/>
        </w:rPr>
        <w:t xml:space="preserve"> tests, evaluates the risk of malignancy in incidental pulmonary nodules, enabling physicians to better triage patients to the most appropriate course of action. Biodesix also collaborates with many of the world’s leading biotechnology and pharmaceutical companies to solve complex diagnostic challenges in lung disease. For more information about Biodesix, visit biodesix.com.</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Forward-Looking Statements</w:t>
      </w:r>
    </w:p>
    <w:p>
      <w:pPr>
        <w:spacing w:after="0" w:line="121"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This press release may contain forward-looking statements that involve substantial risks and uncertainties for purposes of the safe harbor provided by the Private Securities Litigation Reform Act of 1995. All statements contained in this press release other than statements of historical fact, are forward-looking statements. The words “believe,” “may,” “will,” “estimate,” “continue,” “anticipate,” “intend,” “plan,” “expect,” “predict,” “potential,” “opportunity,” “goals,” or “should,” and similar expressions are intended to identify forward-looking statements. Such statements are based on management’s current expectations and involve risks and uncertainties. Actual results and performance could differ materially from those projected in the forward-looking statements as a result of many factors. Biodesix has based these forward-looking statements largely on its current expectations and projections about future events and trends. These forward-looking statements are subject to a number of risks, uncertainties and assumptions. Forward-looking statements may include information concerning the impact of the COVID-19 pandemic on Biodesix and its operations, its possible or assumed future results of operations, including descriptions of its revenues, profitability, outlook and overall business strategy. Forward-looking statements are inherently subject to risks and uncertainties, some of which cannot be predicted or quantified. Factors that could cause actual results to differ materially from those contemplated in this press release can be found in the Risk Factors section of Biodesix’s public filings with the Securities and Exchange Commission, including Biodesix’s final prospectus filed on October 29, 2020 under Rule 424(b)(4) in connection with the company’s initial public offering. Biodesix undertakes no obligation to revise or publicly release the results of any revision to such forward-looking statements, except as</w:t>
      </w:r>
    </w:p>
    <w:p>
      <w:pPr>
        <w:sectPr>
          <w:pgSz w:w="11900" w:h="16838" w:orient="portrait"/>
          <w:cols w:equalWidth="0" w:num="1">
            <w:col w:w="10980"/>
          </w:cols>
          <w:pgMar w:left="440" w:top="1440" w:right="479" w:bottom="1440" w:gutter="0" w:footer="0" w:header="0"/>
        </w:sectPr>
      </w:pPr>
    </w:p>
    <w:bookmarkStart w:id="6" w:name="page7"/>
    <w:bookmarkEnd w:id="6"/>
    <w:p>
      <w:pPr>
        <w:spacing w:after="0" w:line="6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7797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779780"/>
                    </a:xfrm>
                    <a:prstGeom prst="rect">
                      <a:avLst/>
                    </a:prstGeom>
                    <a:noFill/>
                  </pic:spPr>
                </pic:pic>
              </a:graphicData>
            </a:graphic>
          </wp:anchor>
        </w:drawing>
      </w:r>
    </w:p>
    <w:p>
      <w:pPr>
        <w:spacing w:after="0" w:line="277" w:lineRule="auto"/>
        <w:rPr>
          <w:sz w:val="20"/>
          <w:szCs w:val="20"/>
          <w:color w:val="auto"/>
        </w:rPr>
      </w:pPr>
      <w:r>
        <w:rPr>
          <w:rFonts w:ascii="Arial" w:cs="Arial" w:eastAsia="Arial" w:hAnsi="Arial"/>
          <w:sz w:val="18"/>
          <w:szCs w:val="18"/>
          <w:color w:val="auto"/>
        </w:rPr>
        <w:t>required by law. Given these risks and uncertainties, readers are cautioned not to place undue reliance on such forward-looking statements. All forward-looking statements are qualified in their entirety by this cautionary statement.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Media: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Jordona Jackson Smith for Biodesix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Jordona@jacksonbio.com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(805) 674-7347</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Investors: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Jeremy Feffer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jeremy@lifesciadvisors.com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(212) 915-2568</w:t>
      </w:r>
    </w:p>
    <w:p>
      <w:pPr>
        <w:sectPr>
          <w:pgSz w:w="11900" w:h="16838" w:orient="portrait"/>
          <w:cols w:equalWidth="0" w:num="1">
            <w:col w:w="10940"/>
          </w:cols>
          <w:pgMar w:left="440" w:top="1440" w:right="519" w:bottom="1440" w:gutter="0" w:footer="0" w:header="0"/>
        </w:sectPr>
      </w:pPr>
    </w:p>
    <w:bookmarkStart w:id="7" w:name="page8"/>
    <w:bookmarkEnd w:id="7"/>
    <w:p>
      <w:pPr>
        <w:spacing w:after="0" w:line="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7797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77978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18"/>
          <w:szCs w:val="18"/>
          <w:b w:val="1"/>
          <w:bCs w:val="1"/>
          <w:color w:val="auto"/>
        </w:rPr>
        <w:t>Biodesix,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Balance Sheet (unaudited)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 except per share data)</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3"/>
          </w:tcPr>
          <w:p>
            <w:pPr>
              <w:spacing w:after="0"/>
              <w:rPr>
                <w:sz w:val="20"/>
                <w:szCs w:val="20"/>
                <w:color w:val="auto"/>
              </w:rPr>
            </w:pPr>
            <w:r>
              <w:rPr>
                <w:rFonts w:ascii="Arial" w:cs="Arial" w:eastAsia="Arial" w:hAnsi="Arial"/>
                <w:sz w:val="14"/>
                <w:szCs w:val="14"/>
                <w:color w:val="auto"/>
              </w:rPr>
              <w:t>September 30,</w:t>
            </w:r>
          </w:p>
        </w:tc>
        <w:tc>
          <w:tcPr>
            <w:tcW w:w="920" w:type="dxa"/>
            <w:vAlign w:val="bottom"/>
            <w:gridSpan w:val="3"/>
          </w:tcPr>
          <w:p>
            <w:pPr>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860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color w:val="auto"/>
              </w:rPr>
              <w:t>2020</w:t>
            </w:r>
          </w:p>
        </w:tc>
        <w:tc>
          <w:tcPr>
            <w:tcW w:w="4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color w:val="auto"/>
              </w:rPr>
              <w:t>2019</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600" w:type="dxa"/>
            <w:vAlign w:val="bottom"/>
            <w:shd w:val="clear" w:color="auto" w:fill="CCEEFF"/>
          </w:tcPr>
          <w:p>
            <w:pPr>
              <w:ind w:left="5220"/>
              <w:spacing w:after="0" w:line="196" w:lineRule="exact"/>
              <w:rPr>
                <w:sz w:val="20"/>
                <w:szCs w:val="20"/>
                <w:color w:val="auto"/>
              </w:rPr>
            </w:pPr>
            <w:r>
              <w:rPr>
                <w:rFonts w:ascii="Arial" w:cs="Arial" w:eastAsia="Arial" w:hAnsi="Arial"/>
                <w:sz w:val="18"/>
                <w:szCs w:val="18"/>
                <w:b w:val="1"/>
                <w:bCs w:val="1"/>
                <w:color w:val="auto"/>
              </w:rPr>
              <w:t>Assets</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00" w:type="dxa"/>
            <w:vAlign w:val="bottom"/>
          </w:tcPr>
          <w:p>
            <w:pPr>
              <w:spacing w:after="0"/>
              <w:rPr>
                <w:sz w:val="20"/>
                <w:szCs w:val="20"/>
                <w:color w:val="auto"/>
              </w:rPr>
            </w:pPr>
            <w:r>
              <w:rPr>
                <w:rFonts w:ascii="Arial" w:cs="Arial" w:eastAsia="Arial" w:hAnsi="Arial"/>
                <w:sz w:val="18"/>
                <w:szCs w:val="18"/>
                <w:color w:val="auto"/>
              </w:rPr>
              <w:t>Current assets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6,348</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5,286</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Accounts receivable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5,396</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5,292</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current assets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6,405</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2,122</w:t>
            </w:r>
          </w:p>
        </w:tc>
        <w:tc>
          <w:tcPr>
            <w:tcW w:w="0" w:type="dxa"/>
            <w:vAlign w:val="bottom"/>
          </w:tcPr>
          <w:p>
            <w:pPr>
              <w:spacing w:after="0"/>
              <w:rPr>
                <w:sz w:val="1"/>
                <w:szCs w:val="1"/>
                <w:color w:val="auto"/>
              </w:rPr>
            </w:pPr>
          </w:p>
        </w:tc>
      </w:tr>
      <w:tr>
        <w:trPr>
          <w:trHeight w:val="230"/>
        </w:trPr>
        <w:tc>
          <w:tcPr>
            <w:tcW w:w="8600" w:type="dxa"/>
            <w:vAlign w:val="bottom"/>
          </w:tcPr>
          <w:p>
            <w:pPr>
              <w:ind w:left="720"/>
              <w:spacing w:after="0"/>
              <w:rPr>
                <w:sz w:val="20"/>
                <w:szCs w:val="20"/>
                <w:color w:val="auto"/>
              </w:rPr>
            </w:pPr>
            <w:r>
              <w:rPr>
                <w:rFonts w:ascii="Arial" w:cs="Arial" w:eastAsia="Arial" w:hAnsi="Arial"/>
                <w:sz w:val="18"/>
                <w:szCs w:val="18"/>
                <w:color w:val="auto"/>
              </w:rPr>
              <w:t>Total current assets</w:t>
            </w:r>
          </w:p>
        </w:tc>
        <w:tc>
          <w:tcPr>
            <w:tcW w:w="24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18,149</w:t>
            </w:r>
          </w:p>
        </w:tc>
        <w:tc>
          <w:tcPr>
            <w:tcW w:w="4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12,700</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Non-current assets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Property and equipment, net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3,005</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2,120</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Intangible assets, net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13,667</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15,092</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Deposits</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95</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Goodwill</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11,631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11,631</w:t>
            </w:r>
          </w:p>
        </w:tc>
        <w:tc>
          <w:tcPr>
            <w:tcW w:w="0" w:type="dxa"/>
            <w:vAlign w:val="bottom"/>
          </w:tcPr>
          <w:p>
            <w:pPr>
              <w:spacing w:after="0"/>
              <w:rPr>
                <w:sz w:val="1"/>
                <w:szCs w:val="1"/>
                <w:color w:val="auto"/>
              </w:rPr>
            </w:pPr>
          </w:p>
        </w:tc>
      </w:tr>
      <w:tr>
        <w:trPr>
          <w:trHeight w:val="230"/>
        </w:trPr>
        <w:tc>
          <w:tcPr>
            <w:tcW w:w="8600" w:type="dxa"/>
            <w:vAlign w:val="bottom"/>
          </w:tcPr>
          <w:p>
            <w:pPr>
              <w:ind w:left="720"/>
              <w:spacing w:after="0"/>
              <w:rPr>
                <w:sz w:val="20"/>
                <w:szCs w:val="20"/>
                <w:color w:val="auto"/>
              </w:rPr>
            </w:pPr>
            <w:r>
              <w:rPr>
                <w:rFonts w:ascii="Arial" w:cs="Arial" w:eastAsia="Arial" w:hAnsi="Arial"/>
                <w:sz w:val="18"/>
                <w:szCs w:val="18"/>
                <w:color w:val="auto"/>
              </w:rPr>
              <w:t>Total non-current assets</w:t>
            </w:r>
          </w:p>
        </w:tc>
        <w:tc>
          <w:tcPr>
            <w:tcW w:w="24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28,398</w:t>
            </w:r>
          </w:p>
        </w:tc>
        <w:tc>
          <w:tcPr>
            <w:tcW w:w="4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28,933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3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46,547</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41,633</w:t>
            </w:r>
          </w:p>
        </w:tc>
        <w:tc>
          <w:tcPr>
            <w:tcW w:w="0" w:type="dxa"/>
            <w:vAlign w:val="bottom"/>
          </w:tcPr>
          <w:p>
            <w:pPr>
              <w:spacing w:after="0"/>
              <w:rPr>
                <w:sz w:val="1"/>
                <w:szCs w:val="1"/>
                <w:color w:val="auto"/>
              </w:rPr>
            </w:pPr>
          </w:p>
        </w:tc>
      </w:tr>
      <w:tr>
        <w:trPr>
          <w:trHeight w:val="20"/>
        </w:trPr>
        <w:tc>
          <w:tcPr>
            <w:tcW w:w="8600" w:type="dxa"/>
            <w:vAlign w:val="bottom"/>
            <w:vMerge w:val="restart"/>
          </w:tcPr>
          <w:p>
            <w:pPr>
              <w:ind w:left="4060"/>
              <w:spacing w:after="0"/>
              <w:rPr>
                <w:sz w:val="20"/>
                <w:szCs w:val="20"/>
                <w:color w:val="auto"/>
              </w:rPr>
            </w:pPr>
            <w:r>
              <w:rPr>
                <w:rFonts w:ascii="Arial" w:cs="Arial" w:eastAsia="Arial" w:hAnsi="Arial"/>
                <w:sz w:val="18"/>
                <w:szCs w:val="18"/>
                <w:b w:val="1"/>
                <w:bCs w:val="1"/>
                <w:color w:val="auto"/>
              </w:rPr>
              <w:t>Liabilities and Stockholders’ Deficit</w:t>
            </w: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0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3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3,485</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1,717</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liabilities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6,953</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4,180</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Deferred revenue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5,673</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1,283</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Convertible notes payable</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26,600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12,159</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Current portion of note payable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7,202</w:t>
            </w:r>
          </w:p>
        </w:tc>
        <w:tc>
          <w:tcPr>
            <w:tcW w:w="12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Put option liability</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6,650</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3,261</w:t>
            </w:r>
          </w:p>
        </w:tc>
        <w:tc>
          <w:tcPr>
            <w:tcW w:w="0" w:type="dxa"/>
            <w:vAlign w:val="bottom"/>
          </w:tcPr>
          <w:p>
            <w:pPr>
              <w:spacing w:after="0"/>
              <w:rPr>
                <w:sz w:val="1"/>
                <w:szCs w:val="1"/>
                <w:color w:val="auto"/>
              </w:rPr>
            </w:pPr>
          </w:p>
        </w:tc>
      </w:tr>
      <w:tr>
        <w:trPr>
          <w:trHeight w:val="223"/>
        </w:trPr>
        <w:tc>
          <w:tcPr>
            <w:tcW w:w="8600" w:type="dxa"/>
            <w:vAlign w:val="bottom"/>
          </w:tcPr>
          <w:p>
            <w:pPr>
              <w:spacing w:after="0"/>
              <w:rPr>
                <w:sz w:val="20"/>
                <w:szCs w:val="20"/>
                <w:color w:val="auto"/>
              </w:rPr>
            </w:pPr>
            <w:r>
              <w:rPr>
                <w:rFonts w:ascii="Arial" w:cs="Arial" w:eastAsia="Arial" w:hAnsi="Arial"/>
                <w:sz w:val="18"/>
                <w:szCs w:val="18"/>
                <w:color w:val="auto"/>
              </w:rPr>
              <w:t>Total current liabilities</w:t>
            </w:r>
          </w:p>
        </w:tc>
        <w:tc>
          <w:tcPr>
            <w:tcW w:w="2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56,563</w:t>
            </w:r>
          </w:p>
        </w:tc>
        <w:tc>
          <w:tcPr>
            <w:tcW w:w="4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22,600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Non-current liabilities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Warrant liability</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403</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liabilities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392</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Long-term notes payable</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17,236</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23,812</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Paycheck protection program note payable</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3,099</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Contingent consideration</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30,071</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29,114</w:t>
            </w:r>
          </w:p>
        </w:tc>
        <w:tc>
          <w:tcPr>
            <w:tcW w:w="0" w:type="dxa"/>
            <w:vAlign w:val="bottom"/>
          </w:tcPr>
          <w:p>
            <w:pPr>
              <w:spacing w:after="0"/>
              <w:rPr>
                <w:sz w:val="1"/>
                <w:szCs w:val="1"/>
                <w:color w:val="auto"/>
              </w:rPr>
            </w:pPr>
          </w:p>
        </w:tc>
      </w:tr>
      <w:tr>
        <w:trPr>
          <w:trHeight w:val="27"/>
        </w:trPr>
        <w:tc>
          <w:tcPr>
            <w:tcW w:w="8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non-current liabilities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51,201</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53,613</w:t>
            </w:r>
          </w:p>
        </w:tc>
        <w:tc>
          <w:tcPr>
            <w:tcW w:w="0" w:type="dxa"/>
            <w:vAlign w:val="bottom"/>
          </w:tcPr>
          <w:p>
            <w:pPr>
              <w:spacing w:after="0"/>
              <w:rPr>
                <w:sz w:val="1"/>
                <w:szCs w:val="1"/>
                <w:color w:val="auto"/>
              </w:rPr>
            </w:pPr>
          </w:p>
        </w:tc>
      </w:tr>
      <w:tr>
        <w:trPr>
          <w:trHeight w:val="230"/>
        </w:trPr>
        <w:tc>
          <w:tcPr>
            <w:tcW w:w="8600" w:type="dxa"/>
            <w:vAlign w:val="bottom"/>
          </w:tcPr>
          <w:p>
            <w:pPr>
              <w:spacing w:after="0"/>
              <w:rPr>
                <w:sz w:val="20"/>
                <w:szCs w:val="20"/>
                <w:color w:val="auto"/>
              </w:rPr>
            </w:pPr>
            <w:r>
              <w:rPr>
                <w:rFonts w:ascii="Arial" w:cs="Arial" w:eastAsia="Arial" w:hAnsi="Arial"/>
                <w:sz w:val="18"/>
                <w:szCs w:val="18"/>
                <w:color w:val="auto"/>
              </w:rPr>
              <w:t>Total liabilities</w:t>
            </w:r>
          </w:p>
        </w:tc>
        <w:tc>
          <w:tcPr>
            <w:tcW w:w="24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107,764</w:t>
            </w:r>
          </w:p>
        </w:tc>
        <w:tc>
          <w:tcPr>
            <w:tcW w:w="4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76,213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00" w:type="dxa"/>
            <w:vAlign w:val="bottom"/>
          </w:tcPr>
          <w:p>
            <w:pPr>
              <w:spacing w:after="0"/>
              <w:rPr>
                <w:sz w:val="20"/>
                <w:szCs w:val="20"/>
                <w:color w:val="auto"/>
              </w:rPr>
            </w:pPr>
            <w:r>
              <w:rPr>
                <w:rFonts w:ascii="Arial" w:cs="Arial" w:eastAsia="Arial" w:hAnsi="Arial"/>
                <w:sz w:val="18"/>
                <w:szCs w:val="18"/>
                <w:color w:val="auto"/>
              </w:rPr>
              <w:t>Convertible Preferred stock</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6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rPr>
              <w:t>Convertible preferred stock, $0.001 par value, 185,432,719 (2020) and 174,237,067 (2019) authorized;</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00" w:type="dxa"/>
            <w:vAlign w:val="bottom"/>
            <w:shd w:val="clear" w:color="auto" w:fill="CCEEFF"/>
          </w:tcPr>
          <w:p>
            <w:pPr>
              <w:ind w:left="540"/>
              <w:spacing w:after="0"/>
              <w:rPr>
                <w:sz w:val="20"/>
                <w:szCs w:val="20"/>
                <w:color w:val="auto"/>
              </w:rPr>
            </w:pPr>
            <w:r>
              <w:rPr>
                <w:rFonts w:ascii="Arial" w:cs="Arial" w:eastAsia="Arial" w:hAnsi="Arial"/>
                <w:sz w:val="18"/>
                <w:szCs w:val="18"/>
                <w:color w:val="auto"/>
                <w:w w:val="94"/>
              </w:rPr>
              <w:t>118,766,273 (2020 and 2019) issued and outstanding; liquidation preference of $202,582 (2020 and 2019)</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193,959</w:t>
            </w:r>
          </w:p>
        </w:tc>
        <w:tc>
          <w:tcPr>
            <w:tcW w:w="12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193,959</w:t>
            </w:r>
          </w:p>
        </w:tc>
        <w:tc>
          <w:tcPr>
            <w:tcW w:w="0" w:type="dxa"/>
            <w:vAlign w:val="bottom"/>
          </w:tcPr>
          <w:p>
            <w:pPr>
              <w:spacing w:after="0"/>
              <w:rPr>
                <w:sz w:val="1"/>
                <w:szCs w:val="1"/>
                <w:color w:val="auto"/>
              </w:rPr>
            </w:pPr>
          </w:p>
        </w:tc>
      </w:tr>
      <w:tr>
        <w:trPr>
          <w:trHeight w:val="216"/>
        </w:trPr>
        <w:tc>
          <w:tcPr>
            <w:tcW w:w="8600" w:type="dxa"/>
            <w:vAlign w:val="bottom"/>
          </w:tcPr>
          <w:p>
            <w:pPr>
              <w:spacing w:after="0"/>
              <w:rPr>
                <w:sz w:val="20"/>
                <w:szCs w:val="20"/>
                <w:color w:val="auto"/>
              </w:rPr>
            </w:pPr>
            <w:r>
              <w:rPr>
                <w:rFonts w:ascii="Arial" w:cs="Arial" w:eastAsia="Arial" w:hAnsi="Arial"/>
                <w:sz w:val="18"/>
                <w:szCs w:val="18"/>
                <w:color w:val="auto"/>
              </w:rPr>
              <w:t>Stockholders’ deficit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600" w:type="dxa"/>
            <w:vAlign w:val="bottom"/>
            <w:shd w:val="clear" w:color="auto" w:fill="CCEEFF"/>
          </w:tcPr>
          <w:p>
            <w:pPr>
              <w:ind w:left="360"/>
              <w:spacing w:after="0" w:line="201" w:lineRule="exact"/>
              <w:rPr>
                <w:sz w:val="20"/>
                <w:szCs w:val="20"/>
                <w:color w:val="auto"/>
              </w:rPr>
            </w:pPr>
            <w:r>
              <w:rPr>
                <w:rFonts w:ascii="Arial" w:cs="Arial" w:eastAsia="Arial" w:hAnsi="Arial"/>
                <w:sz w:val="18"/>
                <w:szCs w:val="18"/>
                <w:color w:val="auto"/>
                <w:w w:val="92"/>
              </w:rPr>
              <w:t>Common stock, $0.001 par value, 220,000,000 (2020) and 190,000,000 (2019) authorized; 289,508 (2020) and</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254,918 (2019) issued and outstanding</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8600" w:type="dxa"/>
            <w:vAlign w:val="bottom"/>
          </w:tcPr>
          <w:p>
            <w:pPr>
              <w:ind w:left="360"/>
              <w:spacing w:after="0"/>
              <w:rPr>
                <w:sz w:val="20"/>
                <w:szCs w:val="20"/>
                <w:color w:val="auto"/>
              </w:rPr>
            </w:pPr>
            <w:r>
              <w:rPr>
                <w:rFonts w:ascii="Arial" w:cs="Arial" w:eastAsia="Arial" w:hAnsi="Arial"/>
                <w:sz w:val="18"/>
                <w:szCs w:val="18"/>
                <w:color w:val="auto"/>
              </w:rPr>
              <w:t>Additional paid-in capital</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2,503</w:t>
            </w:r>
          </w:p>
        </w:tc>
        <w:tc>
          <w:tcPr>
            <w:tcW w:w="12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2,324</w:t>
            </w: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Accumulated deficit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5"/>
              </w:rPr>
              <w:t>(257,681)</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(230,864)</w:t>
            </w:r>
          </w:p>
        </w:tc>
        <w:tc>
          <w:tcPr>
            <w:tcW w:w="0" w:type="dxa"/>
            <w:vAlign w:val="bottom"/>
          </w:tcPr>
          <w:p>
            <w:pPr>
              <w:spacing w:after="0"/>
              <w:rPr>
                <w:sz w:val="1"/>
                <w:szCs w:val="1"/>
                <w:color w:val="auto"/>
              </w:rPr>
            </w:pPr>
          </w:p>
        </w:tc>
      </w:tr>
      <w:tr>
        <w:trPr>
          <w:trHeight w:val="230"/>
        </w:trPr>
        <w:tc>
          <w:tcPr>
            <w:tcW w:w="8600" w:type="dxa"/>
            <w:vAlign w:val="bottom"/>
          </w:tcPr>
          <w:p>
            <w:pPr>
              <w:spacing w:after="0"/>
              <w:rPr>
                <w:sz w:val="20"/>
                <w:szCs w:val="20"/>
                <w:color w:val="auto"/>
              </w:rPr>
            </w:pPr>
            <w:r>
              <w:rPr>
                <w:rFonts w:ascii="Arial" w:cs="Arial" w:eastAsia="Arial" w:hAnsi="Arial"/>
                <w:sz w:val="18"/>
                <w:szCs w:val="18"/>
                <w:color w:val="auto"/>
              </w:rPr>
              <w:t>Total stockholders’ deficit</w:t>
            </w:r>
          </w:p>
        </w:tc>
        <w:tc>
          <w:tcPr>
            <w:tcW w:w="24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(255,176)</w:t>
            </w:r>
          </w:p>
        </w:tc>
        <w:tc>
          <w:tcPr>
            <w:tcW w:w="4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(228,539)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convertible preferred stock, and stockholders’ deficit</w:t>
            </w:r>
          </w:p>
        </w:tc>
        <w:tc>
          <w:tcPr>
            <w:tcW w:w="3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46,547</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41,633</w:t>
            </w:r>
          </w:p>
        </w:tc>
        <w:tc>
          <w:tcPr>
            <w:tcW w:w="0" w:type="dxa"/>
            <w:vAlign w:val="bottom"/>
          </w:tcPr>
          <w:p>
            <w:pPr>
              <w:spacing w:after="0"/>
              <w:rPr>
                <w:sz w:val="1"/>
                <w:szCs w:val="1"/>
                <w:color w:val="auto"/>
              </w:rPr>
            </w:pPr>
          </w:p>
        </w:tc>
      </w:tr>
      <w:tr>
        <w:trPr>
          <w:trHeight w:val="20"/>
        </w:trPr>
        <w:tc>
          <w:tcPr>
            <w:tcW w:w="8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20"/>
          </w:cols>
          <w:pgMar w:left="440" w:top="1440" w:right="439" w:bottom="1440" w:gutter="0" w:footer="0" w:header="0"/>
        </w:sectPr>
      </w:pPr>
    </w:p>
    <w:bookmarkStart w:id="8" w:name="page9"/>
    <w:bookmarkEnd w:id="8"/>
    <w:p>
      <w:pPr>
        <w:spacing w:after="0" w:line="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7797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77978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18"/>
          <w:szCs w:val="18"/>
          <w:b w:val="1"/>
          <w:bCs w:val="1"/>
          <w:color w:val="auto"/>
        </w:rPr>
        <w:t>Biodesix,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Statements of Operations (unaudited)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 except share data)</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5"/>
          </w:tcPr>
          <w:p>
            <w:pPr>
              <w:jc w:val="right"/>
              <w:ind w:right="221"/>
              <w:spacing w:after="0"/>
              <w:rPr>
                <w:sz w:val="20"/>
                <w:szCs w:val="20"/>
                <w:color w:val="auto"/>
              </w:rPr>
            </w:pPr>
            <w:r>
              <w:rPr>
                <w:rFonts w:ascii="Arial" w:cs="Arial" w:eastAsia="Arial" w:hAnsi="Arial"/>
                <w:sz w:val="14"/>
                <w:szCs w:val="14"/>
                <w:color w:val="auto"/>
                <w:w w:val="91"/>
              </w:rPr>
              <w:t>Three Months Ended</w:t>
            </w:r>
          </w:p>
        </w:tc>
        <w:tc>
          <w:tcPr>
            <w:tcW w:w="100" w:type="dxa"/>
            <w:vAlign w:val="bottom"/>
          </w:tcPr>
          <w:p>
            <w:pPr>
              <w:spacing w:after="0"/>
              <w:rPr>
                <w:sz w:val="14"/>
                <w:szCs w:val="14"/>
                <w:color w:val="auto"/>
              </w:rPr>
            </w:pPr>
          </w:p>
        </w:tc>
        <w:tc>
          <w:tcPr>
            <w:tcW w:w="1560" w:type="dxa"/>
            <w:vAlign w:val="bottom"/>
            <w:gridSpan w:val="5"/>
          </w:tcPr>
          <w:p>
            <w:pPr>
              <w:jc w:val="right"/>
              <w:ind w:right="221"/>
              <w:spacing w:after="0"/>
              <w:rPr>
                <w:sz w:val="20"/>
                <w:szCs w:val="20"/>
                <w:color w:val="auto"/>
              </w:rPr>
            </w:pPr>
            <w:r>
              <w:rPr>
                <w:rFonts w:ascii="Arial" w:cs="Arial" w:eastAsia="Arial" w:hAnsi="Arial"/>
                <w:sz w:val="14"/>
                <w:szCs w:val="14"/>
                <w:color w:val="auto"/>
              </w:rPr>
              <w:t>Nine Months Ended</w:t>
            </w:r>
          </w:p>
        </w:tc>
      </w:tr>
      <w:tr>
        <w:trPr>
          <w:trHeight w:val="167"/>
        </w:trPr>
        <w:tc>
          <w:tcPr>
            <w:tcW w:w="7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5"/>
          </w:tcPr>
          <w:p>
            <w:pPr>
              <w:jc w:val="right"/>
              <w:ind w:right="421"/>
              <w:spacing w:after="0"/>
              <w:rPr>
                <w:sz w:val="20"/>
                <w:szCs w:val="20"/>
                <w:color w:val="auto"/>
              </w:rPr>
            </w:pPr>
            <w:r>
              <w:rPr>
                <w:rFonts w:ascii="Arial" w:cs="Arial" w:eastAsia="Arial" w:hAnsi="Arial"/>
                <w:sz w:val="14"/>
                <w:szCs w:val="14"/>
                <w:color w:val="auto"/>
              </w:rPr>
              <w:t>September 30,</w:t>
            </w:r>
          </w:p>
        </w:tc>
        <w:tc>
          <w:tcPr>
            <w:tcW w:w="100" w:type="dxa"/>
            <w:vAlign w:val="bottom"/>
          </w:tcPr>
          <w:p>
            <w:pPr>
              <w:spacing w:after="0"/>
              <w:rPr>
                <w:sz w:val="14"/>
                <w:szCs w:val="14"/>
                <w:color w:val="auto"/>
              </w:rPr>
            </w:pPr>
          </w:p>
        </w:tc>
        <w:tc>
          <w:tcPr>
            <w:tcW w:w="1560" w:type="dxa"/>
            <w:vAlign w:val="bottom"/>
            <w:gridSpan w:val="5"/>
          </w:tcPr>
          <w:p>
            <w:pPr>
              <w:jc w:val="right"/>
              <w:ind w:right="381"/>
              <w:spacing w:after="0"/>
              <w:rPr>
                <w:sz w:val="20"/>
                <w:szCs w:val="20"/>
                <w:color w:val="auto"/>
              </w:rPr>
            </w:pPr>
            <w:r>
              <w:rPr>
                <w:rFonts w:ascii="Arial" w:cs="Arial" w:eastAsia="Arial" w:hAnsi="Arial"/>
                <w:sz w:val="14"/>
                <w:szCs w:val="14"/>
                <w:color w:val="auto"/>
              </w:rPr>
              <w:t>September 30,</w:t>
            </w:r>
          </w:p>
        </w:tc>
      </w:tr>
      <w:tr>
        <w:trPr>
          <w:trHeight w:val="142"/>
        </w:trPr>
        <w:tc>
          <w:tcPr>
            <w:tcW w:w="77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73"/>
              <w:spacing w:after="0" w:line="142" w:lineRule="exact"/>
              <w:rPr>
                <w:sz w:val="20"/>
                <w:szCs w:val="20"/>
                <w:color w:val="auto"/>
              </w:rPr>
            </w:pPr>
            <w:r>
              <w:rPr>
                <w:rFonts w:ascii="Arial" w:cs="Arial" w:eastAsia="Arial" w:hAnsi="Arial"/>
                <w:sz w:val="14"/>
                <w:szCs w:val="14"/>
                <w:color w:val="auto"/>
              </w:rPr>
              <w:t>2020</w:t>
            </w:r>
          </w:p>
        </w:tc>
        <w:tc>
          <w:tcPr>
            <w:tcW w:w="2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51"/>
              <w:spacing w:after="0" w:line="142" w:lineRule="exact"/>
              <w:rPr>
                <w:sz w:val="20"/>
                <w:szCs w:val="20"/>
                <w:color w:val="auto"/>
              </w:rPr>
            </w:pPr>
            <w:r>
              <w:rPr>
                <w:rFonts w:ascii="Arial" w:cs="Arial" w:eastAsia="Arial" w:hAnsi="Arial"/>
                <w:sz w:val="14"/>
                <w:szCs w:val="14"/>
                <w:color w:val="auto"/>
              </w:rPr>
              <w:t>2019</w:t>
            </w: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color w:val="auto"/>
              </w:rPr>
              <w:t>2020</w:t>
            </w:r>
          </w:p>
        </w:tc>
        <w:tc>
          <w:tcPr>
            <w:tcW w:w="14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jc w:val="right"/>
              <w:ind w:right="90"/>
              <w:spacing w:after="0" w:line="142" w:lineRule="exact"/>
              <w:rPr>
                <w:sz w:val="20"/>
                <w:szCs w:val="20"/>
                <w:color w:val="auto"/>
              </w:rPr>
            </w:pPr>
            <w:r>
              <w:rPr>
                <w:rFonts w:ascii="Arial" w:cs="Arial" w:eastAsia="Arial" w:hAnsi="Arial"/>
                <w:sz w:val="14"/>
                <w:szCs w:val="14"/>
                <w:color w:val="auto"/>
              </w:rPr>
              <w:t>2019</w:t>
            </w:r>
          </w:p>
        </w:tc>
        <w:tc>
          <w:tcPr>
            <w:tcW w:w="120" w:type="dxa"/>
            <w:vAlign w:val="bottom"/>
          </w:tcPr>
          <w:p>
            <w:pPr>
              <w:spacing w:after="0"/>
              <w:rPr>
                <w:sz w:val="12"/>
                <w:szCs w:val="12"/>
                <w:color w:val="auto"/>
              </w:rPr>
            </w:pPr>
          </w:p>
        </w:tc>
      </w:tr>
      <w:tr>
        <w:trPr>
          <w:trHeight w:val="209"/>
        </w:trPr>
        <w:tc>
          <w:tcPr>
            <w:tcW w:w="7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9,193</w:t>
            </w:r>
          </w:p>
        </w:tc>
        <w:tc>
          <w:tcPr>
            <w:tcW w:w="2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3,942</w:t>
            </w: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18,528</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$ 16,281</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7740" w:type="dxa"/>
            <w:vAlign w:val="bottom"/>
          </w:tcPr>
          <w:p>
            <w:pPr>
              <w:spacing w:after="0"/>
              <w:rPr>
                <w:sz w:val="20"/>
                <w:szCs w:val="20"/>
                <w:color w:val="auto"/>
              </w:rPr>
            </w:pPr>
            <w:r>
              <w:rPr>
                <w:rFonts w:ascii="Arial" w:cs="Arial" w:eastAsia="Arial" w:hAnsi="Arial"/>
                <w:sz w:val="18"/>
                <w:szCs w:val="18"/>
                <w:color w:val="auto"/>
              </w:rPr>
              <w:t>Operating expenses</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Direct costs and expenses</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3,891</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1,503</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7,346</w:t>
            </w:r>
          </w:p>
        </w:tc>
        <w:tc>
          <w:tcPr>
            <w:tcW w:w="860" w:type="dxa"/>
            <w:vAlign w:val="bottom"/>
            <w:gridSpan w:val="3"/>
            <w:shd w:val="clear" w:color="auto" w:fill="CCEEFF"/>
          </w:tcPr>
          <w:p>
            <w:pPr>
              <w:jc w:val="right"/>
              <w:ind w:right="41"/>
              <w:spacing w:after="0"/>
              <w:rPr>
                <w:sz w:val="20"/>
                <w:szCs w:val="20"/>
                <w:color w:val="auto"/>
              </w:rPr>
            </w:pPr>
            <w:r>
              <w:rPr>
                <w:rFonts w:ascii="Arial" w:cs="Arial" w:eastAsia="Arial" w:hAnsi="Arial"/>
                <w:sz w:val="18"/>
                <w:szCs w:val="18"/>
                <w:color w:val="auto"/>
              </w:rPr>
              <w:t>4,244</w:t>
            </w:r>
          </w:p>
        </w:tc>
      </w:tr>
      <w:tr>
        <w:trPr>
          <w:trHeight w:val="216"/>
        </w:trPr>
        <w:tc>
          <w:tcPr>
            <w:tcW w:w="774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spacing w:after="0"/>
              <w:rPr>
                <w:sz w:val="18"/>
                <w:szCs w:val="18"/>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2,706</w:t>
            </w:r>
          </w:p>
        </w:tc>
        <w:tc>
          <w:tcPr>
            <w:tcW w:w="80" w:type="dxa"/>
            <w:vAlign w:val="bottom"/>
          </w:tcPr>
          <w:p>
            <w:pPr>
              <w:spacing w:after="0"/>
              <w:rPr>
                <w:sz w:val="18"/>
                <w:szCs w:val="18"/>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2,359</w:t>
            </w:r>
          </w:p>
        </w:tc>
        <w:tc>
          <w:tcPr>
            <w:tcW w:w="100" w:type="dxa"/>
            <w:vAlign w:val="bottom"/>
          </w:tcPr>
          <w:p>
            <w:pPr>
              <w:spacing w:after="0"/>
              <w:rPr>
                <w:sz w:val="18"/>
                <w:szCs w:val="18"/>
                <w:color w:val="auto"/>
              </w:rPr>
            </w:pPr>
          </w:p>
        </w:tc>
        <w:tc>
          <w:tcPr>
            <w:tcW w:w="700" w:type="dxa"/>
            <w:vAlign w:val="bottom"/>
            <w:gridSpan w:val="2"/>
          </w:tcPr>
          <w:p>
            <w:pPr>
              <w:jc w:val="right"/>
              <w:ind w:right="61"/>
              <w:spacing w:after="0"/>
              <w:rPr>
                <w:sz w:val="20"/>
                <w:szCs w:val="20"/>
                <w:color w:val="auto"/>
              </w:rPr>
            </w:pPr>
            <w:r>
              <w:rPr>
                <w:rFonts w:ascii="Arial" w:cs="Arial" w:eastAsia="Arial" w:hAnsi="Arial"/>
                <w:sz w:val="18"/>
                <w:szCs w:val="18"/>
                <w:color w:val="auto"/>
              </w:rPr>
              <w:t>7,713</w:t>
            </w:r>
          </w:p>
        </w:tc>
        <w:tc>
          <w:tcPr>
            <w:tcW w:w="860" w:type="dxa"/>
            <w:vAlign w:val="bottom"/>
            <w:gridSpan w:val="3"/>
          </w:tcPr>
          <w:p>
            <w:pPr>
              <w:jc w:val="right"/>
              <w:ind w:right="41"/>
              <w:spacing w:after="0"/>
              <w:rPr>
                <w:sz w:val="20"/>
                <w:szCs w:val="20"/>
                <w:color w:val="auto"/>
              </w:rPr>
            </w:pPr>
            <w:r>
              <w:rPr>
                <w:rFonts w:ascii="Arial" w:cs="Arial" w:eastAsia="Arial" w:hAnsi="Arial"/>
                <w:sz w:val="18"/>
                <w:szCs w:val="18"/>
                <w:color w:val="auto"/>
              </w:rPr>
              <w:t>7,966</w:t>
            </w:r>
          </w:p>
        </w:tc>
      </w:tr>
      <w:tr>
        <w:trPr>
          <w:trHeight w:val="216"/>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Sales, marketing, general and administrative</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7,879</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8,212</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w w:val="98"/>
              </w:rPr>
              <w:t>22,793</w:t>
            </w:r>
          </w:p>
        </w:tc>
        <w:tc>
          <w:tcPr>
            <w:tcW w:w="860" w:type="dxa"/>
            <w:vAlign w:val="bottom"/>
            <w:gridSpan w:val="3"/>
            <w:shd w:val="clear" w:color="auto" w:fill="CCEEFF"/>
          </w:tcPr>
          <w:p>
            <w:pPr>
              <w:jc w:val="right"/>
              <w:ind w:right="41"/>
              <w:spacing w:after="0"/>
              <w:rPr>
                <w:sz w:val="20"/>
                <w:szCs w:val="20"/>
                <w:color w:val="auto"/>
              </w:rPr>
            </w:pPr>
            <w:r>
              <w:rPr>
                <w:rFonts w:ascii="Arial" w:cs="Arial" w:eastAsia="Arial" w:hAnsi="Arial"/>
                <w:sz w:val="18"/>
                <w:szCs w:val="18"/>
                <w:color w:val="auto"/>
              </w:rPr>
              <w:t>24,080</w:t>
            </w:r>
          </w:p>
        </w:tc>
      </w:tr>
      <w:tr>
        <w:trPr>
          <w:trHeight w:val="216"/>
        </w:trPr>
        <w:tc>
          <w:tcPr>
            <w:tcW w:w="7740" w:type="dxa"/>
            <w:vAlign w:val="bottom"/>
          </w:tcPr>
          <w:p>
            <w:pPr>
              <w:spacing w:after="0"/>
              <w:rPr>
                <w:sz w:val="20"/>
                <w:szCs w:val="20"/>
                <w:color w:val="auto"/>
              </w:rPr>
            </w:pPr>
            <w:r>
              <w:rPr>
                <w:rFonts w:ascii="Arial" w:cs="Arial" w:eastAsia="Arial" w:hAnsi="Arial"/>
                <w:sz w:val="18"/>
                <w:szCs w:val="18"/>
                <w:color w:val="auto"/>
              </w:rPr>
              <w:t>Accretion of contingent consideration</w:t>
            </w:r>
          </w:p>
        </w:tc>
        <w:tc>
          <w:tcPr>
            <w:tcW w:w="100" w:type="dxa"/>
            <w:vAlign w:val="bottom"/>
          </w:tcPr>
          <w:p>
            <w:pPr>
              <w:spacing w:after="0"/>
              <w:rPr>
                <w:sz w:val="18"/>
                <w:szCs w:val="18"/>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957</w:t>
            </w:r>
          </w:p>
        </w:tc>
        <w:tc>
          <w:tcPr>
            <w:tcW w:w="80" w:type="dxa"/>
            <w:vAlign w:val="bottom"/>
          </w:tcPr>
          <w:p>
            <w:pPr>
              <w:spacing w:after="0"/>
              <w:rPr>
                <w:sz w:val="18"/>
                <w:szCs w:val="18"/>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896</w:t>
            </w:r>
          </w:p>
        </w:tc>
        <w:tc>
          <w:tcPr>
            <w:tcW w:w="100" w:type="dxa"/>
            <w:vAlign w:val="bottom"/>
          </w:tcPr>
          <w:p>
            <w:pPr>
              <w:spacing w:after="0"/>
              <w:rPr>
                <w:sz w:val="18"/>
                <w:szCs w:val="18"/>
                <w:color w:val="auto"/>
              </w:rPr>
            </w:pPr>
          </w:p>
        </w:tc>
        <w:tc>
          <w:tcPr>
            <w:tcW w:w="700" w:type="dxa"/>
            <w:vAlign w:val="bottom"/>
            <w:gridSpan w:val="2"/>
          </w:tcPr>
          <w:p>
            <w:pPr>
              <w:jc w:val="right"/>
              <w:ind w:right="61"/>
              <w:spacing w:after="0"/>
              <w:rPr>
                <w:sz w:val="20"/>
                <w:szCs w:val="20"/>
                <w:color w:val="auto"/>
              </w:rPr>
            </w:pPr>
            <w:r>
              <w:rPr>
                <w:rFonts w:ascii="Arial" w:cs="Arial" w:eastAsia="Arial" w:hAnsi="Arial"/>
                <w:sz w:val="18"/>
                <w:szCs w:val="18"/>
                <w:color w:val="auto"/>
              </w:rPr>
              <w:t>2,901</w:t>
            </w:r>
          </w:p>
        </w:tc>
        <w:tc>
          <w:tcPr>
            <w:tcW w:w="860" w:type="dxa"/>
            <w:vAlign w:val="bottom"/>
            <w:gridSpan w:val="3"/>
          </w:tcPr>
          <w:p>
            <w:pPr>
              <w:jc w:val="right"/>
              <w:ind w:right="41"/>
              <w:spacing w:after="0"/>
              <w:rPr>
                <w:sz w:val="20"/>
                <w:szCs w:val="20"/>
                <w:color w:val="auto"/>
              </w:rPr>
            </w:pPr>
            <w:r>
              <w:rPr>
                <w:rFonts w:ascii="Arial" w:cs="Arial" w:eastAsia="Arial" w:hAnsi="Arial"/>
                <w:sz w:val="18"/>
                <w:szCs w:val="18"/>
                <w:color w:val="auto"/>
              </w:rPr>
              <w:t>2,525</w:t>
            </w:r>
          </w:p>
        </w:tc>
      </w:tr>
      <w:tr>
        <w:trPr>
          <w:trHeight w:val="216"/>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Change in fair value of contingent consideration</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(1,944)</w:t>
            </w:r>
          </w:p>
        </w:tc>
        <w:tc>
          <w:tcPr>
            <w:tcW w:w="860" w:type="dxa"/>
            <w:vAlign w:val="bottom"/>
            <w:gridSpan w:val="3"/>
            <w:shd w:val="clear" w:color="auto" w:fill="CCEEFF"/>
          </w:tcPr>
          <w:p>
            <w:pPr>
              <w:jc w:val="right"/>
              <w:ind w:right="41"/>
              <w:spacing w:after="0"/>
              <w:rPr>
                <w:sz w:val="20"/>
                <w:szCs w:val="20"/>
                <w:color w:val="auto"/>
              </w:rPr>
            </w:pPr>
            <w:r>
              <w:rPr>
                <w:rFonts w:ascii="Arial" w:cs="Arial" w:eastAsia="Arial" w:hAnsi="Arial"/>
                <w:sz w:val="18"/>
                <w:szCs w:val="18"/>
                <w:color w:val="auto"/>
              </w:rPr>
              <w:t>663</w:t>
            </w:r>
          </w:p>
        </w:tc>
      </w:tr>
      <w:tr>
        <w:trPr>
          <w:trHeight w:val="230"/>
        </w:trPr>
        <w:tc>
          <w:tcPr>
            <w:tcW w:w="7740" w:type="dxa"/>
            <w:vAlign w:val="bottom"/>
          </w:tcPr>
          <w:p>
            <w:pPr>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15,433</w:t>
            </w:r>
          </w:p>
        </w:tc>
        <w:tc>
          <w:tcPr>
            <w:tcW w:w="2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12,970</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38,809</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39,478</w:t>
            </w:r>
          </w:p>
        </w:tc>
        <w:tc>
          <w:tcPr>
            <w:tcW w:w="120" w:type="dxa"/>
            <w:vAlign w:val="bottom"/>
          </w:tcPr>
          <w:p>
            <w:pPr>
              <w:spacing w:after="0"/>
              <w:rPr>
                <w:sz w:val="20"/>
                <w:szCs w:val="20"/>
                <w:color w:val="auto"/>
              </w:rPr>
            </w:pPr>
          </w:p>
        </w:tc>
      </w:tr>
      <w:tr>
        <w:trPr>
          <w:trHeight w:val="216"/>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w w:val="94"/>
              </w:rPr>
              <w:t>(6,240)</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w w:val="94"/>
              </w:rPr>
              <w:t>(9,028)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w w:val="89"/>
              </w:rPr>
              <w:t>(20,281)</w:t>
            </w:r>
          </w:p>
        </w:tc>
        <w:tc>
          <w:tcPr>
            <w:tcW w:w="8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(23,197)</w:t>
            </w:r>
          </w:p>
        </w:tc>
      </w:tr>
      <w:tr>
        <w:trPr>
          <w:trHeight w:val="223"/>
        </w:trPr>
        <w:tc>
          <w:tcPr>
            <w:tcW w:w="7740" w:type="dxa"/>
            <w:vAlign w:val="bottom"/>
          </w:tcPr>
          <w:p>
            <w:pPr>
              <w:spacing w:after="0"/>
              <w:rPr>
                <w:sz w:val="20"/>
                <w:szCs w:val="20"/>
                <w:color w:val="auto"/>
              </w:rPr>
            </w:pPr>
            <w:r>
              <w:rPr>
                <w:rFonts w:ascii="Arial" w:cs="Arial" w:eastAsia="Arial" w:hAnsi="Arial"/>
                <w:sz w:val="18"/>
                <w:szCs w:val="18"/>
                <w:color w:val="auto"/>
              </w:rPr>
              <w:t>Interest expense</w:t>
            </w: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4"/>
              </w:rPr>
              <w:t>(2,658)</w:t>
            </w:r>
          </w:p>
        </w:tc>
        <w:tc>
          <w:tcPr>
            <w:tcW w:w="2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(706)</w:t>
            </w:r>
          </w:p>
        </w:tc>
        <w:tc>
          <w:tcPr>
            <w:tcW w:w="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(6,899)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(2,005)</w:t>
            </w:r>
          </w:p>
        </w:tc>
        <w:tc>
          <w:tcPr>
            <w:tcW w:w="120" w:type="dxa"/>
            <w:vAlign w:val="bottom"/>
          </w:tcPr>
          <w:p>
            <w:pPr>
              <w:spacing w:after="0"/>
              <w:rPr>
                <w:sz w:val="19"/>
                <w:szCs w:val="19"/>
                <w:color w:val="auto"/>
              </w:rPr>
            </w:pPr>
          </w:p>
        </w:tc>
      </w:tr>
      <w:tr>
        <w:trPr>
          <w:trHeight w:val="216"/>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Other income, net</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53</w:t>
            </w: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133</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363</w:t>
            </w:r>
          </w:p>
        </w:tc>
        <w:tc>
          <w:tcPr>
            <w:tcW w:w="860" w:type="dxa"/>
            <w:vAlign w:val="bottom"/>
            <w:gridSpan w:val="3"/>
            <w:shd w:val="clear" w:color="auto" w:fill="CCEEFF"/>
          </w:tcPr>
          <w:p>
            <w:pPr>
              <w:jc w:val="right"/>
              <w:ind w:right="41"/>
              <w:spacing w:after="0"/>
              <w:rPr>
                <w:sz w:val="20"/>
                <w:szCs w:val="20"/>
                <w:color w:val="auto"/>
              </w:rPr>
            </w:pPr>
            <w:r>
              <w:rPr>
                <w:rFonts w:ascii="Arial" w:cs="Arial" w:eastAsia="Arial" w:hAnsi="Arial"/>
                <w:sz w:val="18"/>
                <w:szCs w:val="18"/>
                <w:color w:val="auto"/>
              </w:rPr>
              <w:t>1,001</w:t>
            </w:r>
          </w:p>
        </w:tc>
      </w:tr>
      <w:tr>
        <w:trPr>
          <w:trHeight w:val="223"/>
        </w:trPr>
        <w:tc>
          <w:tcPr>
            <w:tcW w:w="7740" w:type="dxa"/>
            <w:vAlign w:val="bottom"/>
          </w:tcPr>
          <w:p>
            <w:pPr>
              <w:spacing w:after="0"/>
              <w:rPr>
                <w:sz w:val="20"/>
                <w:szCs w:val="20"/>
                <w:color w:val="auto"/>
              </w:rPr>
            </w:pPr>
            <w:r>
              <w:rPr>
                <w:rFonts w:ascii="Arial" w:cs="Arial" w:eastAsia="Arial" w:hAnsi="Arial"/>
                <w:sz w:val="18"/>
                <w:szCs w:val="18"/>
                <w:color w:val="auto"/>
              </w:rPr>
              <w:t>Net loss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(8,845</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(9,601</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(26,817</w:t>
            </w:r>
          </w:p>
        </w:tc>
        <w:tc>
          <w:tcPr>
            <w:tcW w:w="220" w:type="dxa"/>
            <w:vAlign w:val="bottom"/>
            <w:gridSpan w:val="2"/>
          </w:tcPr>
          <w:p>
            <w:pPr>
              <w:jc w:val="right"/>
              <w:ind w:right="72"/>
              <w:spacing w:after="0"/>
              <w:rPr>
                <w:sz w:val="20"/>
                <w:szCs w:val="20"/>
                <w:color w:val="auto"/>
              </w:rPr>
            </w:pPr>
            <w:r>
              <w:rPr>
                <w:rFonts w:ascii="Arial" w:cs="Arial" w:eastAsia="Arial" w:hAnsi="Arial"/>
                <w:sz w:val="16"/>
                <w:szCs w:val="16"/>
                <w:color w:val="auto"/>
                <w:w w:val="74"/>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(24,201</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774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 basic and 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w w:val="94"/>
              </w:rPr>
              <w:t>(31.93)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w w:val="94"/>
              </w:rPr>
              <w:t>(39.35)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(99.69)</w:t>
            </w:r>
          </w:p>
        </w:tc>
        <w:tc>
          <w:tcPr>
            <w:tcW w:w="8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$(103.87)</w:t>
            </w:r>
          </w:p>
        </w:tc>
      </w:tr>
      <w:tr>
        <w:trPr>
          <w:trHeight w:val="230"/>
        </w:trPr>
        <w:tc>
          <w:tcPr>
            <w:tcW w:w="7740" w:type="dxa"/>
            <w:vAlign w:val="bottom"/>
          </w:tcPr>
          <w:p>
            <w:pPr>
              <w:spacing w:after="0"/>
              <w:rPr>
                <w:sz w:val="20"/>
                <w:szCs w:val="20"/>
                <w:color w:val="auto"/>
              </w:rPr>
            </w:pPr>
            <w:r>
              <w:rPr>
                <w:rFonts w:ascii="Arial" w:cs="Arial" w:eastAsia="Arial" w:hAnsi="Arial"/>
                <w:sz w:val="18"/>
                <w:szCs w:val="18"/>
                <w:color w:val="auto"/>
              </w:rPr>
              <w:t>Weighted-average shares outstanding, basic and diluted</w:t>
            </w:r>
          </w:p>
        </w:tc>
        <w:tc>
          <w:tcPr>
            <w:tcW w:w="100" w:type="dxa"/>
            <w:vAlign w:val="bottom"/>
          </w:tcPr>
          <w:p>
            <w:pPr>
              <w:spacing w:after="0"/>
              <w:rPr>
                <w:sz w:val="20"/>
                <w:szCs w:val="20"/>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277</w:t>
            </w:r>
          </w:p>
        </w:tc>
        <w:tc>
          <w:tcPr>
            <w:tcW w:w="80" w:type="dxa"/>
            <w:vAlign w:val="bottom"/>
          </w:tcPr>
          <w:p>
            <w:pPr>
              <w:spacing w:after="0"/>
              <w:rPr>
                <w:sz w:val="20"/>
                <w:szCs w:val="20"/>
                <w:color w:val="auto"/>
              </w:rPr>
            </w:pPr>
          </w:p>
        </w:tc>
        <w:tc>
          <w:tcPr>
            <w:tcW w:w="720" w:type="dxa"/>
            <w:vAlign w:val="bottom"/>
            <w:gridSpan w:val="2"/>
          </w:tcPr>
          <w:p>
            <w:pPr>
              <w:jc w:val="right"/>
              <w:ind w:right="141"/>
              <w:spacing w:after="0"/>
              <w:rPr>
                <w:sz w:val="20"/>
                <w:szCs w:val="20"/>
                <w:color w:val="auto"/>
              </w:rPr>
            </w:pPr>
            <w:r>
              <w:rPr>
                <w:rFonts w:ascii="Arial" w:cs="Arial" w:eastAsia="Arial" w:hAnsi="Arial"/>
                <w:sz w:val="18"/>
                <w:szCs w:val="18"/>
                <w:color w:val="auto"/>
              </w:rPr>
              <w:t>244</w:t>
            </w:r>
          </w:p>
        </w:tc>
        <w:tc>
          <w:tcPr>
            <w:tcW w:w="100" w:type="dxa"/>
            <w:vAlign w:val="bottom"/>
          </w:tcPr>
          <w:p>
            <w:pPr>
              <w:spacing w:after="0"/>
              <w:rPr>
                <w:sz w:val="20"/>
                <w:szCs w:val="20"/>
                <w:color w:val="auto"/>
              </w:rPr>
            </w:pPr>
          </w:p>
        </w:tc>
        <w:tc>
          <w:tcPr>
            <w:tcW w:w="700" w:type="dxa"/>
            <w:vAlign w:val="bottom"/>
            <w:gridSpan w:val="2"/>
          </w:tcPr>
          <w:p>
            <w:pPr>
              <w:jc w:val="right"/>
              <w:ind w:right="61"/>
              <w:spacing w:after="0"/>
              <w:rPr>
                <w:sz w:val="20"/>
                <w:szCs w:val="20"/>
                <w:color w:val="auto"/>
              </w:rPr>
            </w:pPr>
            <w:r>
              <w:rPr>
                <w:rFonts w:ascii="Arial" w:cs="Arial" w:eastAsia="Arial" w:hAnsi="Arial"/>
                <w:sz w:val="18"/>
                <w:szCs w:val="18"/>
                <w:color w:val="auto"/>
              </w:rPr>
              <w:t>269</w:t>
            </w:r>
          </w:p>
        </w:tc>
        <w:tc>
          <w:tcPr>
            <w:tcW w:w="860" w:type="dxa"/>
            <w:vAlign w:val="bottom"/>
            <w:gridSpan w:val="3"/>
          </w:tcPr>
          <w:p>
            <w:pPr>
              <w:jc w:val="right"/>
              <w:ind w:right="41"/>
              <w:spacing w:after="0"/>
              <w:rPr>
                <w:sz w:val="20"/>
                <w:szCs w:val="20"/>
                <w:color w:val="auto"/>
              </w:rPr>
            </w:pPr>
            <w:r>
              <w:rPr>
                <w:rFonts w:ascii="Arial" w:cs="Arial" w:eastAsia="Arial" w:hAnsi="Arial"/>
                <w:sz w:val="18"/>
                <w:szCs w:val="18"/>
                <w:color w:val="auto"/>
              </w:rPr>
              <w:t>233</w:t>
            </w:r>
          </w:p>
        </w:tc>
      </w:tr>
    </w:tbl>
    <w:p>
      <w:pPr>
        <w:spacing w:after="0" w:line="1" w:lineRule="exact"/>
        <w:rPr>
          <w:sz w:val="20"/>
          <w:szCs w:val="20"/>
          <w:color w:val="auto"/>
        </w:rPr>
      </w:pPr>
    </w:p>
    <w:sectPr>
      <w:pgSz w:w="11900" w:h="16838" w:orient="portrait"/>
      <w:cols w:equalWidth="0" w:num="1">
        <w:col w:w="11020"/>
      </w:cols>
      <w:pgMar w:left="440" w:top="144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2020-12-10T15:24:12Z</dcterms:created>
  <dcterms:modified xsi:type="dcterms:W3CDTF">2020-12-10T15:24:12Z</dcterms:modified>
</cp:coreProperties>
</file>