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4"/>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4"/>
        <w:spacing w:after="0"/>
        <w:rPr>
          <w:sz w:val="20"/>
          <w:szCs w:val="20"/>
          <w:color w:val="auto"/>
        </w:rPr>
      </w:pPr>
      <w:r>
        <w:rPr>
          <w:rFonts w:ascii="Arial" w:cs="Arial" w:eastAsia="Arial" w:hAnsi="Arial"/>
          <w:sz w:val="32"/>
          <w:szCs w:val="32"/>
          <w:b w:val="1"/>
          <w:bCs w:val="1"/>
          <w:color w:val="auto"/>
        </w:rPr>
        <w:t>SECURITIES AND EXCHANGE COMMISSION</w:t>
      </w:r>
    </w:p>
    <w:p>
      <w:pPr>
        <w:ind w:left="4404"/>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984"/>
        <w:spacing w:after="0"/>
        <w:rPr>
          <w:sz w:val="20"/>
          <w:szCs w:val="20"/>
          <w:color w:val="auto"/>
        </w:rPr>
      </w:pPr>
      <w:r>
        <w:rPr>
          <w:rFonts w:ascii="Arial" w:cs="Arial" w:eastAsia="Arial" w:hAnsi="Arial"/>
          <w:sz w:val="32"/>
          <w:szCs w:val="32"/>
          <w:b w:val="1"/>
          <w:bCs w:val="1"/>
          <w:color w:val="auto"/>
        </w:rPr>
        <w:t>SCHEDULE TO/A</w:t>
      </w:r>
    </w:p>
    <w:p>
      <w:pPr>
        <w:spacing w:after="0" w:line="34" w:lineRule="exact"/>
        <w:rPr>
          <w:sz w:val="24"/>
          <w:szCs w:val="24"/>
          <w:color w:val="auto"/>
        </w:rPr>
      </w:pPr>
    </w:p>
    <w:p>
      <w:pPr>
        <w:ind w:left="4604"/>
        <w:spacing w:after="0"/>
        <w:rPr>
          <w:sz w:val="20"/>
          <w:szCs w:val="20"/>
          <w:color w:val="auto"/>
        </w:rPr>
      </w:pPr>
      <w:r>
        <w:rPr>
          <w:rFonts w:ascii="Arial" w:cs="Arial" w:eastAsia="Arial" w:hAnsi="Arial"/>
          <w:sz w:val="22"/>
          <w:szCs w:val="22"/>
          <w:b w:val="1"/>
          <w:bCs w:val="1"/>
          <w:color w:val="auto"/>
        </w:rPr>
        <w:t>(Amendment No. 1)</w:t>
      </w:r>
    </w:p>
    <w:p>
      <w:pPr>
        <w:spacing w:after="0" w:line="182" w:lineRule="exact"/>
        <w:rPr>
          <w:sz w:val="24"/>
          <w:szCs w:val="24"/>
          <w:color w:val="auto"/>
        </w:rPr>
      </w:pPr>
    </w:p>
    <w:p>
      <w:pPr>
        <w:ind w:left="2824"/>
        <w:spacing w:after="0"/>
        <w:rPr>
          <w:sz w:val="20"/>
          <w:szCs w:val="20"/>
          <w:color w:val="auto"/>
        </w:rPr>
      </w:pPr>
      <w:r>
        <w:rPr>
          <w:rFonts w:ascii="Arial" w:cs="Arial" w:eastAsia="Arial" w:hAnsi="Arial"/>
          <w:sz w:val="22"/>
          <w:szCs w:val="22"/>
          <w:b w:val="1"/>
          <w:bCs w:val="1"/>
          <w:color w:val="auto"/>
        </w:rPr>
        <w:t>Tender Offer Statement Under Section 14(d)(1) or 13(e)(1)</w:t>
      </w:r>
    </w:p>
    <w:p>
      <w:pPr>
        <w:spacing w:after="0" w:line="14" w:lineRule="exact"/>
        <w:rPr>
          <w:sz w:val="24"/>
          <w:szCs w:val="24"/>
          <w:color w:val="auto"/>
        </w:rPr>
      </w:pPr>
    </w:p>
    <w:p>
      <w:pPr>
        <w:ind w:left="3744"/>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2503170</wp:posOffset>
            </wp:positionH>
            <wp:positionV relativeFrom="paragraph">
              <wp:posOffset>484505</wp:posOffset>
            </wp:positionV>
            <wp:extent cx="1997710" cy="351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97710" cy="351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ind w:right="-984"/>
        <w:spacing w:after="0"/>
        <w:rPr>
          <w:sz w:val="20"/>
          <w:szCs w:val="20"/>
          <w:color w:val="auto"/>
        </w:rPr>
      </w:pPr>
      <w:r>
        <w:rPr>
          <w:rFonts w:ascii="Arial" w:cs="Arial" w:eastAsia="Arial" w:hAnsi="Arial"/>
          <w:sz w:val="40"/>
          <w:szCs w:val="40"/>
          <w:b w:val="1"/>
          <w:bCs w:val="1"/>
          <w:color w:val="auto"/>
        </w:rPr>
        <w:t>BIODESIX, INC.</w:t>
      </w:r>
    </w:p>
    <w:p>
      <w:pPr>
        <w:spacing w:after="0" w:line="35" w:lineRule="exact"/>
        <w:rPr>
          <w:sz w:val="24"/>
          <w:szCs w:val="24"/>
          <w:color w:val="auto"/>
        </w:rPr>
      </w:pPr>
    </w:p>
    <w:p>
      <w:pPr>
        <w:ind w:left="3024"/>
        <w:spacing w:after="0"/>
        <w:rPr>
          <w:sz w:val="20"/>
          <w:szCs w:val="20"/>
          <w:color w:val="auto"/>
        </w:rPr>
      </w:pPr>
      <w:r>
        <w:rPr>
          <w:rFonts w:ascii="Arial" w:cs="Arial" w:eastAsia="Arial" w:hAnsi="Arial"/>
          <w:sz w:val="18"/>
          <w:szCs w:val="18"/>
          <w:b w:val="1"/>
          <w:bCs w:val="1"/>
          <w:color w:val="auto"/>
        </w:rPr>
        <w:t>(Name of Subject Company (Issuer) and Filing Person (Offeror))</w:t>
      </w:r>
    </w:p>
    <w:p>
      <w:pPr>
        <w:spacing w:after="0" w:line="205" w:lineRule="exact"/>
        <w:rPr>
          <w:sz w:val="24"/>
          <w:szCs w:val="24"/>
          <w:color w:val="auto"/>
        </w:rPr>
      </w:pPr>
    </w:p>
    <w:p>
      <w:pPr>
        <w:jc w:val="center"/>
        <w:ind w:right="-984"/>
        <w:spacing w:after="0"/>
        <w:rPr>
          <w:sz w:val="20"/>
          <w:szCs w:val="20"/>
          <w:color w:val="auto"/>
        </w:rPr>
      </w:pPr>
      <w:r>
        <w:rPr>
          <w:rFonts w:ascii="Arial" w:cs="Arial" w:eastAsia="Arial" w:hAnsi="Arial"/>
          <w:sz w:val="18"/>
          <w:szCs w:val="18"/>
          <w:b w:val="1"/>
          <w:bCs w:val="1"/>
          <w:color w:val="auto"/>
        </w:rPr>
        <w:t>Options to Purchase Common Stock, Par Value $0.001 Per Share</w:t>
      </w:r>
    </w:p>
    <w:p>
      <w:pPr>
        <w:spacing w:after="0" w:line="21" w:lineRule="exact"/>
        <w:rPr>
          <w:sz w:val="24"/>
          <w:szCs w:val="24"/>
          <w:color w:val="auto"/>
        </w:rPr>
      </w:pPr>
    </w:p>
    <w:p>
      <w:pPr>
        <w:jc w:val="center"/>
        <w:ind w:right="-984"/>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984"/>
        <w:spacing w:after="0"/>
        <w:rPr>
          <w:sz w:val="20"/>
          <w:szCs w:val="20"/>
          <w:color w:val="auto"/>
        </w:rPr>
      </w:pPr>
      <w:r>
        <w:rPr>
          <w:rFonts w:ascii="Arial" w:cs="Arial" w:eastAsia="Arial" w:hAnsi="Arial"/>
          <w:sz w:val="18"/>
          <w:szCs w:val="18"/>
          <w:b w:val="1"/>
          <w:bCs w:val="1"/>
          <w:color w:val="auto"/>
        </w:rPr>
        <w:t>09075X108</w:t>
      </w:r>
    </w:p>
    <w:p>
      <w:pPr>
        <w:spacing w:after="0" w:line="21" w:lineRule="exact"/>
        <w:rPr>
          <w:sz w:val="24"/>
          <w:szCs w:val="24"/>
          <w:color w:val="auto"/>
        </w:rPr>
      </w:pPr>
    </w:p>
    <w:p>
      <w:pPr>
        <w:jc w:val="center"/>
        <w:ind w:right="-984"/>
        <w:spacing w:after="0"/>
        <w:rPr>
          <w:sz w:val="20"/>
          <w:szCs w:val="20"/>
          <w:color w:val="auto"/>
        </w:rPr>
      </w:pPr>
      <w:r>
        <w:rPr>
          <w:rFonts w:ascii="Arial" w:cs="Arial" w:eastAsia="Arial" w:hAnsi="Arial"/>
          <w:sz w:val="14"/>
          <w:szCs w:val="14"/>
          <w:b w:val="1"/>
          <w:bCs w:val="1"/>
          <w:color w:val="auto"/>
        </w:rPr>
        <w:t>(CUSIP Number of Class of Securities)</w:t>
      </w:r>
    </w:p>
    <w:p>
      <w:pPr>
        <w:spacing w:after="0" w:line="192" w:lineRule="exact"/>
        <w:rPr>
          <w:sz w:val="24"/>
          <w:szCs w:val="24"/>
          <w:color w:val="auto"/>
        </w:rPr>
      </w:pPr>
    </w:p>
    <w:p>
      <w:pPr>
        <w:jc w:val="center"/>
        <w:ind w:right="-984"/>
        <w:spacing w:after="0"/>
        <w:rPr>
          <w:sz w:val="20"/>
          <w:szCs w:val="20"/>
          <w:color w:val="auto"/>
        </w:rPr>
      </w:pPr>
      <w:r>
        <w:rPr>
          <w:rFonts w:ascii="Arial" w:cs="Arial" w:eastAsia="Arial" w:hAnsi="Arial"/>
          <w:sz w:val="18"/>
          <w:szCs w:val="18"/>
          <w:b w:val="1"/>
          <w:bCs w:val="1"/>
          <w:color w:val="auto"/>
        </w:rPr>
        <w:t>Scott Hutton</w:t>
      </w:r>
    </w:p>
    <w:p>
      <w:pPr>
        <w:spacing w:after="0" w:line="27" w:lineRule="exact"/>
        <w:rPr>
          <w:sz w:val="24"/>
          <w:szCs w:val="24"/>
          <w:color w:val="auto"/>
        </w:rPr>
      </w:pPr>
    </w:p>
    <w:p>
      <w:pPr>
        <w:jc w:val="center"/>
        <w:ind w:right="-984"/>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4"/>
          <w:szCs w:val="24"/>
          <w:color w:val="auto"/>
        </w:rPr>
      </w:pPr>
    </w:p>
    <w:p>
      <w:pPr>
        <w:jc w:val="center"/>
        <w:ind w:right="-984"/>
        <w:spacing w:after="0"/>
        <w:rPr>
          <w:sz w:val="20"/>
          <w:szCs w:val="20"/>
          <w:color w:val="auto"/>
        </w:rPr>
      </w:pPr>
      <w:r>
        <w:rPr>
          <w:rFonts w:ascii="Arial" w:cs="Arial" w:eastAsia="Arial" w:hAnsi="Arial"/>
          <w:sz w:val="18"/>
          <w:szCs w:val="18"/>
          <w:b w:val="1"/>
          <w:bCs w:val="1"/>
          <w:color w:val="auto"/>
        </w:rPr>
        <w:t>Biodesix, Inc.</w:t>
      </w:r>
    </w:p>
    <w:p>
      <w:pPr>
        <w:spacing w:after="0" w:line="9" w:lineRule="exact"/>
        <w:rPr>
          <w:sz w:val="24"/>
          <w:szCs w:val="24"/>
          <w:color w:val="auto"/>
        </w:rPr>
      </w:pPr>
    </w:p>
    <w:p>
      <w:pPr>
        <w:jc w:val="center"/>
        <w:ind w:right="-984"/>
        <w:spacing w:after="0"/>
        <w:rPr>
          <w:sz w:val="20"/>
          <w:szCs w:val="20"/>
          <w:color w:val="auto"/>
        </w:rPr>
      </w:pPr>
      <w:r>
        <w:rPr>
          <w:rFonts w:ascii="Arial" w:cs="Arial" w:eastAsia="Arial" w:hAnsi="Arial"/>
          <w:sz w:val="18"/>
          <w:szCs w:val="18"/>
          <w:b w:val="1"/>
          <w:bCs w:val="1"/>
          <w:color w:val="auto"/>
        </w:rPr>
        <w:t>2970 Wilderness Place, Suite 100</w:t>
      </w:r>
    </w:p>
    <w:p>
      <w:pPr>
        <w:spacing w:after="0" w:line="9" w:lineRule="exact"/>
        <w:rPr>
          <w:sz w:val="24"/>
          <w:szCs w:val="24"/>
          <w:color w:val="auto"/>
        </w:rPr>
      </w:pPr>
    </w:p>
    <w:p>
      <w:pPr>
        <w:jc w:val="center"/>
        <w:ind w:right="-984"/>
        <w:spacing w:after="0"/>
        <w:rPr>
          <w:sz w:val="20"/>
          <w:szCs w:val="20"/>
          <w:color w:val="auto"/>
        </w:rPr>
      </w:pPr>
      <w:r>
        <w:rPr>
          <w:rFonts w:ascii="Arial" w:cs="Arial" w:eastAsia="Arial" w:hAnsi="Arial"/>
          <w:sz w:val="18"/>
          <w:szCs w:val="18"/>
          <w:b w:val="1"/>
          <w:bCs w:val="1"/>
          <w:color w:val="auto"/>
        </w:rPr>
        <w:t>Boulder, Colorado 80301</w:t>
      </w:r>
    </w:p>
    <w:p>
      <w:pPr>
        <w:spacing w:after="0" w:line="9" w:lineRule="exact"/>
        <w:rPr>
          <w:sz w:val="24"/>
          <w:szCs w:val="24"/>
          <w:color w:val="auto"/>
        </w:rPr>
      </w:pPr>
    </w:p>
    <w:p>
      <w:pPr>
        <w:jc w:val="center"/>
        <w:ind w:right="-984"/>
        <w:spacing w:after="0"/>
        <w:rPr>
          <w:sz w:val="20"/>
          <w:szCs w:val="20"/>
          <w:color w:val="auto"/>
        </w:rPr>
      </w:pPr>
      <w:r>
        <w:rPr>
          <w:rFonts w:ascii="Arial" w:cs="Arial" w:eastAsia="Arial" w:hAnsi="Arial"/>
          <w:sz w:val="18"/>
          <w:szCs w:val="18"/>
          <w:b w:val="1"/>
          <w:bCs w:val="1"/>
          <w:color w:val="auto"/>
        </w:rPr>
        <w:t>(303) 417-0500</w:t>
      </w:r>
    </w:p>
    <w:p>
      <w:pPr>
        <w:spacing w:after="0" w:line="2" w:lineRule="exact"/>
        <w:rPr>
          <w:sz w:val="24"/>
          <w:szCs w:val="24"/>
          <w:color w:val="auto"/>
        </w:rPr>
      </w:pPr>
    </w:p>
    <w:p>
      <w:pPr>
        <w:jc w:val="center"/>
        <w:ind w:right="-984"/>
        <w:spacing w:after="0"/>
        <w:rPr>
          <w:sz w:val="20"/>
          <w:szCs w:val="20"/>
          <w:color w:val="auto"/>
        </w:rPr>
      </w:pPr>
      <w:r>
        <w:rPr>
          <w:rFonts w:ascii="Arial" w:cs="Arial" w:eastAsia="Arial" w:hAnsi="Arial"/>
          <w:sz w:val="12"/>
          <w:szCs w:val="12"/>
          <w:b w:val="1"/>
          <w:bCs w:val="1"/>
          <w:color w:val="auto"/>
        </w:rPr>
        <w:t>(Name, Address and Telephone Number of Person Authorized to Receive Notices and Communications on Behalf of Filing Person)</w:t>
      </w:r>
    </w:p>
    <w:p>
      <w:pPr>
        <w:spacing w:after="0" w:line="219" w:lineRule="exact"/>
        <w:rPr>
          <w:sz w:val="24"/>
          <w:szCs w:val="24"/>
          <w:color w:val="auto"/>
        </w:rPr>
      </w:pPr>
    </w:p>
    <w:p>
      <w:pPr>
        <w:jc w:val="center"/>
        <w:ind w:right="-984"/>
        <w:spacing w:after="0"/>
        <w:rPr>
          <w:sz w:val="20"/>
          <w:szCs w:val="20"/>
          <w:color w:val="auto"/>
        </w:rPr>
      </w:pPr>
      <w:r>
        <w:rPr>
          <w:rFonts w:ascii="Arial" w:cs="Arial" w:eastAsia="Arial" w:hAnsi="Arial"/>
          <w:sz w:val="18"/>
          <w:szCs w:val="18"/>
          <w:b w:val="1"/>
          <w:bCs w:val="1"/>
          <w:i w:val="1"/>
          <w:iCs w:val="1"/>
          <w:color w:val="auto"/>
        </w:rPr>
        <w:t>Copies to:</w:t>
      </w:r>
    </w:p>
    <w:p>
      <w:pPr>
        <w:spacing w:after="0" w:line="221" w:lineRule="exact"/>
        <w:rPr>
          <w:sz w:val="24"/>
          <w:szCs w:val="24"/>
          <w:color w:val="auto"/>
        </w:rPr>
      </w:pPr>
    </w:p>
    <w:p>
      <w:pPr>
        <w:jc w:val="center"/>
        <w:ind w:right="-984"/>
        <w:spacing w:after="0"/>
        <w:rPr>
          <w:sz w:val="20"/>
          <w:szCs w:val="20"/>
          <w:color w:val="auto"/>
        </w:rPr>
      </w:pPr>
      <w:r>
        <w:rPr>
          <w:rFonts w:ascii="Arial" w:cs="Arial" w:eastAsia="Arial" w:hAnsi="Arial"/>
          <w:sz w:val="18"/>
          <w:szCs w:val="18"/>
          <w:b w:val="1"/>
          <w:bCs w:val="1"/>
          <w:color w:val="auto"/>
        </w:rPr>
        <w:t>Frank F. Rahmani, Esq.</w:t>
      </w:r>
    </w:p>
    <w:p>
      <w:pPr>
        <w:spacing w:after="0" w:line="27" w:lineRule="exact"/>
        <w:rPr>
          <w:sz w:val="24"/>
          <w:szCs w:val="24"/>
          <w:color w:val="auto"/>
        </w:rPr>
      </w:pPr>
    </w:p>
    <w:p>
      <w:pPr>
        <w:jc w:val="center"/>
        <w:ind w:right="-984"/>
        <w:spacing w:after="0"/>
        <w:rPr>
          <w:sz w:val="20"/>
          <w:szCs w:val="20"/>
          <w:color w:val="auto"/>
        </w:rPr>
      </w:pPr>
      <w:r>
        <w:rPr>
          <w:rFonts w:ascii="Arial" w:cs="Arial" w:eastAsia="Arial" w:hAnsi="Arial"/>
          <w:sz w:val="18"/>
          <w:szCs w:val="18"/>
          <w:b w:val="1"/>
          <w:bCs w:val="1"/>
          <w:color w:val="auto"/>
        </w:rPr>
        <w:t>Samir A. Gandhi, Esq.</w:t>
      </w:r>
    </w:p>
    <w:p>
      <w:pPr>
        <w:spacing w:after="0" w:line="9" w:lineRule="exact"/>
        <w:rPr>
          <w:sz w:val="24"/>
          <w:szCs w:val="24"/>
          <w:color w:val="auto"/>
        </w:rPr>
      </w:pPr>
    </w:p>
    <w:p>
      <w:pPr>
        <w:jc w:val="center"/>
        <w:ind w:right="-984"/>
        <w:spacing w:after="0"/>
        <w:rPr>
          <w:sz w:val="20"/>
          <w:szCs w:val="20"/>
          <w:color w:val="auto"/>
        </w:rPr>
      </w:pPr>
      <w:r>
        <w:rPr>
          <w:rFonts w:ascii="Arial" w:cs="Arial" w:eastAsia="Arial" w:hAnsi="Arial"/>
          <w:sz w:val="18"/>
          <w:szCs w:val="18"/>
          <w:b w:val="1"/>
          <w:bCs w:val="1"/>
          <w:color w:val="auto"/>
        </w:rPr>
        <w:t>Sidley Austin LLP</w:t>
      </w:r>
    </w:p>
    <w:p>
      <w:pPr>
        <w:spacing w:after="0" w:line="9" w:lineRule="exact"/>
        <w:rPr>
          <w:sz w:val="24"/>
          <w:szCs w:val="24"/>
          <w:color w:val="auto"/>
        </w:rPr>
      </w:pPr>
    </w:p>
    <w:p>
      <w:pPr>
        <w:jc w:val="center"/>
        <w:ind w:right="-984"/>
        <w:spacing w:after="0"/>
        <w:rPr>
          <w:sz w:val="20"/>
          <w:szCs w:val="20"/>
          <w:color w:val="auto"/>
        </w:rPr>
      </w:pPr>
      <w:r>
        <w:rPr>
          <w:rFonts w:ascii="Arial" w:cs="Arial" w:eastAsia="Arial" w:hAnsi="Arial"/>
          <w:sz w:val="18"/>
          <w:szCs w:val="18"/>
          <w:b w:val="1"/>
          <w:bCs w:val="1"/>
          <w:color w:val="auto"/>
        </w:rPr>
        <w:t>555 California Street, Suite 2000</w:t>
      </w:r>
    </w:p>
    <w:p>
      <w:pPr>
        <w:spacing w:after="0" w:line="9" w:lineRule="exact"/>
        <w:rPr>
          <w:sz w:val="24"/>
          <w:szCs w:val="24"/>
          <w:color w:val="auto"/>
        </w:rPr>
      </w:pPr>
    </w:p>
    <w:p>
      <w:pPr>
        <w:jc w:val="center"/>
        <w:ind w:right="-984"/>
        <w:spacing w:after="0"/>
        <w:rPr>
          <w:sz w:val="20"/>
          <w:szCs w:val="20"/>
          <w:color w:val="auto"/>
        </w:rPr>
      </w:pPr>
      <w:r>
        <w:rPr>
          <w:rFonts w:ascii="Arial" w:cs="Arial" w:eastAsia="Arial" w:hAnsi="Arial"/>
          <w:sz w:val="18"/>
          <w:szCs w:val="18"/>
          <w:b w:val="1"/>
          <w:bCs w:val="1"/>
          <w:color w:val="auto"/>
        </w:rPr>
        <w:t>San Francisco, California 94104</w:t>
      </w:r>
    </w:p>
    <w:p>
      <w:pPr>
        <w:spacing w:after="0" w:line="9" w:lineRule="exact"/>
        <w:rPr>
          <w:sz w:val="24"/>
          <w:szCs w:val="24"/>
          <w:color w:val="auto"/>
        </w:rPr>
      </w:pPr>
    </w:p>
    <w:p>
      <w:pPr>
        <w:jc w:val="center"/>
        <w:ind w:right="-984"/>
        <w:spacing w:after="0"/>
        <w:rPr>
          <w:sz w:val="20"/>
          <w:szCs w:val="20"/>
          <w:color w:val="auto"/>
        </w:rPr>
      </w:pPr>
      <w:r>
        <w:rPr>
          <w:rFonts w:ascii="Arial" w:cs="Arial" w:eastAsia="Arial" w:hAnsi="Arial"/>
          <w:sz w:val="18"/>
          <w:szCs w:val="18"/>
          <w:b w:val="1"/>
          <w:bCs w:val="1"/>
          <w:color w:val="auto"/>
        </w:rPr>
        <w:t>Telephone: (415) 772-1200</w:t>
      </w:r>
    </w:p>
    <w:p>
      <w:pPr>
        <w:spacing w:after="0" w:line="9" w:lineRule="exact"/>
        <w:rPr>
          <w:sz w:val="24"/>
          <w:szCs w:val="24"/>
          <w:color w:val="auto"/>
        </w:rPr>
      </w:pPr>
    </w:p>
    <w:p>
      <w:pPr>
        <w:jc w:val="center"/>
        <w:ind w:right="-984"/>
        <w:spacing w:after="0"/>
        <w:rPr>
          <w:sz w:val="20"/>
          <w:szCs w:val="20"/>
          <w:color w:val="auto"/>
        </w:rPr>
      </w:pPr>
      <w:r>
        <w:rPr>
          <w:rFonts w:ascii="Arial" w:cs="Arial" w:eastAsia="Arial" w:hAnsi="Arial"/>
          <w:sz w:val="18"/>
          <w:szCs w:val="18"/>
          <w:b w:val="1"/>
          <w:bCs w:val="1"/>
          <w:color w:val="auto"/>
        </w:rPr>
        <w:t>Fax: (415) 772-7400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228600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444" w:hanging="444"/>
        <w:spacing w:after="0"/>
        <w:tabs>
          <w:tab w:leader="none" w:pos="44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Check the box if the filing relates solely to preliminary communications made before the commencement of a tender offer.</w:t>
      </w:r>
    </w:p>
    <w:p>
      <w:pPr>
        <w:spacing w:after="0" w:line="248"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boxes below to designate any transactions to which the statement relates:</w:t>
      </w:r>
    </w:p>
    <w:p>
      <w:pPr>
        <w:spacing w:after="0" w:line="131" w:lineRule="exact"/>
        <w:rPr>
          <w:sz w:val="24"/>
          <w:szCs w:val="24"/>
          <w:color w:val="auto"/>
        </w:rPr>
      </w:pPr>
    </w:p>
    <w:p>
      <w:pPr>
        <w:ind w:left="984" w:hanging="544"/>
        <w:spacing w:after="0"/>
        <w:tabs>
          <w:tab w:leader="none" w:pos="98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third party tender offer subject to Rule 14d-1.</w:t>
      </w:r>
    </w:p>
    <w:p>
      <w:pPr>
        <w:spacing w:after="0" w:line="131" w:lineRule="exact"/>
        <w:rPr>
          <w:sz w:val="24"/>
          <w:szCs w:val="24"/>
          <w:color w:val="auto"/>
        </w:rPr>
      </w:pPr>
    </w:p>
    <w:p>
      <w:pPr>
        <w:ind w:left="984" w:hanging="544"/>
        <w:spacing w:after="0"/>
        <w:tabs>
          <w:tab w:leader="none" w:pos="98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Issuer tender offer subject to Rule 13e-4.</w:t>
      </w:r>
    </w:p>
    <w:p>
      <w:pPr>
        <w:spacing w:after="0" w:line="131" w:lineRule="exact"/>
        <w:rPr>
          <w:sz w:val="24"/>
          <w:szCs w:val="24"/>
          <w:color w:val="auto"/>
        </w:rPr>
      </w:pPr>
    </w:p>
    <w:p>
      <w:pPr>
        <w:ind w:left="984" w:hanging="544"/>
        <w:spacing w:after="0"/>
        <w:tabs>
          <w:tab w:leader="none" w:pos="98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going-private transaction subject to Rule 13e-3.</w:t>
      </w:r>
    </w:p>
    <w:p>
      <w:pPr>
        <w:spacing w:after="0" w:line="130" w:lineRule="exact"/>
        <w:rPr>
          <w:rFonts w:ascii="MS PGothic" w:cs="MS PGothic" w:eastAsia="MS PGothic" w:hAnsi="MS PGothic"/>
          <w:sz w:val="18"/>
          <w:szCs w:val="18"/>
          <w:color w:val="auto"/>
        </w:rPr>
      </w:pPr>
    </w:p>
    <w:p>
      <w:pPr>
        <w:ind w:left="984" w:hanging="544"/>
        <w:spacing w:after="0"/>
        <w:tabs>
          <w:tab w:leader="none" w:pos="98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amendment to Schedule 13D under Rule 13d-2.</w:t>
      </w:r>
    </w:p>
    <w:p>
      <w:pPr>
        <w:spacing w:after="0" w:line="180"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70" w:lineRule="exact"/>
        <w:rPr>
          <w:sz w:val="24"/>
          <w:szCs w:val="24"/>
          <w:color w:val="auto"/>
        </w:rPr>
      </w:pPr>
    </w:p>
    <w:p>
      <w:pPr>
        <w:ind w:left="4"/>
        <w:spacing w:after="0"/>
        <w:rPr>
          <w:sz w:val="20"/>
          <w:szCs w:val="20"/>
          <w:color w:val="auto"/>
        </w:rPr>
      </w:pPr>
      <w:r>
        <w:rPr>
          <w:rFonts w:ascii="Arial" w:cs="Arial" w:eastAsia="Arial" w:hAnsi="Arial"/>
          <w:sz w:val="18"/>
          <w:szCs w:val="18"/>
          <w:color w:val="auto"/>
        </w:rPr>
        <w:t>If applicable, check the appropriate box(es) below to designate the appropriate rule provision(s) relied upon:</w:t>
      </w:r>
    </w:p>
    <w:p>
      <w:pPr>
        <w:spacing w:after="0" w:line="131" w:lineRule="exact"/>
        <w:rPr>
          <w:sz w:val="24"/>
          <w:szCs w:val="24"/>
          <w:color w:val="auto"/>
        </w:rPr>
      </w:pPr>
    </w:p>
    <w:p>
      <w:pPr>
        <w:ind w:left="984" w:hanging="544"/>
        <w:spacing w:after="0"/>
        <w:tabs>
          <w:tab w:leader="none" w:pos="98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Rule 13e-4(i) (Cross-Border Issuer Tender Offer)</w:t>
      </w:r>
    </w:p>
    <w:p>
      <w:pPr>
        <w:spacing w:after="0" w:line="130" w:lineRule="exact"/>
        <w:rPr>
          <w:rFonts w:ascii="MS PGothic" w:cs="MS PGothic" w:eastAsia="MS PGothic" w:hAnsi="MS PGothic"/>
          <w:sz w:val="18"/>
          <w:szCs w:val="18"/>
          <w:color w:val="auto"/>
        </w:rPr>
      </w:pPr>
    </w:p>
    <w:p>
      <w:pPr>
        <w:ind w:left="984" w:hanging="544"/>
        <w:spacing w:after="0"/>
        <w:tabs>
          <w:tab w:leader="none" w:pos="98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220345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517" w:right="1440" w:bottom="1440" w:gutter="0" w:footer="0" w:header="0"/>
        </w:sectPr>
      </w:pPr>
    </w:p>
    <w:bookmarkStart w:id="1" w:name="page2"/>
    <w:bookmarkEnd w:id="1"/>
    <w:p>
      <w:pPr>
        <w:ind w:right="1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This Amendment No. 1 to the Tender Offer Statement on Schedule TO (this “</w:t>
      </w:r>
      <w:r>
        <w:rPr>
          <w:rFonts w:ascii="Arial" w:cs="Arial" w:eastAsia="Arial" w:hAnsi="Arial"/>
          <w:sz w:val="18"/>
          <w:szCs w:val="18"/>
          <w:b w:val="1"/>
          <w:bCs w:val="1"/>
          <w:i w:val="1"/>
          <w:iCs w:val="1"/>
          <w:color w:val="auto"/>
        </w:rPr>
        <w:t>Amendment</w:t>
      </w:r>
      <w:r>
        <w:rPr>
          <w:rFonts w:ascii="Arial" w:cs="Arial" w:eastAsia="Arial" w:hAnsi="Arial"/>
          <w:sz w:val="18"/>
          <w:szCs w:val="18"/>
          <w:color w:val="auto"/>
        </w:rPr>
        <w:t>”) amends and supplements the Tender Offer Statement on Schedule TO filed with the U.S.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on June 23, 2023 (as amended, the “</w:t>
      </w:r>
      <w:r>
        <w:rPr>
          <w:rFonts w:ascii="Arial" w:cs="Arial" w:eastAsia="Arial" w:hAnsi="Arial"/>
          <w:sz w:val="18"/>
          <w:szCs w:val="18"/>
          <w:b w:val="1"/>
          <w:bCs w:val="1"/>
          <w:i w:val="1"/>
          <w:iCs w:val="1"/>
          <w:color w:val="auto"/>
        </w:rPr>
        <w:t>Schedule TO</w:t>
      </w:r>
      <w:r>
        <w:rPr>
          <w:rFonts w:ascii="Arial" w:cs="Arial" w:eastAsia="Arial" w:hAnsi="Arial"/>
          <w:sz w:val="18"/>
          <w:szCs w:val="18"/>
          <w:color w:val="auto"/>
        </w:rPr>
        <w:t>”), by Biodesix,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relating to the offer by the Company to certain employee optionholders to exchange certain outstanding options to purchase the Company’s common shares for new options to purchase the Company’s common shares (the “</w:t>
      </w:r>
      <w:r>
        <w:rPr>
          <w:rFonts w:ascii="Arial" w:cs="Arial" w:eastAsia="Arial" w:hAnsi="Arial"/>
          <w:sz w:val="18"/>
          <w:szCs w:val="18"/>
          <w:b w:val="1"/>
          <w:bCs w:val="1"/>
          <w:i w:val="1"/>
          <w:iCs w:val="1"/>
          <w:color w:val="auto"/>
        </w:rPr>
        <w:t>Exchange Offer</w:t>
      </w:r>
      <w:r>
        <w:rPr>
          <w:rFonts w:ascii="Arial" w:cs="Arial" w:eastAsia="Arial" w:hAnsi="Arial"/>
          <w:sz w:val="18"/>
          <w:szCs w:val="18"/>
          <w:color w:val="auto"/>
        </w:rPr>
        <w:t xml:space="preserve">”). This Amendment should be read in conjunction with the Schedule TO and its exhibits. This Amendment is made to amend and supplement the Offer to Exchange Eligible Options for New Options, dated June 23, 2023 (the </w:t>
      </w:r>
      <w:r>
        <w:rPr>
          <w:rFonts w:ascii="Arial" w:cs="Arial" w:eastAsia="Arial" w:hAnsi="Arial"/>
          <w:sz w:val="18"/>
          <w:szCs w:val="18"/>
          <w:b w:val="1"/>
          <w:bCs w:val="1"/>
          <w:i w:val="1"/>
          <w:iCs w:val="1"/>
          <w:color w:val="auto"/>
        </w:rPr>
        <w:t>“Offer to Exchange</w:t>
      </w:r>
      <w:r>
        <w:rPr>
          <w:rFonts w:ascii="Arial" w:cs="Arial" w:eastAsia="Arial" w:hAnsi="Arial"/>
          <w:sz w:val="18"/>
          <w:szCs w:val="18"/>
          <w:color w:val="auto"/>
        </w:rPr>
        <w:t>”), filed as Exhibit (a)(1)(A) to the Schedule TO and responses to certain items of the Schedule TO.</w:t>
      </w:r>
    </w:p>
    <w:p>
      <w:pPr>
        <w:spacing w:after="0" w:line="19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Only those items amended are reported in this Amendment. Except as specifically set forth herein, this Amendment does not modify any of the information previously reported on the Schedule TO. You should read this Amendment together with the Schedule TO. All capitalized terms used herein have the same meanings as given in the Exchange Offer.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the Schedule TO</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ITEM 7 (“</w:t>
      </w:r>
      <w:r>
        <w:rPr>
          <w:rFonts w:ascii="Arial" w:cs="Arial" w:eastAsia="Arial" w:hAnsi="Arial"/>
          <w:sz w:val="18"/>
          <w:szCs w:val="18"/>
          <w:i w:val="1"/>
          <w:iCs w:val="1"/>
          <w:color w:val="auto"/>
        </w:rPr>
        <w:t>Source and Amount of Funds or Other Consideration</w:t>
      </w:r>
      <w:r>
        <w:rPr>
          <w:rFonts w:ascii="Arial" w:cs="Arial" w:eastAsia="Arial" w:hAnsi="Arial"/>
          <w:sz w:val="18"/>
          <w:szCs w:val="18"/>
          <w:color w:val="auto"/>
        </w:rPr>
        <w:t>”), the response to ITEM 7(b) (“</w:t>
      </w:r>
      <w:r>
        <w:rPr>
          <w:rFonts w:ascii="Arial" w:cs="Arial" w:eastAsia="Arial" w:hAnsi="Arial"/>
          <w:sz w:val="18"/>
          <w:szCs w:val="18"/>
          <w:i w:val="1"/>
          <w:iCs w:val="1"/>
          <w:color w:val="auto"/>
        </w:rPr>
        <w:t>Conditions</w:t>
      </w:r>
      <w:r>
        <w:rPr>
          <w:rFonts w:ascii="Arial" w:cs="Arial" w:eastAsia="Arial" w:hAnsi="Arial"/>
          <w:sz w:val="18"/>
          <w:szCs w:val="18"/>
          <w:color w:val="auto"/>
        </w:rPr>
        <w:t>”) is restated as follows: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i w:val="1"/>
          <w:iCs w:val="1"/>
          <w:color w:val="auto"/>
        </w:rPr>
        <w:t>Conditions</w:t>
      </w:r>
      <w:r>
        <w:rPr>
          <w:rFonts w:ascii="Arial" w:cs="Arial" w:eastAsia="Arial" w:hAnsi="Arial"/>
          <w:sz w:val="18"/>
          <w:szCs w:val="18"/>
          <w:color w:val="auto"/>
        </w:rPr>
        <w:t>. 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the Offer to Exchange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Offer to Exchange and the corresponding Items of the Schedule TO into which such information is incorporated by reference are hereby amended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Section 4 (Withdrawal Rights</w:t>
      </w:r>
      <w:r>
        <w:rPr>
          <w:rFonts w:ascii="Arial" w:cs="Arial" w:eastAsia="Arial" w:hAnsi="Arial"/>
          <w:sz w:val="18"/>
          <w:szCs w:val="18"/>
          <w:i w:val="1"/>
          <w:iCs w:val="1"/>
          <w:color w:val="auto"/>
        </w:rPr>
        <w:t>),</w:t>
      </w:r>
      <w:r>
        <w:rPr>
          <w:rFonts w:ascii="Arial" w:cs="Arial" w:eastAsia="Arial" w:hAnsi="Arial"/>
          <w:sz w:val="18"/>
          <w:szCs w:val="18"/>
          <w:color w:val="auto"/>
        </w:rPr>
        <w:t xml:space="preserve"> the third paragraph is revised as follows:</w:t>
      </w:r>
    </w:p>
    <w:p>
      <w:pPr>
        <w:spacing w:after="0" w:line="117" w:lineRule="exact"/>
        <w:rPr>
          <w:sz w:val="20"/>
          <w:szCs w:val="20"/>
          <w:color w:val="auto"/>
        </w:rPr>
      </w:pPr>
    </w:p>
    <w:p>
      <w:pPr>
        <w:ind w:left="440" w:right="100"/>
        <w:spacing w:after="0" w:line="290" w:lineRule="auto"/>
        <w:rPr>
          <w:sz w:val="20"/>
          <w:szCs w:val="20"/>
          <w:color w:val="auto"/>
        </w:rPr>
      </w:pPr>
      <w:r>
        <w:rPr>
          <w:rFonts w:ascii="Arial" w:cs="Arial" w:eastAsia="Arial" w:hAnsi="Arial"/>
          <w:sz w:val="16"/>
          <w:szCs w:val="16"/>
          <w:color w:val="auto"/>
        </w:rPr>
        <w:t>To validly withdraw tendered Eligible Options, you must deliver to us (using the same delivery method described in Section 3) a properly completed and signed Notice of Withdrawal of Election Form (“Notice of Withdrawal”) during a period in which you have the right to withdraw the tendered Eligible Options. Your tendered Eligible Options will not be considered withdrawn until we receive your properly completed and signed Notice of Withdrawal. If you miss the deadline for withdrawal but remain an Eligible Holder, we will exchange any previously tendered Eligible Options pursuant to the Exchange Offer and your previously submitted Election Form. You may also withdraw your tendered Eligible Options pursuant to Rule 13e-4(f)(2) under the Exchange Act if they have not been accepted by us for exchange within 40 business days from the commencement of the Exchange Offer. For purposes of the Exchange Offer, a “business day” means any day other than a Saturday, Sunday or United States federal holiday and consists of the time period from 12:00 a.m. through 11:59 p.m., Mountain Time.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Section 3 (Procedures for Tendering Eligible Options – </w:t>
      </w:r>
      <w:r>
        <w:rPr>
          <w:rFonts w:ascii="Arial" w:cs="Arial" w:eastAsia="Arial" w:hAnsi="Arial"/>
          <w:sz w:val="16"/>
          <w:szCs w:val="16"/>
          <w:i w:val="1"/>
          <w:iCs w:val="1"/>
          <w:color w:val="auto"/>
        </w:rPr>
        <w:t>Determination of Validity; Rejection of Eligible Options; Waiver of Defects; No Obligation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Give Notice of Defects), </w:t>
      </w:r>
      <w:r>
        <w:rPr>
          <w:rFonts w:ascii="Arial" w:cs="Arial" w:eastAsia="Arial" w:hAnsi="Arial"/>
          <w:sz w:val="18"/>
          <w:szCs w:val="18"/>
          <w:color w:val="auto"/>
        </w:rPr>
        <w:t>the fourth paragraph is revised as follows:</w:t>
      </w:r>
    </w:p>
    <w:p>
      <w:pPr>
        <w:spacing w:after="0" w:line="103" w:lineRule="exact"/>
        <w:rPr>
          <w:sz w:val="20"/>
          <w:szCs w:val="20"/>
          <w:color w:val="auto"/>
        </w:rPr>
      </w:pPr>
    </w:p>
    <w:p>
      <w:pPr>
        <w:ind w:left="440" w:right="80"/>
        <w:spacing w:after="0" w:line="259" w:lineRule="auto"/>
        <w:rPr>
          <w:sz w:val="20"/>
          <w:szCs w:val="20"/>
          <w:color w:val="auto"/>
        </w:rPr>
      </w:pPr>
      <w:r>
        <w:rPr>
          <w:rFonts w:ascii="Arial" w:cs="Arial" w:eastAsia="Arial" w:hAnsi="Arial"/>
          <w:sz w:val="18"/>
          <w:szCs w:val="18"/>
          <w:color w:val="auto"/>
        </w:rPr>
        <w:t>The Exchange Offer is a one-time offer, and we will strictly enforce the offer period, subject only to any extension of the Expiration Time that we may grant in our sole discretion. Subject to Rule 13e-4 under the Exchange Act, we also reserve the right to generally waive any of the conditions of the Exchange Offer or any defect or irregularity in any tender with respect to any particular Eligible Options or any particular Eligible Holder (with any such waiver to be applied consistently among all Eligible 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In Section 6 (</w:t>
      </w:r>
      <w:r>
        <w:rPr>
          <w:rFonts w:ascii="Arial" w:cs="Arial" w:eastAsia="Arial" w:hAnsi="Arial"/>
          <w:sz w:val="18"/>
          <w:szCs w:val="18"/>
          <w:b w:val="1"/>
          <w:bCs w:val="1"/>
          <w:color w:val="auto"/>
        </w:rPr>
        <w:t>Conditions of the Exchange Offer</w:t>
      </w:r>
      <w:r>
        <w:rPr>
          <w:rFonts w:ascii="Arial" w:cs="Arial" w:eastAsia="Arial" w:hAnsi="Arial"/>
          <w:sz w:val="18"/>
          <w:szCs w:val="18"/>
          <w:i w:val="1"/>
          <w:iCs w:val="1"/>
          <w:color w:val="auto"/>
        </w:rPr>
        <w:t>),</w:t>
      </w:r>
      <w:r>
        <w:rPr>
          <w:rFonts w:ascii="Arial" w:cs="Arial" w:eastAsia="Arial" w:hAnsi="Arial"/>
          <w:sz w:val="18"/>
          <w:szCs w:val="18"/>
          <w:color w:val="auto"/>
        </w:rPr>
        <w:t xml:space="preserve"> the first sub-bullet of the third bullet is revised as follows:</w:t>
      </w:r>
    </w:p>
    <w:p>
      <w:pPr>
        <w:spacing w:after="0" w:line="135" w:lineRule="exact"/>
        <w:rPr>
          <w:sz w:val="20"/>
          <w:szCs w:val="20"/>
          <w:color w:val="auto"/>
        </w:rPr>
      </w:pPr>
    </w:p>
    <w:p>
      <w:pPr>
        <w:ind w:left="980" w:hanging="54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there will have occurred:</w:t>
      </w:r>
    </w:p>
    <w:p>
      <w:pPr>
        <w:spacing w:after="0" w:line="130" w:lineRule="exact"/>
        <w:rPr>
          <w:rFonts w:ascii="Arial" w:cs="Arial" w:eastAsia="Arial" w:hAnsi="Arial"/>
          <w:sz w:val="18"/>
          <w:szCs w:val="18"/>
          <w:color w:val="auto"/>
        </w:rPr>
      </w:pPr>
    </w:p>
    <w:p>
      <w:pPr>
        <w:ind w:left="1420" w:right="1000" w:hanging="433"/>
        <w:spacing w:after="0" w:line="277" w:lineRule="auto"/>
        <w:tabs>
          <w:tab w:leader="none" w:pos="142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general suspension of trading in securities on any national securities exchange or automated quotation system or in the over-the-counter market;</w:t>
      </w:r>
    </w:p>
    <w:p>
      <w:pPr>
        <w:sectPr>
          <w:pgSz w:w="11900" w:h="16838" w:orient="portrait"/>
          <w:cols w:equalWidth="0" w:num="1">
            <w:col w:w="11000"/>
          </w:cols>
          <w:pgMar w:left="440" w:top="490" w:right="459" w:bottom="1440" w:gutter="0" w:footer="0" w:header="0"/>
        </w:sectPr>
      </w:pPr>
    </w:p>
    <w:bookmarkStart w:id="2" w:name="page3"/>
    <w:bookmarkEnd w:id="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In Section 6 (Conditions of the Exchange Offer</w:t>
      </w:r>
      <w:r>
        <w:rPr>
          <w:rFonts w:ascii="Arial" w:cs="Arial" w:eastAsia="Arial" w:hAnsi="Arial"/>
          <w:sz w:val="18"/>
          <w:szCs w:val="18"/>
          <w:i w:val="1"/>
          <w:iCs w:val="1"/>
          <w:color w:val="auto"/>
        </w:rPr>
        <w:t>),</w:t>
      </w:r>
      <w:r>
        <w:rPr>
          <w:rFonts w:ascii="Arial" w:cs="Arial" w:eastAsia="Arial" w:hAnsi="Arial"/>
          <w:sz w:val="18"/>
          <w:szCs w:val="18"/>
          <w:color w:val="auto"/>
        </w:rPr>
        <w:t xml:space="preserve"> the last paragraph is revised as follows:</w:t>
      </w:r>
    </w:p>
    <w:p>
      <w:pPr>
        <w:spacing w:after="0" w:line="117" w:lineRule="exact"/>
        <w:rPr>
          <w:sz w:val="20"/>
          <w:szCs w:val="20"/>
          <w:color w:val="auto"/>
        </w:rPr>
      </w:pPr>
    </w:p>
    <w:p>
      <w:pPr>
        <w:ind w:left="444" w:right="100"/>
        <w:spacing w:after="0" w:line="296" w:lineRule="auto"/>
        <w:rPr>
          <w:sz w:val="20"/>
          <w:szCs w:val="20"/>
          <w:color w:val="auto"/>
        </w:rPr>
      </w:pPr>
      <w:r>
        <w:rPr>
          <w:rFonts w:ascii="Arial" w:cs="Arial" w:eastAsia="Arial" w:hAnsi="Arial"/>
          <w:sz w:val="16"/>
          <w:szCs w:val="16"/>
          <w:color w:val="auto"/>
        </w:rPr>
        <w:t>The conditions to the Exchange Offer are for Biodesix’s benefit. We may assert them prior to the Expiration Time regardless of the circumstances giving rise to them (other than circumstances caused by our action or inaction). We may waive the conditions, in whole or in part, prior to our acceptance of your tendered Eligible Options for exchange, whether or not we waive any other condition to the Exchange Offer (with any such waiver to be applied consistently among all Eligible Holders). Subject to any order or decision by a court or arbitrator of competent jurisdiction, any determination we make concerning the events described in this Section 6 will be final and binding upon all persons.</w:t>
      </w:r>
    </w:p>
    <w:p>
      <w:pPr>
        <w:spacing w:after="0" w:line="161"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Section 7. Price Range of Our Common Stock</w:t>
      </w:r>
      <w:r>
        <w:rPr>
          <w:rFonts w:ascii="Arial" w:cs="Arial" w:eastAsia="Arial" w:hAnsi="Arial"/>
          <w:sz w:val="18"/>
          <w:szCs w:val="18"/>
          <w:i w:val="1"/>
          <w:iCs w:val="1"/>
          <w:color w:val="auto"/>
        </w:rPr>
        <w:t>,</w:t>
      </w:r>
      <w:r>
        <w:rPr>
          <w:rFonts w:ascii="Arial" w:cs="Arial" w:eastAsia="Arial" w:hAnsi="Arial"/>
          <w:sz w:val="18"/>
          <w:szCs w:val="18"/>
          <w:color w:val="auto"/>
        </w:rPr>
        <w:t xml:space="preserve"> the last paragraph is revised as follows:</w:t>
      </w:r>
    </w:p>
    <w:p>
      <w:pPr>
        <w:spacing w:after="0" w:line="117" w:lineRule="exact"/>
        <w:rPr>
          <w:sz w:val="20"/>
          <w:szCs w:val="20"/>
          <w:color w:val="auto"/>
        </w:rPr>
      </w:pPr>
    </w:p>
    <w:p>
      <w:pPr>
        <w:ind w:left="444" w:right="20"/>
        <w:spacing w:after="0" w:line="272" w:lineRule="auto"/>
        <w:rPr>
          <w:sz w:val="20"/>
          <w:szCs w:val="20"/>
          <w:color w:val="auto"/>
        </w:rPr>
      </w:pPr>
      <w:r>
        <w:rPr>
          <w:rFonts w:ascii="Arial" w:cs="Arial" w:eastAsia="Arial" w:hAnsi="Arial"/>
          <w:sz w:val="17"/>
          <w:szCs w:val="17"/>
          <w:color w:val="auto"/>
        </w:rPr>
        <w:t>A summary of certain financial information is attached as Schedule A to this Offering Memorandum and should be read in conjunction with the “Management’s Discussion and Analysis of Financial Condition and Results of Operations” and the consolidated financial statements and the notes thereto included in our Annual Report on Form 10-K (File No. 001-39659) for the year ended December 31, 2022, filed with the SEC on March 6, 2023 (our “Annual Report”), and in our Quarterly Report on Form 10-Q (File No. 001-39659) for the quarter ended March 31, 2023, filed with the SEC on May 11, 2023 (our “Quarterly Report”), which are incorporated herein by reference. The closing stock price of our common stock as of March 31, 2023 was $1.86 per share as reported on Nasdaq. Our book value per share as of March 31, 2023 was $0.06 per share, which is the date as of the most recent balance sheet incorporated herein by reference.</w:t>
      </w:r>
    </w:p>
    <w:p>
      <w:pPr>
        <w:spacing w:after="0" w:line="28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12. Exhibits.</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940" w:type="dxa"/>
            <w:vAlign w:val="bottom"/>
            <w:gridSpan w:val="8"/>
            <w:vMerge w:val="restart"/>
          </w:tcPr>
          <w:p>
            <w:pPr>
              <w:ind w:left="7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8"/>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Number</w:t>
            </w:r>
          </w:p>
        </w:tc>
        <w:tc>
          <w:tcPr>
            <w:tcW w:w="10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940" w:type="dxa"/>
            <w:vAlign w:val="bottom"/>
            <w:tcBorders>
              <w:bottom w:val="single" w:sz="8" w:color="auto"/>
            </w:tcBorders>
            <w:gridSpan w:val="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260" w:type="dxa"/>
            <w:vAlign w:val="bottom"/>
            <w:gridSpan w:val="2"/>
          </w:tcPr>
          <w:p>
            <w:pPr>
              <w:spacing w:after="0"/>
              <w:rPr>
                <w:sz w:val="20"/>
                <w:szCs w:val="20"/>
                <w:color w:val="auto"/>
              </w:rPr>
            </w:pPr>
            <w:r>
              <w:rPr>
                <w:rFonts w:ascii="Arial" w:cs="Arial" w:eastAsia="Arial" w:hAnsi="Arial"/>
                <w:sz w:val="18"/>
                <w:szCs w:val="18"/>
                <w:color w:val="auto"/>
              </w:rPr>
              <w:t>(a)(1)(A)*</w:t>
            </w:r>
          </w:p>
        </w:tc>
        <w:tc>
          <w:tcPr>
            <w:tcW w:w="9760" w:type="dxa"/>
            <w:vAlign w:val="bottom"/>
            <w:gridSpan w:val="14"/>
          </w:tcPr>
          <w:p>
            <w:pPr>
              <w:spacing w:after="0"/>
              <w:rPr>
                <w:rFonts w:ascii="Arial" w:cs="Arial" w:eastAsia="Arial" w:hAnsi="Arial"/>
                <w:sz w:val="18"/>
                <w:szCs w:val="18"/>
                <w:color w:val="0000EE"/>
              </w:rPr>
            </w:pPr>
            <w:hyperlink r:id="rId18">
              <w:r>
                <w:rPr>
                  <w:rFonts w:ascii="Arial" w:cs="Arial" w:eastAsia="Arial" w:hAnsi="Arial"/>
                  <w:sz w:val="18"/>
                  <w:szCs w:val="18"/>
                  <w:color w:val="0000EE"/>
                </w:rPr>
                <w:t>Offer to Exchange Eligible Options for New Options, dated June 23, 2023</w:t>
              </w:r>
            </w:hyperlink>
          </w:p>
        </w:tc>
        <w:tc>
          <w:tcPr>
            <w:tcW w:w="0" w:type="dxa"/>
            <w:vAlign w:val="bottom"/>
          </w:tcPr>
          <w:p>
            <w:pPr>
              <w:spacing w:after="0"/>
              <w:rPr>
                <w:sz w:val="1"/>
                <w:szCs w:val="1"/>
                <w:color w:val="auto"/>
              </w:rPr>
            </w:pPr>
          </w:p>
        </w:tc>
      </w:tr>
      <w:tr>
        <w:trPr>
          <w:trHeight w:val="304"/>
        </w:trPr>
        <w:tc>
          <w:tcPr>
            <w:tcW w:w="1260" w:type="dxa"/>
            <w:vAlign w:val="bottom"/>
            <w:gridSpan w:val="2"/>
          </w:tcPr>
          <w:p>
            <w:pPr>
              <w:spacing w:after="0"/>
              <w:rPr>
                <w:sz w:val="20"/>
                <w:szCs w:val="20"/>
                <w:color w:val="auto"/>
              </w:rPr>
            </w:pPr>
            <w:r>
              <w:rPr>
                <w:rFonts w:ascii="Arial" w:cs="Arial" w:eastAsia="Arial" w:hAnsi="Arial"/>
                <w:sz w:val="18"/>
                <w:szCs w:val="18"/>
                <w:color w:val="auto"/>
              </w:rPr>
              <w:t>(a)(1)(B)*</w:t>
            </w:r>
          </w:p>
        </w:tc>
        <w:tc>
          <w:tcPr>
            <w:tcW w:w="36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r:id="rId19">
              <w:r>
                <w:rPr>
                  <w:rFonts w:ascii="Arial" w:cs="Arial" w:eastAsia="Arial" w:hAnsi="Arial"/>
                  <w:sz w:val="18"/>
                  <w:szCs w:val="18"/>
                  <w:color w:val="0000EE"/>
                  <w:w w:val="92"/>
                </w:rPr>
                <w:t>Form of Announcement Email to Eligible Holders</w:t>
              </w:r>
            </w:hyperlink>
          </w:p>
        </w:tc>
        <w:tc>
          <w:tcPr>
            <w:tcW w:w="1720" w:type="dxa"/>
            <w:vAlign w:val="bottom"/>
            <w:tcBorders>
              <w:top w:val="single" w:sz="8" w:color="0000EE"/>
            </w:tcBorders>
            <w:gridSpan w:val="3"/>
          </w:tcPr>
          <w:p>
            <w:pPr>
              <w:spacing w:after="0"/>
              <w:rPr>
                <w:sz w:val="24"/>
                <w:szCs w:val="24"/>
                <w:color w:val="auto"/>
              </w:rPr>
            </w:pPr>
          </w:p>
        </w:tc>
        <w:tc>
          <w:tcPr>
            <w:tcW w:w="44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60" w:type="dxa"/>
            <w:vAlign w:val="bottom"/>
            <w:gridSpan w:val="2"/>
          </w:tcPr>
          <w:p>
            <w:pPr>
              <w:spacing w:after="0"/>
              <w:rPr>
                <w:sz w:val="20"/>
                <w:szCs w:val="20"/>
                <w:color w:val="auto"/>
              </w:rPr>
            </w:pPr>
            <w:r>
              <w:rPr>
                <w:rFonts w:ascii="Arial" w:cs="Arial" w:eastAsia="Arial" w:hAnsi="Arial"/>
                <w:sz w:val="18"/>
                <w:szCs w:val="18"/>
                <w:color w:val="auto"/>
              </w:rPr>
              <w:t>(a)(1)(C)*</w:t>
            </w:r>
          </w:p>
        </w:tc>
        <w:tc>
          <w:tcPr>
            <w:tcW w:w="1040" w:type="dxa"/>
            <w:vAlign w:val="bottom"/>
            <w:tcBorders>
              <w:bottom w:val="single" w:sz="8" w:color="0000EE"/>
            </w:tcBorders>
          </w:tcPr>
          <w:p>
            <w:pPr>
              <w:spacing w:after="0"/>
              <w:rPr>
                <w:rFonts w:ascii="Arial" w:cs="Arial" w:eastAsia="Arial" w:hAnsi="Arial"/>
                <w:sz w:val="18"/>
                <w:szCs w:val="18"/>
                <w:color w:val="0000EE"/>
                <w:w w:val="91"/>
              </w:rPr>
            </w:pPr>
            <w:hyperlink r:id="rId20">
              <w:r>
                <w:rPr>
                  <w:rFonts w:ascii="Arial" w:cs="Arial" w:eastAsia="Arial" w:hAnsi="Arial"/>
                  <w:sz w:val="18"/>
                  <w:szCs w:val="18"/>
                  <w:color w:val="0000EE"/>
                  <w:w w:val="91"/>
                </w:rPr>
                <w:t>Election Form</w:t>
              </w:r>
            </w:hyperlink>
          </w:p>
        </w:tc>
        <w:tc>
          <w:tcPr>
            <w:tcW w:w="872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60" w:type="dxa"/>
            <w:vAlign w:val="bottom"/>
            <w:gridSpan w:val="2"/>
          </w:tcPr>
          <w:p>
            <w:pPr>
              <w:spacing w:after="0"/>
              <w:rPr>
                <w:sz w:val="20"/>
                <w:szCs w:val="20"/>
                <w:color w:val="auto"/>
              </w:rPr>
            </w:pPr>
            <w:r>
              <w:rPr>
                <w:rFonts w:ascii="Arial" w:cs="Arial" w:eastAsia="Arial" w:hAnsi="Arial"/>
                <w:sz w:val="18"/>
                <w:szCs w:val="18"/>
                <w:color w:val="auto"/>
              </w:rPr>
              <w:t>(a)(1)(D)*</w:t>
            </w:r>
          </w:p>
        </w:tc>
        <w:tc>
          <w:tcPr>
            <w:tcW w:w="2840" w:type="dxa"/>
            <w:vAlign w:val="bottom"/>
            <w:tcBorders>
              <w:bottom w:val="single" w:sz="8" w:color="0000EE"/>
            </w:tcBorders>
            <w:gridSpan w:val="3"/>
          </w:tcPr>
          <w:p>
            <w:pPr>
              <w:spacing w:after="0"/>
              <w:rPr>
                <w:rFonts w:ascii="Arial" w:cs="Arial" w:eastAsia="Arial" w:hAnsi="Arial"/>
                <w:sz w:val="18"/>
                <w:szCs w:val="18"/>
                <w:color w:val="0000EE"/>
                <w:w w:val="93"/>
              </w:rPr>
            </w:pPr>
            <w:hyperlink r:id="rId21">
              <w:r>
                <w:rPr>
                  <w:rFonts w:ascii="Arial" w:cs="Arial" w:eastAsia="Arial" w:hAnsi="Arial"/>
                  <w:sz w:val="18"/>
                  <w:szCs w:val="18"/>
                  <w:color w:val="0000EE"/>
                  <w:w w:val="93"/>
                </w:rPr>
                <w:t>Notice of Withdrawal of Election Form</w:t>
              </w:r>
            </w:hyperlink>
          </w:p>
        </w:tc>
        <w:tc>
          <w:tcPr>
            <w:tcW w:w="69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60" w:type="dxa"/>
            <w:vAlign w:val="bottom"/>
            <w:gridSpan w:val="2"/>
          </w:tcPr>
          <w:p>
            <w:pPr>
              <w:spacing w:after="0"/>
              <w:rPr>
                <w:sz w:val="20"/>
                <w:szCs w:val="20"/>
                <w:color w:val="auto"/>
              </w:rPr>
            </w:pPr>
            <w:r>
              <w:rPr>
                <w:rFonts w:ascii="Arial" w:cs="Arial" w:eastAsia="Arial" w:hAnsi="Arial"/>
                <w:sz w:val="18"/>
                <w:szCs w:val="18"/>
                <w:color w:val="auto"/>
              </w:rPr>
              <w:t>(a)(1)(E)*</w:t>
            </w:r>
          </w:p>
        </w:tc>
        <w:tc>
          <w:tcPr>
            <w:tcW w:w="3820" w:type="dxa"/>
            <w:vAlign w:val="bottom"/>
            <w:tcBorders>
              <w:bottom w:val="single" w:sz="8" w:color="0000EE"/>
            </w:tcBorders>
            <w:gridSpan w:val="6"/>
          </w:tcPr>
          <w:p>
            <w:pPr>
              <w:spacing w:after="0"/>
              <w:rPr>
                <w:rFonts w:ascii="Arial" w:cs="Arial" w:eastAsia="Arial" w:hAnsi="Arial"/>
                <w:sz w:val="18"/>
                <w:szCs w:val="18"/>
                <w:color w:val="0000EE"/>
                <w:w w:val="93"/>
              </w:rPr>
            </w:pPr>
            <w:hyperlink r:id="rId22">
              <w:r>
                <w:rPr>
                  <w:rFonts w:ascii="Arial" w:cs="Arial" w:eastAsia="Arial" w:hAnsi="Arial"/>
                  <w:sz w:val="18"/>
                  <w:szCs w:val="18"/>
                  <w:color w:val="0000EE"/>
                  <w:w w:val="93"/>
                </w:rPr>
                <w:t>Form of Email Confirming Receipt of Election Form</w:t>
              </w:r>
            </w:hyperlink>
          </w:p>
        </w:tc>
        <w:tc>
          <w:tcPr>
            <w:tcW w:w="59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60" w:type="dxa"/>
            <w:vAlign w:val="bottom"/>
            <w:gridSpan w:val="2"/>
          </w:tcPr>
          <w:p>
            <w:pPr>
              <w:spacing w:after="0"/>
              <w:rPr>
                <w:sz w:val="20"/>
                <w:szCs w:val="20"/>
                <w:color w:val="auto"/>
              </w:rPr>
            </w:pPr>
            <w:r>
              <w:rPr>
                <w:rFonts w:ascii="Arial" w:cs="Arial" w:eastAsia="Arial" w:hAnsi="Arial"/>
                <w:sz w:val="18"/>
                <w:szCs w:val="18"/>
                <w:color w:val="auto"/>
              </w:rPr>
              <w:t>(a)(1)(F)*</w:t>
            </w:r>
          </w:p>
        </w:tc>
        <w:tc>
          <w:tcPr>
            <w:tcW w:w="5620" w:type="dxa"/>
            <w:vAlign w:val="bottom"/>
            <w:tcBorders>
              <w:bottom w:val="single" w:sz="8" w:color="0000EE"/>
            </w:tcBorders>
            <w:gridSpan w:val="9"/>
          </w:tcPr>
          <w:p>
            <w:pPr>
              <w:spacing w:after="0"/>
              <w:rPr>
                <w:rFonts w:ascii="Arial" w:cs="Arial" w:eastAsia="Arial" w:hAnsi="Arial"/>
                <w:sz w:val="18"/>
                <w:szCs w:val="18"/>
                <w:color w:val="0000EE"/>
                <w:w w:val="93"/>
              </w:rPr>
            </w:pPr>
            <w:hyperlink r:id="rId23">
              <w:r>
                <w:rPr>
                  <w:rFonts w:ascii="Arial" w:cs="Arial" w:eastAsia="Arial" w:hAnsi="Arial"/>
                  <w:sz w:val="18"/>
                  <w:szCs w:val="18"/>
                  <w:color w:val="0000EE"/>
                  <w:w w:val="93"/>
                </w:rPr>
                <w:t>Form of Email Confirming Receipt of Notice of Withdrawal of Election Form</w:t>
              </w:r>
            </w:hyperlink>
          </w:p>
        </w:tc>
        <w:tc>
          <w:tcPr>
            <w:tcW w:w="41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60" w:type="dxa"/>
            <w:vAlign w:val="bottom"/>
            <w:gridSpan w:val="2"/>
          </w:tcPr>
          <w:p>
            <w:pPr>
              <w:spacing w:after="0"/>
              <w:rPr>
                <w:sz w:val="20"/>
                <w:szCs w:val="20"/>
                <w:color w:val="auto"/>
              </w:rPr>
            </w:pPr>
            <w:r>
              <w:rPr>
                <w:rFonts w:ascii="Arial" w:cs="Arial" w:eastAsia="Arial" w:hAnsi="Arial"/>
                <w:sz w:val="18"/>
                <w:szCs w:val="18"/>
                <w:color w:val="auto"/>
              </w:rPr>
              <w:t>(a)(1)(G)*</w:t>
            </w:r>
          </w:p>
        </w:tc>
        <w:tc>
          <w:tcPr>
            <w:tcW w:w="9760" w:type="dxa"/>
            <w:vAlign w:val="bottom"/>
            <w:gridSpan w:val="14"/>
          </w:tcPr>
          <w:p>
            <w:pPr>
              <w:spacing w:after="0"/>
              <w:rPr>
                <w:rFonts w:ascii="Arial" w:cs="Arial" w:eastAsia="Arial" w:hAnsi="Arial"/>
                <w:sz w:val="18"/>
                <w:szCs w:val="18"/>
                <w:color w:val="0000EE"/>
              </w:rPr>
            </w:pPr>
            <w:hyperlink r:id="rId24">
              <w:r>
                <w:rPr>
                  <w:rFonts w:ascii="Arial" w:cs="Arial" w:eastAsia="Arial" w:hAnsi="Arial"/>
                  <w:sz w:val="18"/>
                  <w:szCs w:val="18"/>
                  <w:color w:val="0000EE"/>
                </w:rPr>
                <w:t>Form of Reminder Email to Eligible Holders Regarding the Expiration of the Exchange Offer</w:t>
              </w:r>
            </w:hyperlink>
          </w:p>
        </w:tc>
        <w:tc>
          <w:tcPr>
            <w:tcW w:w="0" w:type="dxa"/>
            <w:vAlign w:val="bottom"/>
          </w:tcPr>
          <w:p>
            <w:pPr>
              <w:spacing w:after="0"/>
              <w:rPr>
                <w:sz w:val="1"/>
                <w:szCs w:val="1"/>
                <w:color w:val="auto"/>
              </w:rPr>
            </w:pPr>
          </w:p>
        </w:tc>
      </w:tr>
      <w:tr>
        <w:trPr>
          <w:trHeight w:val="304"/>
        </w:trPr>
        <w:tc>
          <w:tcPr>
            <w:tcW w:w="1260" w:type="dxa"/>
            <w:vAlign w:val="bottom"/>
            <w:gridSpan w:val="2"/>
          </w:tcPr>
          <w:p>
            <w:pPr>
              <w:spacing w:after="0"/>
              <w:rPr>
                <w:sz w:val="20"/>
                <w:szCs w:val="20"/>
                <w:color w:val="auto"/>
              </w:rPr>
            </w:pPr>
            <w:r>
              <w:rPr>
                <w:rFonts w:ascii="Arial" w:cs="Arial" w:eastAsia="Arial" w:hAnsi="Arial"/>
                <w:sz w:val="18"/>
                <w:szCs w:val="18"/>
                <w:color w:val="auto"/>
              </w:rPr>
              <w:t>(a)(1)(H)*</w:t>
            </w:r>
          </w:p>
        </w:tc>
        <w:tc>
          <w:tcPr>
            <w:tcW w:w="566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3"/>
              </w:rPr>
            </w:pPr>
            <w:hyperlink r:id="rId25">
              <w:r>
                <w:rPr>
                  <w:rFonts w:ascii="Arial" w:cs="Arial" w:eastAsia="Arial" w:hAnsi="Arial"/>
                  <w:sz w:val="18"/>
                  <w:szCs w:val="18"/>
                  <w:color w:val="0000EE"/>
                  <w:w w:val="93"/>
                </w:rPr>
                <w:t>Form of Email to Eligible Holders Confirming Acceptance of Eligible Options</w:t>
              </w:r>
            </w:hyperlink>
          </w:p>
        </w:tc>
        <w:tc>
          <w:tcPr>
            <w:tcW w:w="1080" w:type="dxa"/>
            <w:vAlign w:val="bottom"/>
            <w:tcBorders>
              <w:top w:val="single" w:sz="8" w:color="0000EE"/>
            </w:tcBorders>
          </w:tcPr>
          <w:p>
            <w:pPr>
              <w:spacing w:after="0"/>
              <w:rPr>
                <w:sz w:val="24"/>
                <w:szCs w:val="24"/>
                <w:color w:val="auto"/>
              </w:rPr>
            </w:pPr>
          </w:p>
        </w:tc>
        <w:tc>
          <w:tcPr>
            <w:tcW w:w="30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60" w:type="dxa"/>
            <w:vAlign w:val="bottom"/>
            <w:gridSpan w:val="2"/>
          </w:tcPr>
          <w:p>
            <w:pPr>
              <w:spacing w:after="0"/>
              <w:rPr>
                <w:sz w:val="20"/>
                <w:szCs w:val="20"/>
                <w:color w:val="auto"/>
              </w:rPr>
            </w:pPr>
            <w:r>
              <w:rPr>
                <w:rFonts w:ascii="Arial" w:cs="Arial" w:eastAsia="Arial" w:hAnsi="Arial"/>
                <w:sz w:val="18"/>
                <w:szCs w:val="18"/>
                <w:color w:val="auto"/>
              </w:rPr>
              <w:t>(a)(1)(I)*</w:t>
            </w:r>
          </w:p>
        </w:tc>
        <w:tc>
          <w:tcPr>
            <w:tcW w:w="4940" w:type="dxa"/>
            <w:vAlign w:val="bottom"/>
            <w:tcBorders>
              <w:bottom w:val="single" w:sz="8" w:color="0000EE"/>
            </w:tcBorders>
            <w:gridSpan w:val="7"/>
          </w:tcPr>
          <w:p>
            <w:pPr>
              <w:spacing w:after="0"/>
              <w:rPr>
                <w:rFonts w:ascii="Arial" w:cs="Arial" w:eastAsia="Arial" w:hAnsi="Arial"/>
                <w:sz w:val="18"/>
                <w:szCs w:val="18"/>
                <w:color w:val="0000EE"/>
                <w:w w:val="92"/>
              </w:rPr>
            </w:pPr>
            <w:hyperlink r:id="rId26">
              <w:r>
                <w:rPr>
                  <w:rFonts w:ascii="Arial" w:cs="Arial" w:eastAsia="Arial" w:hAnsi="Arial"/>
                  <w:sz w:val="18"/>
                  <w:szCs w:val="18"/>
                  <w:color w:val="0000EE"/>
                  <w:w w:val="92"/>
                </w:rPr>
                <w:t>Form of Email Notice Regarding Rejection of Options for Exchange</w:t>
              </w:r>
            </w:hyperlink>
          </w:p>
        </w:tc>
        <w:tc>
          <w:tcPr>
            <w:tcW w:w="48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60" w:type="dxa"/>
            <w:vAlign w:val="bottom"/>
            <w:gridSpan w:val="2"/>
          </w:tcPr>
          <w:p>
            <w:pPr>
              <w:spacing w:after="0"/>
              <w:rPr>
                <w:sz w:val="20"/>
                <w:szCs w:val="20"/>
                <w:color w:val="auto"/>
              </w:rPr>
            </w:pPr>
            <w:r>
              <w:rPr>
                <w:rFonts w:ascii="Arial" w:cs="Arial" w:eastAsia="Arial" w:hAnsi="Arial"/>
                <w:sz w:val="18"/>
                <w:szCs w:val="18"/>
                <w:color w:val="auto"/>
              </w:rPr>
              <w:t>(a)(1)(J)*</w:t>
            </w:r>
          </w:p>
        </w:tc>
        <w:tc>
          <w:tcPr>
            <w:tcW w:w="2400" w:type="dxa"/>
            <w:vAlign w:val="bottom"/>
            <w:tcBorders>
              <w:bottom w:val="single" w:sz="8" w:color="0000EE"/>
            </w:tcBorders>
            <w:gridSpan w:val="2"/>
          </w:tcPr>
          <w:p>
            <w:pPr>
              <w:spacing w:after="0"/>
              <w:rPr>
                <w:rFonts w:ascii="Arial" w:cs="Arial" w:eastAsia="Arial" w:hAnsi="Arial"/>
                <w:sz w:val="18"/>
                <w:szCs w:val="18"/>
                <w:color w:val="0000EE"/>
                <w:w w:val="94"/>
              </w:rPr>
            </w:pPr>
            <w:hyperlink r:id="rId27">
              <w:r>
                <w:rPr>
                  <w:rFonts w:ascii="Arial" w:cs="Arial" w:eastAsia="Arial" w:hAnsi="Arial"/>
                  <w:sz w:val="18"/>
                  <w:szCs w:val="18"/>
                  <w:color w:val="0000EE"/>
                  <w:w w:val="94"/>
                </w:rPr>
                <w:t>Form of Expiration Notice Email</w:t>
              </w:r>
            </w:hyperlink>
          </w:p>
        </w:tc>
        <w:tc>
          <w:tcPr>
            <w:tcW w:w="73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60" w:type="dxa"/>
            <w:vAlign w:val="bottom"/>
            <w:gridSpan w:val="2"/>
          </w:tcPr>
          <w:p>
            <w:pPr>
              <w:spacing w:after="0"/>
              <w:rPr>
                <w:sz w:val="20"/>
                <w:szCs w:val="20"/>
                <w:color w:val="auto"/>
              </w:rPr>
            </w:pPr>
            <w:r>
              <w:rPr>
                <w:rFonts w:ascii="Arial" w:cs="Arial" w:eastAsia="Arial" w:hAnsi="Arial"/>
                <w:sz w:val="18"/>
                <w:szCs w:val="18"/>
                <w:color w:val="auto"/>
              </w:rPr>
              <w:t>(a)(1)(K)*</w:t>
            </w:r>
          </w:p>
        </w:tc>
        <w:tc>
          <w:tcPr>
            <w:tcW w:w="9720" w:type="dxa"/>
            <w:vAlign w:val="bottom"/>
            <w:tcBorders>
              <w:bottom w:val="single" w:sz="8" w:color="0000EE"/>
            </w:tcBorders>
            <w:gridSpan w:val="13"/>
          </w:tcPr>
          <w:p>
            <w:pPr>
              <w:spacing w:after="0"/>
              <w:rPr>
                <w:rFonts w:ascii="Arial" w:cs="Arial" w:eastAsia="Arial" w:hAnsi="Arial"/>
                <w:sz w:val="18"/>
                <w:szCs w:val="18"/>
                <w:color w:val="0000EE"/>
                <w:w w:val="91"/>
              </w:rPr>
            </w:pPr>
            <w:hyperlink r:id="rId28">
              <w:r>
                <w:rPr>
                  <w:rFonts w:ascii="Arial" w:cs="Arial" w:eastAsia="Arial" w:hAnsi="Arial"/>
                  <w:sz w:val="18"/>
                  <w:szCs w:val="18"/>
                  <w:color w:val="0000EE"/>
                  <w:w w:val="91"/>
                </w:rPr>
                <w:t>Forms of Stock Option Grant Notice, Option Agreement and Notice of Exercise under the 2020 Equity Incentive Plan (incorporated by</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36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28">
              <w:r>
                <w:rPr>
                  <w:rFonts w:ascii="Arial" w:cs="Arial" w:eastAsia="Arial" w:hAnsi="Arial"/>
                  <w:sz w:val="18"/>
                  <w:szCs w:val="18"/>
                  <w:color w:val="0000EE"/>
                  <w:w w:val="91"/>
                </w:rPr>
                <w:t>reference to Exhibit 10.5.1 to the Registrant’s Annual Report on Form 10-K filed with the SEC on March 16, 2021).</w:t>
              </w:r>
            </w:hyperlink>
          </w:p>
        </w:tc>
        <w:tc>
          <w:tcPr>
            <w:tcW w:w="14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60" w:type="dxa"/>
            <w:vAlign w:val="bottom"/>
            <w:gridSpan w:val="2"/>
          </w:tcPr>
          <w:p>
            <w:pPr>
              <w:spacing w:after="0"/>
              <w:rPr>
                <w:sz w:val="20"/>
                <w:szCs w:val="20"/>
                <w:color w:val="auto"/>
              </w:rPr>
            </w:pPr>
            <w:r>
              <w:rPr>
                <w:rFonts w:ascii="Arial" w:cs="Arial" w:eastAsia="Arial" w:hAnsi="Arial"/>
                <w:sz w:val="18"/>
                <w:szCs w:val="18"/>
                <w:color w:val="auto"/>
              </w:rPr>
              <w:t>(a)(1)(L)*</w:t>
            </w:r>
          </w:p>
        </w:tc>
        <w:tc>
          <w:tcPr>
            <w:tcW w:w="3320" w:type="dxa"/>
            <w:vAlign w:val="bottom"/>
            <w:tcBorders>
              <w:bottom w:val="single" w:sz="8" w:color="0000EE"/>
            </w:tcBorders>
            <w:gridSpan w:val="4"/>
          </w:tcPr>
          <w:p>
            <w:pPr>
              <w:spacing w:after="0"/>
              <w:rPr>
                <w:rFonts w:ascii="Arial" w:cs="Arial" w:eastAsia="Arial" w:hAnsi="Arial"/>
                <w:sz w:val="18"/>
                <w:szCs w:val="18"/>
                <w:color w:val="0000EE"/>
                <w:w w:val="89"/>
              </w:rPr>
            </w:pPr>
            <w:hyperlink r:id="rId29">
              <w:r>
                <w:rPr>
                  <w:rFonts w:ascii="Arial" w:cs="Arial" w:eastAsia="Arial" w:hAnsi="Arial"/>
                  <w:sz w:val="18"/>
                  <w:szCs w:val="18"/>
                  <w:color w:val="0000EE"/>
                  <w:w w:val="89"/>
                </w:rPr>
                <w:t>Stock Option Exchange Program Presentation</w:t>
              </w:r>
            </w:hyperlink>
          </w:p>
        </w:tc>
        <w:tc>
          <w:tcPr>
            <w:tcW w:w="64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1264" w:hanging="1264"/>
        <w:spacing w:after="0"/>
        <w:tabs>
          <w:tab w:leader="none" w:pos="1264"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00"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1260" w:type="dxa"/>
            <w:vAlign w:val="bottom"/>
          </w:tcPr>
          <w:p>
            <w:pPr>
              <w:spacing w:after="0"/>
              <w:rPr>
                <w:sz w:val="20"/>
                <w:szCs w:val="20"/>
                <w:color w:val="auto"/>
              </w:rPr>
            </w:pPr>
            <w:r>
              <w:rPr>
                <w:rFonts w:ascii="Arial" w:cs="Arial" w:eastAsia="Arial" w:hAnsi="Arial"/>
                <w:sz w:val="18"/>
                <w:szCs w:val="18"/>
                <w:color w:val="auto"/>
              </w:rPr>
              <w:t>(d)(1)</w:t>
            </w:r>
          </w:p>
        </w:tc>
        <w:tc>
          <w:tcPr>
            <w:tcW w:w="9360" w:type="dxa"/>
            <w:vAlign w:val="bottom"/>
            <w:tcBorders>
              <w:bottom w:val="single" w:sz="8" w:color="0000EE"/>
            </w:tcBorders>
            <w:gridSpan w:val="2"/>
          </w:tcPr>
          <w:p>
            <w:pPr>
              <w:spacing w:after="0"/>
              <w:rPr>
                <w:rFonts w:ascii="Arial" w:cs="Arial" w:eastAsia="Arial" w:hAnsi="Arial"/>
                <w:sz w:val="18"/>
                <w:szCs w:val="18"/>
                <w:color w:val="0000EE"/>
                <w:w w:val="91"/>
              </w:rPr>
            </w:pPr>
            <w:hyperlink r:id="rId30">
              <w:r>
                <w:rPr>
                  <w:rFonts w:ascii="Arial" w:cs="Arial" w:eastAsia="Arial" w:hAnsi="Arial"/>
                  <w:sz w:val="18"/>
                  <w:szCs w:val="18"/>
                  <w:color w:val="0000EE"/>
                  <w:w w:val="91"/>
                </w:rPr>
                <w:t>Biodesix, Inc. 2020 Equity Incentive Plan (incorporated by reference to Exhibit 10.5 to the Registrant’s Registration Statement on</w:t>
              </w:r>
            </w:hyperlink>
          </w:p>
        </w:tc>
      </w:tr>
      <w:tr>
        <w:trPr>
          <w:trHeight w:val="196"/>
        </w:trPr>
        <w:tc>
          <w:tcPr>
            <w:tcW w:w="1260" w:type="dxa"/>
            <w:vAlign w:val="bottom"/>
          </w:tcPr>
          <w:p>
            <w:pPr>
              <w:spacing w:after="0"/>
              <w:rPr>
                <w:sz w:val="17"/>
                <w:szCs w:val="17"/>
                <w:color w:val="auto"/>
              </w:rPr>
            </w:pPr>
          </w:p>
        </w:tc>
        <w:tc>
          <w:tcPr>
            <w:tcW w:w="5840" w:type="dxa"/>
            <w:vAlign w:val="bottom"/>
            <w:tcBorders>
              <w:bottom w:val="single" w:sz="8" w:color="0000EE"/>
            </w:tcBorders>
          </w:tcPr>
          <w:p>
            <w:pPr>
              <w:spacing w:after="0" w:line="196" w:lineRule="exact"/>
              <w:rPr>
                <w:rFonts w:ascii="Arial" w:cs="Arial" w:eastAsia="Arial" w:hAnsi="Arial"/>
                <w:sz w:val="18"/>
                <w:szCs w:val="18"/>
                <w:color w:val="0000EE"/>
                <w:w w:val="92"/>
              </w:rPr>
            </w:pPr>
            <w:hyperlink r:id="rId30">
              <w:r>
                <w:rPr>
                  <w:rFonts w:ascii="Arial" w:cs="Arial" w:eastAsia="Arial" w:hAnsi="Arial"/>
                  <w:sz w:val="18"/>
                  <w:szCs w:val="18"/>
                  <w:color w:val="0000EE"/>
                  <w:w w:val="92"/>
                </w:rPr>
                <w:t>Form S-1/A (No. 333-249260), filed with the Commission on October 26, 2020).</w:t>
              </w:r>
            </w:hyperlink>
          </w:p>
        </w:tc>
        <w:tc>
          <w:tcPr>
            <w:tcW w:w="3520" w:type="dxa"/>
            <w:vAlign w:val="bottom"/>
          </w:tcPr>
          <w:p>
            <w:pPr>
              <w:spacing w:after="0"/>
              <w:rPr>
                <w:sz w:val="17"/>
                <w:szCs w:val="17"/>
                <w:color w:val="auto"/>
              </w:rPr>
            </w:pPr>
          </w:p>
        </w:tc>
      </w:tr>
    </w:tbl>
    <w:p>
      <w:pPr>
        <w:spacing w:after="0" w:line="121" w:lineRule="exact"/>
        <w:rPr>
          <w:sz w:val="20"/>
          <w:szCs w:val="20"/>
          <w:color w:val="auto"/>
        </w:rPr>
      </w:pPr>
    </w:p>
    <w:p>
      <w:pPr>
        <w:ind w:left="1264" w:hanging="1264"/>
        <w:spacing w:after="0"/>
        <w:tabs>
          <w:tab w:leader="none" w:pos="1264"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264" w:hanging="1264"/>
        <w:spacing w:after="0"/>
        <w:tabs>
          <w:tab w:leader="none" w:pos="1264"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p>
      <w:pPr>
        <w:ind w:left="4"/>
        <w:spacing w:after="0"/>
        <w:tabs>
          <w:tab w:leader="none" w:pos="1244" w:val="left"/>
        </w:tabs>
        <w:rPr>
          <w:rFonts w:ascii="Arial" w:cs="Arial" w:eastAsia="Arial" w:hAnsi="Arial"/>
          <w:sz w:val="18"/>
          <w:szCs w:val="18"/>
          <w:u w:val="single" w:color="auto"/>
          <w:color w:val="0000EE"/>
        </w:rPr>
      </w:pPr>
      <w:r>
        <w:rPr>
          <w:rFonts w:ascii="Arial" w:cs="Arial" w:eastAsia="Arial" w:hAnsi="Arial"/>
          <w:sz w:val="18"/>
          <w:szCs w:val="18"/>
          <w:color w:val="auto"/>
        </w:rPr>
        <w:t>107*</w:t>
      </w:r>
      <w:r>
        <w:rPr>
          <w:sz w:val="20"/>
          <w:szCs w:val="20"/>
          <w:color w:val="auto"/>
        </w:rPr>
        <w:tab/>
      </w:r>
      <w:hyperlink r:id="rId31">
        <w:r>
          <w:rPr>
            <w:rFonts w:ascii="Arial" w:cs="Arial" w:eastAsia="Arial" w:hAnsi="Arial"/>
            <w:sz w:val="18"/>
            <w:szCs w:val="18"/>
            <w:u w:val="single" w:color="auto"/>
            <w:color w:val="0000EE"/>
          </w:rPr>
          <w:t>Filing Fee Table</w:t>
        </w:r>
      </w:hyperlink>
    </w:p>
    <w:p>
      <w:pPr>
        <w:spacing w:after="0" w:line="117" w:lineRule="exact"/>
        <w:rPr>
          <w:sz w:val="20"/>
          <w:szCs w:val="20"/>
          <w:color w:val="auto"/>
        </w:rPr>
      </w:pPr>
    </w:p>
    <w:p>
      <w:pPr>
        <w:ind w:left="1264" w:hanging="1264"/>
        <w:spacing w:after="0"/>
        <w:tabs>
          <w:tab w:leader="none" w:pos="1264"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Previously filed with the Tender Offer Statement on Schedule TO on June 23, 2023.</w:t>
      </w:r>
    </w:p>
    <w:p>
      <w:pPr>
        <w:sectPr>
          <w:pgSz w:w="11900" w:h="16838" w:orient="portrait"/>
          <w:cols w:equalWidth="0" w:num="1">
            <w:col w:w="11024"/>
          </w:cols>
          <w:pgMar w:left="436" w:top="490" w:right="439" w:bottom="1440" w:gutter="0" w:footer="0" w:header="0"/>
        </w:sectPr>
      </w:pPr>
    </w:p>
    <w:bookmarkStart w:id="3" w:name="page4"/>
    <w:bookmarkEnd w:id="3"/>
    <w:p>
      <w:pPr>
        <w:jc w:val="center"/>
        <w:ind w:right="-4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SIGNATURES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due inquiry and to the best of my knowledge and belief, I certify that the information set forth in this statement is true, complete, and correct.</w:t>
      </w:r>
    </w:p>
    <w:p>
      <w:pPr>
        <w:spacing w:after="0" w:line="271" w:lineRule="exact"/>
        <w:rPr>
          <w:sz w:val="20"/>
          <w:szCs w:val="20"/>
          <w:color w:val="auto"/>
        </w:rPr>
      </w:pPr>
    </w:p>
    <w:p>
      <w:pPr>
        <w:ind w:left="6960"/>
        <w:spacing w:after="0"/>
        <w:rPr>
          <w:sz w:val="20"/>
          <w:szCs w:val="20"/>
          <w:color w:val="auto"/>
        </w:rPr>
      </w:pPr>
      <w:r>
        <w:rPr>
          <w:rFonts w:ascii="Arial" w:cs="Arial" w:eastAsia="Arial" w:hAnsi="Arial"/>
          <w:sz w:val="18"/>
          <w:szCs w:val="18"/>
          <w:b w:val="1"/>
          <w:bCs w:val="1"/>
          <w:color w:val="auto"/>
        </w:rPr>
        <w:t>BIODESIX, INC.</w:t>
      </w:r>
    </w:p>
    <w:p>
      <w:pPr>
        <w:spacing w:after="0" w:line="22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Scott Hutton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3">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Scott Hutton</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Dated: July 3, 2023</w:t>
      </w:r>
    </w:p>
    <w:sectPr>
      <w:pgSz w:w="11900" w:h="16838" w:orient="portrait"/>
      <w:cols w:equalWidth="0" w:num="1">
        <w:col w:w="10580"/>
      </w:cols>
      <w:pgMar w:left="440" w:top="486"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lvl w:ilvl="1">
      <w:lvlJc w:val="left"/>
      <w:lvlText w:val="•"/>
      <w:numFmt w:val="bullet"/>
      <w:start w:val="1"/>
    </w:lvl>
  </w:abstractNum>
  <w:abstractNum w:abstractNumId="6">
    <w:nsid w:val="7545E146"/>
    <w:multiLevelType w:val="hybridMultilevel"/>
    <w:lvl w:ilvl="0">
      <w:lvlJc w:val="left"/>
      <w:lvlText w:val="(%1)"/>
      <w:numFmt w:val="lowerLetter"/>
      <w:start w:val="2"/>
    </w:lvl>
  </w:abstractNum>
  <w:abstractNum w:abstractNumId="7">
    <w:nsid w:val="515F007C"/>
    <w:multiLevelType w:val="hybridMultilevel"/>
    <w:lvl w:ilvl="0">
      <w:lvlJc w:val="left"/>
      <w:lvlText w:val="(%1)"/>
      <w:numFmt w:val="lowerLetter"/>
      <w:start w:val="7"/>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32" Type="http://schemas.openxmlformats.org/officeDocument/2006/relationships/image" Target="media/image11.png"/><Relationship Id="rId33" Type="http://schemas.openxmlformats.org/officeDocument/2006/relationships/image" Target="media/image12.png"/><Relationship Id="rId18" Type="http://schemas.openxmlformats.org/officeDocument/2006/relationships/hyperlink" Target="http://www.sec.gov/Archives/edgar/data/1439725/000119312523173895/d523943dex99a1a.htm" TargetMode="External"/><Relationship Id="rId19" Type="http://schemas.openxmlformats.org/officeDocument/2006/relationships/hyperlink" Target="http://www.sec.gov/Archives/edgar/data/1439725/000119312523173895/d523943dex99a1b.htm" TargetMode="External"/><Relationship Id="rId20" Type="http://schemas.openxmlformats.org/officeDocument/2006/relationships/hyperlink" Target="http://www.sec.gov/Archives/edgar/data/1439725/000119312523173895/d523943dex99a1c.htm" TargetMode="External"/><Relationship Id="rId21" Type="http://schemas.openxmlformats.org/officeDocument/2006/relationships/hyperlink" Target="http://www.sec.gov/Archives/edgar/data/1439725/000119312523173895/d523943dex99a1d.htm" TargetMode="External"/><Relationship Id="rId22" Type="http://schemas.openxmlformats.org/officeDocument/2006/relationships/hyperlink" Target="http://www.sec.gov/Archives/edgar/data/1439725/000119312523173895/d523943dex99a1e.htm" TargetMode="External"/><Relationship Id="rId23" Type="http://schemas.openxmlformats.org/officeDocument/2006/relationships/hyperlink" Target="http://www.sec.gov/Archives/edgar/data/1439725/000119312523173895/d523943dex99a1f.htm" TargetMode="External"/><Relationship Id="rId24" Type="http://schemas.openxmlformats.org/officeDocument/2006/relationships/hyperlink" Target="http://www.sec.gov/Archives/edgar/data/1439725/000119312523173895/d523943dex99a1g.htm" TargetMode="External"/><Relationship Id="rId25" Type="http://schemas.openxmlformats.org/officeDocument/2006/relationships/hyperlink" Target="http://www.sec.gov/Archives/edgar/data/1439725/000119312523173895/d523943dex99a1h.htm" TargetMode="External"/><Relationship Id="rId26" Type="http://schemas.openxmlformats.org/officeDocument/2006/relationships/hyperlink" Target="http://www.sec.gov/Archives/edgar/data/1439725/000119312523173895/d523943dex99a1i.htm" TargetMode="External"/><Relationship Id="rId27" Type="http://schemas.openxmlformats.org/officeDocument/2006/relationships/hyperlink" Target="http://www.sec.gov/Archives/edgar/data/1439725/000119312523173895/d523943dex99a1j.htm" TargetMode="External"/><Relationship Id="rId28" Type="http://schemas.openxmlformats.org/officeDocument/2006/relationships/hyperlink" Target="http://www.sec.gov/Archives/edgar/data/1439725/000156459021013512/bdsx-ex1051_388.htm" TargetMode="External"/><Relationship Id="rId29" Type="http://schemas.openxmlformats.org/officeDocument/2006/relationships/hyperlink" Target="http://www.sec.gov/Archives/edgar/data/1439725/000119312523173895/d523943dex99a1l.htm" TargetMode="External"/><Relationship Id="rId30" Type="http://schemas.openxmlformats.org/officeDocument/2006/relationships/hyperlink" Target="http://www.sec.gov/Archives/edgar/data/1439725/000119312520275630/d937421dex105.htm" TargetMode="External"/><Relationship Id="rId31" Type="http://schemas.openxmlformats.org/officeDocument/2006/relationships/hyperlink" Target="http://www.sec.gov/Archives/edgar/data/1439725/000119312523173895/d523943d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2023-07-03T16:05:27Z</dcterms:created>
  <dcterms:modified xsi:type="dcterms:W3CDTF">2023-07-03T16:05:27Z</dcterms:modified>
</cp:coreProperties>
</file>