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16, 2021</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Biodesix, Inc.</w:t>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71" w:right="339" w:bottom="1440" w:gutter="0" w:footer="0" w:header="0"/>
        </w:sectPr>
      </w:pPr>
    </w:p>
    <w:p>
      <w:pPr>
        <w:spacing w:after="0" w:line="143"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001-39659</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20-3986492</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00" w:space="720"/>
            <w:col w:w="2840" w:space="720"/>
            <w:col w:w="2560"/>
          </w:cols>
          <w:pgMar w:left="320" w:top="571" w:right="33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2970 Wilderness Place, Suite 100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Boulder, Colorado</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80301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62" w:lineRule="exact"/>
        <w:rPr>
          <w:sz w:val="24"/>
          <w:szCs w:val="24"/>
          <w:color w:val="auto"/>
        </w:rPr>
      </w:pPr>
    </w:p>
    <w:p>
      <w:pPr>
        <w:sectPr>
          <w:pgSz w:w="11900" w:h="16838" w:orient="portrait"/>
          <w:cols w:equalWidth="0" w:num="2">
            <w:col w:w="7300" w:space="720"/>
            <w:col w:w="3220"/>
          </w:cols>
          <w:pgMar w:left="320" w:top="571" w:right="339" w:bottom="1440" w:gutter="0" w:footer="0" w:header="0"/>
          <w:type w:val="continuous"/>
        </w:sect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44"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of $0.001 per share</w:t>
            </w:r>
          </w:p>
        </w:tc>
        <w:tc>
          <w:tcPr>
            <w:tcW w:w="12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BDSX</w:t>
            </w:r>
          </w:p>
        </w:tc>
        <w:tc>
          <w:tcPr>
            <w:tcW w:w="8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5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16, 2021, Biodesix, Inc. (the “Company”) issued a press release announcing the financial and operating results of the Company for the fourth quarter and year ended December 31, 2020. A copy of the press release is furnished as Exhibit 99.1 to this report and is incorporated herein by reference.</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8"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No.    Exhibit</w:t>
      </w:r>
    </w:p>
    <w:p>
      <w:pPr>
        <w:spacing w:after="0" w:line="27" w:lineRule="exact"/>
        <w:rPr>
          <w:rFonts w:ascii="Arial" w:cs="Arial" w:eastAsia="Arial" w:hAnsi="Arial"/>
          <w:sz w:val="18"/>
          <w:szCs w:val="18"/>
          <w:i w:val="1"/>
          <w:iCs w:val="1"/>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by Biodesix, Inc. dated March 16, 2021</w:t>
        </w:r>
      </w:hyperlink>
    </w:p>
    <w:p>
      <w:pPr>
        <w:spacing w:after="0" w:line="22"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Dated: March 16, 2021</w:t>
            </w:r>
          </w:p>
        </w:tc>
        <w:tc>
          <w:tcPr>
            <w:tcW w:w="7200" w:type="dxa"/>
            <w:vAlign w:val="bottom"/>
            <w:gridSpan w:val="2"/>
          </w:tcPr>
          <w:p>
            <w:pPr>
              <w:ind w:left="2320"/>
              <w:spacing w:after="0"/>
              <w:rPr>
                <w:sz w:val="20"/>
                <w:szCs w:val="20"/>
                <w:color w:val="auto"/>
              </w:rPr>
            </w:pPr>
            <w:r>
              <w:rPr>
                <w:rFonts w:ascii="Arial" w:cs="Arial" w:eastAsia="Arial" w:hAnsi="Arial"/>
                <w:sz w:val="18"/>
                <w:szCs w:val="18"/>
                <w:color w:val="auto"/>
              </w:rPr>
              <w:t>BIODESIX, INC.</w:t>
            </w:r>
          </w:p>
        </w:tc>
      </w:tr>
      <w:tr>
        <w:trPr>
          <w:trHeight w:val="432"/>
        </w:trPr>
        <w:tc>
          <w:tcPr>
            <w:tcW w:w="4040" w:type="dxa"/>
            <w:vAlign w:val="bottom"/>
          </w:tcPr>
          <w:p>
            <w:pPr>
              <w:spacing w:after="0"/>
              <w:rPr>
                <w:sz w:val="24"/>
                <w:szCs w:val="24"/>
                <w:color w:val="auto"/>
              </w:rPr>
            </w:pPr>
          </w:p>
        </w:tc>
        <w:tc>
          <w:tcPr>
            <w:tcW w:w="2980" w:type="dxa"/>
            <w:vAlign w:val="bottom"/>
          </w:tcPr>
          <w:p>
            <w:pPr>
              <w:ind w:left="23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195"/>
        </w:trPr>
        <w:tc>
          <w:tcPr>
            <w:tcW w:w="4040" w:type="dxa"/>
            <w:vAlign w:val="bottom"/>
          </w:tcPr>
          <w:p>
            <w:pPr>
              <w:spacing w:after="0"/>
              <w:rPr>
                <w:sz w:val="16"/>
                <w:szCs w:val="16"/>
                <w:color w:val="auto"/>
              </w:rPr>
            </w:pPr>
          </w:p>
        </w:tc>
        <w:tc>
          <w:tcPr>
            <w:tcW w:w="2980" w:type="dxa"/>
            <w:vAlign w:val="bottom"/>
          </w:tcPr>
          <w:p>
            <w:pPr>
              <w:ind w:left="23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Robin Harper Cowie</w:t>
            </w:r>
          </w:p>
        </w:tc>
      </w:tr>
      <w:tr>
        <w:trPr>
          <w:trHeight w:val="230"/>
        </w:trPr>
        <w:tc>
          <w:tcPr>
            <w:tcW w:w="4040" w:type="dxa"/>
            <w:vAlign w:val="bottom"/>
          </w:tcPr>
          <w:p>
            <w:pPr>
              <w:spacing w:after="0"/>
              <w:rPr>
                <w:sz w:val="20"/>
                <w:szCs w:val="20"/>
                <w:color w:val="auto"/>
              </w:rPr>
            </w:pPr>
          </w:p>
        </w:tc>
        <w:tc>
          <w:tcPr>
            <w:tcW w:w="2980" w:type="dxa"/>
            <w:vAlign w:val="bottom"/>
          </w:tcPr>
          <w:p>
            <w:pPr>
              <w:ind w:left="232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355" w:right="339" w:bottom="1440" w:gutter="0" w:footer="0" w:header="0"/>
        </w:sectPr>
      </w:pPr>
    </w:p>
    <w:bookmarkStart w:id="3" w:name="page4"/>
    <w:bookmarkEnd w:id="3"/>
    <w:p>
      <w:pPr>
        <w:ind w:left="76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2437130</wp:posOffset>
            </wp:positionH>
            <wp:positionV relativeFrom="page">
              <wp:posOffset>88900</wp:posOffset>
            </wp:positionV>
            <wp:extent cx="218567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85670" cy="685800"/>
                    </a:xfrm>
                    <a:prstGeom prst="rect">
                      <a:avLst/>
                    </a:prstGeom>
                    <a:noFill/>
                  </pic:spPr>
                </pic:pic>
              </a:graphicData>
            </a:graphic>
          </wp:anchor>
        </w:drawing>
        <w:t>Exhibit 99.1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Biodesix Announces Fourth Quarter and Full Year 2020 Results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Full Year 2020 Revenue Growth of 86% on Record Revenue of approximately $46 million</w:t>
      </w:r>
    </w:p>
    <w:p>
      <w:pPr>
        <w:spacing w:after="0" w:line="133"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Boulder, CO, March 16, 2021</w:t>
      </w:r>
      <w:r>
        <w:rPr>
          <w:rFonts w:ascii="Arial" w:cs="Arial" w:eastAsia="Arial" w:hAnsi="Arial"/>
          <w:sz w:val="17"/>
          <w:szCs w:val="17"/>
          <w:color w:val="auto"/>
        </w:rPr>
        <w:t>- Biodesix, Inc. (NASDAQ: BDSX) a leading data-driven diagnostic solutions company with a focus in lung disease, today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announced financial and operating results for the fourth quarter and full year ended December 31, 2020 and provided a corporate update.</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had a very productive fiscal year and fourth quarter highlighted by strong revenue growth resulting from our ability to shift gears and offer COVID-19 testing services to assist the nation in the midst of a global pandemic,” stated Scott Hutton, Chief Executive Officer of Biodesix. “During this time, we also maintained our focus on the core strategic business of lung diagnostic testing and biopharma services and expect strong growth in 2021. Overall, 2020 was a transformative year for Biodesix and we are excited about the growth of our commercial organization, expansion of our clinical pipeline, and new clinical data, to quickly and positively impact the lives of patients in 2021.”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and Fourth Quarter 2020 Financial Results</w:t>
      </w:r>
    </w:p>
    <w:p>
      <w:pPr>
        <w:spacing w:after="0" w:line="22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initial public offering (IPO) raising net proceeds of $63.8 million;</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annual revenue of $45.6 million, an increase of 86% over 2019 annual revenue;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Fourth quarter revenue of $27.0 million, an increase of 194% and 227%, respectively, over the third quarter 2020 and fourth quarter 2019;</w:t>
      </w:r>
    </w:p>
    <w:p>
      <w:pPr>
        <w:spacing w:after="0" w:line="20" w:lineRule="exact"/>
        <w:rPr>
          <w:rFonts w:ascii="Arial" w:cs="Arial" w:eastAsia="Arial" w:hAnsi="Arial"/>
          <w:sz w:val="17"/>
          <w:szCs w:val="17"/>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COVID-19 testing revenue of $21.4 million, a 287% improvement over third quarter 2020;</w:t>
      </w:r>
    </w:p>
    <w:p>
      <w:pPr>
        <w:spacing w:after="0" w:line="9" w:lineRule="exact"/>
        <w:rPr>
          <w:rFonts w:ascii="Arial" w:cs="Arial" w:eastAsia="Arial" w:hAnsi="Arial"/>
          <w:sz w:val="18"/>
          <w:szCs w:val="18"/>
          <w:color w:val="auto"/>
        </w:rPr>
      </w:pPr>
    </w:p>
    <w:p>
      <w:pPr>
        <w:ind w:left="440" w:hanging="432"/>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lung diagnostic revenue of $3.7 million, a 22% improvement and 20% decline, respectively, over third quarter 2020 and fourth quarter 2019;</w:t>
      </w:r>
    </w:p>
    <w:p>
      <w:pPr>
        <w:ind w:left="440" w:hanging="432"/>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2020 services revenue of $1.9 million, a 198% improvement and 48% decline, respectively, over third quarter 2020 and fourth quarter 2019;</w:t>
      </w: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gross profit of $12.4 million, a 133% and 92% increase, respectively, over third quarter 2020 and fourth quarter 2019;</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non-cash stock compensation expense of $3.7 million as compared to $0.2 million in 2019;</w:t>
      </w:r>
    </w:p>
    <w:p>
      <w:pPr>
        <w:spacing w:after="0" w:line="9" w:lineRule="exact"/>
        <w:rPr>
          <w:rFonts w:ascii="Arial" w:cs="Arial" w:eastAsia="Arial" w:hAnsi="Arial"/>
          <w:sz w:val="18"/>
          <w:szCs w:val="18"/>
          <w:color w:val="auto"/>
        </w:rPr>
      </w:pPr>
    </w:p>
    <w:p>
      <w:pPr>
        <w:ind w:left="440" w:hanging="432"/>
        <w:spacing w:after="0" w:line="26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 balance sheet with $62.1 million of cash and cash equivalents as of December 31, 2020, an increase of $56.8 million over the comparable prior year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21" w:lineRule="exact"/>
        <w:rPr>
          <w:sz w:val="20"/>
          <w:szCs w:val="20"/>
          <w:color w:val="auto"/>
        </w:rPr>
      </w:pPr>
    </w:p>
    <w:p>
      <w:pPr>
        <w:ind w:left="440" w:right="660"/>
        <w:spacing w:after="0" w:line="277" w:lineRule="auto"/>
        <w:rPr>
          <w:sz w:val="20"/>
          <w:szCs w:val="20"/>
          <w:color w:val="auto"/>
        </w:rPr>
      </w:pPr>
      <w:r>
        <w:rPr>
          <w:rFonts w:ascii="Arial" w:cs="Arial" w:eastAsia="Arial" w:hAnsi="Arial"/>
          <w:sz w:val="18"/>
          <w:szCs w:val="18"/>
          <w:color w:val="auto"/>
        </w:rPr>
        <w:t>As part of the Biodesix data-driven approach, the company continues to build strong clinical evidence to establish the value and utility of the Biodesix lung diagnostics portfolio.</w:t>
      </w:r>
    </w:p>
    <w:p>
      <w:pPr>
        <w:spacing w:after="0" w:line="103" w:lineRule="exact"/>
        <w:rPr>
          <w:sz w:val="20"/>
          <w:szCs w:val="20"/>
          <w:color w:val="auto"/>
        </w:rPr>
      </w:pPr>
    </w:p>
    <w:p>
      <w:pPr>
        <w:jc w:val="both"/>
        <w:ind w:left="880" w:hanging="440"/>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Published an extended analysis of data from the company’s Nodify XL2® lung nodule test in the American College of Chest Physicians (CHEST 2020) Journal demonstrating that all nodules in the study group that were established as benign after one year remained benign after two years.</w:t>
      </w:r>
    </w:p>
    <w:p>
      <w:pPr>
        <w:spacing w:after="0" w:line="75" w:lineRule="exact"/>
        <w:rPr>
          <w:rFonts w:ascii="Arial" w:cs="Arial" w:eastAsia="Arial" w:hAnsi="Arial"/>
          <w:sz w:val="18"/>
          <w:szCs w:val="18"/>
          <w:color w:val="auto"/>
        </w:rPr>
      </w:pPr>
    </w:p>
    <w:p>
      <w:pPr>
        <w:jc w:val="both"/>
        <w:ind w:left="880" w:hanging="440"/>
        <w:spacing w:after="0" w:line="286"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Presented data from three studies at the American College of Chest Physicians (CHEST 2020) Annual Meeting highlighting the clinical value of the company’s Nodify XL2® and Nodify CDT™ lung nodule risk assessment suite and the utility of Nodify Lung Risk Assessment tests in helping physicians to reduce unnecessary procedures on benign nodules and delays in diagnosis of malignant nodules.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 w:name="page5"/>
    <w:bookmarkEnd w:id="4"/>
    <w:p>
      <w:pPr>
        <w:ind w:left="76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2437130</wp:posOffset>
            </wp:positionH>
            <wp:positionV relativeFrom="page">
              <wp:posOffset>88900</wp:posOffset>
            </wp:positionV>
            <wp:extent cx="2185670"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85670" cy="685800"/>
                    </a:xfrm>
                    <a:prstGeom prst="rect">
                      <a:avLst/>
                    </a:prstGeom>
                    <a:noFill/>
                  </pic:spPr>
                </pic:pic>
              </a:graphicData>
            </a:graphic>
          </wp:anchor>
        </w:drawing>
        <w:t>Exhibit 99.1</w:t>
      </w:r>
    </w:p>
    <w:p>
      <w:pPr>
        <w:spacing w:after="0" w:line="18" w:lineRule="exact"/>
        <w:rPr>
          <w:sz w:val="20"/>
          <w:szCs w:val="20"/>
          <w:color w:val="auto"/>
        </w:rPr>
      </w:pPr>
    </w:p>
    <w:p>
      <w:pPr>
        <w:ind w:left="880" w:right="20" w:hanging="440"/>
        <w:spacing w:after="0" w:line="25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Initiated recruitment in the Nodify XL2 Classifier Prospective Study in Low to Moderate Risk Lung Nodules (ALTITUDE) with the intent to assess how clinical decision making can be impacted by the introduction of Nodify Lung test results into risk assessment.</w:t>
      </w:r>
    </w:p>
    <w:p>
      <w:pPr>
        <w:spacing w:after="0" w:line="7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Showcased data from multiple studies at the International Association for the Study of Lung Cancer (IASLC) World Conference on Lung Cancer (WCLC) demonstrating individual patient’s immune profile capabilities in providing information to support treatment decisions for patients diagnosed with advanced non-small cell lung cancer (NSCLC).</w:t>
      </w:r>
    </w:p>
    <w:p>
      <w:pPr>
        <w:spacing w:after="0" w:line="7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collaboration with HiberCell to further the development of an enzyme-linked immunosorbent assay (ELISA) as a companion diagnostic in future registration trials in breast cancer for Imprime PGG programs.</w:t>
      </w:r>
    </w:p>
    <w:p>
      <w:pPr>
        <w:spacing w:after="0" w:line="62"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publication of a peer-reviewed study supporting its patented blood collection device (BCD). The device is designed to streamline whole blood specimen collection and transportation to the laboratory while delivering diagnostic test results that are equivalent to traditional methods.</w:t>
      </w:r>
    </w:p>
    <w:p>
      <w:pPr>
        <w:spacing w:after="0" w:line="76"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In addition to the significant accomplishments associated with our lung diagnostic advances, the Company continued to advance their partnerships and services related to COVID-19.</w:t>
      </w:r>
    </w:p>
    <w:p>
      <w:pPr>
        <w:spacing w:after="0" w:line="103" w:lineRule="exact"/>
        <w:rPr>
          <w:sz w:val="20"/>
          <w:szCs w:val="20"/>
          <w:color w:val="auto"/>
        </w:rPr>
      </w:pPr>
    </w:p>
    <w:p>
      <w:pPr>
        <w:ind w:left="8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strategic partnerships with both Purdue University and the Chicago Public School System for COVID-19 testing to safely reopen schools.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Published a paper demonstrating a new AI-based algorithm that can rapidly and accurately help physicians predict risk of severe outcomes for patients with COVID-19 infection utilizing readily available patient data collected upon hospital admission.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fourth quarter, we continued to add to the growing body of published evidence demonstrating the value of the clinical information delivered by our suite of commercially available lung disease diagnostic tests,” said Hutton. “Looking ahead, we are cautiously optimistic that a more normalized business environment will reemerge later this year, setting the stage for more robust growth in our core lung diagnostic business. We expect modest gross margin percentage expansion for 2021 as compared to 2020 as we continue to experience near-term strength in our COVID-19 diagnostic testing, which on average has lower overall gross margin percentages than our lung diagnostic testing services. We were particularly pleased to show revenue growth in the fourth quarter over the third quarter in our lung diagnostic testing services and biopharma services even while COVID-19 cases surged, and healthcare practitioners and facilities remained focused on fighting the pandemic.”</w:t>
      </w:r>
    </w:p>
    <w:p>
      <w:pPr>
        <w:spacing w:after="0" w:line="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the same time, our COVID-19 testing services delivered strong revenue growth, as evidenced by our strategic partnerships that benefited our fourth quarter 2020. In addition, we continue to expand the reach of our COVID-19 testing services with our recently announced partnership with Purdue University and the Chicago Public School System, one of the largest in the country, in an effort to safely reopen schools for in-person learning.”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Management will host an investor conference call and webcast today, March 16, 2021 at 4:30 p.m. Eastern Time.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Investor dial-in (domestic):</w:t>
            </w:r>
          </w:p>
        </w:tc>
        <w:tc>
          <w:tcPr>
            <w:tcW w:w="2100" w:type="dxa"/>
            <w:vAlign w:val="bottom"/>
          </w:tcPr>
          <w:p>
            <w:pPr>
              <w:jc w:val="right"/>
              <w:ind w:right="930"/>
              <w:spacing w:after="0"/>
              <w:rPr>
                <w:sz w:val="20"/>
                <w:szCs w:val="20"/>
                <w:color w:val="auto"/>
              </w:rPr>
            </w:pPr>
            <w:r>
              <w:rPr>
                <w:rFonts w:ascii="Arial" w:cs="Arial" w:eastAsia="Arial" w:hAnsi="Arial"/>
                <w:sz w:val="18"/>
                <w:szCs w:val="18"/>
                <w:color w:val="auto"/>
                <w:w w:val="94"/>
              </w:rPr>
              <w:t>877-705-6003</w:t>
            </w: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Investor dial-in (international):</w:t>
            </w:r>
          </w:p>
        </w:tc>
        <w:tc>
          <w:tcPr>
            <w:tcW w:w="2100" w:type="dxa"/>
            <w:vAlign w:val="bottom"/>
          </w:tcPr>
          <w:p>
            <w:pPr>
              <w:jc w:val="right"/>
              <w:ind w:right="670"/>
              <w:spacing w:after="0"/>
              <w:rPr>
                <w:sz w:val="20"/>
                <w:szCs w:val="20"/>
                <w:color w:val="auto"/>
              </w:rPr>
            </w:pPr>
            <w:r>
              <w:rPr>
                <w:rFonts w:ascii="Arial" w:cs="Arial" w:eastAsia="Arial" w:hAnsi="Arial"/>
                <w:sz w:val="18"/>
                <w:szCs w:val="18"/>
                <w:color w:val="auto"/>
              </w:rPr>
              <w:t>201-493-6725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9"/>
              </w:rPr>
              <w:t>Conference ID:</w:t>
            </w:r>
          </w:p>
        </w:tc>
        <w:tc>
          <w:tcPr>
            <w:tcW w:w="1340" w:type="dxa"/>
            <w:vAlign w:val="bottom"/>
          </w:tcPr>
          <w:p>
            <w:pPr>
              <w:jc w:val="right"/>
              <w:spacing w:after="0"/>
              <w:rPr>
                <w:sz w:val="20"/>
                <w:szCs w:val="20"/>
                <w:color w:val="auto"/>
              </w:rPr>
            </w:pPr>
            <w:r>
              <w:rPr>
                <w:rFonts w:ascii="Arial" w:cs="Arial" w:eastAsia="Arial" w:hAnsi="Arial"/>
                <w:sz w:val="18"/>
                <w:szCs w:val="18"/>
                <w:color w:val="auto"/>
              </w:rPr>
              <w:t>13717317</w:t>
            </w:r>
          </w:p>
        </w:tc>
        <w:tc>
          <w:tcPr>
            <w:tcW w:w="210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Webcast: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w w:val="95"/>
              </w:rPr>
              <w:t>http://public.viavid.com/index.php?id=143868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An archived replay of the webcast will be available on the company’s website for a period of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 w:name="page6"/>
    <w:bookmarkEnd w:id="5"/>
    <w:p>
      <w:pPr>
        <w:ind w:left="76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2437130</wp:posOffset>
            </wp:positionH>
            <wp:positionV relativeFrom="page">
              <wp:posOffset>88900</wp:posOffset>
            </wp:positionV>
            <wp:extent cx="218567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85670" cy="685800"/>
                    </a:xfrm>
                    <a:prstGeom prst="rect">
                      <a:avLst/>
                    </a:prstGeom>
                    <a:noFill/>
                  </pic:spPr>
                </pic:pic>
              </a:graphicData>
            </a:graphic>
          </wp:anchor>
        </w:drawing>
        <w:t>Exhibit 99.1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Biodesix</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Biodesix is a leading diagnostic company with a focus in lung disease. The Company develops diagnostic tests addressing important clinical questions by combining multi-omics through the power of artificial intelligence. Biodesix is the first company to offer six non-invasive tests for patients with diseases of the lung. Biodesix launched the Bio-Rad SARS-CoV-2 ddPCR™ test and the Platelia SARS-CoV-2 Total Ab in response to the global pandemic and virus that impacts the lung and causes COVID-19. The blood-based Biodesix Lung Reflex® strategy for lung cancer patients integrates the GeneStrat® and VeriStrat® tests to support treatment decisions with results in 72 hours, expediting time to treatment. The blood-based Nodify Lung™ nodule risk assessment testing strategy, consisting of the Nodify XL2® and the Nodify CDT™ tests, evaluates the risk of malignancy in incidental pulmonary nodules, enabling physicians to better triage patients to the most appropriate course of action. Biodesix also collaborates with many of the world’s leading biotechnology and pharmaceutical companies to solve complex diagnostic challenges in lung disease. For more information about Biodesix, visit biodesix.com.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the COVID-19 pandemic on Biodesix and its operations, it is possible or assumed future results of operations, including descriptions of its revenues, profitability, outlook and overall business strategy. Forward-looking statements are inherently subject to risks and uncertainties, some of which cannot be predicted or quantified. Factors that could cause actual results to differ materially from those contemplated in this press release can be found in the Risk Factors section of Biodesix’s most recent annual report on Form 10K, filed March 16, 2021.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Jordona Jackson Smith for Biodesix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Jordona@jacksonbio.com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(805) 674-7347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Feffer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jeremy@lifesciadvisors.com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915-2568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0"/>
        </w:trPr>
        <w:tc>
          <w:tcPr>
            <w:tcW w:w="7360" w:type="dxa"/>
            <w:vAlign w:val="bottom"/>
            <w:vMerge w:val="restart"/>
          </w:tcPr>
          <w:p>
            <w:pPr>
              <w:jc w:val="center"/>
              <w:ind w:left="3790"/>
              <w:spacing w:after="0"/>
              <w:rPr>
                <w:sz w:val="20"/>
                <w:szCs w:val="20"/>
                <w:color w:val="auto"/>
              </w:rPr>
            </w:pPr>
            <w:r>
              <w:rPr>
                <w:rFonts w:ascii="Arial" w:cs="Arial" w:eastAsia="Arial" w:hAnsi="Arial"/>
                <w:sz w:val="18"/>
                <w:szCs w:val="18"/>
                <w:b w:val="1"/>
                <w:bCs w:val="1"/>
                <w:color w:val="auto"/>
                <w:w w:val="89"/>
              </w:rPr>
              <w:t>Biodesix, Inc.</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Exhibit 99.1</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w w:val="87"/>
              </w:rPr>
              <w:t>Condensed Balance Sheets (unaudited)</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w w:val="92"/>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721"/>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3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121,070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3"/>
            <w:shd w:val="clear" w:color="auto" w:fill="CFF0FC"/>
          </w:tcPr>
          <w:p>
            <w:pPr>
              <w:ind w:left="2700"/>
              <w:spacing w:after="0"/>
              <w:rPr>
                <w:sz w:val="20"/>
                <w:szCs w:val="20"/>
                <w:color w:val="auto"/>
              </w:rPr>
            </w:pPr>
            <w:r>
              <w:rPr>
                <w:rFonts w:ascii="Arial" w:cs="Arial" w:eastAsia="Arial" w:hAnsi="Arial"/>
                <w:sz w:val="18"/>
                <w:szCs w:val="18"/>
                <w:b w:val="1"/>
                <w:bCs w:val="1"/>
                <w:color w:val="auto"/>
                <w:w w:val="94"/>
              </w:rPr>
              <w:t>Liabilities, Convertible Preferred Stock and Stockholders' Equity (Deficit)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FF0FC"/>
          </w:tcPr>
          <w:p>
            <w:pPr>
              <w:jc w:val="right"/>
              <w:ind w:right="721"/>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Current portion of notes payable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Put option liability</w:t>
            </w:r>
          </w:p>
        </w:tc>
        <w:tc>
          <w:tcPr>
            <w:tcW w:w="360" w:type="dxa"/>
            <w:vAlign w:val="bottom"/>
            <w:shd w:val="clear" w:color="auto" w:fill="CFF0FC"/>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tcPr>
          <w:p>
            <w:pPr>
              <w:ind w:left="26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3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299,953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(258,814)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(225,139)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121,070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4"/>
        </w:trPr>
        <w:tc>
          <w:tcPr>
            <w:tcW w:w="7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88900</wp:posOffset>
            </wp:positionV>
            <wp:extent cx="218567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85670" cy="685800"/>
                    </a:xfrm>
                    <a:prstGeom prst="rect">
                      <a:avLst/>
                    </a:prstGeom>
                    <a:noFill/>
                  </pic:spPr>
                </pic:pic>
              </a:graphicData>
            </a:graphic>
          </wp:anchor>
        </w:drawing>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27" w:right="319" w:bottom="1440" w:gutter="0" w:footer="0" w:header="0"/>
        </w:sectPr>
      </w:pPr>
    </w:p>
    <w:bookmarkStart w:id="7" w:name="page8"/>
    <w:bookmarkEnd w:id="7"/>
    <w:p>
      <w:pPr>
        <w:ind w:left="76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2437130</wp:posOffset>
            </wp:positionH>
            <wp:positionV relativeFrom="page">
              <wp:posOffset>88900</wp:posOffset>
            </wp:positionV>
            <wp:extent cx="218567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85670" cy="685800"/>
                    </a:xfrm>
                    <a:prstGeom prst="rect">
                      <a:avLst/>
                    </a:prstGeom>
                    <a:noFill/>
                  </pic:spPr>
                </pic:pic>
              </a:graphicData>
            </a:graphic>
          </wp:anchor>
        </w:drawing>
        <w:t>Exhibit 99.1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Direct costs and expenses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(7,604)</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put option liability</w:t>
            </w:r>
          </w:p>
        </w:tc>
        <w:tc>
          <w:tcPr>
            <w:tcW w:w="82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2021-03-16T13:54:38Z</dcterms:created>
  <dcterms:modified xsi:type="dcterms:W3CDTF">2021-03-16T13:54:38Z</dcterms:modified>
</cp:coreProperties>
</file>