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Par Value $0.001 Per Share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09075X108</w:t>
      </w:r>
    </w:p>
    <w:p>
      <w:pPr>
        <w:spacing w:after="0" w:line="3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Jack Trottier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688 Pine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Burlington, VT 05401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(802) 923-3826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April 5, 2024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SCHEDULE 13D</w:t>
            </w:r>
          </w:p>
        </w:tc>
        <w:tc>
          <w:tcPr>
            <w:tcW w:w="2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Page 2 of 5 Pages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400" w:type="dxa"/>
            <w:vAlign w:val="bottom"/>
            <w:tcBorders>
              <w:bottom w:val="single" w:sz="8" w:color="auto"/>
            </w:tcBorders>
          </w:tcPr>
          <w:p>
            <w:pPr>
              <w:spacing w:after="0"/>
              <w:rPr>
                <w:sz w:val="15"/>
                <w:szCs w:val="15"/>
                <w:color w:val="auto"/>
              </w:rPr>
            </w:pPr>
          </w:p>
        </w:tc>
        <w:tc>
          <w:tcPr>
            <w:tcW w:w="7160" w:type="dxa"/>
            <w:vAlign w:val="bottom"/>
            <w:tcBorders>
              <w:bottom w:val="single" w:sz="8" w:color="auto"/>
            </w:tcBorders>
            <w:gridSpan w:val="5"/>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8"/>
              </w:rPr>
              <w:t>Matthew Strobeck</w:t>
            </w:r>
          </w:p>
        </w:tc>
        <w:tc>
          <w:tcPr>
            <w:tcW w:w="5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160" w:type="dxa"/>
            <w:vAlign w:val="bottom"/>
            <w:tcBorders>
              <w:bottom w:val="single" w:sz="8" w:color="auto"/>
            </w:tcBorders>
            <w:gridSpan w:val="5"/>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160" w:type="dxa"/>
            <w:vAlign w:val="bottom"/>
          </w:tcPr>
          <w:p>
            <w:pPr>
              <w:spacing w:after="0"/>
              <w:rPr>
                <w:sz w:val="20"/>
                <w:szCs w:val="20"/>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59"/>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SEC USE ONLY</w:t>
            </w:r>
          </w:p>
        </w:tc>
        <w:tc>
          <w:tcPr>
            <w:tcW w:w="5820" w:type="dxa"/>
            <w:vAlign w:val="bottom"/>
            <w:shd w:val="clear" w:color="auto" w:fill="BFBFBF"/>
          </w:tcPr>
          <w:p>
            <w:pPr>
              <w:spacing w:after="0"/>
              <w:rPr>
                <w:sz w:val="20"/>
                <w:szCs w:val="20"/>
                <w:color w:val="auto"/>
              </w:rPr>
            </w:pPr>
          </w:p>
        </w:tc>
        <w:tc>
          <w:tcPr>
            <w:tcW w:w="216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5820" w:type="dxa"/>
            <w:vAlign w:val="bottom"/>
            <w:shd w:val="clear" w:color="auto" w:fill="BFBFBF"/>
          </w:tcPr>
          <w:p>
            <w:pPr>
              <w:spacing w:after="0"/>
              <w:rPr>
                <w:sz w:val="24"/>
                <w:szCs w:val="24"/>
                <w:color w:val="auto"/>
              </w:rPr>
            </w:pPr>
          </w:p>
        </w:tc>
        <w:tc>
          <w:tcPr>
            <w:tcW w:w="216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5840" w:type="dxa"/>
            <w:vAlign w:val="bottom"/>
            <w:tcBorders>
              <w:bottom w:val="single" w:sz="8" w:color="auto"/>
            </w:tcBorders>
            <w:gridSpan w:val="2"/>
            <w:shd w:val="clear" w:color="auto" w:fill="BFBFBF"/>
          </w:tcPr>
          <w:p>
            <w:pPr>
              <w:spacing w:after="0"/>
              <w:rPr>
                <w:sz w:val="23"/>
                <w:szCs w:val="23"/>
                <w:color w:val="auto"/>
              </w:rPr>
            </w:pPr>
          </w:p>
        </w:tc>
        <w:tc>
          <w:tcPr>
            <w:tcW w:w="216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 AF</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6"/>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9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7160" w:type="dxa"/>
            <w:vAlign w:val="bottom"/>
            <w:tcBorders>
              <w:bottom w:val="single" w:sz="8" w:color="auto"/>
            </w:tcBorders>
            <w:gridSpan w:val="5"/>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2,846,611 (1)</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2,825,389</w:t>
            </w: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8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2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20" w:type="dxa"/>
            <w:vAlign w:val="bottom"/>
          </w:tcPr>
          <w:p>
            <w:pPr>
              <w:spacing w:after="0"/>
              <w:rPr>
                <w:sz w:val="18"/>
                <w:szCs w:val="18"/>
                <w:color w:val="auto"/>
              </w:rPr>
            </w:pPr>
          </w:p>
        </w:tc>
        <w:tc>
          <w:tcPr>
            <w:tcW w:w="582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2,846,611 (1)</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5820" w:type="dxa"/>
            <w:vAlign w:val="bottom"/>
            <w:vMerge w:val="continue"/>
          </w:tcPr>
          <w:p>
            <w:pPr>
              <w:spacing w:after="0"/>
              <w:rPr>
                <w:sz w:val="10"/>
                <w:szCs w:val="10"/>
                <w:color w:val="auto"/>
              </w:rPr>
            </w:pPr>
          </w:p>
        </w:tc>
        <w:tc>
          <w:tcPr>
            <w:tcW w:w="2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2,825,389</w:t>
            </w: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5840" w:type="dxa"/>
            <w:vAlign w:val="bottom"/>
            <w:tcBorders>
              <w:bottom w:val="single" w:sz="8" w:color="auto"/>
            </w:tcBorders>
            <w:gridSpan w:val="2"/>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5,672,000 (1)</w:t>
            </w:r>
          </w:p>
        </w:tc>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1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2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400" w:type="dxa"/>
            <w:vAlign w:val="bottom"/>
            <w:tcBorders>
              <w:left w:val="single" w:sz="8" w:color="auto"/>
              <w:right w:val="single" w:sz="8" w:color="auto"/>
            </w:tcBorders>
            <w:vMerge w:val="continue"/>
          </w:tcPr>
          <w:p>
            <w:pPr>
              <w:spacing w:after="0"/>
              <w:rPr>
                <w:sz w:val="6"/>
                <w:szCs w:val="6"/>
                <w:color w:val="auto"/>
              </w:rPr>
            </w:pPr>
          </w:p>
        </w:tc>
        <w:tc>
          <w:tcPr>
            <w:tcW w:w="7160" w:type="dxa"/>
            <w:vAlign w:val="bottom"/>
            <w:gridSpan w:val="5"/>
            <w:vMerge w:val="continue"/>
          </w:tcPr>
          <w:p>
            <w:pPr>
              <w:spacing w:after="0"/>
              <w:rPr>
                <w:sz w:val="6"/>
                <w:szCs w:val="6"/>
                <w:color w:val="auto"/>
              </w:rPr>
            </w:pPr>
          </w:p>
        </w:tc>
        <w:tc>
          <w:tcPr>
            <w:tcW w:w="2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tcBorders>
            <w:gridSpan w:val="2"/>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4.98% (2)</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5840" w:type="dxa"/>
            <w:vAlign w:val="bottom"/>
            <w:tcBorders>
              <w:bottom w:val="single" w:sz="8" w:color="auto"/>
            </w:tcBorders>
            <w:gridSpan w:val="2"/>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303,683 Shares (as defined herein) that the Reporting Person has the right to acquire within 60 days of the date of this filing.</w:t>
      </w:r>
    </w:p>
    <w:p>
      <w:pPr>
        <w:spacing w:after="0" w:line="225"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113,627,715 Shares expected to be outstanding following the closing of the Issuer’s Concurrent Private Placement (as defined herein) on April 9, 2024, as reported in the Issuer’s current report on Form 8-K filed with the SEC on April 9, 2024, plus 303,683 Shares that the Reporting Person has the right to acquire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5000" w:val="left"/>
          <w:tab w:leader="none" w:pos="87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3 of 5 Pages</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1 of the Schedule 13D is hereby amended and supplemented as follows:</w:t>
      </w:r>
    </w:p>
    <w:p>
      <w:pPr>
        <w:spacing w:after="0" w:line="22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Amendment No. 2 to Schedule 13D (“Amendment No. 2”) is being filed by the undersigned, pursuant to §240.13d-2(a), to amend and supplement the Schedule 13D filed with the U.S. Securities and Exchange Commission (the “SEC”) on November 9, 2020, as amended on November 23, 2022 (collectively, the “Schedule 13D”), with respect to the common stock, par value $0.001 per share (the “Shares”), of Biodesix, Inc. (the “Issuer” or the “Company”), whose principal executive offices are located at 919 West Dillon Rd., Louisville, Colorado 80027.</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3 of the Schedule 13D is hereby amended and supplemented as follows:</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On April 5, 2024, the Issuer entered into securities purchase agreements (the “Securities Purchase Agreements”) with various investors, including the Birchview Capital Separately Managed Account and Birchview Fund, LLC (collectively, the “Investors”), for the issuance and sale by the Company of an aggregate of 760,857 shares of Series A Non-Voting Convertible Preferred Stock, par value $0.001 per share (the “Series A Preferred Stock”) in an offering (the “Concurrent Private Placement”). Pursuant to the terms of the Securities Purchase Agreements, the Company has agreed to submit to its stockholders the approval of the conversion of the Series A Preferred Stock into Shares in accordance with Nasdaq Stock Market Rules (the “Conversion Proposal”) at its 2024 annual meeting of stockholders. Following such approval of the Conversion Proposal, each share of Series A Preferred Stock will automatically convert into 40 Shares, subject to certain limitations, including that the Reporting Person is prohibited from converting shares of Series A Preferred Stock into Shares if, as a result of such conversion, the Reporting Person, together with his affiliates, would beneficially own more than 19.9% of the total number of Shares issued and outstanding immediately after giving effect to such conversion. The Securities Purchase Agreements include customary representations, warranties and covenants by the parties to the agreement. Pursuant to the Securities Purchase Agreements, the Investors purchased the Series A Preferred Stock at a purchase price of $46.00 per share for an aggregate purchase price of approximately $35.0 million.</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The Birchview Capital Separately Managed Account purchased 1,304 shares of Series A Preferred Stock in the Concurrent Private Placement, which will automatically convert into 52,160 Shares following approval of the Conversion Proposal, at a purchase price of $46.00 per share, for an aggregate purchase price of approximately $60,008, using cash of the Birchview Capital Separately Managed Account. Birchview Fund, LLC purchased 7,392 shares of Series A Preferred Stock in the Concurrent Private Placement, which will automatically convert into 295,680 Shares following approval of the Conversion Proposal, at a purchase price of $46.00 per share, for an aggregate purchase price of approximately $340,008, using cash of Birchview Fund, LLC.</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Securities Purchase Agreements does not purport to be complete and is qualified in its entirety by reference to the full text of the Securities Purchase Agreements, the form of which is attached as Exhibit 2 to this Amendment No. 2 and is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5(a) - (c) and (e) of the Schedule 13D are hereby amended and supplemented as follows:</w:t>
      </w:r>
    </w:p>
    <w:p>
      <w:pPr>
        <w:spacing w:after="0" w:line="22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b) As of the date hereof, the Reporting Person may be deemed to beneficially own, in the aggregate, 5,672,000 Shares, which represents approximately 4.98% of the Shares outstanding. This amount includes: (i) 2,542,928 Shares held directly by the Reporting Person; (ii) 11,717 Shares that the Reporting Person has the right to acquire upon exercise of options exercisable within 60 days of the date of this filing; (iii) 291,966 Shares that the Reporting Person has the right to acquire upon settlement of vested restricted stock units within 60 days of the date of this filing; (iv) 2,275,199 Shares held by Birchview Fund LLC, for which the Reporting Person serves as Manager; (v) 33,513 Shares held by Birchview Capital Separately Managed Account, for which the Reporting Person serves as Manager; (vi) 40,665 Shares held by Clajer Capital LLC, of which the Reporting Person is an affiliate; and (vii) 119,003 Shares held in each of four UTMA accounts (for an aggregate amount of 476,012 Shares) held for the benefit of the Reporting Person’s children. This amount excludes 347,840 Shares into which the 8,696 shares of Series A Preferred Stock will automatically convert following approval of the Conversion Proposal, because the Reporting Person does not have the right to acquire such Shares prior to stockholder approval of the Conversion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5000" w:val="left"/>
          <w:tab w:leader="none" w:pos="87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5 Pages</w:t>
      </w:r>
    </w:p>
    <w:p>
      <w:pPr>
        <w:spacing w:after="0" w:line="18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beneficial ownership percentage is based on a total of 113,627,715 Shares expected to be outstanding following the closing of the Issuer’s Concurrent Private Placement on April 9, 2024, as reported in the Issuer’s current report on Form 8-K filed with the SEC on April 9, 2024, plus 303,683 Shares that the Reporting Person has the right to acquire within 60 days of the date of this filing.</w:t>
      </w:r>
    </w:p>
    <w:p>
      <w:pPr>
        <w:spacing w:after="0" w:line="176" w:lineRule="exact"/>
        <w:rPr>
          <w:sz w:val="20"/>
          <w:szCs w:val="20"/>
          <w:color w:val="auto"/>
        </w:rPr>
      </w:pPr>
    </w:p>
    <w:p>
      <w:pPr>
        <w:ind w:firstLine="1304"/>
        <w:spacing w:after="0" w:line="282" w:lineRule="auto"/>
        <w:tabs>
          <w:tab w:leader="none" w:pos="15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response to Item 3 of this Amendment No. 2 is incorporated by reference herein. Except as set forth in this Amendment No. 2, no transactions in the Shares have been effected by the Reporting Person within the past 60 days.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As of April 5, 2024, the Reporting Person ceased to beneficially own more than 5% of the outstanding Shares.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Item 6 of the Schedule 13D is hereby amended and supplemented as follows:</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3 of this Amendment No. 2 is incorporated by reference herein.</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In connection with the Concurrent Private Placement, the Issuer also entered into a Registration Rights Agreement, dated April 5, 2024 (the “Registration Rights Agreement”), with the Investors, which provides that the Issuer will register the resale of the Shares issuable upon conversion of the Series A Preferred Stock. The Issuer is required to prepare and file an initial registration statement with the SEC as soon as reasonably practicable, but in no event later than April 23, 2024, and to use best efforts to have the registration statement declared effective within 50 days after the closing of the Concurrent Private Placement, subject to the approval of the Conversion Proposal being received at the Company’s 2024 annual meeting of stockholders.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the form of which is attached as Exhibit 3 to this Amendment No. 2 and is incorporated herein by reference.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this Amendment No. 2, there are no contracts, arrangements, understandings or relationships between the Reporting Person and any other person with respect to any securities of the Issuer.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Material to be Filed as Exhibits</w:t>
            </w:r>
          </w:p>
        </w:tc>
      </w:tr>
      <w:tr>
        <w:trPr>
          <w:trHeight w:val="432"/>
        </w:trPr>
        <w:tc>
          <w:tcPr>
            <w:tcW w:w="980" w:type="dxa"/>
            <w:vAlign w:val="bottom"/>
          </w:tcPr>
          <w:p>
            <w:pPr>
              <w:spacing w:after="0"/>
              <w:rPr>
                <w:sz w:val="24"/>
                <w:szCs w:val="24"/>
                <w:color w:val="auto"/>
              </w:rPr>
            </w:pPr>
          </w:p>
        </w:tc>
        <w:tc>
          <w:tcPr>
            <w:tcW w:w="102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Item 7 of the Schedule 13D is hereby amended and supplemented as follows:</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2</w:t>
            </w:r>
          </w:p>
        </w:tc>
        <w:tc>
          <w:tcPr>
            <w:tcW w:w="10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Securities Purchase Agreements (incorporated by reference to Exhibit 10.2 to the Issuer’s current report on Form 8-K filed</w:t>
            </w:r>
          </w:p>
        </w:tc>
      </w:tr>
      <w:tr>
        <w:trPr>
          <w:trHeight w:val="234"/>
        </w:trPr>
        <w:tc>
          <w:tcPr>
            <w:tcW w:w="980" w:type="dxa"/>
            <w:vAlign w:val="bottom"/>
          </w:tcPr>
          <w:p>
            <w:pPr>
              <w:spacing w:after="0"/>
              <w:rPr>
                <w:sz w:val="20"/>
                <w:szCs w:val="20"/>
                <w:color w:val="auto"/>
              </w:rPr>
            </w:pPr>
          </w:p>
        </w:tc>
        <w:tc>
          <w:tcPr>
            <w:tcW w:w="10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with the SEC on April 9, 2024).</w:t>
            </w:r>
          </w:p>
        </w:tc>
      </w:tr>
      <w:tr>
        <w:trPr>
          <w:trHeight w:val="41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Exhibit 3</w:t>
            </w:r>
          </w:p>
        </w:tc>
        <w:tc>
          <w:tcPr>
            <w:tcW w:w="10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Form of Registration Rights Agreement (incorporated by reference to Exhibit 10.3 to the Issuer’s current report on Form 8-K filed with</w:t>
            </w:r>
          </w:p>
        </w:tc>
      </w:tr>
      <w:tr>
        <w:trPr>
          <w:trHeight w:val="234"/>
        </w:trPr>
        <w:tc>
          <w:tcPr>
            <w:tcW w:w="980" w:type="dxa"/>
            <w:vAlign w:val="bottom"/>
          </w:tcPr>
          <w:p>
            <w:pPr>
              <w:spacing w:after="0"/>
              <w:rPr>
                <w:sz w:val="20"/>
                <w:szCs w:val="20"/>
                <w:color w:val="auto"/>
              </w:rPr>
            </w:pPr>
          </w:p>
        </w:tc>
        <w:tc>
          <w:tcPr>
            <w:tcW w:w="10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SEC on April 9, 2024).</w:t>
            </w:r>
          </w:p>
        </w:tc>
      </w:tr>
      <w:tr>
        <w:trPr>
          <w:trHeight w:val="412"/>
        </w:trPr>
        <w:tc>
          <w:tcPr>
            <w:tcW w:w="98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5000" w:val="left"/>
          <w:tab w:leader="none" w:pos="87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5 Pages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Matthew Strobeck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2024-04-09T19:35:58Z</dcterms:created>
  <dcterms:modified xsi:type="dcterms:W3CDTF">2024-04-09T19:35:58Z</dcterms:modified>
</cp:coreProperties>
</file>