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Biodesix,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Common Stock, Par Value $0.001 Per Share</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5"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u w:val="single" w:color="auto"/>
          <w:color w:val="auto"/>
        </w:rPr>
        <w:t>09075X108</w:t>
      </w:r>
    </w:p>
    <w:p>
      <w:pPr>
        <w:spacing w:after="0" w:line="18"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(CUSIP Number)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Richard McCormick</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688 Pine Street</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Burlington, VT 05401</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u w:val="single" w:color="auto"/>
          <w:color w:val="auto"/>
        </w:rPr>
        <w:t>(802) 923-3826</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November 21, 2022</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9" w:lineRule="exact"/>
        <w:rPr>
          <w:sz w:val="24"/>
          <w:szCs w:val="24"/>
          <w:color w:val="auto"/>
        </w:rPr>
      </w:pPr>
    </w:p>
    <w:p>
      <w:pPr>
        <w:spacing w:after="0" w:line="280"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21"/>
          <w:szCs w:val="21"/>
          <w:color w:val="auto"/>
        </w:rPr>
        <w:t>☐</w:t>
      </w:r>
    </w:p>
    <w:p>
      <w:pPr>
        <w:spacing w:after="0" w:line="183"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Rule 13d-7 for other parties to whom copies are to be sent.</w:t>
      </w:r>
    </w:p>
    <w:p>
      <w:pPr>
        <w:spacing w:after="0" w:line="185" w:lineRule="exact"/>
        <w:rPr>
          <w:sz w:val="24"/>
          <w:szCs w:val="24"/>
          <w:color w:val="auto"/>
        </w:rPr>
      </w:pPr>
    </w:p>
    <w:p>
      <w:pPr>
        <w:jc w:val="both"/>
        <w:ind w:firstLine="8"/>
        <w:spacing w:after="0" w:line="244" w:lineRule="auto"/>
        <w:tabs>
          <w:tab w:leader="none" w:pos="16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80" w:type="dxa"/>
            <w:vAlign w:val="bottom"/>
          </w:tcPr>
          <w:p>
            <w:pPr>
              <w:spacing w:after="0"/>
              <w:rPr>
                <w:sz w:val="20"/>
                <w:szCs w:val="20"/>
                <w:color w:val="auto"/>
              </w:rPr>
            </w:pPr>
          </w:p>
        </w:tc>
        <w:tc>
          <w:tcPr>
            <w:tcW w:w="6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SCHEDULE 13D</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2 of 4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280" w:type="dxa"/>
            <w:vAlign w:val="bottom"/>
            <w:tcBorders>
              <w:bottom w:val="single" w:sz="8" w:color="auto"/>
            </w:tcBorders>
            <w:gridSpan w:val="4"/>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Matthew Strobeck</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4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6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6960" w:type="dxa"/>
            <w:vAlign w:val="bottom"/>
            <w:shd w:val="clear" w:color="auto" w:fill="BFBFBF"/>
          </w:tcPr>
          <w:p>
            <w:pPr>
              <w:spacing w:after="0"/>
              <w:rPr>
                <w:sz w:val="24"/>
                <w:szCs w:val="24"/>
                <w:color w:val="auto"/>
              </w:rPr>
            </w:pPr>
          </w:p>
        </w:tc>
        <w:tc>
          <w:tcPr>
            <w:tcW w:w="104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shd w:val="clear" w:color="auto" w:fill="BFBFBF"/>
          </w:tcPr>
          <w:p>
            <w:pPr>
              <w:spacing w:after="0"/>
              <w:rPr>
                <w:sz w:val="23"/>
                <w:szCs w:val="23"/>
                <w:color w:val="auto"/>
              </w:rPr>
            </w:pPr>
          </w:p>
        </w:tc>
        <w:tc>
          <w:tcPr>
            <w:tcW w:w="104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PF, AF</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2,426,868 (1)</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2,644,526</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0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2,426,868 (1)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69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2,644,526</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5,071,394 (1)</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828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6.6% (2)</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3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11,717 Shares (as defined herein) that the Reporting Person has the right to acquire upon exercise of options exercisable within 60 days of the date of this filing.</w:t>
      </w:r>
    </w:p>
    <w:p>
      <w:pPr>
        <w:spacing w:after="0" w:line="188"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76,495,568 Shares outstanding immediately after the closing of the Issuer’s follow-on offering and related private placement of Shares on November 21, 2022, as provided by the Issuer, plus 11,717 Shares that the Reporting Person has the right to acquire upon exercise of options exercisable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tabs>
          <w:tab w:leader="none" w:pos="500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3 of 4 Pages</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Item 1 of the Schedule 13D is hereby amended and supplemented as follows:</w:t>
      </w:r>
    </w:p>
    <w:p>
      <w:pPr>
        <w:spacing w:after="0" w:line="23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This Amendment No. 1 to Schedule 13D (“Amendment No. 1”) is being filed by the undersigned, pursuant to §240.13d-2(a), to amend and supplement the Schedule 13D filed with the U.S. Securities and Exchange Commission (the “SEC”) on November 9, 2020 (together with this Amendment No. 1, the “Schedule 13D”), with respect to the common stock, par value $0.001 per share (the “Shares”), of Biodesix, Inc. (the “Issuer” or the “Company”), whose principal executive offices are located at 2970 Wilderness Place, Suite 100, Boulder, Colorado 80301.</w:t>
      </w:r>
    </w:p>
    <w:p>
      <w:pPr>
        <w:spacing w:after="0" w:line="20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Item 3 of the Schedule 13D is hereby amended and supplemented as follows:</w:t>
      </w:r>
    </w:p>
    <w:p>
      <w:pPr>
        <w:spacing w:after="0" w:line="23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On November 21, 2022, the Reporting Person purchased 869,565 Shares directly, 1,365,217 Shares for Birchview Fund LLC, and 108,695 for each of four UTMA accounts, each at a price of $1.15 per Share, in a registered underwritten follow-on offering by the Issuer, for an aggregate purchase price of $3,069,996.30. The source of funds for these purchases was the Reporting Person’s personal funds (for the Shares purchased directly by the Reporting Person), cash in the UTMA accounts (for Shares purchased for the UTMA accounts) and cash of Birchview Fund LLC (for the Shares purchased for Birchview Fund LLC).</w:t>
      </w:r>
    </w:p>
    <w:p>
      <w:pPr>
        <w:spacing w:after="0" w:line="21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Item 5(a) - (c) of the Schedule 13D is hereby amended and supplemented as follows:</w:t>
      </w:r>
    </w:p>
    <w:p>
      <w:pPr>
        <w:spacing w:after="0" w:line="23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(a, b) As of the date hereof, the Reporting Person may be deemed to beneficially own, in the aggregate, 5,071,394 Shares, which represents approximately 6.6% of the Shares outstanding. This amount includes: (i) 2,415,151 Shares held directly by the Reporting Person; (ii) 11,717 Shares that the Reporting Person has the right to acquire upon exercise of options exercisable within 60 days of the date of this filing, (iii) 2,135,076 Shares held by Birchview Fund LLC, for which the Reporting Person serves as Manager; (iv) 19,933 Shares held by Birchview Capital Separately Managed Account, for which the Reporting Person serves as Manager; (v) 40,665 Shares held by Clajer Capital LLC, of which the Reporting Person is an affiliate; and (vi) 112,213 Shares held in each of four UTMA accounts (for an aggregate amount of 448,852 Shares) held for the benefit of the Reporting Person’s children.</w:t>
      </w:r>
    </w:p>
    <w:p>
      <w:pPr>
        <w:spacing w:after="0" w:line="205"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The foregoing beneficial ownership percentages are based on a total of 76,495,568 Shares outstanding immediately after the closing of the Issuer’s follow-on offering and related private placement of Shares on November 21, 2022, as provided by the Issuer, plus 11,717 Shares that the Reporting Person has the right to acquire upon exercise of options exercisable within 60 days of the date of this filing.</w:t>
      </w:r>
    </w:p>
    <w:p>
      <w:pPr>
        <w:spacing w:after="0" w:line="207" w:lineRule="exact"/>
        <w:rPr>
          <w:sz w:val="20"/>
          <w:szCs w:val="20"/>
          <w:color w:val="auto"/>
        </w:rPr>
      </w:pPr>
    </w:p>
    <w:p>
      <w:pPr>
        <w:ind w:right="20" w:firstLine="1304"/>
        <w:spacing w:after="0" w:line="258" w:lineRule="auto"/>
        <w:tabs>
          <w:tab w:leader="none" w:pos="160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response to Item 3 is incorporated by reference herein. Except as set forth in this Amendment No. 1, no transactions in the Shares have been effected by the Reporting Person within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500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4 of 4 Pages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Matthew Strobeck</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Strobeck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Attention: Intentional misstatements or omissions of fact constitute federal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2022-11-23T17:08:41Z</dcterms:created>
  <dcterms:modified xsi:type="dcterms:W3CDTF">2022-11-23T17:08:41Z</dcterms:modified>
</cp:coreProperties>
</file>