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919 West Dillon Rd.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Louisville, Colorado 80027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333-278881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Scott Hutton: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April 23,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153 that your selling securityholders may sell their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through one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more underwritten offerings on a firm commitment or best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efforts basis.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your understanding that the retention by a selling stockholder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 underwriter would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a material change to your plan of distribution requiring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post-effective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amendment. Refer to your undertaking provided pursuant to Item 512(a)(1)(iii) of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297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 the registration</w:t>
      </w:r>
    </w:p>
    <w:p>
      <w:pPr>
        <w:jc w:val="center"/>
        <w:ind w:right="8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Jane Park at 202-551-7439 or Lauren Nguyen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202-551-3642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20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Hutton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7004" w:orient="portrait"/>
          <w:cols w:equalWidth="0" w:num="2">
            <w:col w:w="5180" w:space="720"/>
            <w:col w:w="42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NameBiodesix, Inc.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2024 Page 2</w:t>
      </w:r>
    </w:p>
    <w:p>
      <w:pPr>
        <w:ind w:right="7179" w:firstLine="8"/>
        <w:spacing w:after="0" w:line="309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Samir Gandhi,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2024-07-03T23:10:15Z</dcterms:created>
  <dcterms:modified xsi:type="dcterms:W3CDTF">2024-07-03T23:10:15Z</dcterms:modified>
</cp:coreProperties>
</file>