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28"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219" w:lineRule="auto"/>
        <w:tabs>
          <w:tab w:leader="none" w:pos="46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189"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4"/>
          <w:szCs w:val="24"/>
          <w:b w:val="1"/>
          <w:bCs w:val="1"/>
          <w:color w:val="auto"/>
        </w:rPr>
        <w:t>IODESIX</w:t>
      </w:r>
      <w:r>
        <w:rPr>
          <w:rFonts w:ascii="Arial" w:cs="Arial" w:eastAsia="Arial" w:hAnsi="Arial"/>
          <w:sz w:val="32"/>
          <w:szCs w:val="32"/>
          <w:b w:val="1"/>
          <w:bCs w:val="1"/>
          <w:color w:val="auto"/>
        </w:rPr>
        <w:t>, I</w:t>
      </w:r>
      <w:r>
        <w:rPr>
          <w:rFonts w:ascii="Arial" w:cs="Arial" w:eastAsia="Arial" w:hAnsi="Arial"/>
          <w:sz w:val="24"/>
          <w:szCs w:val="24"/>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20-3986492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37" w:lineRule="exact"/>
        <w:rPr>
          <w:sz w:val="24"/>
          <w:szCs w:val="24"/>
          <w:color w:val="auto"/>
        </w:rPr>
      </w:pPr>
    </w:p>
    <w:p>
      <w:pPr>
        <w:sectPr>
          <w:pgSz w:w="11900" w:h="16838" w:orient="portrait"/>
          <w:cols w:equalWidth="0" w:num="2">
            <w:col w:w="7700" w:space="240"/>
            <w:col w:w="3300"/>
          </w:cols>
          <w:pgMar w:left="320" w:top="557"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Arial" w:cs="Arial" w:eastAsia="Arial" w:hAnsi="Arial"/>
                <w:sz w:val="14"/>
                <w:szCs w:val="14"/>
                <w:b w:val="1"/>
                <w:bCs w:val="1"/>
                <w:color w:val="auto"/>
                <w:w w:val="91"/>
              </w:rPr>
              <w:t>2970 Wilderness Place, Suite 100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53"/>
        </w:trPr>
        <w:tc>
          <w:tcPr>
            <w:tcW w:w="4220" w:type="dxa"/>
            <w:vAlign w:val="bottom"/>
          </w:tcPr>
          <w:p>
            <w:pPr>
              <w:jc w:val="center"/>
              <w:ind w:right="2071"/>
              <w:spacing w:after="0" w:line="153" w:lineRule="exact"/>
              <w:rPr>
                <w:sz w:val="20"/>
                <w:szCs w:val="20"/>
                <w:color w:val="auto"/>
              </w:rPr>
            </w:pPr>
            <w:r>
              <w:rPr>
                <w:rFonts w:ascii="Arial" w:cs="Arial" w:eastAsia="Arial" w:hAnsi="Arial"/>
                <w:sz w:val="14"/>
                <w:szCs w:val="14"/>
                <w:b w:val="1"/>
                <w:bCs w:val="1"/>
                <w:color w:val="auto"/>
                <w:w w:val="92"/>
              </w:rPr>
              <w:t>Boulder, Colorado 80301</w:t>
            </w: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07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ind w:left="79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230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center"/>
              <w:ind w:right="699"/>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2"/>
              <w:spacing w:after="0"/>
              <w:rPr>
                <w:sz w:val="20"/>
                <w:szCs w:val="20"/>
                <w:color w:val="auto"/>
              </w:rPr>
            </w:pPr>
            <w:r>
              <w:rPr>
                <w:rFonts w:ascii="Arial" w:cs="Arial" w:eastAsia="Arial" w:hAnsi="Arial"/>
                <w:sz w:val="18"/>
                <w:szCs w:val="18"/>
                <w:color w:val="auto"/>
                <w:w w:val="97"/>
              </w:rPr>
              <w:t>BDSX</w:t>
            </w:r>
          </w:p>
        </w:tc>
        <w:tc>
          <w:tcPr>
            <w:tcW w:w="3540" w:type="dxa"/>
            <w:vAlign w:val="bottom"/>
          </w:tcPr>
          <w:p>
            <w:pPr>
              <w:jc w:val="center"/>
              <w:ind w:left="819"/>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20"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November 11, 2021, the registrant had 27,020,576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2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9460" w:type="dxa"/>
            <w:vAlign w:val="bottom"/>
            <w:gridSpan w:val="2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94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as of September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76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Operations for the Three and Nine Months Ended September 30, 2021 and 2020</w:t>
              </w:r>
            </w:hyperlink>
          </w:p>
        </w:tc>
        <w:tc>
          <w:tcPr>
            <w:tcW w:w="18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2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Statements of Convertible Preferred Stock and Stockholders' Equity (Deficit) for the Three and Nine Months Ended</w:t>
              </w:r>
            </w:hyperlink>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2021 and 2020</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Statements of Cash Flows for the Nine Months Ended September 30, 2021 and 2020</w:t>
              </w:r>
            </w:hyperlink>
          </w:p>
        </w:tc>
        <w:tc>
          <w:tcPr>
            <w:tcW w:w="25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46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0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Controls and Procedures</w:t>
              </w:r>
            </w:hyperlink>
          </w:p>
        </w:tc>
        <w:tc>
          <w:tcPr>
            <w:tcW w:w="76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OTHER INFORMATION</w:t>
              </w:r>
            </w:hyperlink>
          </w:p>
        </w:tc>
        <w:tc>
          <w:tcPr>
            <w:tcW w:w="75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1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71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76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14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6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87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2020, regarding, among other things:</w:t>
      </w:r>
    </w:p>
    <w:p>
      <w:pPr>
        <w:spacing w:after="0" w:line="63" w:lineRule="exact"/>
        <w:rPr>
          <w:sz w:val="20"/>
          <w:szCs w:val="20"/>
          <w:color w:val="auto"/>
        </w:rPr>
      </w:pPr>
    </w:p>
    <w:p>
      <w:pPr>
        <w:jc w:val="both"/>
        <w:ind w:left="88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7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Biodesix WorkSafe™ testing program and our ability to meet such demand;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32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rPr>
              <w:t>BIODESIX,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86"/>
              </w:rPr>
              <w:t>Condensed 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88"/>
              </w:rPr>
              <w:t>(in thousands, except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3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32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47,913</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$168 and $180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320" w:type="dxa"/>
            <w:vAlign w:val="bottom"/>
            <w:shd w:val="clear" w:color="auto" w:fill="CFF0FC"/>
          </w:tcPr>
          <w:p>
            <w:pPr>
              <w:ind w:left="41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Current portion of contingent consideration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19,722</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51,177</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5,000,000 shares authorized;</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0 (2021 and 2020) shares issued and outstanding</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Common stock, $0.001 par value, 200,000,000 shares authorized;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20" w:type="dxa"/>
            <w:vAlign w:val="bottom"/>
          </w:tcPr>
          <w:p>
            <w:pPr>
              <w:ind w:left="440"/>
              <w:spacing w:after="0"/>
              <w:rPr>
                <w:sz w:val="20"/>
                <w:szCs w:val="20"/>
                <w:color w:val="auto"/>
              </w:rPr>
            </w:pPr>
            <w:r>
              <w:rPr>
                <w:rFonts w:ascii="Arial" w:cs="Arial" w:eastAsia="Arial" w:hAnsi="Arial"/>
                <w:sz w:val="18"/>
                <w:szCs w:val="18"/>
                <w:color w:val="auto"/>
              </w:rPr>
              <w:t>27,020,070 (2021) and 26,561,504 (2020) shares issued and 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r>
      <w:tr>
        <w:trPr>
          <w:trHeight w:val="230"/>
        </w:trPr>
        <w:tc>
          <w:tcPr>
            <w:tcW w:w="7320" w:type="dxa"/>
            <w:vAlign w:val="bottom"/>
            <w:shd w:val="clear" w:color="auto" w:fill="CFF0FC"/>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0" w:type="dxa"/>
            <w:vAlign w:val="bottom"/>
            <w:shd w:val="clear" w:color="auto" w:fill="CFF0FC"/>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304,697</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(288,691)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(258,814)</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BIODESIX,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100" w:type="dxa"/>
            <w:vAlign w:val="bottom"/>
          </w:tcPr>
          <w:p>
            <w:pPr>
              <w:spacing w:after="0"/>
              <w:rPr>
                <w:sz w:val="24"/>
                <w:szCs w:val="24"/>
                <w:color w:val="auto"/>
              </w:rPr>
            </w:pPr>
          </w:p>
        </w:tc>
        <w:tc>
          <w:tcPr>
            <w:tcW w:w="31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Condensed Statements of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00" w:type="dxa"/>
            <w:vAlign w:val="bottom"/>
          </w:tcPr>
          <w:p>
            <w:pPr>
              <w:spacing w:after="0"/>
              <w:rPr>
                <w:sz w:val="20"/>
                <w:szCs w:val="20"/>
                <w:color w:val="auto"/>
              </w:rPr>
            </w:pPr>
          </w:p>
        </w:tc>
        <w:tc>
          <w:tcPr>
            <w:tcW w:w="31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0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18,528</w:t>
            </w:r>
          </w:p>
        </w:tc>
        <w:tc>
          <w:tcPr>
            <w:tcW w:w="100" w:type="dxa"/>
            <w:vAlign w:val="bottom"/>
            <w:shd w:val="clear" w:color="auto" w:fill="CCEEFF"/>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19"/>
                <w:szCs w:val="19"/>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w:t>
            </w:r>
          </w:p>
        </w:tc>
        <w:tc>
          <w:tcPr>
            <w:tcW w:w="100" w:type="dxa"/>
            <w:vAlign w:val="bottom"/>
            <w:shd w:val="clear" w:color="auto" w:fill="CCEEFF"/>
          </w:tcPr>
          <w:p>
            <w:pPr>
              <w:spacing w:after="0"/>
              <w:rPr>
                <w:sz w:val="19"/>
                <w:szCs w:val="19"/>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76,543</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(20,281)</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(6,899)</w:t>
            </w:r>
          </w:p>
        </w:tc>
      </w:tr>
      <w:tr>
        <w:trPr>
          <w:trHeight w:val="229"/>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Gain on debt extinguishment, net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other expense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FF0FC"/>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(11,514)</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(26,817)</w:t>
            </w:r>
          </w:p>
        </w:tc>
        <w:tc>
          <w:tcPr>
            <w:tcW w:w="100" w:type="dxa"/>
            <w:vAlign w:val="bottom"/>
            <w:tcBorders>
              <w:bottom w:val="single" w:sz="8" w:color="CCEEFF"/>
            </w:tcBorders>
          </w:tcPr>
          <w:p>
            <w:pPr>
              <w:spacing w:after="0"/>
              <w:rPr>
                <w:sz w:val="22"/>
                <w:szCs w:val="22"/>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0" w:type="dxa"/>
            <w:vAlign w:val="bottom"/>
            <w:shd w:val="clear" w:color="auto" w:fill="CFF0FC"/>
          </w:tcPr>
          <w:p>
            <w:pPr>
              <w:spacing w:after="0"/>
              <w:rPr>
                <w:sz w:val="19"/>
                <w:szCs w:val="19"/>
                <w:color w:val="auto"/>
              </w:rPr>
            </w:pP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(31.93)</w:t>
            </w: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(99.69)</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0"/>
              </w:rPr>
              <w:t>Weighted-average shares outstanding, basic and diluted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28,051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27,467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line="161" w:lineRule="exact"/>
              <w:rPr>
                <w:sz w:val="20"/>
                <w:szCs w:val="20"/>
                <w:color w:val="auto"/>
              </w:rPr>
            </w:pPr>
            <w:r>
              <w:rPr>
                <w:rFonts w:ascii="Arial" w:cs="Arial" w:eastAsia="Arial" w:hAnsi="Arial"/>
                <w:sz w:val="14"/>
                <w:szCs w:val="14"/>
                <w:b w:val="1"/>
                <w:bCs w:val="1"/>
                <w:color w:val="auto"/>
                <w:w w:val="99"/>
              </w:rPr>
              <w:t>Paid</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In</w:t>
            </w:r>
          </w:p>
        </w:tc>
        <w:tc>
          <w:tcPr>
            <w:tcW w:w="1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720" w:type="dxa"/>
            <w:vAlign w:val="bottom"/>
          </w:tcPr>
          <w:p>
            <w:pPr>
              <w:ind w:left="240"/>
              <w:spacing w:after="0" w:line="155"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000" w:type="dxa"/>
            <w:vAlign w:val="bottom"/>
            <w:gridSpan w:val="2"/>
          </w:tcPr>
          <w:p>
            <w:pPr>
              <w:jc w:val="right"/>
              <w:ind w:right="45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2020</w:t>
            </w: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4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26,562</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299,953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(258,814</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41,166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(6,961)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2021</w:t>
            </w: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26,785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302,180</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(265,775</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36,432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(11,402)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(11,402)</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June 30, 2021</w:t>
            </w: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26,949</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302,923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(277,177)</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25,773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gridSpan w:val="2"/>
          </w:tcPr>
          <w:p>
            <w:pPr>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purchase plan</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(11,514)</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(11,514)</w:t>
            </w:r>
          </w:p>
        </w:tc>
        <w:tc>
          <w:tcPr>
            <w:tcW w:w="0" w:type="dxa"/>
            <w:vAlign w:val="bottom"/>
          </w:tcPr>
          <w:p>
            <w:pPr>
              <w:spacing w:after="0"/>
              <w:rPr>
                <w:sz w:val="1"/>
                <w:szCs w:val="1"/>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September 30, 2021</w:t>
            </w:r>
          </w:p>
        </w:tc>
        <w:tc>
          <w:tcPr>
            <w:tcW w:w="7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27,020</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304,697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(288,691)</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3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Convertible Preferred Stock</w:t>
            </w:r>
          </w:p>
        </w:tc>
        <w:tc>
          <w:tcPr>
            <w:tcW w:w="19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line="161" w:lineRule="exact"/>
              <w:rPr>
                <w:sz w:val="20"/>
                <w:szCs w:val="20"/>
                <w:color w:val="auto"/>
              </w:rPr>
            </w:pPr>
            <w:r>
              <w:rPr>
                <w:rFonts w:ascii="Arial" w:cs="Arial" w:eastAsia="Arial" w:hAnsi="Arial"/>
                <w:sz w:val="14"/>
                <w:szCs w:val="14"/>
                <w:b w:val="1"/>
                <w:bCs w:val="1"/>
                <w:color w:val="auto"/>
                <w:w w:val="99"/>
              </w:rPr>
              <w:t>Paid</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In</w:t>
            </w:r>
          </w:p>
        </w:tc>
        <w:tc>
          <w:tcPr>
            <w:tcW w:w="10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16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2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2019</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118,766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2,324</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(227,464</w:t>
            </w:r>
          </w:p>
        </w:tc>
        <w:tc>
          <w:tcPr>
            <w:tcW w:w="140" w:type="dxa"/>
            <w:vAlign w:val="bottom"/>
            <w:tcBorders>
              <w:top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(225,139)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(9,706)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155"/>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2020</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118,766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2,335</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(237,170)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(234,834)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(8,266)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(8,266)</w:t>
            </w:r>
          </w:p>
        </w:tc>
        <w:tc>
          <w:tcPr>
            <w:tcW w:w="0" w:type="dxa"/>
            <w:vAlign w:val="bottom"/>
          </w:tcPr>
          <w:p>
            <w:pPr>
              <w:spacing w:after="0"/>
              <w:rPr>
                <w:sz w:val="1"/>
                <w:szCs w:val="1"/>
                <w:color w:val="auto"/>
              </w:rPr>
            </w:pPr>
          </w:p>
        </w:tc>
      </w:tr>
      <w:tr>
        <w:trPr>
          <w:trHeight w:val="155"/>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June 30, 2020</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118,766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2,390</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(245,436)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(243,045)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(8,845)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169"/>
        </w:trPr>
        <w:tc>
          <w:tcPr>
            <w:tcW w:w="3120" w:type="dxa"/>
            <w:vAlign w:val="bottom"/>
            <w:tcBorders>
              <w:top w:val="single" w:sz="8" w:color="CFF0FC"/>
              <w:bottom w:val="single" w:sz="8" w:color="CFF0FC"/>
            </w:tcBorders>
            <w:shd w:val="clear" w:color="auto" w:fill="CFF0FC"/>
          </w:tcPr>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September 30,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118,766</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2,504</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(254,281)</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(251,776)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rPr>
              <w:t>BIODESIX, INC.</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88"/>
              </w:rPr>
              <w:t>Condensed Statements of Cash Flows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7720" w:type="dxa"/>
            <w:vAlign w:val="bottom"/>
          </w:tcPr>
          <w:p>
            <w:pPr>
              <w:spacing w:after="0"/>
              <w:rPr>
                <w:sz w:val="20"/>
                <w:szCs w:val="20"/>
                <w:color w:val="auto"/>
              </w:rPr>
            </w:pPr>
          </w:p>
        </w:tc>
        <w:tc>
          <w:tcPr>
            <w:tcW w:w="35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 September 30,</w:t>
            </w:r>
          </w:p>
        </w:tc>
      </w:tr>
      <w:tr>
        <w:trPr>
          <w:trHeight w:val="234"/>
        </w:trPr>
        <w:tc>
          <w:tcPr>
            <w:tcW w:w="77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(29,877)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(26,817)</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cash equivalents, and restricted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convertible notes debt discount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Gain on debt extinguishment, net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(2,395)</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 in contingent consideration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 amortization of debt issuance costs and other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12,327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(4,283)</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long-term assets and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accrued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(9,262)</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(1,772)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(18,026)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(1,711)</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Patent costs and intangible asset acquisition, net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to acquire Oncimmune assets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(1,906)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convertible debt payable</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term loan and notes payable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30,078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Repayment of term loan and notes payable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(25,424)</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(14,307)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62,306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47,999</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17" w:lineRule="exact"/>
        <w:rPr>
          <w:sz w:val="20"/>
          <w:szCs w:val="20"/>
          <w:color w:val="auto"/>
        </w:rPr>
      </w:pPr>
    </w:p>
    <w:p>
      <w:pPr>
        <w:jc w:val="both"/>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 cancer to</w:t>
      </w:r>
      <w:r>
        <w:rPr>
          <w:rFonts w:ascii="Arial" w:cs="Arial" w:eastAsia="Arial" w:hAnsi="Arial"/>
          <w:sz w:val="18"/>
          <w:szCs w:val="18"/>
          <w:i w:val="1"/>
          <w:iCs w:val="1"/>
          <w:color w:val="auto"/>
        </w:rPr>
        <w:t xml:space="preserve"> </w:t>
      </w:r>
      <w:r>
        <w:rPr>
          <w:rFonts w:ascii="Arial" w:cs="Arial" w:eastAsia="Arial" w:hAnsi="Arial"/>
          <w:sz w:val="18"/>
          <w:szCs w:val="18"/>
          <w:color w:val="auto"/>
        </w:rPr>
        <w:t>help identify the most appropriate treatment pathway. We believe we are the only company to offer two commercial blood-based tests to help physicians reclassify risk of malignancy in patients with suspicious lung nodules.</w:t>
      </w:r>
    </w:p>
    <w:p>
      <w:pPr>
        <w:spacing w:after="0" w:line="75"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GeneStrat®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our Biodesix Lung Reflex</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 cancer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have commercialized the Biodesix WorkSafe testing program, under which the Company offers three SARS-CoV-2 tests:</w:t>
      </w:r>
    </w:p>
    <w:p>
      <w:pPr>
        <w:spacing w:after="0" w:line="117" w:lineRule="exact"/>
        <w:rPr>
          <w:sz w:val="20"/>
          <w:szCs w:val="20"/>
          <w:color w:val="auto"/>
        </w:rPr>
      </w:pPr>
    </w:p>
    <w:p>
      <w:pPr>
        <w:jc w:val="both"/>
        <w:ind w:left="740" w:hanging="368"/>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 SARS-CoV-2, indicating recent or prior infection.</w:t>
      </w:r>
    </w:p>
    <w:p>
      <w:pPr>
        <w:spacing w:after="0" w:line="6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 uses</w:t>
      </w:r>
      <w:r>
        <w:rPr>
          <w:rFonts w:ascii="Arial" w:cs="Arial" w:eastAsia="Arial" w:hAnsi="Arial"/>
          <w:sz w:val="18"/>
          <w:szCs w:val="18"/>
          <w:i w:val="1"/>
          <w:iCs w:val="1"/>
          <w:color w:val="auto"/>
        </w:rPr>
        <w:t xml:space="preserve"> </w:t>
      </w:r>
      <w:r>
        <w:rPr>
          <w:rFonts w:ascii="Arial" w:cs="Arial" w:eastAsia="Arial" w:hAnsi="Arial"/>
          <w:sz w:val="18"/>
          <w:szCs w:val="18"/>
          <w:color w:val="auto"/>
        </w:rPr>
        <w:t>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testing services are made available through its clinical laboratories.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Condensed Financial Statements should be read in conjunction with the audited Financial Statements included in the Company’s Annual Report on Form 10-K for the year ended December 31, 2020.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2020 was derived from the audited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COVID-19 pandemic negatively affected, and we expect will continue to negatively affect, our lung diagnostic testing-related revenue and our clinical studies.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of September 30, 2021, we maintained cash and cash equivalents of $47.9 million and we are fully drawn under our $30 million 2021 Term Loan. We have incurred significant losses since inception and, as a result, we have funded our operations to date primarily through the sale of common stock in our initial public offering (IPO) in October 2020,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6"/>
          <w:szCs w:val="16"/>
          <w:i w:val="1"/>
          <w:iCs w:val="1"/>
          <w:color w:val="auto"/>
        </w:rPr>
        <w:t>Presentation of Financial Statements - Going Concern: Disclosure of Uncertainties about an</w:t>
      </w:r>
      <w:r>
        <w:rPr>
          <w:rFonts w:ascii="Arial" w:cs="Arial" w:eastAsia="Arial" w:hAnsi="Arial"/>
          <w:sz w:val="16"/>
          <w:szCs w:val="16"/>
          <w:color w:val="auto"/>
        </w:rPr>
        <w:t xml:space="preserve"> </w:t>
      </w:r>
      <w:r>
        <w:rPr>
          <w:rFonts w:ascii="Arial" w:cs="Arial" w:eastAsia="Arial" w:hAnsi="Arial"/>
          <w:sz w:val="16"/>
          <w:szCs w:val="16"/>
          <w:i w:val="1"/>
          <w:iCs w:val="1"/>
          <w:color w:val="auto"/>
        </w:rPr>
        <w:t>Entity’s Ability to Continue as a Going Concern</w:t>
      </w:r>
      <w:r>
        <w:rPr>
          <w:rFonts w:ascii="Arial" w:cs="Arial" w:eastAsia="Arial" w:hAnsi="Arial"/>
          <w:sz w:val="16"/>
          <w:szCs w:val="16"/>
          <w:color w:val="auto"/>
        </w:rPr>
        <w:t>, the Company is required to evaluate whether there is substantial doubt about its ability to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each reporting period, including interim periods. In evaluating the Company’s ability to continue as a going concern, management projected its cash flow sources and needs and evaluated the conditions and events that could raise substantial doubt about the Company’s ability to continue as a going concern within one year after the date that these financial statements were issued (November 15, 2021). Management considered the Company’s current projections of future cash flows, current financial condition, sources of liquidity and debt obligations due on or before November 15, 2022 in considering whether it has the ability to meet its obligations for at least one year from the date of issuance of this Form 10-Q.</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ability to meet our obligations as they come due may be impacted by our ability to remain compliant with financial covenants in our 2021 Term Loan (see </w:t>
      </w:r>
      <w:r>
        <w:rPr>
          <w:rFonts w:ascii="Arial" w:cs="Arial" w:eastAsia="Arial" w:hAnsi="Arial"/>
          <w:sz w:val="18"/>
          <w:szCs w:val="18"/>
          <w:i w:val="1"/>
          <w:iCs w:val="1"/>
          <w:color w:val="auto"/>
        </w:rPr>
        <w:t>Note 6 – Debt</w:t>
      </w:r>
      <w:r>
        <w:rPr>
          <w:rFonts w:ascii="Arial" w:cs="Arial" w:eastAsia="Arial" w:hAnsi="Arial"/>
          <w:sz w:val="18"/>
          <w:szCs w:val="18"/>
          <w:color w:val="auto"/>
        </w:rPr>
        <w:t>)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our current operating plan, unless we raise additional capital (debt or equity) or obtain a waiver from complying with such financial covenants, we expect that we will be unable to maintain our minimum liquidity covenant under our 2021 Term Loan during the next twelve months, which could result in an Event of Default, as defined, causing an acceleration and repayment of the outstanding balance. We have taken steps to improve our liquidity through our recent amendment to our 2021 Term Loan and have also undertaken several proactive measures to mitigate the financial and operational impacts of the COVID-19 pandemic through the reduction of planned capital expenditures and certain operating expenses but we do not expect that these actions alone will be sufficient to maintain our minimum liquidity covenant.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w:t>
      </w:r>
      <w:r>
        <w:rPr>
          <w:rFonts w:ascii="Arial" w:cs="Arial" w:eastAsia="Arial" w:hAnsi="Arial"/>
          <w:sz w:val="17"/>
          <w:szCs w:val="17"/>
          <w:color w:val="212529"/>
        </w:rPr>
        <w:t>’s revenues, results of operations and cash flows have been materially adversely impacted by the items noted above. Our current operating</w:t>
      </w:r>
      <w:r>
        <w:rPr>
          <w:rFonts w:ascii="Arial" w:cs="Arial" w:eastAsia="Arial" w:hAnsi="Arial"/>
          <w:sz w:val="17"/>
          <w:szCs w:val="17"/>
          <w:color w:val="auto"/>
        </w:rPr>
        <w:t xml:space="preserve"> </w:t>
      </w:r>
      <w:r>
        <w:rPr>
          <w:rFonts w:ascii="Arial" w:cs="Arial" w:eastAsia="Arial" w:hAnsi="Arial"/>
          <w:sz w:val="17"/>
          <w:szCs w:val="17"/>
          <w:color w:val="212529"/>
        </w:rPr>
        <w:t xml:space="preserve">plan, which is in part determined based on our most recent historical actual results and trends, along with the items noted above, raises substantial doubt about the Company’s ability to continue as a going concern. </w:t>
      </w:r>
      <w:r>
        <w:rPr>
          <w:rFonts w:ascii="Arial" w:cs="Arial" w:eastAsia="Arial" w:hAnsi="Arial"/>
          <w:sz w:val="17"/>
          <w:szCs w:val="17"/>
          <w:color w:val="000000"/>
        </w:rPr>
        <w:t>Our unaudited financial statements have been prepared assuming we will continue as a going</w:t>
      </w:r>
      <w:r>
        <w:rPr>
          <w:rFonts w:ascii="Arial" w:cs="Arial" w:eastAsia="Arial" w:hAnsi="Arial"/>
          <w:sz w:val="17"/>
          <w:szCs w:val="17"/>
          <w:color w:val="212529"/>
        </w:rPr>
        <w:t xml:space="preserve"> </w:t>
      </w:r>
      <w:r>
        <w:rPr>
          <w:rFonts w:ascii="Arial" w:cs="Arial" w:eastAsia="Arial" w:hAnsi="Arial"/>
          <w:sz w:val="17"/>
          <w:szCs w:val="17"/>
          <w:color w:val="000000"/>
        </w:rPr>
        <w:t>concern and do not include any adjustments that might be necessary should we be unable to continue as a going concern.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Uncertainties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 Restricted cash consists of deposits related to the Company’s corporate credit cards and prior to March 31, 2021, also included a letter of credit related to an operating lease agreement. As of September 30, 2021 and December 31, 2020, the Company had $0.1 million and $0.2 million in restricted cash, respectively, which was included in ‘Other current assets’ in the accompanying balance sheets.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a discussion of credit risk concentration of accounts receivable as of September 30, 2021 and 2020, see </w:t>
      </w:r>
      <w:r>
        <w:rPr>
          <w:rFonts w:ascii="Arial" w:cs="Arial" w:eastAsia="Arial" w:hAnsi="Arial"/>
          <w:sz w:val="18"/>
          <w:szCs w:val="18"/>
          <w:i w:val="1"/>
          <w:iCs w:val="1"/>
          <w:color w:val="auto"/>
        </w:rPr>
        <w:t>Note 9 – Revenue and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Concentration</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$2.6 million and $3.2 million as of September 30, 2021 and December 31,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hierarchy and the related inputs are as follows:</w:t>
      </w:r>
    </w:p>
    <w:p>
      <w:pPr>
        <w:spacing w:after="0" w:line="225" w:lineRule="exact"/>
        <w:rPr>
          <w:sz w:val="20"/>
          <w:szCs w:val="20"/>
          <w:color w:val="auto"/>
        </w:rPr>
      </w:pPr>
    </w:p>
    <w:p>
      <w:pPr>
        <w:ind w:left="820"/>
        <w:spacing w:after="0"/>
        <w:tabs>
          <w:tab w:leader="none" w:pos="650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60" w:hanging="1284"/>
        <w:spacing w:after="0"/>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3" w:lineRule="exact"/>
        <w:rPr>
          <w:sz w:val="20"/>
          <w:szCs w:val="20"/>
          <w:color w:val="auto"/>
        </w:rPr>
      </w:pPr>
    </w:p>
    <w:p>
      <w:pPr>
        <w:ind w:left="2260" w:hanging="1284"/>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9" w:lineRule="exact"/>
        <w:rPr>
          <w:rFonts w:ascii="Arial" w:cs="Arial" w:eastAsia="Arial" w:hAnsi="Arial"/>
          <w:sz w:val="18"/>
          <w:szCs w:val="18"/>
          <w:color w:val="auto"/>
        </w:rPr>
      </w:pPr>
    </w:p>
    <w:p>
      <w:pPr>
        <w:ind w:left="2260" w:right="1740"/>
        <w:spacing w:after="0" w:line="250" w:lineRule="auto"/>
        <w:rPr>
          <w:rFonts w:ascii="Arial" w:cs="Arial" w:eastAsia="Arial" w:hAnsi="Arial"/>
          <w:sz w:val="18"/>
          <w:szCs w:val="18"/>
          <w:color w:val="auto"/>
        </w:rPr>
      </w:pPr>
      <w:r>
        <w:rPr>
          <w:rFonts w:ascii="Arial" w:cs="Arial" w:eastAsia="Arial" w:hAnsi="Arial"/>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60" w:hanging="1284"/>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Fair Value</w:t>
      </w:r>
      <w:r>
        <w:rPr>
          <w:rFonts w:ascii="Arial" w:cs="Arial" w:eastAsia="Arial" w:hAnsi="Arial"/>
          <w:sz w:val="18"/>
          <w:szCs w:val="18"/>
          <w:color w:val="auto"/>
        </w:rPr>
        <w:t xml:space="preserve"> for further discussion related to estimated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Based on our current analysis we expect the adoption to result in the recognition of approximately $1.5 million of right of use assets and associated lease liabilities in our balance sheet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not expect any material impact to our statement of operations or statement of cash flows. We are implementing new processes and internal controls over lease recognition, which will ultimately assist in the application of the new lease standard.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as of September 30, 2021 and December 31, 2020, based on interest rates currently available for similar borrowings and were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r>
      <w:tr>
        <w:trPr>
          <w:trHeight w:val="243"/>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Carrying Value</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29,995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29,995</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liabilities that are measured and recorded at estimated fair value on a recurring basis consist of our contingent consideration associated with our acquisition of Integrated Diagnostics, Inc. (Indi), and prior to the completion of our IPO in October 2020, the warrant liability, put option liability and contingent value rights granted to certain holders of our convertible preferred stock and debt instruments, which were accounted for as liabilities and remeasured through our statements of operations.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table below presents the reported fair values of contingent consideration, which is classified as Level 3 in the fair value hierarchy, as of the dates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contingent consideration</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Borders>
              <w:bottom w:val="single" w:sz="8" w:color="CCEEFF"/>
            </w:tcBorders>
          </w:tcPr>
          <w:p>
            <w:pPr>
              <w:spacing w:after="0"/>
              <w:rPr>
                <w:sz w:val="19"/>
                <w:szCs w:val="19"/>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contingent consideration</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contingent consideration for the nine months ended September 30, 2021 (in thousands):</w:t>
      </w:r>
    </w:p>
    <w:p>
      <w:pPr>
        <w:sectPr>
          <w:pgSz w:w="11900" w:h="16838" w:orient="portrait"/>
          <w:cols w:equalWidth="0" w:num="1">
            <w:col w:w="11240"/>
          </w:cols>
          <w:pgMar w:left="320" w:top="121" w:right="3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Rollforward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Beginning balances - January 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Ending balances - September 30, 2021</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September 30, 2021</w:t>
            </w:r>
          </w:p>
        </w:tc>
      </w:tr>
      <w:tr>
        <w:trPr>
          <w:trHeight w:val="222"/>
        </w:trPr>
        <w:tc>
          <w:tcPr>
            <w:tcW w:w="20" w:type="dxa"/>
            <w:vAlign w:val="bottom"/>
          </w:tcPr>
          <w:p>
            <w:pPr>
              <w:spacing w:after="0"/>
              <w:rPr>
                <w:sz w:val="19"/>
                <w:szCs w:val="19"/>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29,932</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-325120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-624840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these financial liabilities for the nine months ended September 30, 2020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ind w:left="440"/>
              <w:spacing w:after="0"/>
              <w:rPr>
                <w:sz w:val="20"/>
                <w:szCs w:val="20"/>
                <w:color w:val="auto"/>
              </w:rPr>
            </w:pPr>
            <w:r>
              <w:rPr>
                <w:rFonts w:ascii="Arial" w:cs="Arial" w:eastAsia="Arial" w:hAnsi="Arial"/>
                <w:sz w:val="18"/>
                <w:szCs w:val="18"/>
                <w:b w:val="1"/>
                <w:bCs w:val="1"/>
                <w:color w:val="auto"/>
                <w:w w:val="94"/>
              </w:rPr>
              <w:t>For the Nine Months Ended September 30, 2020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9"/>
              </w:rPr>
              <w:t>Put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Contingent</w:t>
            </w: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96"/>
              </w:rPr>
              <w:t>Warrant</w:t>
            </w:r>
          </w:p>
        </w:tc>
        <w:tc>
          <w:tcPr>
            <w:tcW w:w="22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Contingent</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Level 3 Rollforward</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Consideration</w:t>
            </w: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Liability</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96"/>
              </w:rPr>
              <w:t>Liability</w:t>
            </w:r>
          </w:p>
        </w:tc>
        <w:tc>
          <w:tcPr>
            <w:tcW w:w="132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Value Rights</w:t>
            </w:r>
          </w:p>
        </w:tc>
        <w:tc>
          <w:tcPr>
            <w:tcW w:w="0" w:type="dxa"/>
            <w:vAlign w:val="bottom"/>
          </w:tcPr>
          <w:p>
            <w:pPr>
              <w:spacing w:after="0"/>
              <w:rPr>
                <w:sz w:val="1"/>
                <w:szCs w:val="1"/>
                <w:color w:val="auto"/>
              </w:rPr>
            </w:pPr>
          </w:p>
        </w:tc>
      </w:tr>
      <w:tr>
        <w:trPr>
          <w:trHeight w:val="223"/>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balances - January 1, 2020</w:t>
            </w: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Ending balances - September 30, 2020</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60" w:type="dxa"/>
            <w:vAlign w:val="bottom"/>
            <w:vMerge w:val="restart"/>
          </w:tcPr>
          <w:p>
            <w:pPr>
              <w:jc w:val="right"/>
              <w:ind w:right="29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acquisition of Indi in 2018, the Company recorded contingent consideration for amounts contingently payable to Indi's selling shareholders pursuant to the terms of the asset purchase agreement. The contingent consideration arrangement requires additional consideration to be paid by the Company to such shareholders upon attainment of a three-consecutive month gross margin target of $2.0 million within the seven-year period after the acquisition date. Under the terms of the original agreement, when the gross margin target was met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Our ability to make these payments are subject to consent from our lender under the 2021 Term Loan and 2021 Term Loan Amendment for which we are currently in discussions with our lender.</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unobservable inputs used in the measurement of fair value include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 Significant increases or decreases in the discount rate would result in a significantly higher or lower fair value measurement.</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 The net change to contingent consideration recorded as operating expenses during the three and nine months ended September 30, 2021 was zero and a loss of $1.6 million, respectively. The amount recorded as ‘Interest expense’ during the three and nine months ended September 30, 2021 was $1.0 million and $1.3 million, respectively. The net change to contingent consideration recorded as operating expenses during both the three and nine months ended September 30, 2020 was an expense of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put option liability was valued based on the calculated returns as a result of the various discounts included in the Company’s convertible notes payable and the related probability assessments of the various settlement scenarios. During the nine months ended September 30, 2020, the Company recognized an addition to the put option liability of $3.4 million in connection with a favorable conversion rate granted to holders of issued convertible debt. The put option liability was settled upon the closing of the Company’s IPO in October 2020 and reclassified to additional paid-in capital.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connection with entering into the 2018 Notes (see </w:t>
      </w:r>
      <w:r>
        <w:rPr>
          <w:rFonts w:ascii="Arial" w:cs="Arial" w:eastAsia="Arial" w:hAnsi="Arial"/>
          <w:sz w:val="18"/>
          <w:szCs w:val="18"/>
          <w:i w:val="1"/>
          <w:iCs w:val="1"/>
          <w:color w:val="auto"/>
        </w:rPr>
        <w:t>Note 6 – Debt</w:t>
      </w:r>
      <w:r>
        <w:rPr>
          <w:rFonts w:ascii="Arial" w:cs="Arial" w:eastAsia="Arial" w:hAnsi="Arial"/>
          <w:sz w:val="18"/>
          <w:szCs w:val="18"/>
          <w:color w:val="auto"/>
        </w:rPr>
        <w: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estimated fair value of the warrant on the issuance date of $0.3 million was recorded as a debt discount and as a preferred stock warrant liability. Through the effective date of the Company’s IPO in October 2020, the Series G warrants were remeasured to an estimate of fair value using a Black Scholes pricing model. As a result of the Company’s IPO, the preferred stock warrants were automatically converted to warrants to purchase 103,326 shares of common stock with a weighted average exercise price of $4.46 and were also transferred to additional paid-in capital. During the nine months ended September 30, 2020, the Company recorded an increase in the value of the warrant liability of $31 thousand.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Value Rights</w:t>
      </w:r>
    </w:p>
    <w:p>
      <w:pPr>
        <w:spacing w:after="0" w:line="11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w:t>
      </w:r>
      <w:r>
        <w:rPr>
          <w:rFonts w:ascii="MS PGothic" w:cs="MS PGothic" w:eastAsia="MS PGothic" w:hAnsi="MS PGothic"/>
          <w:sz w:val="17"/>
          <w:szCs w:val="17"/>
          <w:color w:val="auto"/>
        </w:rPr>
        <w:t>‑</w:t>
      </w:r>
      <w:r>
        <w:rPr>
          <w:rFonts w:ascii="Arial" w:cs="Arial" w:eastAsia="Arial" w:hAnsi="Arial"/>
          <w:sz w:val="17"/>
          <w:szCs w:val="17"/>
          <w:color w:val="auto"/>
        </w:rPr>
        <w:t xml:space="preserve">rata amount in the financing described above received a calculated number of contingent value rights (CVRs). In connection with the Series F financing, the Company issued 3,999 CVRs originally valued at $0.5 million. One CVR represents 0.00375% of the Company’s interest in the drug ficlatuzumab. The initial estimated value of the CVRs were recorded as a liability and as a reduction to the Series F proceeds. Upon receipt by the Company or a milestone, royalty, or any other type of payment from the Company’s ownership rights in the drug, the Company was required to make a cash payment to the CVR holders equal to 15% of net proceeds, as defined. In September 2020, the Company exercised its opt-out right with AVEO Oncology (AVEO) for the payment of 50% of development and regulatory costs for ficlatuzumab. As a result, the CVRs were settled effective December 2, 2020. See </w:t>
      </w:r>
      <w:r>
        <w:rPr>
          <w:rFonts w:ascii="Arial" w:cs="Arial" w:eastAsia="Arial" w:hAnsi="Arial"/>
          <w:sz w:val="17"/>
          <w:szCs w:val="17"/>
          <w:i w:val="1"/>
          <w:iCs w:val="1"/>
          <w:color w:val="auto"/>
        </w:rPr>
        <w:t>Note 13 –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for a discussion of the Co-Development Agreement with AVEO.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Note 5 – Supplementary Balance Sheet Information</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90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w w:val="90"/>
              </w:rPr>
              <w:t>September 30, 2021</w:t>
            </w:r>
          </w:p>
        </w:tc>
        <w:tc>
          <w:tcPr>
            <w:tcW w:w="20" w:type="dxa"/>
            <w:vAlign w:val="bottom"/>
          </w:tcPr>
          <w:p>
            <w:pPr>
              <w:spacing w:after="0"/>
              <w:rPr>
                <w:sz w:val="24"/>
                <w:szCs w:val="24"/>
                <w:color w:val="auto"/>
              </w:rPr>
            </w:pPr>
          </w:p>
        </w:tc>
        <w:tc>
          <w:tcPr>
            <w:tcW w:w="17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 equipment</w:t>
            </w:r>
          </w:p>
        </w:tc>
        <w:tc>
          <w:tcPr>
            <w:tcW w:w="600" w:type="dxa"/>
            <w:vAlign w:val="bottom"/>
            <w:tcBorders>
              <w:top w:val="single" w:sz="8" w:color="auto"/>
            </w:tcBorders>
            <w:shd w:val="clear" w:color="auto" w:fill="CFF0FC"/>
          </w:tcPr>
          <w:p>
            <w:pPr>
              <w:jc w:val="right"/>
              <w:ind w:right="44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Vehicles</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(7,395)</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6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the three and nine months ended September 30, 2021 was $0.3 million and $0.8 million, respectively, compared to $0.2 million and $0.6 million for the three and nine months ended September 30, 2020, respectively. Noncash purchases of property and equipment included in ‘Accounts payable’ as of September 30, 2021 totaled $0.4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excluding goodwill,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1"/>
              </w:rPr>
              <w:t>September 30, 2021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6"/>
              </w:rPr>
              <w:t>Net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Patents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1,667</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(6,102)</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(4,694)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shd w:val="clear" w:color="auto" w:fill="CFF0FC"/>
          </w:tcPr>
          <w:p>
            <w:pPr>
              <w:spacing w:after="0"/>
              <w:rPr>
                <w:sz w:val="19"/>
                <w:szCs w:val="19"/>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Intangible assets not subject to</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18,448</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definite-lived intangible assets was $0.5 million and $1.5 million for the three and nine months ended September 30, 2021 and $0.5 million and $1.6 million for the three and nine months ended September 30,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60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tcPr>
          <w:p>
            <w:pPr>
              <w:ind w:left="4040"/>
              <w:spacing w:after="0"/>
              <w:rPr>
                <w:sz w:val="20"/>
                <w:szCs w:val="20"/>
                <w:color w:val="auto"/>
              </w:rPr>
            </w:pPr>
            <w:r>
              <w:rPr>
                <w:rFonts w:ascii="Arial" w:cs="Arial" w:eastAsia="Arial" w:hAnsi="Arial"/>
                <w:sz w:val="18"/>
                <w:szCs w:val="18"/>
                <w:b w:val="1"/>
                <w:bCs w:val="1"/>
                <w:color w:val="auto"/>
                <w:w w:val="98"/>
              </w:rPr>
              <w:t>Notes to Condensed Financial Statements</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600" w:type="dxa"/>
            <w:vAlign w:val="bottom"/>
          </w:tcPr>
          <w:p>
            <w:pPr>
              <w:spacing w:after="0"/>
              <w:rPr>
                <w:sz w:val="20"/>
                <w:szCs w:val="20"/>
                <w:color w:val="auto"/>
              </w:rPr>
            </w:pPr>
            <w:r>
              <w:rPr>
                <w:rFonts w:ascii="Arial" w:cs="Arial" w:eastAsia="Arial" w:hAnsi="Arial"/>
                <w:sz w:val="18"/>
                <w:szCs w:val="18"/>
                <w:color w:val="auto"/>
              </w:rPr>
              <w:t>Future estimated amortization expense of intangible assets is (in thousands):</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223"/>
        </w:trPr>
        <w:tc>
          <w:tcPr>
            <w:tcW w:w="7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6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6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vMerge w:val="continue"/>
          </w:tcPr>
          <w:p>
            <w:pPr>
              <w:spacing w:after="0"/>
              <w:rPr>
                <w:sz w:val="24"/>
                <w:szCs w:val="24"/>
                <w:color w:val="auto"/>
              </w:rPr>
            </w:pPr>
          </w:p>
        </w:tc>
        <w:tc>
          <w:tcPr>
            <w:tcW w:w="16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0"/>
              </w:rPr>
              <w:t>September 30, 2021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related accruals</w:t>
            </w:r>
          </w:p>
        </w:tc>
        <w:tc>
          <w:tcPr>
            <w:tcW w:w="640" w:type="dxa"/>
            <w:vAlign w:val="bottom"/>
            <w:tcBorders>
              <w:top w:val="single" w:sz="8" w:color="auto"/>
            </w:tcBorders>
            <w:shd w:val="clear" w:color="auto" w:fill="CFF0FC"/>
          </w:tcPr>
          <w:p>
            <w:pPr>
              <w:jc w:val="right"/>
              <w:ind w:right="48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2,624</w:t>
            </w:r>
          </w:p>
        </w:tc>
        <w:tc>
          <w:tcPr>
            <w:tcW w:w="300" w:type="dxa"/>
            <w:vAlign w:val="bottom"/>
            <w:tcBorders>
              <w:top w:val="single" w:sz="8" w:color="CFF0FC"/>
            </w:tcBorders>
            <w:gridSpan w:val="3"/>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6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6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2,746</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Total accrued liabilities</w:t>
            </w:r>
          </w:p>
        </w:tc>
        <w:tc>
          <w:tcPr>
            <w:tcW w:w="640" w:type="dxa"/>
            <w:vAlign w:val="bottom"/>
          </w:tcPr>
          <w:p>
            <w:pPr>
              <w:jc w:val="right"/>
              <w:ind w:right="48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6,279</w:t>
            </w:r>
          </w:p>
        </w:tc>
        <w:tc>
          <w:tcPr>
            <w:tcW w:w="300" w:type="dxa"/>
            <w:vAlign w:val="bottom"/>
            <w:gridSpan w:val="3"/>
          </w:tcPr>
          <w:p>
            <w:pPr>
              <w:spacing w:after="0"/>
              <w:rPr>
                <w:sz w:val="19"/>
                <w:szCs w:val="19"/>
                <w:color w:val="auto"/>
              </w:rPr>
            </w:pPr>
          </w:p>
        </w:tc>
        <w:tc>
          <w:tcPr>
            <w:tcW w:w="260" w:type="dxa"/>
            <w:vAlign w:val="bottom"/>
          </w:tcPr>
          <w:p>
            <w:pPr>
              <w:jc w:val="right"/>
              <w:ind w:right="136"/>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long-term debt consists of notes payable associated with our 2021 Term Loan, 2018 Notes and Paycheck Protection Program, each of which is described in further detail below. Long-term notes payable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September 30, 2021</w:t>
            </w:r>
          </w:p>
        </w:tc>
        <w:tc>
          <w:tcPr>
            <w:tcW w:w="20" w:type="dxa"/>
            <w:vAlign w:val="bottom"/>
          </w:tcPr>
          <w:p>
            <w:pPr>
              <w:spacing w:after="0"/>
              <w:rPr>
                <w:sz w:val="19"/>
                <w:szCs w:val="19"/>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600" w:type="dxa"/>
            <w:vAlign w:val="bottom"/>
            <w:tcBorders>
              <w:top w:val="single" w:sz="8" w:color="auto"/>
            </w:tcBorders>
            <w:shd w:val="clear" w:color="auto" w:fill="CFF0FC"/>
          </w:tcPr>
          <w:p>
            <w:pPr>
              <w:jc w:val="right"/>
              <w:ind w:right="44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2018 Notes</w:t>
            </w:r>
          </w:p>
        </w:tc>
        <w:tc>
          <w:tcPr>
            <w:tcW w:w="6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Paycheck Protection Program</w:t>
            </w:r>
          </w:p>
        </w:tc>
        <w:tc>
          <w:tcPr>
            <w:tcW w:w="6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 and issuance costs</w:t>
            </w:r>
          </w:p>
        </w:tc>
        <w:tc>
          <w:tcPr>
            <w:tcW w:w="6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w:t>
            </w:r>
          </w:p>
        </w:tc>
      </w:tr>
      <w:tr>
        <w:trPr>
          <w:trHeight w:val="223"/>
        </w:trPr>
        <w:tc>
          <w:tcPr>
            <w:tcW w:w="76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Long-term notes payable</w:t>
            </w:r>
          </w:p>
        </w:tc>
        <w:tc>
          <w:tcPr>
            <w:tcW w:w="60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56"/>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or Lender) and the Company, as borrower, whereby subject to the terms and conditions of the 2021 Term Loan, SVB advanced to the Company an original principal amount of $30 million.</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Term Loan based on changes to the prime rate shall be effective on the effective date of any change to the prime rate.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final payment, due at maturity on March 1, 2026, shall include all outstanding principal and accrued and unpaid interest, lender fees and expenses, of which the majority will include a final payment of $2.7 million, and all other sums, if any, that shall have become due and payable hereunder with respect to the 2021 Term Loan. The $2.7 million final payment will be amortized as interest expense over the term of the loan. The Company has the option to prepay, prior to maturity, the total outstanding principal amount plus accrued and unpaid interest, subject to a prepayment penalty of 3% of the principal amount if paid prior to the first anniversary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granted the Lender a security interest in substantially all of the Company’s assets. The 2021 Term Loan requires the Company to comply with a minimum liquidity ratio covenant (as defined) by the 2021 Term Loan of not less than 0.95 to 1.00, and has a trailing six month rolling minimum revenue requirement of not less than 70% of the Company’s projected revenue performed at the end of each reporting period. 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declines below $40 million. 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As of September 30, 2021, the Company was in compliance with all restrictive and financial covenants associated with its borrowings.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Notes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2018, the Company issued long-term debt of $23.0 million to Innovatus Life Sciences Lending Fund (Innovatus or Lender) (the 2018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Innovatus is also a holder of the Company’s common stock.</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issuance, the Company paid a facility fee of $0.2 million and issued a warrant to Innovatus, with an initial estimated fair value of $0.3 million, for the purchase of 613,333 shares of Series G preferred stock. The facility fee and the estimated warrant fair value were recorded as debt discount and is amortized to interest expense over the term of the 2018 Notes. The 2018 Notes bore annual interest at 10%, of which 7.5% was payable in cash, with the remaining 2.5% added to principal through December 31, 2020. Total interest added to principal was $1.7 million as of March 31, 2021 and December 31, 2020.</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in connection with entering into the 2021 Term Loan agreement with SVB, the Company repaid all outstanding principal, accrued and unpaid interest, and prepayment fees in the amount of $25.9 million due under the 2018 Notes and contemporaneously terminated the related Loan and Security Agreement, dated as of February 23, 2018, as amended, between Innovatus and the Company. As a result of the extinguishment of the 2018 Notes, the Company recognized a loss on debt extinguishment of $0.7 million during the three months ended March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(JPM) pursuant to a Paycheck Protection Program Promissory Note and Agreement (the Note and Agreement).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PPP Loan had a maturity date on the two-year anniversary of the funding date, April 2022, and included a fixed rate of 1.00% per annum. Monthly principal and interest payments, less the amount of any potential forgiveness (as discussed below), were scheduled to commence in September 2021. The Company did not provide any collateral or guarantees in connection with the PPP Loan, nor did the Company pay any facility charge to obtain the PPP Loan. The Note and Agreement contained customary events of default, including those relating to failure to make payment, bankruptcy, breaches of representations and material adverse effects.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or a portion of the PPP Loan may be forgiven by the SBA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During the second quarter 2021, the Company determined that it would apply for forgiveness under the SBA’s Loan Forgiveness program, a change from its previous intent to repay. Subsequently, in July 2021 the Company applied for loan forgiveness and on August 17, 2021, the Company received legal release and formal notification that the PPP Loan was forgiven in full. As of and for the three months ended September 30, 2021, the Company reduced the ‘Current portion of notes payable’ and recorded a gain on extinguishment in the statements of operations for the $3.1 million forgiven.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ind w:left="4960"/>
              <w:spacing w:after="0"/>
              <w:rPr>
                <w:sz w:val="20"/>
                <w:szCs w:val="20"/>
                <w:color w:val="auto"/>
              </w:rPr>
            </w:pPr>
            <w:r>
              <w:rPr>
                <w:rFonts w:ascii="Arial" w:cs="Arial" w:eastAsia="Arial" w:hAnsi="Arial"/>
                <w:sz w:val="18"/>
                <w:szCs w:val="18"/>
                <w:b w:val="1"/>
                <w:bCs w:val="1"/>
                <w:color w:val="auto"/>
              </w:rPr>
              <w:t>BIODESIX, INC.</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9180" w:type="dxa"/>
            <w:vAlign w:val="bottom"/>
            <w:gridSpan w:val="2"/>
          </w:tcPr>
          <w:p>
            <w:pPr>
              <w:ind w:left="4040"/>
              <w:spacing w:after="0"/>
              <w:rPr>
                <w:sz w:val="20"/>
                <w:szCs w:val="20"/>
                <w:color w:val="auto"/>
              </w:rPr>
            </w:pPr>
            <w:r>
              <w:rPr>
                <w:rFonts w:ascii="Arial" w:cs="Arial" w:eastAsia="Arial" w:hAnsi="Arial"/>
                <w:sz w:val="18"/>
                <w:szCs w:val="18"/>
                <w:b w:val="1"/>
                <w:bCs w:val="1"/>
                <w:color w:val="auto"/>
              </w:rPr>
              <w:t>Notes to Condensed Financial Statements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9180" w:type="dxa"/>
            <w:vAlign w:val="bottom"/>
            <w:gridSpan w:val="2"/>
          </w:tcPr>
          <w:p>
            <w:pPr>
              <w:spacing w:after="0"/>
              <w:rPr>
                <w:sz w:val="20"/>
                <w:szCs w:val="20"/>
                <w:color w:val="auto"/>
              </w:rPr>
            </w:pPr>
            <w:r>
              <w:rPr>
                <w:rFonts w:ascii="Arial" w:cs="Arial" w:eastAsia="Arial" w:hAnsi="Arial"/>
                <w:sz w:val="18"/>
                <w:szCs w:val="18"/>
                <w:color w:val="auto"/>
              </w:rPr>
              <w:t>Scheduled principal repayments (maturities) of long-term obligations were as follows (in thousands):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6"/>
        </w:trPr>
        <w:tc>
          <w:tcPr>
            <w:tcW w:w="8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8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2021</w:t>
            </w:r>
          </w:p>
        </w:tc>
      </w:tr>
      <w:tr>
        <w:trPr>
          <w:trHeight w:val="223"/>
        </w:trPr>
        <w:tc>
          <w:tcPr>
            <w:tcW w:w="8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14,418</w:t>
            </w:r>
          </w:p>
        </w:tc>
        <w:tc>
          <w:tcPr>
            <w:tcW w:w="120" w:type="dxa"/>
            <w:vAlign w:val="bottom"/>
            <w:shd w:val="clear" w:color="auto" w:fill="CFF0FC"/>
          </w:tcPr>
          <w:p>
            <w:pPr>
              <w:spacing w:after="0"/>
              <w:rPr>
                <w:sz w:val="19"/>
                <w:szCs w:val="19"/>
                <w:color w:val="auto"/>
              </w:rPr>
            </w:pPr>
          </w:p>
        </w:tc>
      </w:tr>
      <w:tr>
        <w:trPr>
          <w:trHeight w:val="229"/>
        </w:trPr>
        <w:tc>
          <w:tcPr>
            <w:tcW w:w="9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FF0FC"/>
            </w:tcBorders>
          </w:tcPr>
          <w:p>
            <w:pPr>
              <w:spacing w:after="0"/>
              <w:rPr>
                <w:sz w:val="19"/>
                <w:szCs w:val="19"/>
                <w:color w:val="auto"/>
              </w:rPr>
            </w:pPr>
          </w:p>
        </w:tc>
      </w:tr>
      <w:tr>
        <w:trPr>
          <w:trHeight w:val="223"/>
        </w:trPr>
        <w:tc>
          <w:tcPr>
            <w:tcW w:w="9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$1.3 million and $1.4 million for the nine months ended September 30,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its IPO in October 2020, the Company had issued convertible preferred stock from time to time to fund its operations and to make acquisitions. The Company’s convertible preferred stock was reported as temporary equity in the Company’s balance sheet because the preferred shareholders held a majority of the Company’s Board of Directors seats and as a result could have caused certain events to occur outside of the Company’s control, with the result the Company could have been obligated to redeem the convertible preferred stock.</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Company’s IPO and as of September 30, 2020, the Company had issued 118,766,273 convertible preferred shares. On October 27, 2020, upon closing of the Company’s IPO,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Subsequent to the Company’s IPO, there are no longer any series of convertible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Warrants to Purchase Convertible Preferred Stock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issued warrants to purchase shares of convertible preferred stock in conjunction with the sale of certain of the convertible preferred shares and issuance of debt. As of September 30, 2020 and through the closing of the Company’s IPO in October 2020, the preferred warrants were classified as liabilities with estimated fair value remeasured at each reporting date reported within in the accompanying statements of operations.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activity for convertible preferred stock warrants outstanding as of September 30, 2020 (in thousands, except weighted average exercise price):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Series E</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ind w:left="820"/>
              <w:spacing w:after="0"/>
              <w:rPr>
                <w:sz w:val="20"/>
                <w:szCs w:val="20"/>
                <w:color w:val="auto"/>
              </w:rPr>
            </w:pPr>
            <w:r>
              <w:rPr>
                <w:rFonts w:ascii="Arial" w:cs="Arial" w:eastAsia="Arial" w:hAnsi="Arial"/>
                <w:sz w:val="18"/>
                <w:szCs w:val="18"/>
                <w:b w:val="1"/>
                <w:bCs w:val="1"/>
                <w:color w:val="auto"/>
              </w:rPr>
              <w:t xml:space="preserve">Series G </w:t>
            </w:r>
            <w:r>
              <w:rPr>
                <w:rFonts w:ascii="Arial" w:cs="Arial" w:eastAsia="Arial" w:hAnsi="Arial"/>
                <w:sz w:val="15"/>
                <w:szCs w:val="15"/>
                <w:b w:val="1"/>
                <w:bCs w:val="1"/>
                <w:color w:val="auto"/>
              </w:rPr>
              <w:t>(1)</w:t>
            </w:r>
          </w:p>
        </w:tc>
      </w:tr>
      <w:tr>
        <w:trPr>
          <w:trHeight w:val="205"/>
        </w:trPr>
        <w:tc>
          <w:tcPr>
            <w:tcW w:w="58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8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bottom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warrants to purchase Series E convertible preferred stock were not exercised and expired during the three months ended June 2020.</w:t>
      </w:r>
    </w:p>
    <w:p>
      <w:pPr>
        <w:spacing w:after="0" w:line="225" w:lineRule="exact"/>
        <w:rPr>
          <w:sz w:val="20"/>
          <w:szCs w:val="20"/>
          <w:color w:val="auto"/>
        </w:rPr>
      </w:pPr>
    </w:p>
    <w:p>
      <w:pPr>
        <w:jc w:val="both"/>
        <w:ind w:right="20" w:firstLine="8"/>
        <w:spacing w:after="0" w:line="263" w:lineRule="auto"/>
        <w:tabs>
          <w:tab w:leader="none" w:pos="235" w:val="left"/>
        </w:tabs>
        <w:numPr>
          <w:ilvl w:val="0"/>
          <w:numId w:val="10"/>
        </w:numPr>
        <w:rPr>
          <w:rFonts w:ascii="Arial" w:cs="Arial" w:eastAsia="Arial" w:hAnsi="Arial"/>
          <w:sz w:val="15"/>
          <w:szCs w:val="15"/>
          <w:color w:val="auto"/>
        </w:rPr>
      </w:pPr>
      <w:r>
        <w:rPr>
          <w:rFonts w:ascii="Arial" w:cs="Arial" w:eastAsia="Arial" w:hAnsi="Arial"/>
          <w:sz w:val="18"/>
          <w:szCs w:val="18"/>
          <w:color w:val="auto"/>
        </w:rPr>
        <w:t>On October 27, 2020, all convertible preferred stock converted to common stock at the completion of our IPO, and as a consequence, the warrants to purchase Series G convertible preferred stock were converted to 103,326 warrants to purchase common stock, which have an expiration date of February 23, 2028. All common stock warrants remain outstanding as of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and Accounts Receivable Credit Concentration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8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42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76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Diagnostic tests</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shd w:val="clear" w:color="auto" w:fill="CFF0FC"/>
          </w:tcPr>
          <w:p>
            <w:pPr>
              <w:spacing w:after="0"/>
              <w:rPr>
                <w:sz w:val="19"/>
                <w:szCs w:val="19"/>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consists of cash payments from customers received in advance of delivery. As test results are delivered, the Company recognizes the deferred revenue in ‘Revenues’ in the statements of operations. Of the $3.5 million in ‘Deferred revenue’ recorded in the balance sheet as of December 31, 2020, $2.7 million was recognized in revenues. During the nine months ended September 30, 2021, $1.0 million was added to ‘Deferred revenue’ for up-front cash payments received for which the revenue recognition criteria have not been met. The ‘Deferred revenue’ of $1.8 million recorded in the balance sheet as of September 30, 2021 is expected to be recognized in revenues over the next twelve months as test results are delivered and services are performed. As of September 30, 2021 and December 31, 2020, the Company had $1.0 million and $1.4 million in non-current deferred revenue, respectively, recorded within ‘Other long-term liabilities’ in the balance sheets which represent amounts to be recognized in excess of twelve months from the respective balance sheet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customers in excess of 10% of total revenue, and their related revenue as a percentage of total revenue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3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38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CFF0FC"/>
            </w:tcBorders>
          </w:tcPr>
          <w:p>
            <w:pPr>
              <w:spacing w:after="0"/>
              <w:rPr>
                <w:sz w:val="19"/>
                <w:szCs w:val="19"/>
                <w:color w:val="auto"/>
              </w:rPr>
            </w:pPr>
          </w:p>
        </w:tc>
        <w:tc>
          <w:tcPr>
            <w:tcW w:w="16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36"/>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2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1820" w:type="dxa"/>
            <w:vAlign w:val="bottom"/>
            <w:gridSpan w:val="2"/>
            <w:shd w:val="clear" w:color="auto" w:fill="CFF0FC"/>
          </w:tcPr>
          <w:p>
            <w:pPr>
              <w:ind w:left="146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gridSpan w:val="2"/>
          </w:tcPr>
          <w:p>
            <w:pPr>
              <w:spacing w:after="0"/>
              <w:rPr>
                <w:sz w:val="20"/>
                <w:szCs w:val="20"/>
                <w:color w:val="auto"/>
              </w:rPr>
            </w:pPr>
            <w:r>
              <w:rPr>
                <w:rFonts w:ascii="Arial" w:cs="Arial" w:eastAsia="Arial" w:hAnsi="Arial"/>
                <w:sz w:val="18"/>
                <w:szCs w:val="18"/>
                <w:color w:val="auto"/>
              </w:rPr>
              <w:t>Merck</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1"/>
                <w:szCs w:val="21"/>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Centura Healthcare</w:t>
            </w:r>
          </w:p>
        </w:tc>
        <w:tc>
          <w:tcPr>
            <w:tcW w:w="1220" w:type="dxa"/>
            <w:vAlign w:val="bottom"/>
            <w:shd w:val="clear" w:color="auto" w:fill="CFF0FC"/>
          </w:tcPr>
          <w:p>
            <w:pPr>
              <w:spacing w:after="0"/>
              <w:rPr>
                <w:sz w:val="21"/>
                <w:szCs w:val="21"/>
                <w:color w:val="auto"/>
              </w:rPr>
            </w:pP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26%</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FF0FC"/>
          </w:tcPr>
          <w:p>
            <w:pPr>
              <w:ind w:left="1460"/>
              <w:spacing w:after="0"/>
              <w:rPr>
                <w:sz w:val="20"/>
                <w:szCs w:val="20"/>
                <w:color w:val="auto"/>
              </w:rPr>
            </w:pPr>
            <w:r>
              <w:rPr>
                <w:rFonts w:ascii="Arial" w:cs="Arial" w:eastAsia="Arial" w:hAnsi="Arial"/>
                <w:sz w:val="18"/>
                <w:szCs w:val="18"/>
                <w:color w:val="auto"/>
                <w:w w:val="94"/>
              </w:rPr>
              <w:t>19%</w:t>
            </w:r>
          </w:p>
        </w:tc>
      </w:tr>
      <w:tr>
        <w:trPr>
          <w:trHeight w:val="20"/>
        </w:trPr>
        <w:tc>
          <w:tcPr>
            <w:tcW w:w="3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Percent of total revenue</w:t>
            </w:r>
          </w:p>
        </w:tc>
        <w:tc>
          <w:tcPr>
            <w:tcW w:w="122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0"/>
                <w:szCs w:val="20"/>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26%</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w w:val="94"/>
              </w:rPr>
              <w:t>19%</w:t>
            </w:r>
          </w:p>
        </w:tc>
      </w:tr>
      <w:tr>
        <w:trPr>
          <w:trHeight w:val="20"/>
        </w:trPr>
        <w:tc>
          <w:tcPr>
            <w:tcW w:w="33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table, we collect reimbursement on behalf of customers covered by Medicare, which accounted for 36% and 14% of the Company’s total revenue for the three and nine months ended September 30, 2021, respectively, and 63% and 61% of total revenue for the three and nine months ended September 30, 2020. The Company is subject to credit risk from its accounts receivable related to services provided to its customers. The Company does not perform evaluations of customers' financial condition and does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require collateral. The Company’s third-party payors and other customers in excess of 10% of accounts receivable, and their related accounts receivable as a percentage of total accounts receivable were as follows:</w:t>
      </w:r>
    </w:p>
    <w:p>
      <w:pPr>
        <w:spacing w:after="0" w:line="1"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As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Borders>
              <w:bottom w:val="single" w:sz="8" w:color="CFF0FC"/>
            </w:tcBorders>
          </w:tcPr>
          <w:p>
            <w:pPr>
              <w:spacing w:after="0"/>
              <w:rPr>
                <w:sz w:val="19"/>
                <w:szCs w:val="19"/>
                <w:color w:val="auto"/>
              </w:rPr>
            </w:pPr>
          </w:p>
        </w:tc>
        <w:tc>
          <w:tcPr>
            <w:tcW w:w="22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98"/>
              </w:rPr>
              <w:t>September 30, 2021</w:t>
            </w:r>
          </w:p>
        </w:tc>
        <w:tc>
          <w:tcPr>
            <w:tcW w:w="3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CFF0FC"/>
            </w:tcBorders>
          </w:tcPr>
          <w:p>
            <w:pPr>
              <w:spacing w:after="0"/>
              <w:rPr>
                <w:sz w:val="19"/>
                <w:szCs w:val="19"/>
                <w:color w:val="auto"/>
              </w:rPr>
            </w:pPr>
          </w:p>
        </w:tc>
        <w:tc>
          <w:tcPr>
            <w:tcW w:w="26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28%</w:t>
            </w:r>
          </w:p>
        </w:tc>
        <w:tc>
          <w:tcPr>
            <w:tcW w:w="2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Merck</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21%</w:t>
            </w:r>
          </w:p>
        </w:tc>
        <w:tc>
          <w:tcPr>
            <w:tcW w:w="2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2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Centura Healthcare</w:t>
            </w:r>
          </w:p>
        </w:tc>
        <w:tc>
          <w:tcPr>
            <w:tcW w:w="224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Percent of total accounts receivable</w:t>
            </w:r>
          </w:p>
        </w:tc>
        <w:tc>
          <w:tcPr>
            <w:tcW w:w="2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49%</w:t>
            </w:r>
          </w:p>
        </w:tc>
        <w:tc>
          <w:tcPr>
            <w:tcW w:w="2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share-based compensation awards are issued under the 2020 Equity Incentive Plan (2020 Plan) and the predecessor 2016 Equity Incentive Plan (2016 Plan) and 2006 Equity Incentive Plan (2006 Plan). Any awards that expire or are forfeited under the 2016 Plan or 2006 Plan become available for issuance under the 2020 Plan. As of September 30, 2021, 691,918 shares of common stock remained available for future issuance under the 2020 Plan.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Pre-tax share-based compensation expense reported in the Company’s statements of operations was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14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508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Sales, marketing, 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1,227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 activity during the nine months ended September 30, 2021, excluding the Bonus Option Program described below, was (in thousands, except weighted average exercise price and weighted average contractual life):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Forfeited/canceled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 September 30,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Restricted Stock Activity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there were 119,192 restricted stock units (RSUs) outstanding, with a weighted average grant date fair value of $5.13 per share.</w:t>
      </w:r>
    </w:p>
    <w:p>
      <w:pPr>
        <w:spacing w:after="0" w:line="14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remaining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options and RSUs was approximately $8.6 million as of September 30, 2021, and is expected to be amortized to expense over the next 3.9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Bonus-to-Options Program (Bonus Option Program), the Company recorded the following activity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 excepted weighted average exercise price and weighted average contractual life):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shd w:val="clear" w:color="auto" w:fill="CCEEFF"/>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Forfeited/canceled</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shd w:val="clear" w:color="auto" w:fill="CCEEFF"/>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 September 30,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2021, the Company accrued an insignificant amount and $0.7 million related to the estimate of the Bonus Option Program, respectively. During the three and nine months ended September 30, 2020, the Company did not accrue any amounts related to the estimate of the Bonus Option Program. Options granted, if any, pertaining to the performance of the Bonus Option Program are typically approved and granted in first quarter of the year following completion of the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total of 338,106 shares of our common stock have been reserved for issuance under the Employee Stock Purchase Plan (ESPP). The initial offering period under the ESPP was from January 1, 2021 and concluded August 31, 2021. On a go-forward basis, the ESPP provides for successive six-month offering periods beginning on September 1st and March 1st of each year. As of September 30, 2021, 42,855 shares have been issued under the ESPP leaving 295,251 shares remaining for future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Company’s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 The number of common shares issuable upon assumed conversion of convertible debt was based on the Company’s estimated common stock price as of September 30, 2020 as determined by the Company’s Board of Directors with assistance from a valuation firm.</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connection with the acquisition of Indi in 2018, the Company recorded contingent consideration (See </w:t>
      </w:r>
      <w:r>
        <w:rPr>
          <w:rFonts w:ascii="Arial" w:cs="Arial" w:eastAsia="Arial" w:hAnsi="Arial"/>
          <w:sz w:val="16"/>
          <w:szCs w:val="16"/>
          <w:i w:val="1"/>
          <w:iCs w:val="1"/>
          <w:color w:val="auto"/>
        </w:rPr>
        <w:t>Note 4 – Fair Value)</w:t>
      </w:r>
      <w:r>
        <w:rPr>
          <w:rFonts w:ascii="Arial" w:cs="Arial" w:eastAsia="Arial" w:hAnsi="Arial"/>
          <w:sz w:val="16"/>
          <w:szCs w:val="16"/>
          <w:color w:val="auto"/>
        </w:rPr>
        <w:t xml:space="preserve">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If the gross margin target was met, the Company was required to issue 2,520,108 shares of common stock. The Company met the gross margin target of $2.0 million for three consecutive months during the three months ended June 30, 2021. In August 2021, the Company entered into an amendment of the original agreement in which all parties agreed to forgo the issuance of common stock. As a result of the achievement of the gross margin target, the Company included the 2,520,108 shares of common stock in the calculation of weighted-average shares outstanding used in computing basic and diluted net loss per share from the date the gross margin target was met until the amendment was executed. These shares are not included in the statements of convertible preferred stock and stockholders' equity (deficit) or shares issued and outstanding in the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loss per share for the three and nine months ended September 30, 2021 and 2020 were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30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Three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(11,514)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(8,845)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(29,877)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(26,817)</w:t>
            </w:r>
          </w:p>
        </w:tc>
      </w:tr>
      <w:tr>
        <w:trPr>
          <w:trHeight w:val="229"/>
        </w:trPr>
        <w:tc>
          <w:tcPr>
            <w:tcW w:w="4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shares outstanding used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computing net loss per share, 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2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120" w:type="dxa"/>
            <w:vAlign w:val="bottom"/>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0"/>
                <w:szCs w:val="20"/>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1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08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2,866</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Shares committed under ESPP</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119,257</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119,257</w:t>
            </w:r>
          </w:p>
        </w:tc>
        <w:tc>
          <w:tcPr>
            <w:tcW w:w="1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r>
      <w:tr>
        <w:trPr>
          <w:trHeight w:val="23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20,746</w:t>
            </w:r>
          </w:p>
        </w:tc>
        <w:tc>
          <w:tcPr>
            <w:tcW w:w="22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tcPr>
          <w:p>
            <w:pPr>
              <w:spacing w:after="0"/>
              <w:rPr>
                <w:sz w:val="19"/>
                <w:szCs w:val="19"/>
                <w:color w:val="auto"/>
              </w:rPr>
            </w:pPr>
          </w:p>
        </w:tc>
      </w:tr>
      <w:tr>
        <w:trPr>
          <w:trHeight w:val="223"/>
        </w:trPr>
        <w:tc>
          <w:tcPr>
            <w:tcW w:w="4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provision for income taxes has been recorded. There was no cash paid for income taxes during the three and nine months ended September 30,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The Company leases facilities under non</w:t>
      </w:r>
      <w:r>
        <w:rPr>
          <w:rFonts w:ascii="MS PGothic" w:cs="MS PGothic" w:eastAsia="MS PGothic" w:hAnsi="MS PGothic"/>
          <w:sz w:val="17"/>
          <w:szCs w:val="17"/>
          <w:color w:val="auto"/>
        </w:rPr>
        <w:t>‑</w:t>
      </w:r>
      <w:r>
        <w:rPr>
          <w:rFonts w:ascii="Arial" w:cs="Arial" w:eastAsia="Arial" w:hAnsi="Arial"/>
          <w:sz w:val="17"/>
          <w:szCs w:val="17"/>
          <w:color w:val="auto"/>
        </w:rPr>
        <w:t>cancelable operating leases. Rent expense was $0.3 million and $0.9 million for the three and nine months ended September 30, 2021, respectively, and $0.4 million and $1.5 million for the three and nine months ended September 30, 2020,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Future minimum lease payments for operating lease obligations are as follows (in thousands):</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6"/>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9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2021</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 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2020, the Company exercised its opt-out right with AVEO for the payment of 50% of development and regulatory costs for ficlatuzumab effective December 2, 2020. In September 2021, AVEO announced that the FDA has granted Fast Track Designation (FTD) to ficlatuzumab for the treatment of patients with relapsed or recurrent head and neck squamous cell carcinoma. The Company had $0.2 million in remaining obligations related to the AVEO agreement as of September 30, 2021. Following the effective date, the Company is entitled to a 10% royalty of net sales of ficlatuzumab and 25% of license income generated from the licensing of ficlatuzumab from AVEO.</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expenses related to this agreement for the three and nine months ended September 30, 2021. Expenses related to this agreement for the three and nine months ended September 30, 2020 were $0.3 million and $1.0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Royalty expense under the Bio-Rad License for the three and nine months ended September 30, 2021 and 2020 were not significant.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test net sales worldwide for 15 years from the first commercial sale, ending in 2034. Royalty expense under the CellCarta License for the three and nine months ended September 30, 2021 was insignificant and $0.1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Share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revenue share payment related to an acquired diagnostic test of 8% of recognized revenue for non-screening tests up to an annual minimum volume and 5% thereafter, with an escalating minimum through the first four years of sales. Revenue share expenses of $0.2 million and $0.5 were incurred for the three and nine months ended September 30, 2021, respectively, and $0.1 million and $0.2 million for the three and nine months ended September 30,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become involved in legal proceedings or investigations which could have an adverse impact on our reputation, business and financial condition and divert the attention of our management from the operation of our business. In September 2021, we reached a settlement agreement with plaintiffs, which received preliminary approval from the Circuit Court of the City of St. Louis, State of Missouri on November 10</w:t>
      </w:r>
      <w:r>
        <w:rPr>
          <w:rFonts w:ascii="Arial" w:cs="Arial" w:eastAsia="Arial" w:hAnsi="Arial"/>
          <w:sz w:val="14"/>
          <w:szCs w:val="14"/>
          <w:color w:val="auto"/>
        </w:rPr>
        <w:t>th</w:t>
      </w:r>
      <w:r>
        <w:rPr>
          <w:rFonts w:ascii="Arial" w:cs="Arial" w:eastAsia="Arial" w:hAnsi="Arial"/>
          <w:sz w:val="17"/>
          <w:szCs w:val="17"/>
          <w:color w:val="auto"/>
        </w:rPr>
        <w:t>, regarding a dispute involving the Telephone Consumer Protection Act (TCPA) in which we estimate payment to third parties to be approximately $230,000 which has been accrued as a legal contingency. We are not presently a party to any other legal proceedings that, if determined adversely to us, would individually or taken together have a material adverse effect on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Biodesix, Inc. is referred to throughout this Quarterly Report on Form 10-Q for the period ended September 30, 2021 (Form 10-Q) as “we”, “us”, “our” or the “Company”.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year ended December 31, 2020 (Form 10-K) and the Condensed Financial Statements as of September 30, 2021 and 2020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discussion is provided to supplement the Condensed Financial Statements as of September 30, 2021 and 2020 and for the three and nine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for the three and nine months ended September 30, 2021 and 2020 has been derived from our unaudited condensed financial statements included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150,000 samples and data in our biobank, including tumor profiles and immune profiles, which are used for both internal and external research and development initiatives.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commercialized seven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the Biodesix Lung Reflex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less than 36-hour average turnaround time, down from the previous 72-hour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authorized on May 1, 2020, authorizing performance of the test in laboratories certified under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In addition to the seven tests currently available to physicians, the Company launched the GeneStrat Next Generation Sequencing™ (NGS) test, our 72-hour blood-based NGS test, in November 2021 to a select group of physicians, with broad US launch anticipated for the first quarter 2022.</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period ended June 30, 2021, we partnered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receptor binding domain (RBD) in the spike protein of SARS-CoV-2 that are produced in response to vaccination or previous SARS-CoV-2 infection.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to assist in their back-to-work or back-to-school strategies.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seven diagnostic tests currently on the market, we perform over 30 assays for research use as part of our laboratory services that have been used by over 50 biopharmaceutical companies and academic partners. All of our diagnostic testing is performed at one of our two accredited, high-complexity clinical laboratories in Boulder, Colorado and De Soto, Kansas.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our inception, we have performed over 450,000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funded our operations to date principally from net proceeds from an initial public offering (IPO) of our common stock, the sale of convertible preferred stock, revenue from diagnostic testing and services, and the incurrence of indebtedness. We had cash and cash equivalents of $47.9 million and $62.1 million as of September 30, 2021 and December 31,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880" w:hanging="373"/>
        <w:spacing w:after="0" w:line="291"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Testing volume and customer mix. </w:t>
      </w:r>
      <w:r>
        <w:rPr>
          <w:rFonts w:ascii="Arial" w:cs="Arial" w:eastAsia="Arial" w:hAnsi="Arial"/>
          <w:sz w:val="16"/>
          <w:szCs w:val="16"/>
          <w:color w:val="auto"/>
        </w:rPr>
        <w:t>Our revenues and costs are affected by the volume of testing and mix of customers from period to period.</w:t>
      </w:r>
      <w:r>
        <w:rPr>
          <w:rFonts w:ascii="Arial" w:cs="Arial" w:eastAsia="Arial" w:hAnsi="Arial"/>
          <w:sz w:val="16"/>
          <w:szCs w:val="16"/>
          <w:b w:val="1"/>
          <w:bCs w:val="1"/>
          <w:color w:val="auto"/>
        </w:rPr>
        <w:t xml:space="preserve"> </w:t>
      </w:r>
      <w:r>
        <w:rPr>
          <w:rFonts w:ascii="Arial" w:cs="Arial" w:eastAsia="Arial" w:hAnsi="Arial"/>
          <w:sz w:val="16"/>
          <w:szCs w:val="16"/>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880"/>
        <w:spacing w:after="0" w:line="277" w:lineRule="auto"/>
        <w:rPr>
          <w:sz w:val="20"/>
          <w:szCs w:val="20"/>
          <w:color w:val="auto"/>
        </w:rPr>
      </w:pPr>
      <w:r>
        <w:rPr>
          <w:rFonts w:ascii="Arial" w:cs="Arial" w:eastAsia="Arial" w:hAnsi="Arial"/>
          <w:sz w:val="18"/>
          <w:szCs w:val="18"/>
          <w:color w:val="auto"/>
        </w:rPr>
        <w:t>those trends to our revenue recognition policies. Our operating revenues and costs significantly increased beginning in 2020 due to the increase in demand for COVID-19 testing.</w:t>
      </w:r>
    </w:p>
    <w:p>
      <w:pPr>
        <w:spacing w:after="0" w:line="58" w:lineRule="exact"/>
        <w:rPr>
          <w:sz w:val="20"/>
          <w:szCs w:val="20"/>
          <w:color w:val="auto"/>
        </w:rPr>
      </w:pPr>
    </w:p>
    <w:p>
      <w:pPr>
        <w:jc w:val="both"/>
        <w:ind w:left="880" w:hanging="373"/>
        <w:spacing w:after="0" w:line="281"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Reimbursement for clinical diagnostic testing. </w:t>
      </w:r>
      <w:r>
        <w:rPr>
          <w:rFonts w:ascii="Arial" w:cs="Arial" w:eastAsia="Arial" w:hAnsi="Arial"/>
          <w:sz w:val="17"/>
          <w:szCs w:val="17"/>
          <w:color w:val="auto"/>
        </w:rPr>
        <w:t>Our revenue depends on achieving broad coverage and reimbursement for our tests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0" w:lineRule="exact"/>
        <w:rPr>
          <w:rFonts w:ascii="Arial" w:cs="Arial" w:eastAsia="Arial" w:hAnsi="Arial"/>
          <w:sz w:val="17"/>
          <w:szCs w:val="17"/>
          <w:color w:val="auto"/>
        </w:rPr>
      </w:pPr>
    </w:p>
    <w:p>
      <w:pPr>
        <w:jc w:val="both"/>
        <w:ind w:left="900"/>
        <w:spacing w:after="0" w:line="290" w:lineRule="auto"/>
        <w:rPr>
          <w:rFonts w:ascii="Arial" w:cs="Arial" w:eastAsia="Arial" w:hAnsi="Arial"/>
          <w:sz w:val="17"/>
          <w:szCs w:val="17"/>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3" w:lineRule="exact"/>
        <w:rPr>
          <w:rFonts w:ascii="Arial" w:cs="Arial" w:eastAsia="Arial" w:hAnsi="Arial"/>
          <w:sz w:val="17"/>
          <w:szCs w:val="17"/>
          <w:color w:val="auto"/>
        </w:rPr>
      </w:pPr>
    </w:p>
    <w:p>
      <w:pPr>
        <w:jc w:val="both"/>
        <w:ind w:left="880" w:hanging="373"/>
        <w:spacing w:after="0" w:line="27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67" w:lineRule="exact"/>
        <w:rPr>
          <w:rFonts w:ascii="Arial" w:cs="Arial" w:eastAsia="Arial" w:hAnsi="Arial"/>
          <w:sz w:val="17"/>
          <w:szCs w:val="17"/>
          <w:color w:val="auto"/>
        </w:rPr>
      </w:pPr>
    </w:p>
    <w:p>
      <w:pPr>
        <w:jc w:val="both"/>
        <w:ind w:left="90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approximately 90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59" w:lineRule="exact"/>
        <w:rPr>
          <w:rFonts w:ascii="Arial" w:cs="Arial" w:eastAsia="Arial" w:hAnsi="Arial"/>
          <w:sz w:val="17"/>
          <w:szCs w:val="17"/>
          <w:color w:val="auto"/>
        </w:rPr>
      </w:pPr>
    </w:p>
    <w:p>
      <w:pPr>
        <w:jc w:val="both"/>
        <w:ind w:left="880" w:hanging="373"/>
        <w:spacing w:after="0" w:line="271"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Ability to attract new biopharmaceutical customers and maintain and expand relationships with existing customers</w:t>
      </w:r>
      <w:r>
        <w:rPr>
          <w:rFonts w:ascii="Arial" w:cs="Arial" w:eastAsia="Arial" w:hAnsi="Arial"/>
          <w:sz w:val="17"/>
          <w:szCs w:val="17"/>
          <w:color w:val="auto"/>
        </w:rPr>
        <w:t>.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5" w:lineRule="exact"/>
        <w:rPr>
          <w:rFonts w:ascii="Arial" w:cs="Arial" w:eastAsia="Arial" w:hAnsi="Arial"/>
          <w:sz w:val="17"/>
          <w:szCs w:val="17"/>
          <w:color w:val="auto"/>
        </w:rPr>
      </w:pPr>
    </w:p>
    <w:p>
      <w:pPr>
        <w:jc w:val="both"/>
        <w:ind w:left="880" w:hanging="373"/>
        <w:spacing w:after="0" w:line="272"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Motivating and expanding our field sales force and customer support team</w:t>
      </w:r>
      <w:r>
        <w:rPr>
          <w:rFonts w:ascii="Arial" w:cs="Arial" w:eastAsia="Arial" w:hAnsi="Arial"/>
          <w:sz w:val="17"/>
          <w:szCs w:val="17"/>
          <w:color w:val="auto"/>
        </w:rPr>
        <w:t>. Our field sales force is the primary point of contact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setting. These representatives of the company must cover expansive geographic regions which limits their time for interaction and education of our products in the clinical setting. As a result of the successful capital raise associated with our IPO,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testing volumes increased over the last twelve months for our COVID-19 testing program, we hired additional project support members to assist us in managing testing capacity.</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2020 for more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disrupted, and we expect will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are asked to work from home and those on site are asked to follow our social distance guidelines. Our sales, marketing and business development efforts have also been constrained by our operational response to the COVID-19 pandemic. We expect to continue to adjust our operational norms to help slow the spread of COVID-19 in the coming months, including complying with government directives and guidelines as they are modified and supplemented.</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9, 2021, President Biden signed two new Executive Orders that would require vaccinations for all federal workers and contractors. In addition, it was also announced that the Department of Labor’s Occupational Safety and Health Administration (OSHA) and the Centers for Medicare and Medicaid Services (CMS) would each be releasing emergency rules that would respectively require (i) employers with 100 or more employees and (ii) workers in health care setting that receive Medicare and Medicaid reimbursement to implement vaccination and testing protocols. We are currently a party to several federal contracts and in order to remain compliant with President Biden’s Executive Orders, all Biodesix teammates will be required to have received an effective dose of the COVID-19 vaccine no later than January 4, 2022. Exemptions may be requested for qualifying medical reasons or sincerely held religious belief, subject to review and approval.</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and the surge associated with the Delta variant has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saw a decline in business with existing and new biopharmaceutical customers. We began to see recovery during the fourth quarter 2020 as our delivered tests exceeded first quarter 2020 delivered tests and we expect to continue to see the recovery extending into 2022; however, the rate of growth experienced since we began to see recovery is below our expectations and has been impacted by ongoing surges, such as the surge in the Delta variant, which has negatively impacted patients willingness or ability to gain access to healthcare providers and medical resources. Further, our clinical studies, such as our ongoing INSIGHT and ALTITUDE studies, as well as our arrangements including contracted clinical studies with our biopharmaceutical customers, are expected to take longer to complete than what we expected before the outbreak of the COVID-19 pandemic. While our biopharmaceutical revenue for the third quarter 2021 grew in comparison to the third quarter 2020, we are continuing to experience delays in clinical studies from across the country and world due to COVID-19 restrictions through the third quarter of 2021; however, we expect continued recovery in our biopharmaceutical activities assuming continued economic recovery from the pandemic and its variants.</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Conversely, we have experienced a significant increase in revenues related to an increase in the demand for our Biodesix WorkSafe testing program, our COVID-19 testing program, during the fourth quarter of 2020 through the second quarter of 2021. The first quarter 2021 was our peak for COVID-19 testing revenue, while we have experienced a substantial decline in COVID-19 testing revenue subsequently as immunizations in the U.S. accelerated. We are uncertain at this time how President Biden’s Executive Orders and regulatory changes will impact our COVID-19 testing revenue in future periods as we stand ready to provide this essential testing service to assist employers with the implementation of these regulations.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COVID-19 testing could decrease significantly and this could have an adverse effect on our results of operations and profitability. As a result, the increase in revenue due to any increase in demand for these diagnostic tests may not be indicative of our future revenue. See Item 1A “Risk Factors” of Part II in this Quarterly Report on Form 10-Q and those discussed in our other filings with the SEC, including the risks described in Item 1A “Risk Factors” of Part I of our Annual Report on Form 10-K for the year ended December 31, 2020, which was filed on March 16, 2021, for a description of how the COVID-19 pandemic may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and Operational Highlights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quarter declined as compared to the comparable quarter in 2020 primarily as a result of the expected continued decline in our COVID-19 testing revenue while partially offset by growth in our highest margin product areas, lung diagnostics and biopharmaceutical services. We generated revenue during the three months ended September 30, 2021 of $6.5 million, representing a decrease of 29% as compared to the three months ended September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 following were significant developments affecting our business, capital structure and liquidity during the three months ended September 30, 2021 as compared to the same period in 2020 unless otherwise noted:</w:t>
      </w:r>
    </w:p>
    <w:p>
      <w:pPr>
        <w:spacing w:after="0" w:line="62" w:lineRule="exact"/>
        <w:rPr>
          <w:sz w:val="20"/>
          <w:szCs w:val="20"/>
          <w:color w:val="auto"/>
        </w:rPr>
      </w:pPr>
    </w:p>
    <w:p>
      <w:pPr>
        <w:ind w:left="840" w:right="100" w:hanging="33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Lung diagnostic revenue of $4.5 million, an increase of 51% driven primarily by our focus on improvement in adoption of the newly launched, high value Nodify Lung Nodule Risk Assessment diagnostic tests and sales force expansion;</w:t>
      </w:r>
    </w:p>
    <w:p>
      <w:pPr>
        <w:spacing w:after="0" w:line="116" w:lineRule="exact"/>
        <w:rPr>
          <w:rFonts w:ascii="Arial" w:cs="Arial" w:eastAsia="Arial" w:hAnsi="Arial"/>
          <w:sz w:val="18"/>
          <w:szCs w:val="18"/>
          <w:color w:val="auto"/>
        </w:rPr>
      </w:pPr>
    </w:p>
    <w:p>
      <w:pPr>
        <w:ind w:left="840" w:hanging="33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Services revenue of $1.5 million, an increase of 133% driven by the recovery in testing volumes from clinical studies and services;</w:t>
      </w:r>
    </w:p>
    <w:p>
      <w:pPr>
        <w:spacing w:after="0" w:line="171" w:lineRule="exact"/>
        <w:rPr>
          <w:rFonts w:ascii="Arial" w:cs="Arial" w:eastAsia="Arial" w:hAnsi="Arial"/>
          <w:sz w:val="18"/>
          <w:szCs w:val="18"/>
          <w:color w:val="auto"/>
        </w:rPr>
      </w:pPr>
    </w:p>
    <w:p>
      <w:pPr>
        <w:ind w:left="840" w:right="460" w:hanging="33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COVID-19 testing revenue of $0.5 million, a decline of 91% driven primarily from the reduction in COVID-19 testing demand, which we outlined in our most recent previous fiscal quarter.</w:t>
      </w:r>
    </w:p>
    <w:p>
      <w:pPr>
        <w:spacing w:after="0" w:line="116" w:lineRule="exact"/>
        <w:rPr>
          <w:rFonts w:ascii="Arial" w:cs="Arial" w:eastAsia="Arial" w:hAnsi="Arial"/>
          <w:sz w:val="18"/>
          <w:szCs w:val="18"/>
          <w:color w:val="auto"/>
        </w:rPr>
      </w:pPr>
    </w:p>
    <w:p>
      <w:pPr>
        <w:ind w:left="840" w:right="460" w:hanging="333"/>
        <w:spacing w:after="0" w:line="263"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Lung diagnostic sales growth was driven by a greater percentage of overall sales of the Company’s Nodify Lung Nodule Risk Assessment diagnostic tests which consist of two blood-based tests that help physicians reclassify risk of malignancy in patients with suspicious lung nodules;</w:t>
      </w:r>
    </w:p>
    <w:p>
      <w:pPr>
        <w:spacing w:after="0" w:line="129" w:lineRule="exact"/>
        <w:rPr>
          <w:rFonts w:ascii="Arial" w:cs="Arial" w:eastAsia="Arial" w:hAnsi="Arial"/>
          <w:sz w:val="18"/>
          <w:szCs w:val="18"/>
          <w:color w:val="auto"/>
        </w:rPr>
      </w:pPr>
    </w:p>
    <w:p>
      <w:pPr>
        <w:ind w:left="840" w:right="260" w:hanging="333"/>
        <w:spacing w:after="0" w:line="275"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continues to see a shift in lung diagnostic testing demand that suggests the pulmonologists are beginning to see more non-COVID-19 patients; however, the improvement in sales continue to be impacted by geographic areas in which there are significant variant surges, such as the Delta variant. While we continue to experience a recovery from the start of the pandemic and associated shutdowns in the first quarter 2020 and most recently due to the Delta variant wave, the rate of growth has been negatively impacted by geographic areas with significant impacts to the health care systems from variant surges;</w:t>
      </w:r>
    </w:p>
    <w:p>
      <w:pPr>
        <w:spacing w:after="0" w:line="122" w:lineRule="exact"/>
        <w:rPr>
          <w:rFonts w:ascii="Arial" w:cs="Arial" w:eastAsia="Arial" w:hAnsi="Arial"/>
          <w:sz w:val="17"/>
          <w:szCs w:val="17"/>
          <w:color w:val="auto"/>
        </w:rPr>
      </w:pPr>
    </w:p>
    <w:p>
      <w:pPr>
        <w:ind w:left="840" w:hanging="33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Remains on track to double the size of the direct and dedicated sales force in 2021;</w:t>
      </w:r>
    </w:p>
    <w:p>
      <w:pPr>
        <w:spacing w:after="0" w:line="171" w:lineRule="exact"/>
        <w:rPr>
          <w:rFonts w:ascii="Arial" w:cs="Arial" w:eastAsia="Arial" w:hAnsi="Arial"/>
          <w:sz w:val="18"/>
          <w:szCs w:val="18"/>
          <w:color w:val="auto"/>
        </w:rPr>
      </w:pPr>
    </w:p>
    <w:p>
      <w:pPr>
        <w:ind w:left="840" w:hanging="33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of $47.9 million, representing a reduction of approximately $8.4 million from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diagnostics testing and (ii) COVID-19 testing.</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in dollars, are expected to decrease as a percentage of revenue in the long term, though they may fluctuate as a percentage from period to period due to the timing and extent of these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transaction of Integrated Diagnostics, Inc. (Indi), we recorded contingent consideration pertaining to the amounts potentially payable to Indi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a product gross margin target, the estimated timing in which the gross margin target is achieved, and discount rates. The estimated fair value could materially differ from actual values or fair values determined using different assumptions.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consists of cash and non-cash interest from our 2021 Term Loan, the 2018 Notes, Paycheck Protection Program loan, convertible debt and changes in the value of our contingent consideration associated with the passage of time subsequent to the achievement of the contingency in the second quarter 2021. Our convertible debt, along with the related accrued interest, was automatically converted to 1,848,280 shares of our common stock upon completion of our IPO in October 2020. Interest income, which is included in ‘Other income, net’ in the statements of operations consists of income earned on our cash and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6"/>
          </w:tcPr>
          <w:p>
            <w:pPr>
              <w:jc w:val="center"/>
              <w:ind w:right="141"/>
              <w:spacing w:after="0"/>
              <w:rPr>
                <w:sz w:val="20"/>
                <w:szCs w:val="20"/>
                <w:color w:val="auto"/>
              </w:rPr>
            </w:pPr>
            <w:r>
              <w:rPr>
                <w:rFonts w:ascii="Arial" w:cs="Arial" w:eastAsia="Arial" w:hAnsi="Arial"/>
                <w:sz w:val="18"/>
                <w:szCs w:val="18"/>
                <w:b w:val="1"/>
                <w:bCs w:val="1"/>
                <w:color w:val="auto"/>
                <w:w w:val="91"/>
              </w:rPr>
              <w:t>Three Months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7"/>
          </w:tcPr>
          <w:p>
            <w:pPr>
              <w:jc w:val="right"/>
              <w:ind w:right="81"/>
              <w:spacing w:after="0"/>
              <w:rPr>
                <w:sz w:val="20"/>
                <w:szCs w:val="20"/>
                <w:color w:val="auto"/>
              </w:rPr>
            </w:pPr>
            <w:r>
              <w:rPr>
                <w:rFonts w:ascii="Arial" w:cs="Arial" w:eastAsia="Arial" w:hAnsi="Arial"/>
                <w:sz w:val="18"/>
                <w:szCs w:val="18"/>
                <w:b w:val="1"/>
                <w:bCs w:val="1"/>
                <w:color w:val="auto"/>
                <w:w w:val="92"/>
              </w:rPr>
              <w:t>Nine Months Ended</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6"/>
          </w:tcPr>
          <w:p>
            <w:pPr>
              <w:jc w:val="center"/>
              <w:ind w:right="12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1020" w:type="dxa"/>
            <w:vAlign w:val="bottom"/>
            <w:gridSpan w:val="4"/>
          </w:tcPr>
          <w:p>
            <w:pPr>
              <w:ind w:left="42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020" w:type="dxa"/>
            <w:vAlign w:val="bottom"/>
            <w:gridSpan w:val="4"/>
          </w:tcPr>
          <w:p>
            <w:pPr>
              <w:ind w:left="420"/>
              <w:spacing w:after="0"/>
              <w:rPr>
                <w:sz w:val="20"/>
                <w:szCs w:val="20"/>
                <w:color w:val="auto"/>
              </w:rPr>
            </w:pPr>
            <w:r>
              <w:rPr>
                <w:rFonts w:ascii="Arial" w:cs="Arial" w:eastAsia="Arial" w:hAnsi="Arial"/>
                <w:sz w:val="18"/>
                <w:szCs w:val="18"/>
                <w:b w:val="1"/>
                <w:bCs w:val="1"/>
                <w:color w:val="auto"/>
                <w:w w:val="87"/>
              </w:rPr>
              <w:t>Change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6,531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9,193</w:t>
            </w: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(2,662)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47,282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18,528</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$ 28,754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costs and expenses</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marketing, general and administrative</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w w:val="96"/>
              </w:rPr>
              <w:t>Change in fair value of contingent consideration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15,433</w:t>
            </w: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(6,240)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(29,261)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(20,281)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(1,546)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(6,899)</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Gain on debt extinguishment,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(11,514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(2,669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(29,877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(26,817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(3,060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Nine Months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Diagnostic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(3,513)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15,798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27,274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Services 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18,528</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28,754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decreased $2.7 million or 29%, and increased $28.8 million or 155% for the three and nine months ended September 30, 2021, respectively, compared to the same periods in 2020.</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Diagnostic test revenue decreased $3.5 million or 41%, and increased $27.3 million or 173% for the three and nine months ended September 30, 2021, respectively, compared to the same periods in 2020. The $3.5 million decrease for the three months ended September 30, 2021 compared to the same period in 2020 is due to a $5.0 million reduction in COVID-19 revenue resulting from a decrease in delivered COVID-19 diagnostic tests, which was partially offset by an increase in our lung diagnostic revenue of $1.5 million driven primarily from an increase in Nodify XL2 and Nodify CDT tests delivered.</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$27.3 million increase in revenue for the nine months ended September 30, 2021 compared to the same period in 2020 is primarily driven by a $22.9 million increase in COVID-19 revenue due to the delivery of our COVID-19 tests which were released during the second quarter of 2020 and a $4.4 million increase in our lung diagnostic revenue driven primarily from an increase in Nodify XL2 and Nodify CDT tests delivered. We began to see recovery during the fourth quarter 2020 in lung diagnostic testing as our delivered tests exceeded first quarter 2020 delivered tests as health care practitioners, including pulmonologists, increasingly returned to pre-pandemic related care. However, the Company’s sales efforts continued to be impacted by the COVID-19 pandemic and the surge associated with the Delta variant which has negatively affected, and we expect will continue to negatively affect, the growth rate of our lung diagnostic testing-related revenue and our clinical studies.</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revenue increased $0.9 million or 133%, and $1.5 million or 54% for the three and nine months ended September 30, 2021, respectively, compared to the same periods in 2020 driven by the recovery in testing volumes from clinical studies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 costs and expenses related to revenue decreased $1.2 million or 30%, and increased $20.7 million or 282% for the three and nine months ended September 30, 2021, respectively, compared to the same periods in 2020. The decrease for the three months ended September 30, 2021 compared to the same period in 2020 is due to the overall decline in COVID-19 testing as vaccinations increase. The increase in direct costs and expenses for the nine months ended September 30, 2021 compared to the same period in 2020 is primarily driven by costs associated with the delivery of our COVID-19 tests which were released during the second quarter of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increased $0.6 million or 22%, and $2.2 million or 29% for the three and nine months ended September 30, 2021, respectively, compared to the same periods in 2020. The increase in cost was due primarily to increased employee compensation and benefits costs associated with stock-based compensation as a result of the transition from a private to a public company and increased headcount of our research and development personnel, partially offset by decreased spending on clinical trials.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The following table summarizes our external and internal costs for the three and nine months ended September 30, 2021 and 2020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Nine Months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Ended</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b w:val="1"/>
                <w:bCs w:val="1"/>
                <w:color w:val="auto"/>
                <w:w w:val="93"/>
              </w:rPr>
              <w:t>Change</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b w:val="1"/>
                <w:bCs w:val="1"/>
                <w:color w:val="auto"/>
                <w:w w:val="93"/>
              </w:rPr>
              <w:t>Change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2020</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Clinical trials and associated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1,671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2,021</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external costs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3,049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500"/>
              <w:spacing w:after="0"/>
              <w:rPr>
                <w:sz w:val="20"/>
                <w:szCs w:val="20"/>
                <w:color w:val="auto"/>
              </w:rPr>
            </w:pPr>
            <w:r>
              <w:rPr>
                <w:rFonts w:ascii="Arial" w:cs="Arial" w:eastAsia="Arial" w:hAnsi="Arial"/>
                <w:sz w:val="18"/>
                <w:szCs w:val="18"/>
                <w:color w:val="auto"/>
              </w:rPr>
              <w:t>Total external costs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88"/>
              </w:rPr>
              <w:t>4,720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Internal expenses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5,217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9,937</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7,713</w:t>
            </w:r>
          </w:p>
        </w:tc>
        <w:tc>
          <w:tcPr>
            <w:tcW w:w="1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Sales, marketing, general and administrative expenses increased $5.7 million or 73%, and $14.1 million or 62% for the three and nine months ended September 30, 2021, respectively, compared to the same periods in 2020. This increase was driven primarily by increases in employee compensation and benefits for the three and nine months ended September 30, 2021, respectively, associated with expansion of the Company’s workforce and increased share-based compensation expense. This increase is also the result of increases in non-employee costs for the three and nine months ended September 30, 2021, respectively, associated with legal and other fees as a result of the transition from a private to a public company.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 in fair value of contingent consideration decreased $1.0 million or 100%, and increased $0.7 million or 69% for the three and nine months ended September 30, 2021, respectively compared to the same periods in 2020. The decrease of $1.0 million for the three months ended September 30, 2021 compared to the same period in 2020 is a result of the gross margin target being met during the three months ended June 30, 2021.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 The increase of $0.7 million for the nine months ended September 30, 2021 compared to the same period in 2021 is a result of the change in fair value to reflect the passage of time, changes in discount rate, as well as estimates regarding the period in which targets that trigger the payment of contingent consideration will be achieved and subsequently paid.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expense decreased $1.1 million or 42%, and $3.9 million or 56% for the three and nine months ended September 30, 2021, respectively, compared to the same periods in 2020. This decline was due to a decrease of interest expense related to convertible notes, which were converted to common stock upon the successful completion of our IPO in October 2020, and a decrease resulting from the refinancing of our term loan, reducing near-term interest costs. Partially offsetting this decline is the increase to contingent consideration recorded as ‘Interest expense’ resulting from the passage of time and fixed payment schedule during both the three and nine months ended September 30, 2021 of $1.0 million and $1.3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2021, the Company entered into a new Loan and Security Agreement (2021 Term Loan) for an original principal amount of $30 million with a maturity date of March 1, 2026. In connection with entering into the 2021 Term Loan, the Company repaid all outstanding principal and unpaid interest in the amount of $25.9 million due under the secured promissory note (2018 Notes) and contemporaneously terminated the Loan and Security Agreement, dated as of February 23, 2018, as amended. As a result of the extinguishment of the 2018 Notes, the Company recorded a loss on debt extinguishment of $0.7 million during the three months ended March 31, 2021.</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2021, the Company determined that it would apply for forgiveness under the SBA’s Loan Forgiveness program, a change from its previous intent to repay. Subsequently, in July 2021 the Company applied for loan forgiveness and on August 17, 2021, the Company received legal release and formal notification that the PPP Loan was forgiven in full. As a result of the extinguishment of the PPP Loan, the Company recorded a gain on debt extinguishment of $3.1 million during the three months ended September 30,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decreased $0.1 million or 100%, and $0.3 million or 100% for the three and nine months ended September 30, 2021, respectively, compared to the same periods in 2020. The decrease is primarily attributable to a reduction in sublease income from two subleases that expired in the second and third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emerging growth company and, as such, have yet to generate positive cash flows from operations. We have funded our operating activities primarily through financing activities, which include both debt and equity offerings. In October 2020, we completed an IPO, resulting in net proceeds of approximately $63.8 million after deducting offering costs, underwriting discounts and commissions.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have experienced a rapid decline in COVID-19 testing revenue primarily as a result of a few significant contracts that have expired as well as the ongoing increase in COVID-19 vaccination rates across the United States. In addition, the COVID-19 pandemic negatively affected, and we expect will continue to negatively affect, our lung diagnostic testing-related revenue and our clinical studies. We began to see recovery during the fourth quarter 2020 as our lung diagnostics delivered tests exceeded first quarter 2020 delivered tests and we expect to continue to see the recovery extending into 2022. However, given the continuation of the pandemic through COVID-19 variants, including the associated hospitalization surges and the impact on the medical ecosystem, which include clinical studies and pulmonary practices, the demand for our lung diagnostic testing and biopharma services has not recovered in line with our expectation from the time of our IPO.</w:t>
      </w:r>
    </w:p>
    <w:p>
      <w:pPr>
        <w:spacing w:after="0" w:line="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9, 2021, President Biden announced the implementation of a six-pronged, comprehensive national strategy to combat variants of COVID-19 (COVID-19 Action Plan). Among the six prongs are plans to increase COVID-19 testing including requiring all employers with 100 or more employees to ensure their workers are vaccinated or tested weekly. OSHA is developing a rule that will require all employers with 100 or more employees to ensure their workforce is fully vaccinated or require any workers who remain unvaccinated to produce a negative test result on at least a weekly basis before coming to work. OSHA will issue an Emergency Temporary Standard (ETS) to implement this requirement. This requirement will impact over 80 million workers in private sector businesses with more than 100 employees. Further, the Biden administration is calling on all schools to set up regular testing for students, teachers, and staff consistent with CDC guidelines. At this time, we are uncertain as to the potential incremental revenues, if any, that would be generated as a result of our participation in providing support to the COVID-19 Action Plan. While the full outcome of the COVID-19 pandemic is unknown, it continues to negatively impact our ability to grow and scale our business in line with our expectations and disclosures at the time of our IPO. As a result, the items identified above have had an adverse effect on our revenue, results of operations and cash flows.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The 2021 Term Loan requires the Company to comply with a minimum liquidity ratio covenant (as defined in the 2021 Term Loan) of not less than 0.95 to 1.00, and has a trailing six-month rolling revenue requirement of not less than 70% of the Company’s projected revenue performed at the end each reporting period. 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declines below $40 million. As of September 30, 2021, the Company was in compliance with all restrictive and financial covenants associated with its borrowings.</w:t>
      </w:r>
    </w:p>
    <w:p>
      <w:pPr>
        <w:spacing w:after="0" w:line="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2021, the Company determined that it would apply for forgiveness under the SBA’s Loan Forgiveness program, a change from its previous intent to repay. Subsequently, in July 2021 the Company applied for loan forgiveness and on August 17, 2021, the Company received legal release and formal notification that the PPP Loan was forgiven in full. As of and for the three months ended September 30, 2021, the Company reduced the ‘Current portion of notes payable’ and recorded a gain on extinguishment in the statements of operations for the $3.1 million forgiven.</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maintained cash and cash equivalents of $47.9 million and we are fully drawn under our $30 million 2021 Term Loan. We have incurred significant losses since inception and, as a result, we have funded our operations to date primarily through the sale of common stock in our IPO in October 2020, the issuance of notes payable, and from our two primary revenue sources: (i) diagnostic testing, which include lung diagnostic testing and COVID-19 testing, and (ii) providing biopharmaceutical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 xml:space="preserve">with development and testing services. In accordance with Accounting Standards Update 2014-15 (ASC Topic 205-40),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Going Concern: Disclosure of Uncertainties about an Entity’s Ability to Continue as a Going Concern</w:t>
      </w:r>
      <w:r>
        <w:rPr>
          <w:rFonts w:ascii="Arial" w:cs="Arial" w:eastAsia="Arial" w:hAnsi="Arial"/>
          <w:sz w:val="18"/>
          <w:szCs w:val="18"/>
          <w:color w:val="auto"/>
        </w:rPr>
        <w:t>, the Company is required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is substantial doubt about its ability to continue as a going concern each reporting period, including interim periods. In evaluating the Company’s ability to continue as a going concern, management projected its cash flow sources and needs and evaluated the conditions and events that could raise substantial doubt about the Company’s ability to continue as a going concern within one year after the date that these financial statements were issued (November 15, 2021). Management considered the Company’s current projections of future cash flows, current financial condition, sources of liquidity and debt obligations due on or before November 15, 2022 in considering whether it has the ability to meet its obligations for at least one year from the date of issuance of this Form 10-Q.</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ability to meet our obligations as they come due may be impacted by our ability to remain compliant with financial covenants in our 2021 Term Loan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our current operating plan, unless we raise additional capital (debt or equity) or obtain waiver from complying with such financial covenants, we expect that we will be unable to maintain our minimum liquidity covenant under our 2021 Term Loan during the next twelve months, which could result in an Event of Default, as defined, causing an acceleration of the outstanding balance. We have taken steps to improve our liquidity through our recent amendment to our 2021 Term Loan and have also undertaken several proactive measures to mitigate the financial and operational impacts of COVID-19 through the reduction of planned capital expenditures and certain operating expenses but we do not expect that these actions alone will be sufficient to maintain our minimum liquidity covenant. We plan to raise additional funding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nor can there be any assurance that the Company will be a beneficiary of the COVID-19 Action Plan.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w:t>
      </w:r>
      <w:r>
        <w:rPr>
          <w:rFonts w:ascii="Arial" w:cs="Arial" w:eastAsia="Arial" w:hAnsi="Arial"/>
          <w:sz w:val="18"/>
          <w:szCs w:val="18"/>
          <w:color w:val="212529"/>
        </w:rPr>
        <w:t>’s revenues, results of operations and cash flows have been materially adversely impacted by the items noted above.</w:t>
      </w:r>
      <w:r>
        <w:rPr>
          <w:rFonts w:ascii="Arial" w:cs="Arial" w:eastAsia="Arial" w:hAnsi="Arial"/>
          <w:sz w:val="18"/>
          <w:szCs w:val="18"/>
          <w:color w:val="auto"/>
        </w:rPr>
        <w:t xml:space="preserve"> We expect to continue to incur significant expenses for the foreseeable future and to incur operating losses in the near term while we make investments to support our anticipated growth. </w:t>
      </w:r>
      <w:r>
        <w:rPr>
          <w:rFonts w:ascii="Arial" w:cs="Arial" w:eastAsia="Arial" w:hAnsi="Arial"/>
          <w:sz w:val="18"/>
          <w:szCs w:val="18"/>
          <w:color w:val="212529"/>
        </w:rPr>
        <w:t>Our current operating plan, which is in part determined based on our most recent historical actual results and trends, along with the items noted</w:t>
      </w:r>
      <w:r>
        <w:rPr>
          <w:rFonts w:ascii="Arial" w:cs="Arial" w:eastAsia="Arial" w:hAnsi="Arial"/>
          <w:sz w:val="18"/>
          <w:szCs w:val="18"/>
          <w:color w:val="auto"/>
        </w:rPr>
        <w:t xml:space="preserve"> </w:t>
      </w:r>
      <w:r>
        <w:rPr>
          <w:rFonts w:ascii="Arial" w:cs="Arial" w:eastAsia="Arial" w:hAnsi="Arial"/>
          <w:sz w:val="18"/>
          <w:szCs w:val="18"/>
          <w:color w:val="212529"/>
        </w:rPr>
        <w:t xml:space="preserve">above, raises substantial doubt about the Company’s ability to continue as a going concern. </w:t>
      </w:r>
      <w:r>
        <w:rPr>
          <w:rFonts w:ascii="Arial" w:cs="Arial" w:eastAsia="Arial" w:hAnsi="Arial"/>
          <w:sz w:val="18"/>
          <w:szCs w:val="18"/>
          <w:color w:val="000000"/>
        </w:rPr>
        <w:t>Our unaudited financial statements have been prepared</w:t>
      </w:r>
      <w:r>
        <w:rPr>
          <w:rFonts w:ascii="Arial" w:cs="Arial" w:eastAsia="Arial" w:hAnsi="Arial"/>
          <w:sz w:val="18"/>
          <w:szCs w:val="18"/>
          <w:color w:val="212529"/>
        </w:rPr>
        <w:t xml:space="preserve"> </w:t>
      </w:r>
      <w:r>
        <w:rPr>
          <w:rFonts w:ascii="Arial" w:cs="Arial" w:eastAsia="Arial" w:hAnsi="Arial"/>
          <w:sz w:val="18"/>
          <w:szCs w:val="18"/>
          <w:color w:val="000000"/>
        </w:rPr>
        <w:t>assuming we will continue as a going concern and do not include any adjustments that might be necessary should we be unable to continue as a going concern.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(18,026)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(12,610)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(1,906)</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(2,384)</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(14,307)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cash flows resulted in a net decrease in cash and cash equivalents of $14.3 million during the nine months ended September 30, 2021 as compared to the net increase in cash of $1.1 million for the nine months ended September 30, 2020. For the nine months ended September 30, 2021, net cash used in operating activities increased by approximately $5.4 million, primarily due to a year-over-year increase in net loss of $3.1 million and decrease in non-cash adjustments to net loss of $1.9 million driven primarily by a decrease in amortization of convertible notes debt discount in 2020 of $4.4 million and an increase in net gain on debt extinguishment in 2021 of $2.4 million. This is partially offset by an increase in stock-based compensation expense of $3.5 million, increase in contingent consideration of $0.7 million, and increase in other non-cash items of $0.7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Net cash used in investing activities during the nine months ended September 30, 2021 totaled $1.9 million, a decrease of $0.5 million compared to the same period in 2020. The decrease in net cash used in investing activities was primarily due to payments in 2020 to acquire Oncimmune assets, partially offset by an increase in purchases of property and equipment in support of our operations in 2021.</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provided by financing activities during the nine months ended September 30, 2021 totaled $5.6 million, a decrease of $10.4 million compared to the same period in 2020 driven primarily by the proceeds of the convertible debt issuance in 2020. The net cash provided by financing activities for the nine months ended September 30, 2021 primarily resulted from the net proceeds from our 2021 Term Loan of $4.6 million and proceeds from the issuance of common stock under the ESPP and exercise of stock options of approximately $1.0 million. The net cash provided by financing activities for the nine months ended September 30, 2020 of $16.1 million primarily resulted from proceeds from the issuance of convertible notes and the PPP loan.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closing of our 2021 Term Loan, repayment of our 2018 Notes, and forgiveness of our PPP Loan, our non-cancelable contractual obligations and commitments for borrowings and interest as presented in our Form 10-K have been modified. The following table provides an update as follows as of September 30, 2021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7"/>
              </w:rPr>
              <w:t>More</w:t>
            </w:r>
          </w:p>
        </w:tc>
        <w:tc>
          <w:tcPr>
            <w:tcW w:w="10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Less than</w:t>
            </w:r>
          </w:p>
        </w:tc>
        <w:tc>
          <w:tcPr>
            <w:tcW w:w="20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4 to 5</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than</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15"/>
                <w:szCs w:val="15"/>
                <w:color w:val="auto"/>
              </w:rPr>
              <w:t>(1)</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 xml:space="preserve">Fair value of contingent consideration </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the 2021 Term Loan payments of principal, interest and final payment fee of $2.7 million payment due upon loan maturity.</w:t>
      </w:r>
    </w:p>
    <w:p>
      <w:pPr>
        <w:spacing w:after="0" w:line="49" w:lineRule="exact"/>
        <w:rPr>
          <w:rFonts w:ascii="Arial" w:cs="Arial" w:eastAsia="Arial" w:hAnsi="Arial"/>
          <w:sz w:val="15"/>
          <w:szCs w:val="15"/>
          <w:color w:val="auto"/>
        </w:rPr>
      </w:pPr>
    </w:p>
    <w:p>
      <w:pPr>
        <w:jc w:val="both"/>
        <w:ind w:left="380" w:hanging="372"/>
        <w:spacing w:after="0" w:line="272"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7"/>
          <w:szCs w:val="17"/>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to it, and the Company will instead make six quarterly installment payments of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other significant changes to our future contractual obligations as disclosed in our Annual Report on Form 10-K for the year ended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below and in Note 2 to our condensed financial statements in Part 1 of this Quarterly Report on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 revenue upon delivery of promised diagnostic test results and testing services, in an amount that reflects the consideration which we expect to receive in exchange for our services. To determine revenue recognition for our arrangements with our customers, we perform a five-step process, which includes: (i) identifying the contract(s) with a customer; (ii) identifying the performance obligations in the contract; (iii) determining the transaction price;</w:t>
      </w:r>
    </w:p>
    <w:p>
      <w:pPr>
        <w:spacing w:after="0" w:line="2" w:lineRule="exact"/>
        <w:rPr>
          <w:sz w:val="20"/>
          <w:szCs w:val="20"/>
          <w:color w:val="auto"/>
        </w:rPr>
      </w:pPr>
    </w:p>
    <w:p>
      <w:pPr>
        <w:ind w:firstLine="8"/>
        <w:spacing w:after="0" w:line="260"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the contract; and (v) recognizing revenue when (or as) we satisfy our performance obligations.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Diagnostic service revenues are recognized upon completion of our performance obligation to the deliver test results to our customer, either the prescribing physician or third-party to which we contracted for services to be performed. Testing services revenues are recognized upon completion of our performance obligation to deliver testing results for assay development and testing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 option awards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Following the completion of our IPO, our Board of Directors has determined the fair value of our common stock is based on our closing price as reported on the date of grant on the primary stock exchange on which our common stock is traded.</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our IPO in October 2020, the fair value of our common stock was determined by our Board of Directors in accordance with the methodologies outlined in the American Institute of Certified Public Accountants Practice Aid, Valuation of Privately-Held-Company Equity Securities Issued as Compensation Practice Aid (Practice Aid). In doing so, our Board of Directors determined the best estimate of fair value of our common stock, exercising reasonable judgment and considering numerous objective and subjective factors, by first determining the enterprise value of our business, and then allocating the value among the various classes of our equity securities to derive a per share value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Based on our current analysis expect the adoption to result in the recognition of approximately $1.5 million of right of use assets and associated lease liabilities in our balance sheet and do not expect any material impact to our statement of operations or statement of cash flows. We are implementing new processes and internal controls over lease recognition, which will ultimately assist in the application of the new lease standard.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marketable securities and our indebtedness, including our outstanding 2021 Term Loan. As of September 30, 2021, we had $30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 hypothetical 100 basis point increase in interest rates would not have a material impact on our investment portfolio,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three months ended September 30, 2021, that have materially affected, or are reasonable likely to materially effect, our internal controls over financial reporting.</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become involved in legal proceedings or investigations which could have an adverse impact on our reputation, business and financial condition and divert the attention of our management from the operation of our business. In September 2021, we reached a settlement agreement with plaintiffs, which received preliminary approval from the Circuit Court of the City of St. Louis, State of Missouri on November 10</w:t>
      </w:r>
      <w:r>
        <w:rPr>
          <w:rFonts w:ascii="Arial" w:cs="Arial" w:eastAsia="Arial" w:hAnsi="Arial"/>
          <w:sz w:val="14"/>
          <w:szCs w:val="14"/>
          <w:color w:val="auto"/>
        </w:rPr>
        <w:t>th</w:t>
      </w:r>
      <w:r>
        <w:rPr>
          <w:rFonts w:ascii="Arial" w:cs="Arial" w:eastAsia="Arial" w:hAnsi="Arial"/>
          <w:sz w:val="17"/>
          <w:szCs w:val="17"/>
          <w:color w:val="auto"/>
        </w:rPr>
        <w:t>, regarding a dispute involving the Telephone Consumer Protection Act (TCPA) in which we estimate payment to third parties to be approximately $230,000 which has been accrued as a legal contingency. We are not presently a party to any other legal proceedings that, if determined adversely to us, would individually or taken together have a material adverse effect on our business, results of operations, financial condition,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“Item 1A. Risk Factors” of our Annual Report on Form 10-K as of and for the year ended December 31, 2020, filed March 16, 2021,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risks could materially and adversely affect our business, financial condition and results of operations.</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continuing spread of COVID-19 and the impact to our business may continue to have a material and adverse effect on our ability to generate revenues, maintain compliance with our financial covenants and result in our inability to continue as a going concern. Any such impacts could have a material and adverse effect on the price of our common stock.</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financial statements as of and for the period ended September 30, 2021 were prepared on the assumption that we would continue as a going concern. These financial statements did not include any adjustments that might result from the outcome of this uncertainty. As a result of the impact of the COVID-19 pandemic on our operations as described in this report, and our obligation to remain in compliance with our financial covenants under our 2021 Term Loan, our management has determined that there is a substantial doubt about our ability to continue as a going concern over the next twelve months. Although we have taken steps to improve our liquidity through our recent amendment to our 2021 Term Loan to modify certain financial covenants and have taken measures to reduce planned capital expenditures and operating expenses, these actions alone will not be sufficient to mitigate our liquidity concerns in the wake of the material impact to our revenues, income and cash flows from the continued spread of COVID-19. In addition, if we are not able to improve our operating results, we may need to limit our operations substantially. We will need to raise additional capital in the form of equity or debt to increase our liquidity but there is no assurance that we will be able to secure any such funding in a sufficient amount or on terms that are acceptable to us.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the Seller or Indi)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met, the Company was required to issue 2,520,108 shares of common stock. For the six months following the achievement of the milestone, the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The amendment to the original agreement is subject to consent from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lender under the 2021 Term Loan and 2021 Term Loan Amendment for which we are in discussions with our lender. As of September 30, 2021, we have not made any payments in connection with the contingent consideration.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64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10.39*</w:t>
            </w:r>
          </w:p>
        </w:tc>
        <w:tc>
          <w:tcPr>
            <w:tcW w:w="1024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Consent and First Amendment to Loan and Security Agreement</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10240" w:type="dxa"/>
            <w:vAlign w:val="bottom"/>
            <w:gridSpan w:val="8"/>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Adopted Pursuant to Section 302 of the Sarbanes-Oxley Act of 2002.</w:t>
              </w:r>
            </w:hyperlink>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4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10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Act of 2002.</w:t>
              </w:r>
            </w:hyperlink>
          </w:p>
        </w:tc>
        <w:tc>
          <w:tcPr>
            <w:tcW w:w="9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8"/>
                <w:szCs w:val="18"/>
                <w:color w:val="auto"/>
              </w:rPr>
              <w:t>32.2*</w:t>
            </w:r>
          </w:p>
        </w:tc>
        <w:tc>
          <w:tcPr>
            <w:tcW w:w="10240" w:type="dxa"/>
            <w:vAlign w:val="bottom"/>
            <w:gridSpan w:val="8"/>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Act of 2002.</w:t>
              </w:r>
            </w:hyperlink>
          </w:p>
        </w:tc>
        <w:tc>
          <w:tcPr>
            <w:tcW w:w="908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5"/>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40" w:hanging="871"/>
        <w:spacing w:after="0"/>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5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320" w:type="dxa"/>
            <w:vAlign w:val="bottom"/>
            <w:gridSpan w:val="2"/>
          </w:tcPr>
          <w:p>
            <w:pPr>
              <w:ind w:left="1740"/>
              <w:spacing w:after="0"/>
              <w:rPr>
                <w:sz w:val="20"/>
                <w:szCs w:val="20"/>
                <w:color w:val="auto"/>
              </w:rPr>
            </w:pPr>
            <w:r>
              <w:rPr>
                <w:rFonts w:ascii="Arial" w:cs="Arial" w:eastAsia="Arial" w:hAnsi="Arial"/>
                <w:sz w:val="18"/>
                <w:szCs w:val="18"/>
                <w:color w:val="auto"/>
              </w:rPr>
              <w:t>Biodesix, Inc.</w:t>
            </w:r>
          </w:p>
        </w:tc>
        <w:tc>
          <w:tcPr>
            <w:tcW w:w="4300" w:type="dxa"/>
            <w:vAlign w:val="bottom"/>
          </w:tcPr>
          <w:p>
            <w:pPr>
              <w:spacing w:after="0"/>
              <w:rPr>
                <w:sz w:val="20"/>
                <w:szCs w:val="20"/>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15, 2021</w:t>
            </w:r>
          </w:p>
        </w:tc>
        <w:tc>
          <w:tcPr>
            <w:tcW w:w="332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300" w:type="dxa"/>
            <w:vAlign w:val="bottom"/>
          </w:tcPr>
          <w:p>
            <w:pPr>
              <w:jc w:val="center"/>
              <w:ind w:right="1190"/>
              <w:spacing w:after="0"/>
              <w:rPr>
                <w:sz w:val="20"/>
                <w:szCs w:val="20"/>
                <w:color w:val="auto"/>
              </w:rPr>
            </w:pPr>
            <w:r>
              <w:rPr>
                <w:rFonts w:ascii="Arial" w:cs="Arial" w:eastAsia="Arial" w:hAnsi="Arial"/>
                <w:sz w:val="18"/>
                <w:szCs w:val="18"/>
                <w:color w:val="auto"/>
                <w:w w:val="95"/>
              </w:rPr>
              <w:t>/s/ RYAN H. SIUREK</w:t>
            </w:r>
          </w:p>
        </w:tc>
      </w:tr>
      <w:tr>
        <w:trPr>
          <w:trHeight w:val="222"/>
        </w:trPr>
        <w:tc>
          <w:tcPr>
            <w:tcW w:w="3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jc w:val="center"/>
              <w:ind w:right="1210"/>
              <w:spacing w:after="0"/>
              <w:rPr>
                <w:sz w:val="20"/>
                <w:szCs w:val="20"/>
                <w:color w:val="auto"/>
              </w:rPr>
            </w:pPr>
            <w:r>
              <w:rPr>
                <w:rFonts w:ascii="Arial" w:cs="Arial" w:eastAsia="Arial" w:hAnsi="Arial"/>
                <w:sz w:val="18"/>
                <w:szCs w:val="18"/>
                <w:i w:val="1"/>
                <w:iCs w:val="1"/>
                <w:color w:val="auto"/>
                <w:w w:val="89"/>
              </w:rPr>
              <w:t>Ryan H. Siurek</w:t>
            </w:r>
          </w:p>
        </w:tc>
      </w:tr>
      <w:tr>
        <w:trPr>
          <w:trHeight w:val="230"/>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00" w:type="dxa"/>
            <w:vAlign w:val="bottom"/>
          </w:tcPr>
          <w:p>
            <w:pPr>
              <w:jc w:val="center"/>
              <w:ind w:right="1210"/>
              <w:spacing w:after="0"/>
              <w:rPr>
                <w:sz w:val="20"/>
                <w:szCs w:val="20"/>
                <w:color w:val="auto"/>
              </w:rPr>
            </w:pPr>
            <w:r>
              <w:rPr>
                <w:rFonts w:ascii="Arial" w:cs="Arial" w:eastAsia="Arial" w:hAnsi="Arial"/>
                <w:sz w:val="18"/>
                <w:szCs w:val="18"/>
                <w:i w:val="1"/>
                <w:iCs w:val="1"/>
                <w:color w:val="auto"/>
                <w:w w:val="92"/>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10.39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AND FIRST AMENDMENT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LOAN AND SECURITY AGREEMENT</w:t>
      </w:r>
    </w:p>
    <w:p>
      <w:pPr>
        <w:spacing w:after="0" w:line="233" w:lineRule="exact"/>
        <w:rPr>
          <w:sz w:val="20"/>
          <w:szCs w:val="20"/>
          <w:color w:val="auto"/>
        </w:rPr>
      </w:pPr>
    </w:p>
    <w:p>
      <w:pPr>
        <w:jc w:val="both"/>
        <w:ind w:firstLine="792"/>
        <w:spacing w:after="0" w:line="24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CONSENT AND FIRST AMENDMENT</w:t>
      </w:r>
      <w:r>
        <w:rPr>
          <w:rFonts w:ascii="Arial" w:cs="Arial" w:eastAsia="Arial" w:hAnsi="Arial"/>
          <w:sz w:val="22"/>
          <w:szCs w:val="22"/>
          <w:color w:val="auto"/>
        </w:rPr>
        <w:t xml:space="preserve"> to Loan and Security Agreement (this “Agreement”) is entered into this 30</w:t>
      </w:r>
      <w:r>
        <w:rPr>
          <w:rFonts w:ascii="Arial" w:cs="Arial" w:eastAsia="Arial" w:hAnsi="Arial"/>
          <w:sz w:val="18"/>
          <w:szCs w:val="18"/>
          <w:color w:val="auto"/>
        </w:rPr>
        <w:t>th</w:t>
      </w:r>
      <w:r>
        <w:rPr>
          <w:rFonts w:ascii="Arial" w:cs="Arial" w:eastAsia="Arial" w:hAnsi="Arial"/>
          <w:sz w:val="22"/>
          <w:szCs w:val="22"/>
          <w:color w:val="auto"/>
        </w:rPr>
        <w:t xml:space="preserve"> day of September, 2021, by and between </w:t>
      </w:r>
      <w:r>
        <w:rPr>
          <w:rFonts w:ascii="Arial" w:cs="Arial" w:eastAsia="Arial" w:hAnsi="Arial"/>
          <w:sz w:val="22"/>
          <w:szCs w:val="22"/>
          <w:b w:val="1"/>
          <w:bCs w:val="1"/>
          <w:color w:val="auto"/>
        </w:rPr>
        <w:t>SILICON VALLEY BANK</w:t>
      </w:r>
      <w:r>
        <w:rPr>
          <w:rFonts w:ascii="Arial" w:cs="Arial" w:eastAsia="Arial" w:hAnsi="Arial"/>
          <w:sz w:val="22"/>
          <w:szCs w:val="22"/>
          <w:color w:val="auto"/>
        </w:rPr>
        <w:t>, a California corporation (“</w:t>
      </w:r>
      <w:r>
        <w:rPr>
          <w:rFonts w:ascii="Arial" w:cs="Arial" w:eastAsia="Arial" w:hAnsi="Arial"/>
          <w:sz w:val="22"/>
          <w:szCs w:val="22"/>
          <w:b w:val="1"/>
          <w:bCs w:val="1"/>
          <w:color w:val="auto"/>
        </w:rPr>
        <w:t>Bank</w:t>
      </w:r>
      <w:r>
        <w:rPr>
          <w:rFonts w:ascii="Arial" w:cs="Arial" w:eastAsia="Arial" w:hAnsi="Arial"/>
          <w:sz w:val="22"/>
          <w:szCs w:val="22"/>
          <w:color w:val="auto"/>
        </w:rPr>
        <w:t xml:space="preserve">”) and </w:t>
      </w:r>
      <w:r>
        <w:rPr>
          <w:rFonts w:ascii="Arial" w:cs="Arial" w:eastAsia="Arial" w:hAnsi="Arial"/>
          <w:sz w:val="22"/>
          <w:szCs w:val="22"/>
          <w:b w:val="1"/>
          <w:bCs w:val="1"/>
          <w:color w:val="auto"/>
        </w:rPr>
        <w:t>BIODESIX,</w:t>
      </w:r>
      <w:r>
        <w:rPr>
          <w:rFonts w:ascii="Arial" w:cs="Arial" w:eastAsia="Arial" w:hAnsi="Arial"/>
          <w:sz w:val="22"/>
          <w:szCs w:val="22"/>
          <w:color w:val="auto"/>
        </w:rPr>
        <w:t xml:space="preserve"> </w:t>
      </w:r>
      <w:r>
        <w:rPr>
          <w:rFonts w:ascii="Arial" w:cs="Arial" w:eastAsia="Arial" w:hAnsi="Arial"/>
          <w:sz w:val="22"/>
          <w:szCs w:val="22"/>
          <w:b w:val="1"/>
          <w:bCs w:val="1"/>
          <w:color w:val="auto"/>
        </w:rPr>
        <w:t>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800"/>
        <w:spacing w:after="0"/>
        <w:tabs>
          <w:tab w:leader="none" w:pos="1648"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Bank and Borrower have entered into that certain Loan and Security Agreement dated as of March 19, 2021 (as the same may from time to time be amended, modified, supplemented or restated, the “</w:t>
      </w:r>
      <w:r>
        <w:rPr>
          <w:rFonts w:ascii="Arial" w:cs="Arial" w:eastAsia="Arial" w:hAnsi="Arial"/>
          <w:sz w:val="22"/>
          <w:szCs w:val="22"/>
          <w:b w:val="1"/>
          <w:bCs w:val="1"/>
          <w:color w:val="auto"/>
        </w:rPr>
        <w:t>Loan Agreement</w:t>
      </w:r>
      <w:r>
        <w:rPr>
          <w:rFonts w:ascii="Arial" w:cs="Arial" w:eastAsia="Arial" w:hAnsi="Arial"/>
          <w:sz w:val="22"/>
          <w:szCs w:val="22"/>
          <w:color w:val="auto"/>
        </w:rPr>
        <w:t>”). Bank has extended credit to Borrower for the purposes permitted in the Loan Agreement.</w:t>
      </w:r>
    </w:p>
    <w:p>
      <w:pPr>
        <w:spacing w:after="0" w:line="213" w:lineRule="exact"/>
        <w:rPr>
          <w:rFonts w:ascii="Arial" w:cs="Arial" w:eastAsia="Arial" w:hAnsi="Arial"/>
          <w:sz w:val="22"/>
          <w:szCs w:val="22"/>
          <w:b w:val="1"/>
          <w:bCs w:val="1"/>
          <w:color w:val="auto"/>
        </w:rPr>
      </w:pPr>
    </w:p>
    <w:p>
      <w:pPr>
        <w:ind w:firstLine="800"/>
        <w:spacing w:after="0" w:line="274" w:lineRule="auto"/>
        <w:tabs>
          <w:tab w:leader="none" w:pos="1636" w:val="left"/>
        </w:tabs>
        <w:numPr>
          <w:ilvl w:val="0"/>
          <w:numId w:val="19"/>
        </w:numPr>
        <w:rPr>
          <w:rFonts w:ascii="Arial" w:cs="Arial" w:eastAsia="Arial" w:hAnsi="Arial"/>
          <w:sz w:val="21"/>
          <w:szCs w:val="21"/>
          <w:b w:val="1"/>
          <w:bCs w:val="1"/>
          <w:color w:val="auto"/>
        </w:rPr>
      </w:pPr>
      <w:r>
        <w:rPr>
          <w:rFonts w:ascii="Arial" w:cs="Arial" w:eastAsia="Arial" w:hAnsi="Arial"/>
          <w:sz w:val="21"/>
          <w:szCs w:val="21"/>
          <w:color w:val="auto"/>
        </w:rPr>
        <w:t>Borrower has requested that Bank consent to modify Section 6.7(b) of the Loan Agreement to remove the requirement to satisfy Section 6.7(b) for the measuring period ending September 30, 2021 (the “</w:t>
      </w:r>
      <w:r>
        <w:rPr>
          <w:rFonts w:ascii="Arial" w:cs="Arial" w:eastAsia="Arial" w:hAnsi="Arial"/>
          <w:sz w:val="21"/>
          <w:szCs w:val="21"/>
          <w:b w:val="1"/>
          <w:bCs w:val="1"/>
          <w:color w:val="auto"/>
        </w:rPr>
        <w:t>Consent</w:t>
      </w:r>
      <w:r>
        <w:rPr>
          <w:rFonts w:ascii="Arial" w:cs="Arial" w:eastAsia="Arial" w:hAnsi="Arial"/>
          <w:sz w:val="21"/>
          <w:szCs w:val="21"/>
          <w:color w:val="auto"/>
        </w:rPr>
        <w:t>”).</w:t>
      </w:r>
    </w:p>
    <w:p>
      <w:pPr>
        <w:spacing w:after="0" w:line="177" w:lineRule="exact"/>
        <w:rPr>
          <w:rFonts w:ascii="Arial" w:cs="Arial" w:eastAsia="Arial" w:hAnsi="Arial"/>
          <w:sz w:val="21"/>
          <w:szCs w:val="21"/>
          <w:b w:val="1"/>
          <w:bCs w:val="1"/>
          <w:color w:val="auto"/>
        </w:rPr>
      </w:pPr>
    </w:p>
    <w:p>
      <w:pPr>
        <w:jc w:val="both"/>
        <w:ind w:firstLine="800"/>
        <w:spacing w:after="0" w:line="287" w:lineRule="auto"/>
        <w:tabs>
          <w:tab w:leader="none" w:pos="1648"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Borrower has further requested that Bank amend the Loan Agreement to (1) add a cash collateralization trigger, (2) modify the financial covenants, and (3) make certain other revisions to the Loan Agreement as more fully set forth herein. Bank has agreed to so amend certain provisions of the Loan Agreement, but only to the extent, in accordance with the terms, subject to the conditions and in reliance upon the representations and warranties set forth below.</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ind w:right="180" w:firstLine="792"/>
        <w:spacing w:after="0" w:line="334"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recitals and other good and valuable consideration, the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and adequacy of which is hereby acknowledged, and intending to be legally bound, the parties hereto agree as follows:</w:t>
      </w:r>
    </w:p>
    <w:p>
      <w:pPr>
        <w:spacing w:after="0" w:line="121" w:lineRule="exact"/>
        <w:rPr>
          <w:sz w:val="20"/>
          <w:szCs w:val="20"/>
          <w:color w:val="auto"/>
        </w:rPr>
      </w:pPr>
    </w:p>
    <w:p>
      <w:pPr>
        <w:ind w:right="460" w:firstLine="792"/>
        <w:spacing w:after="0" w:line="256" w:lineRule="auto"/>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Agreement shall have the meanings given to them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Agreement.</w:t>
      </w:r>
    </w:p>
    <w:p>
      <w:pPr>
        <w:spacing w:after="0" w:line="189" w:lineRule="exact"/>
        <w:rPr>
          <w:sz w:val="20"/>
          <w:szCs w:val="20"/>
          <w:color w:val="auto"/>
        </w:rPr>
      </w:pPr>
    </w:p>
    <w:p>
      <w:pPr>
        <w:jc w:val="both"/>
        <w:ind w:firstLine="800"/>
        <w:spacing w:after="0" w:line="283" w:lineRule="auto"/>
        <w:tabs>
          <w:tab w:leader="none" w:pos="1602"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Consent. </w:t>
      </w:r>
      <w:r>
        <w:rPr>
          <w:rFonts w:ascii="Arial" w:cs="Arial" w:eastAsia="Arial" w:hAnsi="Arial"/>
          <w:sz w:val="19"/>
          <w:szCs w:val="19"/>
          <w:color w:val="auto"/>
        </w:rPr>
        <w:t>Bank hereby agrees to the Consent. Bank’s Consent with respect to Section 6.7(b) of the Loan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apply only with respect to the measuring periods ending September 30, 2021. Accordingly, hereinafter, Borrower shall be in compliance with such section. Bank’s agreement to the Consent (a) in no way shall be deemed an agreement by Bank to consent or otherwise waive Borrower’s compliance with the above-referenced section as of any other date, and (b) shall not limit or impair the Bank’s right to demand strict performance of such section as of all other dates.</w:t>
      </w:r>
    </w:p>
    <w:p>
      <w:pPr>
        <w:spacing w:after="0" w:line="169" w:lineRule="exact"/>
        <w:rPr>
          <w:rFonts w:ascii="Arial" w:cs="Arial" w:eastAsia="Arial" w:hAnsi="Arial"/>
          <w:sz w:val="19"/>
          <w:szCs w:val="19"/>
          <w:b w:val="1"/>
          <w:bCs w:val="1"/>
          <w:color w:val="auto"/>
        </w:rPr>
      </w:pPr>
    </w:p>
    <w:p>
      <w:pPr>
        <w:ind w:left="1600" w:hanging="800"/>
        <w:spacing w:after="0"/>
        <w:tabs>
          <w:tab w:leader="none" w:pos="16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r>
        <w:rPr>
          <w:rFonts w:ascii="Arial" w:cs="Arial" w:eastAsia="Arial" w:hAnsi="Arial"/>
          <w:sz w:val="22"/>
          <w:szCs w:val="22"/>
          <w:color w:val="auto"/>
        </w:rPr>
        <w:t>.</w:t>
      </w:r>
    </w:p>
    <w:p>
      <w:pPr>
        <w:sectPr>
          <w:pgSz w:w="11900" w:h="16838" w:orient="portrait"/>
          <w:cols w:equalWidth="0" w:num="1">
            <w:col w:w="11240"/>
          </w:cols>
          <w:pgMar w:left="320" w:top="112" w:right="339" w:bottom="1440" w:gutter="0" w:footer="0" w:header="0"/>
        </w:sectPr>
      </w:pPr>
    </w:p>
    <w:p>
      <w:pPr>
        <w:spacing w:after="0" w:line="233"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Section 6.6 (Operating Accounts)</w:t>
      </w:r>
      <w:r>
        <w:rPr>
          <w:rFonts w:ascii="Arial" w:cs="Arial" w:eastAsia="Arial" w:hAnsi="Arial"/>
          <w:sz w:val="19"/>
          <w:szCs w:val="19"/>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amended and restated in its entirety to read as follows: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660"/>
        <w:spacing w:after="0"/>
        <w:rPr>
          <w:sz w:val="20"/>
          <w:szCs w:val="20"/>
          <w:color w:val="auto"/>
        </w:rPr>
      </w:pPr>
      <w:r>
        <w:rPr>
          <w:rFonts w:ascii="Arial" w:cs="Arial" w:eastAsia="Arial" w:hAnsi="Arial"/>
          <w:sz w:val="19"/>
          <w:szCs w:val="19"/>
          <w:color w:val="auto"/>
        </w:rPr>
        <w:t>Section 6.6(a) of the Loan Agreement hereby is</w:t>
      </w:r>
    </w:p>
    <w:p>
      <w:pPr>
        <w:spacing w:after="0" w:line="335" w:lineRule="exact"/>
        <w:rPr>
          <w:sz w:val="20"/>
          <w:szCs w:val="20"/>
          <w:color w:val="auto"/>
        </w:rPr>
      </w:pPr>
    </w:p>
    <w:p>
      <w:pPr>
        <w:sectPr>
          <w:pgSz w:w="11900" w:h="16838" w:orient="portrait"/>
          <w:cols w:equalWidth="0" w:num="2">
            <w:col w:w="5720" w:space="660"/>
            <w:col w:w="4860"/>
          </w:cols>
          <w:pgMar w:left="320" w:top="112" w:right="339" w:bottom="1440" w:gutter="0" w:footer="0" w:header="0"/>
          <w:type w:val="continuous"/>
        </w:sectPr>
      </w:pPr>
    </w:p>
    <w:p>
      <w:pPr>
        <w:ind w:left="2160"/>
        <w:spacing w:after="0"/>
        <w:tabs>
          <w:tab w:leader="none" w:pos="31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Other than the Permitted Other Accounts, maintain its and all of its Subsidiaries’</w:t>
      </w:r>
    </w:p>
    <w:p>
      <w:pPr>
        <w:sectPr>
          <w:pgSz w:w="11900" w:h="16838" w:orient="portrait"/>
          <w:cols w:equalWidth="0" w:num="1">
            <w:col w:w="11240"/>
          </w:cols>
          <w:pgMar w:left="320" w:top="112" w:right="339" w:bottom="1440" w:gutter="0" w:footer="0" w:header="0"/>
          <w:type w:val="continuous"/>
        </w:sectPr>
      </w:pPr>
    </w:p>
    <w:p>
      <w:pPr>
        <w:spacing w:after="0" w:line="56" w:lineRule="exact"/>
        <w:rPr>
          <w:sz w:val="20"/>
          <w:szCs w:val="20"/>
          <w:color w:val="auto"/>
        </w:rPr>
      </w:pPr>
    </w:p>
    <w:p>
      <w:pPr>
        <w:ind w:left="800" w:right="800"/>
        <w:spacing w:after="0" w:line="230" w:lineRule="auto"/>
        <w:rPr>
          <w:sz w:val="20"/>
          <w:szCs w:val="20"/>
          <w:color w:val="auto"/>
        </w:rPr>
      </w:pPr>
      <w:r>
        <w:rPr>
          <w:rFonts w:ascii="Arial" w:cs="Arial" w:eastAsia="Arial" w:hAnsi="Arial"/>
          <w:sz w:val="22"/>
          <w:szCs w:val="22"/>
          <w:color w:val="auto"/>
        </w:rPr>
        <w:t>primary banking relationship with Bank and Bank’s Affiliates, which relationship shall include maintaining account balances in any operating and other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1" w:name="page42"/>
    <w:bookmarkEnd w:id="41"/>
    <w:p>
      <w:pPr>
        <w:jc w:val="both"/>
        <w:ind w:left="800" w:right="760"/>
        <w:spacing w:after="0" w:line="273" w:lineRule="auto"/>
        <w:rPr>
          <w:sz w:val="20"/>
          <w:szCs w:val="20"/>
          <w:color w:val="auto"/>
        </w:rPr>
      </w:pPr>
      <w:r>
        <w:rPr>
          <w:rFonts w:ascii="Arial" w:cs="Arial" w:eastAsia="Arial" w:hAnsi="Arial"/>
          <w:sz w:val="19"/>
          <w:szCs w:val="19"/>
          <w:color w:val="auto"/>
        </w:rPr>
        <w:t>accounts at or through Bank or Bank’s Affiliates, and which accounts shall represent at least ninety percent (90%) of the dollar value of Borrower’s and its Subsidiaries’ account balances at all financial institutions. All amounts in the Permitted Lockbox Account shall be transferred to Borrower’s account no. xxxxx93903 at Chase on a daily basis. All amounts in excess of Two Hundred Thousand Dollars ($200,000) in Borrower’s account no. xxxxx93903 at Chase shall be transferred into the Cash Collateral Account at Bank no less frequently than weekly. All amounts in each Payment Processor Account shall be transferred to Borrower’s accounts at Bank no less frequently than weekly (or if Bank, in its good faith business judgment determines that conditions warrant, following written notice thereof to Borrower, more frequently). In addition, Borrower shall at all times maintain the Pledged Account in accordance with the terms hereof and of the Pledge Agreement. Any Guarantor shall maintain all depository or operating and deposit accounts at Bank.”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ind w:left="1600"/>
              <w:spacing w:after="0"/>
              <w:rPr>
                <w:sz w:val="20"/>
                <w:szCs w:val="20"/>
                <w:color w:val="auto"/>
              </w:rPr>
            </w:pPr>
            <w:r>
              <w:rPr>
                <w:rFonts w:ascii="Arial" w:cs="Arial" w:eastAsia="Arial" w:hAnsi="Arial"/>
                <w:sz w:val="22"/>
                <w:szCs w:val="22"/>
                <w:b w:val="1"/>
                <w:bCs w:val="1"/>
                <w:color w:val="auto"/>
              </w:rPr>
              <w:t>2.2</w:t>
            </w:r>
          </w:p>
        </w:tc>
        <w:tc>
          <w:tcPr>
            <w:tcW w:w="3480" w:type="dxa"/>
            <w:vAlign w:val="bottom"/>
            <w:gridSpan w:val="3"/>
          </w:tcPr>
          <w:p>
            <w:pPr>
              <w:ind w:left="40"/>
              <w:spacing w:after="0"/>
              <w:rPr>
                <w:sz w:val="20"/>
                <w:szCs w:val="20"/>
                <w:color w:val="auto"/>
              </w:rPr>
            </w:pPr>
            <w:r>
              <w:rPr>
                <w:rFonts w:ascii="Arial" w:cs="Arial" w:eastAsia="Arial" w:hAnsi="Arial"/>
                <w:sz w:val="22"/>
                <w:szCs w:val="22"/>
                <w:b w:val="1"/>
                <w:bCs w:val="1"/>
                <w:color w:val="auto"/>
                <w:w w:val="95"/>
              </w:rPr>
              <w:t>Section 6.7 (Financial Covenants).</w:t>
            </w:r>
          </w:p>
        </w:tc>
        <w:tc>
          <w:tcPr>
            <w:tcW w:w="5260" w:type="dxa"/>
            <w:vAlign w:val="bottom"/>
          </w:tcPr>
          <w:p>
            <w:pPr>
              <w:ind w:left="520"/>
              <w:spacing w:after="0"/>
              <w:rPr>
                <w:sz w:val="20"/>
                <w:szCs w:val="20"/>
                <w:color w:val="auto"/>
              </w:rPr>
            </w:pPr>
            <w:r>
              <w:rPr>
                <w:rFonts w:ascii="Arial" w:cs="Arial" w:eastAsia="Arial" w:hAnsi="Arial"/>
                <w:sz w:val="22"/>
                <w:szCs w:val="22"/>
                <w:color w:val="auto"/>
                <w:w w:val="86"/>
              </w:rPr>
              <w:t>Sections 6.7 of the Loan Agreement hereby is amended</w:t>
            </w:r>
          </w:p>
        </w:tc>
      </w:tr>
      <w:tr>
        <w:trPr>
          <w:trHeight w:val="274"/>
        </w:trPr>
        <w:tc>
          <w:tcPr>
            <w:tcW w:w="5940" w:type="dxa"/>
            <w:vAlign w:val="bottom"/>
            <w:gridSpan w:val="4"/>
          </w:tcPr>
          <w:p>
            <w:pPr>
              <w:spacing w:after="0"/>
              <w:rPr>
                <w:sz w:val="20"/>
                <w:szCs w:val="20"/>
                <w:color w:val="auto"/>
              </w:rPr>
            </w:pPr>
            <w:r>
              <w:rPr>
                <w:rFonts w:ascii="Arial" w:cs="Arial" w:eastAsia="Arial" w:hAnsi="Arial"/>
                <w:sz w:val="22"/>
                <w:szCs w:val="22"/>
                <w:color w:val="auto"/>
              </w:rPr>
              <w:t>and restated in its entirety to read as follows:</w:t>
            </w:r>
          </w:p>
        </w:tc>
        <w:tc>
          <w:tcPr>
            <w:tcW w:w="5260" w:type="dxa"/>
            <w:vAlign w:val="bottom"/>
          </w:tcPr>
          <w:p>
            <w:pPr>
              <w:spacing w:after="0"/>
              <w:rPr>
                <w:sz w:val="23"/>
                <w:szCs w:val="23"/>
                <w:color w:val="auto"/>
              </w:rPr>
            </w:pPr>
          </w:p>
        </w:tc>
      </w:tr>
      <w:tr>
        <w:trPr>
          <w:trHeight w:val="486"/>
        </w:trPr>
        <w:tc>
          <w:tcPr>
            <w:tcW w:w="2460" w:type="dxa"/>
            <w:vAlign w:val="bottom"/>
          </w:tcPr>
          <w:p>
            <w:pPr>
              <w:ind w:left="1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6.7</w:t>
            </w:r>
          </w:p>
        </w:tc>
        <w:tc>
          <w:tcPr>
            <w:tcW w:w="3480" w:type="dxa"/>
            <w:vAlign w:val="bottom"/>
            <w:gridSpan w:val="3"/>
          </w:tcPr>
          <w:p>
            <w:pPr>
              <w:ind w:left="140"/>
              <w:spacing w:after="0"/>
              <w:rPr>
                <w:sz w:val="20"/>
                <w:szCs w:val="20"/>
                <w:color w:val="auto"/>
              </w:rPr>
            </w:pPr>
            <w:r>
              <w:rPr>
                <w:rFonts w:ascii="Arial" w:cs="Arial" w:eastAsia="Arial" w:hAnsi="Arial"/>
                <w:sz w:val="22"/>
                <w:szCs w:val="22"/>
                <w:b w:val="1"/>
                <w:bCs w:val="1"/>
                <w:color w:val="auto"/>
              </w:rPr>
              <w:t>Financial Covenants</w:t>
            </w:r>
            <w:r>
              <w:rPr>
                <w:rFonts w:ascii="Arial" w:cs="Arial" w:eastAsia="Arial" w:hAnsi="Arial"/>
                <w:sz w:val="22"/>
                <w:szCs w:val="22"/>
                <w:color w:val="auto"/>
              </w:rPr>
              <w:t>.</w:t>
            </w:r>
          </w:p>
        </w:tc>
        <w:tc>
          <w:tcPr>
            <w:tcW w:w="5260" w:type="dxa"/>
            <w:vAlign w:val="bottom"/>
          </w:tcPr>
          <w:p>
            <w:pPr>
              <w:spacing w:after="0"/>
              <w:rPr>
                <w:sz w:val="24"/>
                <w:szCs w:val="24"/>
                <w:color w:val="auto"/>
              </w:rPr>
            </w:pPr>
          </w:p>
        </w:tc>
      </w:tr>
      <w:tr>
        <w:trPr>
          <w:trHeight w:val="436"/>
        </w:trPr>
        <w:tc>
          <w:tcPr>
            <w:tcW w:w="2460" w:type="dxa"/>
            <w:vAlign w:val="bottom"/>
          </w:tcPr>
          <w:p>
            <w:pPr>
              <w:ind w:left="2160"/>
              <w:spacing w:after="0"/>
              <w:rPr>
                <w:sz w:val="20"/>
                <w:szCs w:val="20"/>
                <w:color w:val="auto"/>
              </w:rPr>
            </w:pPr>
            <w:r>
              <w:rPr>
                <w:rFonts w:ascii="Arial" w:cs="Arial" w:eastAsia="Arial" w:hAnsi="Arial"/>
                <w:sz w:val="22"/>
                <w:szCs w:val="22"/>
                <w:color w:val="auto"/>
              </w:rPr>
              <w:t>(a)</w:t>
            </w:r>
          </w:p>
        </w:tc>
        <w:tc>
          <w:tcPr>
            <w:tcW w:w="3480" w:type="dxa"/>
            <w:vAlign w:val="bottom"/>
            <w:gridSpan w:val="3"/>
          </w:tcPr>
          <w:p>
            <w:pPr>
              <w:ind w:left="580"/>
              <w:spacing w:after="0"/>
              <w:rPr>
                <w:sz w:val="20"/>
                <w:szCs w:val="20"/>
                <w:color w:val="auto"/>
              </w:rPr>
            </w:pPr>
            <w:r>
              <w:rPr>
                <w:rFonts w:ascii="Arial" w:cs="Arial" w:eastAsia="Arial" w:hAnsi="Arial"/>
                <w:sz w:val="22"/>
                <w:szCs w:val="22"/>
                <w:color w:val="auto"/>
              </w:rPr>
              <w:t>Minimum Liquidity Ratio.</w:t>
            </w:r>
          </w:p>
        </w:tc>
        <w:tc>
          <w:tcPr>
            <w:tcW w:w="5260" w:type="dxa"/>
            <w:vAlign w:val="bottom"/>
          </w:tcPr>
          <w:p>
            <w:pPr>
              <w:ind w:left="120"/>
              <w:spacing w:after="0"/>
              <w:rPr>
                <w:sz w:val="20"/>
                <w:szCs w:val="20"/>
                <w:color w:val="auto"/>
              </w:rPr>
            </w:pPr>
            <w:r>
              <w:rPr>
                <w:rFonts w:ascii="Arial" w:cs="Arial" w:eastAsia="Arial" w:hAnsi="Arial"/>
                <w:sz w:val="22"/>
                <w:szCs w:val="22"/>
                <w:color w:val="auto"/>
              </w:rPr>
              <w:t>Maintain a Liquidity Ratio of not less than</w:t>
            </w:r>
          </w:p>
        </w:tc>
      </w:tr>
      <w:tr>
        <w:trPr>
          <w:trHeight w:val="273"/>
        </w:trPr>
        <w:tc>
          <w:tcPr>
            <w:tcW w:w="2460" w:type="dxa"/>
            <w:vAlign w:val="bottom"/>
          </w:tcPr>
          <w:p>
            <w:pPr>
              <w:ind w:left="800"/>
              <w:spacing w:after="0"/>
              <w:rPr>
                <w:sz w:val="20"/>
                <w:szCs w:val="20"/>
                <w:color w:val="auto"/>
              </w:rPr>
            </w:pPr>
            <w:r>
              <w:rPr>
                <w:rFonts w:ascii="Arial" w:cs="Arial" w:eastAsia="Arial" w:hAnsi="Arial"/>
                <w:sz w:val="22"/>
                <w:szCs w:val="22"/>
                <w:color w:val="auto"/>
              </w:rPr>
              <w:t>0.95:1.00.</w:t>
            </w:r>
          </w:p>
        </w:tc>
        <w:tc>
          <w:tcPr>
            <w:tcW w:w="580" w:type="dxa"/>
            <w:vAlign w:val="bottom"/>
          </w:tcPr>
          <w:p>
            <w:pPr>
              <w:spacing w:after="0"/>
              <w:rPr>
                <w:sz w:val="23"/>
                <w:szCs w:val="23"/>
                <w:color w:val="auto"/>
              </w:rPr>
            </w:pPr>
          </w:p>
        </w:tc>
        <w:tc>
          <w:tcPr>
            <w:tcW w:w="232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spacing w:after="0" w:line="212" w:lineRule="exact"/>
        <w:rPr>
          <w:sz w:val="20"/>
          <w:szCs w:val="20"/>
          <w:color w:val="auto"/>
        </w:rPr>
      </w:pPr>
    </w:p>
    <w:p>
      <w:pPr>
        <w:ind w:left="3060" w:hanging="901"/>
        <w:spacing w:after="0"/>
        <w:tabs>
          <w:tab w:leader="none" w:pos="30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Minimum Revenue (Performance to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00" w:right="760" w:firstLine="2039"/>
        <w:spacing w:after="0" w:line="282" w:lineRule="auto"/>
        <w:tabs>
          <w:tab w:leader="none" w:pos="3689" w:val="left"/>
        </w:tabs>
        <w:numPr>
          <w:ilvl w:val="1"/>
          <w:numId w:val="21"/>
        </w:numPr>
        <w:rPr>
          <w:rFonts w:ascii="Arial" w:cs="Arial" w:eastAsia="Arial" w:hAnsi="Arial"/>
          <w:sz w:val="19"/>
          <w:szCs w:val="19"/>
          <w:color w:val="auto"/>
        </w:rPr>
      </w:pPr>
      <w:r>
        <w:rPr>
          <w:rFonts w:ascii="Arial" w:cs="Arial" w:eastAsia="Arial" w:hAnsi="Arial"/>
          <w:sz w:val="19"/>
          <w:szCs w:val="19"/>
          <w:color w:val="auto"/>
        </w:rPr>
        <w:t>Achieve revenue (measured in accordance with GAAP and tested as of the last day of each calendar quarter on a trailing three (3) month basis for the quarter ending December 31, 2021 and on a trailing six (6) month basis for all quarters thereafter), of not less than eighty-five percent (85%) of the projected revenue numbers for each such quarter set forth in Borrower’s projections delivered to Bank on September 25, 2021 and titled “Biodesix, Inc. - Income Statement – 2021”.</w:t>
      </w:r>
    </w:p>
    <w:p>
      <w:pPr>
        <w:spacing w:after="0" w:line="255" w:lineRule="exact"/>
        <w:rPr>
          <w:rFonts w:ascii="Arial" w:cs="Arial" w:eastAsia="Arial" w:hAnsi="Arial"/>
          <w:sz w:val="19"/>
          <w:szCs w:val="19"/>
          <w:color w:val="auto"/>
        </w:rPr>
      </w:pPr>
    </w:p>
    <w:p>
      <w:pPr>
        <w:jc w:val="both"/>
        <w:ind w:left="800" w:right="760" w:firstLine="2039"/>
        <w:spacing w:after="0" w:line="272" w:lineRule="auto"/>
        <w:tabs>
          <w:tab w:leader="none" w:pos="3748"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required minimum revenue (performance to plan) covenant levels for the quarterly measuring periods ending after December 31, 2021, shall, unless Borrower and Bank shall otherwise agree in writing, (i) be set at seventy percent (70%) of the Borrower’s projections delivered to Bank in accordance with Section 6.2(e) hereof, (ii) reflect year-over-year revenue growth (determined in accordance with GAAP) for each measuring period and (iii) be documented pursuant to an amendment to this Agreement to be entered into on or prior to December 31 of each calendar year (commencing with December 31, 2021). So long as Borrower shall have been provided a copy of such amendment not less than ten (10) Business Days prior to December 31st of any applicable calendar year and an opportunity to review and provide comment on such amendment, and the terms and conditions of such amendment shall not otherwise be prohibited as a matter of contract or applicable law, Borrower’s failure to enter into such amendment to this Agreement to reset such covenant levels on or prior to December 31</w:t>
      </w:r>
      <w:r>
        <w:rPr>
          <w:rFonts w:ascii="Arial" w:cs="Arial" w:eastAsia="Arial" w:hAnsi="Arial"/>
          <w:sz w:val="16"/>
          <w:szCs w:val="16"/>
          <w:color w:val="auto"/>
        </w:rPr>
        <w:t>st</w:t>
      </w:r>
      <w:r>
        <w:rPr>
          <w:rFonts w:ascii="Arial" w:cs="Arial" w:eastAsia="Arial" w:hAnsi="Arial"/>
          <w:sz w:val="19"/>
          <w:szCs w:val="19"/>
          <w:color w:val="auto"/>
        </w:rPr>
        <w:t xml:space="preserve"> of any applicable year shall be an immediate and non- curable Event of Default hereunder.”</w:t>
      </w:r>
    </w:p>
    <w:p>
      <w:pPr>
        <w:spacing w:after="0" w:line="200" w:lineRule="exact"/>
        <w:rPr>
          <w:sz w:val="20"/>
          <w:szCs w:val="20"/>
          <w:color w:val="auto"/>
        </w:rPr>
      </w:pPr>
    </w:p>
    <w:p>
      <w:pPr>
        <w:spacing w:after="0" w:line="229" w:lineRule="exact"/>
        <w:rPr>
          <w:sz w:val="20"/>
          <w:szCs w:val="20"/>
          <w:color w:val="auto"/>
        </w:rPr>
      </w:pPr>
    </w:p>
    <w:p>
      <w:pPr>
        <w:jc w:val="right"/>
        <w:ind w:right="340"/>
        <w:spacing w:after="0"/>
        <w:tabs>
          <w:tab w:leader="none" w:pos="8680" w:val="left"/>
          <w:tab w:leader="none" w:pos="36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b w:val="1"/>
          <w:bCs w:val="1"/>
          <w:color w:val="auto"/>
        </w:rPr>
        <w:t>Section 6.14 (Cash Collateralization Trigger)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New Section </w:t>
      </w:r>
      <w:r>
        <w:rPr>
          <w:rFonts w:ascii="Arial" w:cs="Arial" w:eastAsia="Arial" w:hAnsi="Arial"/>
          <w:sz w:val="17"/>
          <w:szCs w:val="17"/>
          <w:color w:val="auto"/>
        </w:rPr>
        <w:t>6.14 hereby is added to the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Loan Agreement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42" w:name="page43"/>
    <w:bookmarkEnd w:id="42"/>
    <w:p>
      <w:pPr>
        <w:jc w:val="both"/>
        <w:ind w:left="800" w:right="520" w:firstLine="68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6.14 Cash Collateralization Trigger</w:t>
      </w:r>
      <w:r>
        <w:rPr>
          <w:rFonts w:ascii="Arial" w:cs="Arial" w:eastAsia="Arial" w:hAnsi="Arial"/>
          <w:sz w:val="21"/>
          <w:szCs w:val="21"/>
          <w:color w:val="auto"/>
        </w:rPr>
        <w:t>. If, at any time during the term of this Agreement, the sum of Borrower’s unrestricted cash and Cash Equivalents maintained in Borrower’s Collateral Accounts at Bank falls below Forty Million Dollars ($40,000,000) (the “</w:t>
      </w:r>
      <w:r>
        <w:rPr>
          <w:rFonts w:ascii="Arial" w:cs="Arial" w:eastAsia="Arial" w:hAnsi="Arial"/>
          <w:sz w:val="21"/>
          <w:szCs w:val="21"/>
          <w:b w:val="1"/>
          <w:bCs w:val="1"/>
          <w:color w:val="auto"/>
        </w:rPr>
        <w:t>Collateralization Trigger</w:t>
      </w:r>
      <w:r>
        <w:rPr>
          <w:rFonts w:ascii="Arial" w:cs="Arial" w:eastAsia="Arial" w:hAnsi="Arial"/>
          <w:sz w:val="21"/>
          <w:szCs w:val="21"/>
          <w:color w:val="auto"/>
        </w:rPr>
        <w:t>”), Borrower hereby agrees that Bank shall immediately, with no further action required by the parties hereto, be directed to transfer to the Pledged Account (from any one or a combination of Borrower’s accounts at Bank) an amount of cash equal to Fifteen Million Dollars ($15,000,000) (the “</w:t>
      </w:r>
      <w:r>
        <w:rPr>
          <w:rFonts w:ascii="Arial" w:cs="Arial" w:eastAsia="Arial" w:hAnsi="Arial"/>
          <w:sz w:val="21"/>
          <w:szCs w:val="21"/>
          <w:b w:val="1"/>
          <w:bCs w:val="1"/>
          <w:color w:val="auto"/>
        </w:rPr>
        <w:t>Term Loan Cash Collateral</w:t>
      </w:r>
      <w:r>
        <w:rPr>
          <w:rFonts w:ascii="Arial" w:cs="Arial" w:eastAsia="Arial" w:hAnsi="Arial"/>
          <w:sz w:val="21"/>
          <w:szCs w:val="21"/>
          <w:color w:val="auto"/>
        </w:rPr>
        <w:t>”) to cash collateralize the Secured Obligations. It shall be an immediate and non-curable Event of Default hereunder if the Term Loan Cash Collateral is not transferred to the Pledged Account within two (2) Business Days of the date on which any Collateralization Trigger occurs.”</w:t>
      </w:r>
    </w:p>
    <w:p>
      <w:pPr>
        <w:spacing w:after="0" w:line="202" w:lineRule="exact"/>
        <w:rPr>
          <w:sz w:val="20"/>
          <w:szCs w:val="20"/>
          <w:color w:val="auto"/>
        </w:rPr>
      </w:pPr>
    </w:p>
    <w:p>
      <w:pPr>
        <w:ind w:firstLine="1582"/>
        <w:spacing w:after="0" w:line="256" w:lineRule="auto"/>
        <w:rPr>
          <w:sz w:val="20"/>
          <w:szCs w:val="20"/>
          <w:color w:val="auto"/>
        </w:rPr>
      </w:pPr>
      <w:r>
        <w:rPr>
          <w:rFonts w:ascii="Arial" w:cs="Arial" w:eastAsia="Arial" w:hAnsi="Arial"/>
          <w:sz w:val="22"/>
          <w:szCs w:val="22"/>
          <w:b w:val="1"/>
          <w:bCs w:val="1"/>
          <w:color w:val="auto"/>
        </w:rPr>
        <w:t>2.4 Section 7.7 (Distributions; Investments)</w:t>
      </w:r>
      <w:r>
        <w:rPr>
          <w:rFonts w:ascii="Arial" w:cs="Arial" w:eastAsia="Arial" w:hAnsi="Arial"/>
          <w:sz w:val="22"/>
          <w:szCs w:val="22"/>
          <w:color w:val="auto"/>
        </w:rPr>
        <w:t>. Section 7.7 of the Loan Agreement hereby is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in its entirety to read as follows:</w:t>
      </w:r>
    </w:p>
    <w:p>
      <w:pPr>
        <w:spacing w:after="0" w:line="189" w:lineRule="exact"/>
        <w:rPr>
          <w:sz w:val="20"/>
          <w:szCs w:val="20"/>
          <w:color w:val="auto"/>
        </w:rPr>
      </w:pPr>
    </w:p>
    <w:p>
      <w:pPr>
        <w:jc w:val="both"/>
        <w:ind w:left="800" w:right="520" w:firstLine="68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7.7 Distributions; Investments</w:t>
      </w:r>
      <w:r>
        <w:rPr>
          <w:rFonts w:ascii="Arial" w:cs="Arial" w:eastAsia="Arial" w:hAnsi="Arial"/>
          <w:sz w:val="22"/>
          <w:szCs w:val="22"/>
          <w:color w:val="auto"/>
        </w:rPr>
        <w:t>. (a) Pay any dividends or make any distribution or payment or redeem, retire or purchase any capital stock, including but not limited to any payments under or in connection with the Integrated Diagnostics APA, except:</w:t>
      </w:r>
    </w:p>
    <w:p>
      <w:pPr>
        <w:spacing w:after="0" w:line="210" w:lineRule="exact"/>
        <w:rPr>
          <w:sz w:val="20"/>
          <w:szCs w:val="20"/>
          <w:color w:val="auto"/>
        </w:rPr>
      </w:pPr>
    </w:p>
    <w:p>
      <w:pPr>
        <w:jc w:val="both"/>
        <w:ind w:left="1600" w:right="520" w:firstLine="615"/>
        <w:spacing w:after="0"/>
        <w:tabs>
          <w:tab w:leader="none" w:pos="3073" w:val="left"/>
        </w:tabs>
        <w:numPr>
          <w:ilvl w:val="0"/>
          <w:numId w:val="22"/>
        </w:numPr>
        <w:rPr>
          <w:rFonts w:ascii="Arial" w:cs="Arial" w:eastAsia="Arial" w:hAnsi="Arial"/>
          <w:sz w:val="22"/>
          <w:szCs w:val="22"/>
          <w:color w:val="auto"/>
        </w:rPr>
      </w:pPr>
      <w:r>
        <w:rPr>
          <w:rFonts w:ascii="Arial" w:cs="Arial" w:eastAsia="Arial" w:hAnsi="Arial"/>
          <w:sz w:val="22"/>
          <w:szCs w:val="22"/>
          <w:color w:val="auto"/>
        </w:rPr>
        <w:t>Borrower may convert any of its convertible securities or Subordinated Debt into other securities pursuant to the terms of such convertible securities or Subordinated Debt or otherwise in exchange thereof;</w:t>
      </w:r>
    </w:p>
    <w:p>
      <w:pPr>
        <w:spacing w:after="0" w:line="213" w:lineRule="exact"/>
        <w:rPr>
          <w:rFonts w:ascii="Arial" w:cs="Arial" w:eastAsia="Arial" w:hAnsi="Arial"/>
          <w:sz w:val="22"/>
          <w:szCs w:val="22"/>
          <w:color w:val="auto"/>
        </w:rPr>
      </w:pPr>
    </w:p>
    <w:p>
      <w:pPr>
        <w:jc w:val="both"/>
        <w:ind w:left="1600" w:right="520" w:firstLine="615"/>
        <w:spacing w:after="0"/>
        <w:tabs>
          <w:tab w:leader="none" w:pos="31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Borrower or any Subsidiary may pay dividends solely in Equity Interests of Borrower or Subsidiary, and any Subsidiary may pay cash distributions to Borrower or any other Subsidiary;</w:t>
      </w:r>
    </w:p>
    <w:p>
      <w:pPr>
        <w:spacing w:after="0" w:line="37" w:lineRule="exact"/>
        <w:rPr>
          <w:rFonts w:ascii="Arial" w:cs="Arial" w:eastAsia="Arial" w:hAnsi="Arial"/>
          <w:sz w:val="22"/>
          <w:szCs w:val="22"/>
          <w:color w:val="auto"/>
        </w:rPr>
      </w:pPr>
    </w:p>
    <w:p>
      <w:pPr>
        <w:jc w:val="both"/>
        <w:ind w:left="1600" w:right="520" w:firstLine="615"/>
        <w:spacing w:after="0" w:line="236" w:lineRule="auto"/>
        <w:tabs>
          <w:tab w:leader="none" w:pos="3192" w:val="left"/>
        </w:tabs>
        <w:numPr>
          <w:ilvl w:val="0"/>
          <w:numId w:val="22"/>
        </w:numPr>
        <w:rPr>
          <w:rFonts w:ascii="Arial" w:cs="Arial" w:eastAsia="Arial" w:hAnsi="Arial"/>
          <w:sz w:val="22"/>
          <w:szCs w:val="22"/>
          <w:color w:val="auto"/>
        </w:rPr>
      </w:pPr>
      <w:r>
        <w:rPr>
          <w:rFonts w:ascii="Arial" w:cs="Arial" w:eastAsia="Arial" w:hAnsi="Arial"/>
          <w:sz w:val="22"/>
          <w:szCs w:val="22"/>
          <w:color w:val="auto"/>
        </w:rPr>
        <w:t>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w:t>
      </w:r>
    </w:p>
    <w:p>
      <w:pPr>
        <w:spacing w:after="0" w:line="214" w:lineRule="exact"/>
        <w:rPr>
          <w:rFonts w:ascii="Arial" w:cs="Arial" w:eastAsia="Arial" w:hAnsi="Arial"/>
          <w:sz w:val="22"/>
          <w:szCs w:val="22"/>
          <w:color w:val="auto"/>
        </w:rPr>
      </w:pPr>
    </w:p>
    <w:p>
      <w:pPr>
        <w:ind w:left="3180" w:hanging="965"/>
        <w:spacing w:after="0"/>
        <w:tabs>
          <w:tab w:leader="none" w:pos="31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Borrower or any Subsidiary may make cash payments in lieu of fractional shares;</w:t>
      </w:r>
    </w:p>
    <w:p>
      <w:pPr>
        <w:spacing w:after="0" w:line="244" w:lineRule="exact"/>
        <w:rPr>
          <w:rFonts w:ascii="Arial" w:cs="Arial" w:eastAsia="Arial" w:hAnsi="Arial"/>
          <w:sz w:val="21"/>
          <w:szCs w:val="21"/>
          <w:color w:val="auto"/>
        </w:rPr>
      </w:pPr>
    </w:p>
    <w:p>
      <w:pPr>
        <w:jc w:val="both"/>
        <w:ind w:left="1600" w:right="520" w:firstLine="615"/>
        <w:spacing w:after="0"/>
        <w:tabs>
          <w:tab w:leader="none" w:pos="3122" w:val="left"/>
        </w:tabs>
        <w:numPr>
          <w:ilvl w:val="0"/>
          <w:numId w:val="22"/>
        </w:numPr>
        <w:rPr>
          <w:rFonts w:ascii="Arial" w:cs="Arial" w:eastAsia="Arial" w:hAnsi="Arial"/>
          <w:sz w:val="22"/>
          <w:szCs w:val="22"/>
          <w:color w:val="auto"/>
        </w:rPr>
      </w:pPr>
      <w:r>
        <w:rPr>
          <w:rFonts w:ascii="Arial" w:cs="Arial" w:eastAsia="Arial" w:hAnsi="Arial"/>
          <w:sz w:val="22"/>
          <w:szCs w:val="22"/>
          <w:color w:val="auto"/>
        </w:rPr>
        <w:t>Borrower may purchase, redeem, retire, or otherwise acquire its Equity Interests with the proceeds received from a substantially concurrent issue of new Equity Interests, provided that no Event of Default has occurred or would result therefrom;</w:t>
      </w:r>
    </w:p>
    <w:p>
      <w:pPr>
        <w:spacing w:after="0" w:line="213" w:lineRule="exact"/>
        <w:rPr>
          <w:rFonts w:ascii="Arial" w:cs="Arial" w:eastAsia="Arial" w:hAnsi="Arial"/>
          <w:sz w:val="22"/>
          <w:szCs w:val="22"/>
          <w:color w:val="auto"/>
        </w:rPr>
      </w:pPr>
    </w:p>
    <w:p>
      <w:pPr>
        <w:ind w:left="3180" w:hanging="965"/>
        <w:spacing w:after="0"/>
        <w:tabs>
          <w:tab w:leader="none" w:pos="31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3240" w:hanging="1025"/>
        <w:spacing w:after="0"/>
        <w:tabs>
          <w:tab w:leader="none" w:pos="32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1600" w:right="520" w:firstLine="615"/>
        <w:spacing w:after="0" w:line="297" w:lineRule="auto"/>
        <w:tabs>
          <w:tab w:leader="none" w:pos="3299" w:val="left"/>
        </w:tabs>
        <w:numPr>
          <w:ilvl w:val="0"/>
          <w:numId w:val="22"/>
        </w:numPr>
        <w:rPr>
          <w:rFonts w:ascii="Arial" w:cs="Arial" w:eastAsia="Arial" w:hAnsi="Arial"/>
          <w:sz w:val="19"/>
          <w:szCs w:val="19"/>
          <w:color w:val="auto"/>
        </w:rPr>
      </w:pPr>
      <w:r>
        <w:rPr>
          <w:rFonts w:ascii="Arial" w:cs="Arial" w:eastAsia="Arial" w:hAnsi="Arial"/>
          <w:sz w:val="19"/>
          <w:szCs w:val="19"/>
          <w:color w:val="auto"/>
        </w:rPr>
        <w:t>Borrower may repurchase from managers, officers or employees pursuant to the terms of share purchase plans, restricted share purchase agreements or other similar agreements in an aggregate amount not to exceed Two Hundred Fifty Thousand Dollars ($250,000)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558" w:right="619" w:bottom="1440" w:gutter="0" w:footer="0" w:header="0"/>
        </w:sectPr>
      </w:pPr>
    </w:p>
    <w:bookmarkStart w:id="43" w:name="page44"/>
    <w:bookmarkEnd w:id="43"/>
    <w:p>
      <w:pPr>
        <w:jc w:val="both"/>
        <w:ind w:left="800" w:right="800" w:firstLine="680"/>
        <w:spacing w:after="0"/>
        <w:tabs>
          <w:tab w:leader="none" w:pos="18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directly or indirectly make any Investment (including, without limitation, by the formation of any Subsidiary) other than Permitted Investments, or permit any of its Subsidiaries to do so; or (c) amend, restate or otherwise modify the Integrated Diagnostics APA.”</w:t>
      </w:r>
    </w:p>
    <w:p>
      <w:pPr>
        <w:spacing w:after="0" w:line="207" w:lineRule="exact"/>
        <w:rPr>
          <w:sz w:val="20"/>
          <w:szCs w:val="20"/>
          <w:color w:val="auto"/>
        </w:rPr>
      </w:pPr>
    </w:p>
    <w:p>
      <w:pPr>
        <w:ind w:firstLine="1582"/>
        <w:spacing w:after="0" w:line="256" w:lineRule="auto"/>
        <w:rPr>
          <w:sz w:val="20"/>
          <w:szCs w:val="20"/>
          <w:color w:val="auto"/>
        </w:rPr>
      </w:pPr>
      <w:r>
        <w:rPr>
          <w:rFonts w:ascii="Arial" w:cs="Arial" w:eastAsia="Arial" w:hAnsi="Arial"/>
          <w:sz w:val="22"/>
          <w:szCs w:val="22"/>
          <w:b w:val="1"/>
          <w:bCs w:val="1"/>
          <w:color w:val="auto"/>
        </w:rPr>
        <w:t>2.5 Section 13 (Definitions)</w:t>
      </w:r>
      <w:r>
        <w:rPr>
          <w:rFonts w:ascii="Arial" w:cs="Arial" w:eastAsia="Arial" w:hAnsi="Arial"/>
          <w:sz w:val="22"/>
          <w:szCs w:val="22"/>
          <w:color w:val="auto"/>
        </w:rPr>
        <w:t>. The following terms and their respective definitions hereby are added or</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in their entirety, as applicable in Section 13.1 of the Loan Agreement, as follows:</w:t>
      </w:r>
    </w:p>
    <w:p>
      <w:pPr>
        <w:spacing w:after="0" w:line="162" w:lineRule="exact"/>
        <w:rPr>
          <w:sz w:val="20"/>
          <w:szCs w:val="20"/>
          <w:color w:val="auto"/>
        </w:rPr>
      </w:pPr>
    </w:p>
    <w:p>
      <w:pPr>
        <w:jc w:val="both"/>
        <w:ind w:left="800" w:right="800" w:firstLine="680"/>
        <w:spacing w:after="0" w:line="24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Collateralization Trigger</w:t>
      </w:r>
      <w:r>
        <w:rPr>
          <w:rFonts w:ascii="Arial" w:cs="Arial" w:eastAsia="Arial" w:hAnsi="Arial"/>
          <w:sz w:val="22"/>
          <w:szCs w:val="22"/>
          <w:color w:val="auto"/>
        </w:rPr>
        <w:t>” is defined in Section 6.14 hereof. “</w:t>
      </w:r>
      <w:r>
        <w:rPr>
          <w:rFonts w:ascii="Arial" w:cs="Arial" w:eastAsia="Arial" w:hAnsi="Arial"/>
          <w:sz w:val="22"/>
          <w:szCs w:val="22"/>
          <w:b w:val="1"/>
          <w:bCs w:val="1"/>
          <w:color w:val="auto"/>
        </w:rPr>
        <w:t>Final Payment</w:t>
      </w:r>
      <w:r>
        <w:rPr>
          <w:rFonts w:ascii="Arial" w:cs="Arial" w:eastAsia="Arial" w:hAnsi="Arial"/>
          <w:sz w:val="22"/>
          <w:szCs w:val="22"/>
          <w:color w:val="auto"/>
        </w:rPr>
        <w:t xml:space="preserve">” is a payment (in addition to and not a </w:t>
      </w:r>
      <w:r>
        <w:rPr>
          <w:rFonts w:ascii="Arial" w:cs="Arial" w:eastAsia="Arial" w:hAnsi="Arial"/>
          <w:sz w:val="19"/>
          <w:szCs w:val="19"/>
          <w:color w:val="auto"/>
        </w:rPr>
        <w:t>substitution for the regular monthly payments of principal plus accrued interest) in an</w:t>
      </w:r>
      <w:r>
        <w:rPr>
          <w:rFonts w:ascii="Arial" w:cs="Arial" w:eastAsia="Arial" w:hAnsi="Arial"/>
          <w:sz w:val="22"/>
          <w:szCs w:val="22"/>
          <w:color w:val="auto"/>
        </w:rPr>
        <w:t xml:space="preserve"> </w:t>
      </w:r>
      <w:r>
        <w:rPr>
          <w:rFonts w:ascii="Arial" w:cs="Arial" w:eastAsia="Arial" w:hAnsi="Arial"/>
          <w:sz w:val="19"/>
          <w:szCs w:val="19"/>
          <w:color w:val="auto"/>
        </w:rPr>
        <w:t>amount equal to Two Million Seven Hundred Thousand Dollars ($2,700,000) and due on the earliest to occur of (a) the Term Loan Maturity Date, (b) the acceleration of the Term Loan Advance, or (c) the prepayment of the Term Loan Advance pursuant to Section 2.2.1(c).</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Amendment Effective Date</w:t>
      </w:r>
      <w:r>
        <w:rPr>
          <w:rFonts w:ascii="Arial" w:cs="Arial" w:eastAsia="Arial" w:hAnsi="Arial"/>
          <w:sz w:val="22"/>
          <w:szCs w:val="22"/>
          <w:color w:val="auto"/>
        </w:rPr>
        <w:t>” means September 30, 2021.</w:t>
      </w:r>
    </w:p>
    <w:p>
      <w:pPr>
        <w:spacing w:after="0" w:line="206" w:lineRule="exact"/>
        <w:rPr>
          <w:sz w:val="20"/>
          <w:szCs w:val="20"/>
          <w:color w:val="auto"/>
        </w:rPr>
      </w:pPr>
    </w:p>
    <w:p>
      <w:pPr>
        <w:jc w:val="both"/>
        <w:ind w:left="800" w:right="800" w:firstLine="68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Integrated Diagnostics APA</w:t>
      </w:r>
      <w:r>
        <w:rPr>
          <w:rFonts w:ascii="Arial" w:cs="Arial" w:eastAsia="Arial" w:hAnsi="Arial"/>
          <w:sz w:val="21"/>
          <w:szCs w:val="21"/>
          <w:color w:val="auto"/>
        </w:rPr>
        <w:t>” means that certain Asset Purchase Agreement and Plan of Reorganization, dated as of June 30, 2018, by and between Borrower, Integrated Diagnostics and the stockholders of Integrated Diagnostics set forth on Exhibit A thereto as amended by that certain Amendment No. 1 to Asset Purchase Agreement and Plan of Reorganization dated as of July 29, 2021.</w:t>
      </w:r>
    </w:p>
    <w:p>
      <w:pPr>
        <w:spacing w:after="0" w:line="193" w:lineRule="exact"/>
        <w:rPr>
          <w:sz w:val="20"/>
          <w:szCs w:val="20"/>
          <w:color w:val="auto"/>
        </w:rPr>
      </w:pPr>
    </w:p>
    <w:p>
      <w:pPr>
        <w:jc w:val="both"/>
        <w:ind w:left="800" w:right="800" w:firstLine="68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Liquidity</w:t>
      </w:r>
      <w:r>
        <w:rPr>
          <w:rFonts w:ascii="Arial" w:cs="Arial" w:eastAsia="Arial" w:hAnsi="Arial"/>
          <w:sz w:val="21"/>
          <w:szCs w:val="21"/>
          <w:color w:val="auto"/>
        </w:rPr>
        <w:t>” means, as of any date of determination, the sum of (a) Borrower’s unrestricted cash held at Bank or Bank’s Affiliates (subject to a Control Agreement in favor of Bank) as of such date, plus (b) Borrower’s net billed Accounts receivable, as of the last day of the most recently completed calendar month, plus (c) any Term Loan Cash Collateral held by Bank in the Pledged Account.</w:t>
      </w:r>
    </w:p>
    <w:p>
      <w:pPr>
        <w:spacing w:after="0" w:line="193" w:lineRule="exact"/>
        <w:rPr>
          <w:sz w:val="20"/>
          <w:szCs w:val="20"/>
          <w:color w:val="auto"/>
        </w:rPr>
      </w:pPr>
    </w:p>
    <w:p>
      <w:pPr>
        <w:jc w:val="both"/>
        <w:ind w:left="800" w:right="800" w:firstLine="6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Ratio</w:t>
      </w:r>
      <w:r>
        <w:rPr>
          <w:rFonts w:ascii="Arial" w:cs="Arial" w:eastAsia="Arial" w:hAnsi="Arial"/>
          <w:sz w:val="22"/>
          <w:szCs w:val="22"/>
          <w:color w:val="auto"/>
        </w:rPr>
        <w:t>” means, as of any date of determination, a ratio of (a) Liquidity divided by (b) the aggregate outstanding principal amount of the Term Loan Advance as of such date.</w:t>
      </w:r>
    </w:p>
    <w:p>
      <w:pPr>
        <w:spacing w:after="0" w:line="189" w:lineRule="exact"/>
        <w:rPr>
          <w:sz w:val="20"/>
          <w:szCs w:val="20"/>
          <w:color w:val="auto"/>
        </w:rPr>
      </w:pPr>
    </w:p>
    <w:p>
      <w:pPr>
        <w:jc w:val="both"/>
        <w:ind w:left="800" w:right="800" w:firstLine="68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Documents</w:t>
      </w:r>
      <w:r>
        <w:rPr>
          <w:rFonts w:ascii="Arial" w:cs="Arial" w:eastAsia="Arial" w:hAnsi="Arial"/>
          <w:sz w:val="21"/>
          <w:szCs w:val="21"/>
          <w:color w:val="auto"/>
        </w:rPr>
        <w:t>” are, collectively, this Agreement and any schedules, exhibits, certificates, notices, and any other documents related to this Agreement, the Pledge Agreement, any Bank Services Agreement, any subordination agreement, any note, or notes or guaranties executed by Borrower or any Guarantor, and any other present or future agreement by Borrower and/or any Guarantor with or for the benefit of Bank in connection with this Agreement, all as amended, restated, or otherwise modified.</w:t>
      </w:r>
    </w:p>
    <w:p>
      <w:pPr>
        <w:spacing w:after="0" w:line="195" w:lineRule="exact"/>
        <w:rPr>
          <w:sz w:val="20"/>
          <w:szCs w:val="20"/>
          <w:color w:val="auto"/>
        </w:rPr>
      </w:pPr>
    </w:p>
    <w:p>
      <w:pPr>
        <w:jc w:val="both"/>
        <w:ind w:left="800" w:right="800" w:firstLine="6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Account</w:t>
      </w:r>
      <w:r>
        <w:rPr>
          <w:rFonts w:ascii="Arial" w:cs="Arial" w:eastAsia="Arial" w:hAnsi="Arial"/>
          <w:sz w:val="22"/>
          <w:szCs w:val="22"/>
          <w:color w:val="auto"/>
        </w:rPr>
        <w:t>” means restricted account number xxx-xxxx- 0880 established and maintained by Borrower at Bank.</w:t>
      </w:r>
    </w:p>
    <w:p>
      <w:pPr>
        <w:spacing w:after="0" w:line="189" w:lineRule="exact"/>
        <w:rPr>
          <w:sz w:val="20"/>
          <w:szCs w:val="20"/>
          <w:color w:val="auto"/>
        </w:rPr>
      </w:pPr>
    </w:p>
    <w:p>
      <w:pPr>
        <w:jc w:val="both"/>
        <w:ind w:left="800" w:right="800" w:firstLine="6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Pledge Agreement</w:t>
      </w:r>
      <w:r>
        <w:rPr>
          <w:rFonts w:ascii="Arial" w:cs="Arial" w:eastAsia="Arial" w:hAnsi="Arial"/>
          <w:sz w:val="21"/>
          <w:szCs w:val="21"/>
          <w:color w:val="auto"/>
        </w:rPr>
        <w:t>” means that certain Cash Pledge Agreement and Annex I attached thereto executed by Borrower in favor of Bank and dated as of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4" w:name="page45"/>
    <w:bookmarkEnd w:id="44"/>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Cash Collateral</w:t>
      </w:r>
      <w:r>
        <w:rPr>
          <w:rFonts w:ascii="Arial" w:cs="Arial" w:eastAsia="Arial" w:hAnsi="Arial"/>
          <w:sz w:val="22"/>
          <w:szCs w:val="22"/>
          <w:color w:val="auto"/>
        </w:rPr>
        <w:t>” is defined in Section 6.14 hereof.</w:t>
      </w:r>
    </w:p>
    <w:p>
      <w:pPr>
        <w:spacing w:after="0" w:line="233" w:lineRule="exact"/>
        <w:rPr>
          <w:sz w:val="20"/>
          <w:szCs w:val="20"/>
          <w:color w:val="auto"/>
        </w:rPr>
      </w:pPr>
    </w:p>
    <w:p>
      <w:pPr>
        <w:ind w:firstLine="1582"/>
        <w:spacing w:after="0" w:line="256"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u w:val="single" w:color="auto"/>
          <w:color w:val="auto"/>
        </w:rPr>
        <w:t>Exhibit B</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Statement) to the Loan Agreement hereby is replaced with</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Statement) attached hereto.</w:t>
      </w:r>
    </w:p>
    <w:p>
      <w:pPr>
        <w:spacing w:after="0" w:line="189" w:lineRule="exact"/>
        <w:rPr>
          <w:sz w:val="20"/>
          <w:szCs w:val="20"/>
          <w:color w:val="auto"/>
        </w:rPr>
      </w:pPr>
    </w:p>
    <w:p>
      <w:pPr>
        <w:ind w:left="1600" w:hanging="800"/>
        <w:spacing w:after="0"/>
        <w:tabs>
          <w:tab w:leader="none" w:pos="16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Borrower represents and warrants to Bank as follows:</w:t>
      </w:r>
    </w:p>
    <w:p>
      <w:pPr>
        <w:spacing w:after="0" w:line="233" w:lineRule="exact"/>
        <w:rPr>
          <w:sz w:val="20"/>
          <w:szCs w:val="20"/>
          <w:color w:val="auto"/>
        </w:rPr>
      </w:pPr>
    </w:p>
    <w:p>
      <w:pPr>
        <w:jc w:val="both"/>
        <w:ind w:firstLine="1582"/>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representations and warranties contained in the Loan Documents are true, accurate and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32" w:lineRule="exact"/>
        <w:rPr>
          <w:sz w:val="20"/>
          <w:szCs w:val="20"/>
          <w:color w:val="auto"/>
        </w:rPr>
      </w:pPr>
    </w:p>
    <w:p>
      <w:pPr>
        <w:jc w:val="both"/>
        <w:ind w:firstLine="1582"/>
        <w:spacing w:after="0" w:line="256"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Borrower has the power and authority to execute and deliver this Agreement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w:t>
      </w:r>
    </w:p>
    <w:p>
      <w:pPr>
        <w:spacing w:after="0" w:line="189" w:lineRule="exact"/>
        <w:rPr>
          <w:sz w:val="20"/>
          <w:szCs w:val="20"/>
          <w:color w:val="auto"/>
        </w:rPr>
      </w:pPr>
    </w:p>
    <w:p>
      <w:pPr>
        <w:jc w:val="both"/>
        <w:ind w:firstLine="1582"/>
        <w:spacing w:after="0" w:line="334"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The organizational documents of Borrower delivered to Bank on the Effective Date remain true,</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and complete and have not been amended, supplemented or restated and are and continue to be in full force and effect;</w:t>
      </w:r>
    </w:p>
    <w:p>
      <w:pPr>
        <w:spacing w:after="0" w:line="121" w:lineRule="exact"/>
        <w:rPr>
          <w:sz w:val="20"/>
          <w:szCs w:val="20"/>
          <w:color w:val="auto"/>
        </w:rPr>
      </w:pPr>
    </w:p>
    <w:p>
      <w:pPr>
        <w:jc w:val="both"/>
        <w:ind w:right="20" w:firstLine="1582"/>
        <w:spacing w:after="0" w:line="280" w:lineRule="auto"/>
        <w:rPr>
          <w:sz w:val="20"/>
          <w:szCs w:val="20"/>
          <w:color w:val="auto"/>
        </w:rPr>
      </w:pPr>
      <w:r>
        <w:rPr>
          <w:rFonts w:ascii="Arial" w:cs="Arial" w:eastAsia="Arial" w:hAnsi="Arial"/>
          <w:sz w:val="21"/>
          <w:szCs w:val="21"/>
          <w:b w:val="1"/>
          <w:bCs w:val="1"/>
          <w:color w:val="auto"/>
        </w:rPr>
        <w:t xml:space="preserve">3.4 </w:t>
      </w:r>
      <w:r>
        <w:rPr>
          <w:rFonts w:ascii="Arial" w:cs="Arial" w:eastAsia="Arial" w:hAnsi="Arial"/>
          <w:sz w:val="21"/>
          <w:szCs w:val="21"/>
          <w:color w:val="auto"/>
        </w:rPr>
        <w:t>The execution and delivery by Borrower of this Agreement and the performance by Borrower of its</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the Loan Agreement have been duly authorized by all necessary action on the part of Borrower;</w:t>
      </w:r>
    </w:p>
    <w:p>
      <w:pPr>
        <w:spacing w:after="0" w:line="166" w:lineRule="exact"/>
        <w:rPr>
          <w:sz w:val="20"/>
          <w:szCs w:val="20"/>
          <w:color w:val="auto"/>
        </w:rPr>
      </w:pPr>
    </w:p>
    <w:p>
      <w:pPr>
        <w:jc w:val="both"/>
        <w:ind w:firstLine="1582"/>
        <w:spacing w:after="0" w:line="245" w:lineRule="auto"/>
        <w:rPr>
          <w:sz w:val="20"/>
          <w:szCs w:val="20"/>
          <w:color w:val="auto"/>
        </w:rPr>
      </w:pPr>
      <w:r>
        <w:rPr>
          <w:rFonts w:ascii="Arial" w:cs="Arial" w:eastAsia="Arial" w:hAnsi="Arial"/>
          <w:sz w:val="21"/>
          <w:szCs w:val="21"/>
          <w:b w:val="1"/>
          <w:bCs w:val="1"/>
          <w:color w:val="auto"/>
        </w:rPr>
        <w:t xml:space="preserve">3.5 </w:t>
      </w:r>
      <w:r>
        <w:rPr>
          <w:rFonts w:ascii="Arial" w:cs="Arial" w:eastAsia="Arial" w:hAnsi="Arial"/>
          <w:sz w:val="21"/>
          <w:szCs w:val="21"/>
          <w:color w:val="auto"/>
        </w:rPr>
        <w:t>The execution and delivery by Borrower of this Agreement and the performance by Borrower of its</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the Loan Agreement do not (i) conflict with any of Borrower’s organizational documents, (ii) contravene, conflict with, constitute a default under or violate any material Requirement of Law, (iii) contravene, conflict with or violate any applicable order, writ, judgment, injunction, decree, termination or award of any Governmental Authority which Borrower or any of its Subsidiaries or any of their property or assets may be bound or affected, (iv) require any action by, filing, registration, or qualification with, or Governmental Approval from, any Governmental Authority (except (x) such Governmental Approvals which have already been obtained and are in full force and effect (or are being obtained pursuant to Section 6.1(b) of the Loan Agreement) and (y) filings and recordings in respect of the Liens created pursuant to the applicable Loan Documents), or (v) conflict with, contravene constitute a default or breach under, or result in or permit the termination or acceleration of, any material agreement by which Borrower is bound;</w:t>
      </w:r>
    </w:p>
    <w:p>
      <w:pPr>
        <w:spacing w:after="0" w:line="208" w:lineRule="exact"/>
        <w:rPr>
          <w:sz w:val="20"/>
          <w:szCs w:val="20"/>
          <w:color w:val="auto"/>
        </w:rPr>
      </w:pPr>
    </w:p>
    <w:p>
      <w:pPr>
        <w:jc w:val="both"/>
        <w:ind w:firstLine="1582"/>
        <w:spacing w:after="0" w:line="239" w:lineRule="auto"/>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color w:val="auto"/>
        </w:rPr>
        <w:t>This Agreement has been duly executed and delivered by Borrower and is the binding obligation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7" w:lineRule="exact"/>
        <w:rPr>
          <w:sz w:val="20"/>
          <w:szCs w:val="20"/>
          <w:color w:val="auto"/>
        </w:rPr>
      </w:pPr>
    </w:p>
    <w:p>
      <w:pPr>
        <w:jc w:val="both"/>
        <w:ind w:firstLine="800"/>
        <w:spacing w:after="0" w:line="251" w:lineRule="auto"/>
        <w:tabs>
          <w:tab w:leader="none" w:pos="1602"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Prior Agreement</w:t>
      </w:r>
      <w:r>
        <w:rPr>
          <w:rFonts w:ascii="Arial" w:cs="Arial" w:eastAsia="Arial" w:hAnsi="Arial"/>
          <w:sz w:val="21"/>
          <w:szCs w:val="21"/>
          <w:color w:val="auto"/>
        </w:rPr>
        <w:t>. The Loan Documents (as modified hereby) are hereby ratified and reaffirmed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remain in full force and effect.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spacing w:after="0" w:line="195" w:lineRule="exact"/>
        <w:rPr>
          <w:rFonts w:ascii="Arial" w:cs="Arial" w:eastAsia="Arial" w:hAnsi="Arial"/>
          <w:sz w:val="21"/>
          <w:szCs w:val="21"/>
          <w:b w:val="1"/>
          <w:bCs w:val="1"/>
          <w:color w:val="auto"/>
        </w:rPr>
      </w:pPr>
    </w:p>
    <w:p>
      <w:pPr>
        <w:jc w:val="both"/>
        <w:ind w:firstLine="800"/>
        <w:spacing w:after="0" w:line="239" w:lineRule="auto"/>
        <w:tabs>
          <w:tab w:leader="none" w:pos="160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disclosures contained in a certain Perfection Certificate dated on or prior to the Effective Date and acknowledges, confirms and agrees that the disclosures and information Borrower provided to Bank in such Perfection Certificate have not changed,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5" w:name="page46"/>
    <w:bookmarkEnd w:id="45"/>
    <w:p>
      <w:pPr>
        <w:jc w:val="both"/>
        <w:ind w:firstLine="800"/>
        <w:spacing w:after="0" w:line="239" w:lineRule="auto"/>
        <w:tabs>
          <w:tab w:leader="none" w:pos="1602"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Agreement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207" w:lineRule="exact"/>
        <w:rPr>
          <w:rFonts w:ascii="Arial" w:cs="Arial" w:eastAsia="Arial" w:hAnsi="Arial"/>
          <w:sz w:val="22"/>
          <w:szCs w:val="22"/>
          <w:b w:val="1"/>
          <w:bCs w:val="1"/>
          <w:color w:val="auto"/>
        </w:rPr>
      </w:pPr>
    </w:p>
    <w:p>
      <w:pPr>
        <w:ind w:firstLine="800"/>
        <w:spacing w:after="0" w:line="256" w:lineRule="auto"/>
        <w:tabs>
          <w:tab w:leader="none" w:pos="1602"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89" w:lineRule="exact"/>
        <w:rPr>
          <w:rFonts w:ascii="Arial" w:cs="Arial" w:eastAsia="Arial" w:hAnsi="Arial"/>
          <w:sz w:val="22"/>
          <w:szCs w:val="22"/>
          <w:b w:val="1"/>
          <w:bCs w:val="1"/>
          <w:color w:val="auto"/>
        </w:rPr>
      </w:pPr>
    </w:p>
    <w:p>
      <w:pPr>
        <w:jc w:val="both"/>
        <w:ind w:firstLine="800"/>
        <w:spacing w:after="0" w:line="239" w:lineRule="auto"/>
        <w:tabs>
          <w:tab w:leader="none" w:pos="1602"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to Effectiveness</w:t>
      </w:r>
      <w:r>
        <w:rPr>
          <w:rFonts w:ascii="Arial" w:cs="Arial" w:eastAsia="Arial" w:hAnsi="Arial"/>
          <w:sz w:val="22"/>
          <w:szCs w:val="22"/>
          <w:color w:val="auto"/>
        </w:rPr>
        <w:t>. This Amendment shall be deemed effective upon (a) the due execution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to Bank of (i) this Amendment by each party hereto, (ii) the Pledge Agreement, (b) evidence that Borrower has established the Pledged Account, and (c) payment by Borrower of all Bank Expenses due and owing as of the date hereof, which, in each case, may be debited from any of Borrower’s accounts at Bank.</w:t>
      </w:r>
    </w:p>
    <w:p>
      <w:pPr>
        <w:spacing w:after="0" w:line="288" w:lineRule="exact"/>
        <w:rPr>
          <w:rFonts w:ascii="Arial" w:cs="Arial" w:eastAsia="Arial" w:hAnsi="Arial"/>
          <w:sz w:val="22"/>
          <w:szCs w:val="22"/>
          <w:b w:val="1"/>
          <w:bCs w:val="1"/>
          <w:color w:val="auto"/>
        </w:rPr>
      </w:pPr>
    </w:p>
    <w:p>
      <w:pPr>
        <w:ind w:left="1580" w:hanging="789"/>
        <w:spacing w:after="0"/>
        <w:tabs>
          <w:tab w:leader="none" w:pos="15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jc w:val="both"/>
        <w:ind w:firstLine="1582"/>
        <w:spacing w:after="0" w:line="254"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color w:val="auto"/>
        </w:rPr>
        <w:t>This Agreement shall constitute a Loan Document under the Loan Agreement; the failure to comply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spacing w:after="0" w:line="193" w:lineRule="exact"/>
        <w:rPr>
          <w:sz w:val="20"/>
          <w:szCs w:val="20"/>
          <w:color w:val="auto"/>
        </w:rPr>
      </w:pPr>
    </w:p>
    <w:p>
      <w:pPr>
        <w:jc w:val="both"/>
        <w:ind w:firstLine="1582"/>
        <w:spacing w:after="0" w:line="256"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Each provision of this Agreement is severable from every other provision in determining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provision.</w:t>
      </w:r>
    </w:p>
    <w:p>
      <w:pPr>
        <w:spacing w:after="0" w:line="189" w:lineRule="exact"/>
        <w:rPr>
          <w:sz w:val="20"/>
          <w:szCs w:val="20"/>
          <w:color w:val="auto"/>
        </w:rPr>
      </w:pPr>
    </w:p>
    <w:p>
      <w:pPr>
        <w:ind w:right="20" w:firstLine="800"/>
        <w:spacing w:after="0" w:line="256" w:lineRule="auto"/>
        <w:tabs>
          <w:tab w:leader="none" w:pos="171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and the rights and obligations of the parties hereto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in accordance with the laws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ind w:right="280" w:firstLine="792"/>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Agreement to be duly executed and delivered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BANK:</w:t>
            </w:r>
          </w:p>
        </w:tc>
        <w:tc>
          <w:tcPr>
            <w:tcW w:w="4140" w:type="dxa"/>
            <w:vAlign w:val="bottom"/>
          </w:tcPr>
          <w:p>
            <w:pPr>
              <w:spacing w:after="0"/>
              <w:rPr>
                <w:sz w:val="23"/>
                <w:szCs w:val="23"/>
                <w:color w:val="auto"/>
              </w:rPr>
            </w:pPr>
          </w:p>
        </w:tc>
        <w:tc>
          <w:tcPr>
            <w:tcW w:w="6140" w:type="dxa"/>
            <w:vAlign w:val="bottom"/>
            <w:gridSpan w:val="3"/>
          </w:tcPr>
          <w:p>
            <w:pPr>
              <w:ind w:left="1500"/>
              <w:spacing w:after="0"/>
              <w:rPr>
                <w:sz w:val="20"/>
                <w:szCs w:val="20"/>
                <w:color w:val="auto"/>
              </w:rPr>
            </w:pPr>
            <w:r>
              <w:rPr>
                <w:rFonts w:ascii="Arial" w:cs="Arial" w:eastAsia="Arial" w:hAnsi="Arial"/>
                <w:sz w:val="22"/>
                <w:szCs w:val="22"/>
                <w:color w:val="auto"/>
              </w:rPr>
              <w:t>BORROWER: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100" w:type="dxa"/>
            <w:vAlign w:val="bottom"/>
            <w:gridSpan w:val="2"/>
          </w:tcPr>
          <w:p>
            <w:pPr>
              <w:spacing w:after="0"/>
              <w:rPr>
                <w:sz w:val="20"/>
                <w:szCs w:val="20"/>
                <w:color w:val="auto"/>
              </w:rPr>
            </w:pPr>
            <w:r>
              <w:rPr>
                <w:rFonts w:ascii="Arial" w:cs="Arial" w:eastAsia="Arial" w:hAnsi="Arial"/>
                <w:sz w:val="22"/>
                <w:szCs w:val="22"/>
                <w:b w:val="1"/>
                <w:bCs w:val="1"/>
                <w:color w:val="auto"/>
              </w:rPr>
              <w:t>SIICON VALLEY BANK</w:t>
            </w:r>
          </w:p>
        </w:tc>
        <w:tc>
          <w:tcPr>
            <w:tcW w:w="6140" w:type="dxa"/>
            <w:vAlign w:val="bottom"/>
            <w:gridSpan w:val="3"/>
          </w:tcPr>
          <w:p>
            <w:pPr>
              <w:ind w:left="1500"/>
              <w:spacing w:after="0"/>
              <w:rPr>
                <w:sz w:val="20"/>
                <w:szCs w:val="20"/>
                <w:color w:val="auto"/>
              </w:rPr>
            </w:pPr>
            <w:r>
              <w:rPr>
                <w:rFonts w:ascii="Arial" w:cs="Arial" w:eastAsia="Arial" w:hAnsi="Arial"/>
                <w:sz w:val="22"/>
                <w:szCs w:val="22"/>
                <w:b w:val="1"/>
                <w:bCs w:val="1"/>
                <w:color w:val="auto"/>
              </w:rPr>
              <w:t>BIODESIX,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140" w:type="dxa"/>
            <w:vAlign w:val="bottom"/>
          </w:tcPr>
          <w:p>
            <w:pPr>
              <w:spacing w:after="0"/>
              <w:rPr>
                <w:sz w:val="20"/>
                <w:szCs w:val="20"/>
                <w:color w:val="auto"/>
              </w:rPr>
            </w:pPr>
            <w:r>
              <w:rPr>
                <w:rFonts w:ascii="Arial" w:cs="Arial" w:eastAsia="Arial" w:hAnsi="Arial"/>
                <w:sz w:val="22"/>
                <w:szCs w:val="22"/>
                <w:color w:val="auto"/>
              </w:rPr>
              <w:t>KRISTINE ROHMER</w:t>
            </w:r>
          </w:p>
        </w:tc>
        <w:tc>
          <w:tcPr>
            <w:tcW w:w="2260" w:type="dxa"/>
            <w:vAlign w:val="bottom"/>
          </w:tcPr>
          <w:p>
            <w:pPr>
              <w:ind w:left="1500"/>
              <w:spacing w:after="0"/>
              <w:rPr>
                <w:sz w:val="20"/>
                <w:szCs w:val="20"/>
                <w:color w:val="auto"/>
              </w:rPr>
            </w:pPr>
            <w:r>
              <w:rPr>
                <w:rFonts w:ascii="Arial" w:cs="Arial" w:eastAsia="Arial" w:hAnsi="Arial"/>
                <w:sz w:val="22"/>
                <w:szCs w:val="22"/>
                <w:color w:val="auto"/>
              </w:rPr>
              <w:t>By:</w:t>
            </w:r>
          </w:p>
        </w:tc>
        <w:tc>
          <w:tcPr>
            <w:tcW w:w="3880" w:type="dxa"/>
            <w:vAlign w:val="bottom"/>
            <w:gridSpan w:val="2"/>
          </w:tcPr>
          <w:p>
            <w:pPr>
              <w:ind w:left="200"/>
              <w:spacing w:after="0"/>
              <w:rPr>
                <w:sz w:val="20"/>
                <w:szCs w:val="20"/>
                <w:color w:val="auto"/>
              </w:rPr>
            </w:pPr>
            <w:r>
              <w:rPr>
                <w:rFonts w:ascii="Arial" w:cs="Arial" w:eastAsia="Arial" w:hAnsi="Arial"/>
                <w:sz w:val="22"/>
                <w:szCs w:val="22"/>
                <w:color w:val="auto"/>
              </w:rPr>
              <w:t>/s/ SCOTT HUTTON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140" w:type="dxa"/>
            <w:vAlign w:val="bottom"/>
            <w:tcBorders>
              <w:bottom w:val="single" w:sz="8" w:color="auto"/>
            </w:tcBorders>
          </w:tcPr>
          <w:p>
            <w:pPr>
              <w:spacing w:after="0" w:line="20" w:lineRule="exact"/>
              <w:rPr>
                <w:sz w:val="1"/>
                <w:szCs w:val="1"/>
                <w:color w:val="auto"/>
              </w:rPr>
            </w:pPr>
          </w:p>
        </w:tc>
        <w:tc>
          <w:tcPr>
            <w:tcW w:w="2260" w:type="dxa"/>
            <w:vAlign w:val="bottom"/>
            <w:vMerge w:val="restart"/>
          </w:tcPr>
          <w:p>
            <w:pPr>
              <w:ind w:left="1500"/>
              <w:spacing w:after="0"/>
              <w:rPr>
                <w:sz w:val="20"/>
                <w:szCs w:val="20"/>
                <w:color w:val="auto"/>
              </w:rPr>
            </w:pPr>
            <w:r>
              <w:rPr>
                <w:rFonts w:ascii="Arial" w:cs="Arial" w:eastAsia="Arial" w:hAnsi="Arial"/>
                <w:sz w:val="22"/>
                <w:szCs w:val="22"/>
                <w:color w:val="auto"/>
              </w:rPr>
              <w:t>Name:</w:t>
            </w:r>
          </w:p>
        </w:tc>
        <w:tc>
          <w:tcPr>
            <w:tcW w:w="200" w:type="dxa"/>
            <w:vAlign w:val="bottom"/>
            <w:vMerge w:val="restart"/>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960" w:type="dxa"/>
            <w:vAlign w:val="bottom"/>
            <w:vMerge w:val="continue"/>
          </w:tcPr>
          <w:p>
            <w:pPr>
              <w:spacing w:after="0"/>
              <w:rPr>
                <w:sz w:val="19"/>
                <w:szCs w:val="19"/>
                <w:color w:val="auto"/>
              </w:rPr>
            </w:pPr>
          </w:p>
        </w:tc>
        <w:tc>
          <w:tcPr>
            <w:tcW w:w="4140" w:type="dxa"/>
            <w:vAlign w:val="bottom"/>
          </w:tcPr>
          <w:p>
            <w:pPr>
              <w:spacing w:after="0" w:line="228" w:lineRule="exact"/>
              <w:rPr>
                <w:sz w:val="20"/>
                <w:szCs w:val="20"/>
                <w:color w:val="auto"/>
              </w:rPr>
            </w:pPr>
            <w:r>
              <w:rPr>
                <w:rFonts w:ascii="Arial" w:cs="Arial" w:eastAsia="Arial" w:hAnsi="Arial"/>
                <w:sz w:val="22"/>
                <w:szCs w:val="22"/>
                <w:color w:val="auto"/>
              </w:rPr>
              <w:t>Kristine Rohmer</w:t>
            </w:r>
          </w:p>
        </w:tc>
        <w:tc>
          <w:tcPr>
            <w:tcW w:w="2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3680" w:type="dxa"/>
            <w:vAlign w:val="bottom"/>
          </w:tcPr>
          <w:p>
            <w:pPr>
              <w:spacing w:after="0" w:line="228" w:lineRule="exact"/>
              <w:rPr>
                <w:sz w:val="20"/>
                <w:szCs w:val="20"/>
                <w:color w:val="auto"/>
              </w:rPr>
            </w:pPr>
            <w:r>
              <w:rPr>
                <w:rFonts w:ascii="Arial" w:cs="Arial" w:eastAsia="Arial" w:hAnsi="Arial"/>
                <w:sz w:val="22"/>
                <w:szCs w:val="22"/>
                <w:color w:val="auto"/>
              </w:rPr>
              <w:t>Scott Hutton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140" w:type="dxa"/>
            <w:vAlign w:val="bottom"/>
            <w:tcBorders>
              <w:bottom w:val="single" w:sz="8" w:color="auto"/>
            </w:tcBorders>
          </w:tcPr>
          <w:p>
            <w:pPr>
              <w:spacing w:after="0" w:line="20" w:lineRule="exact"/>
              <w:rPr>
                <w:sz w:val="1"/>
                <w:szCs w:val="1"/>
                <w:color w:val="auto"/>
              </w:rPr>
            </w:pPr>
          </w:p>
        </w:tc>
        <w:tc>
          <w:tcPr>
            <w:tcW w:w="2260" w:type="dxa"/>
            <w:vAlign w:val="bottom"/>
            <w:vMerge w:val="restart"/>
          </w:tcPr>
          <w:p>
            <w:pPr>
              <w:ind w:left="1500"/>
              <w:spacing w:after="0"/>
              <w:rPr>
                <w:sz w:val="20"/>
                <w:szCs w:val="20"/>
                <w:color w:val="auto"/>
              </w:rPr>
            </w:pPr>
            <w:r>
              <w:rPr>
                <w:rFonts w:ascii="Arial" w:cs="Arial" w:eastAsia="Arial" w:hAnsi="Arial"/>
                <w:sz w:val="22"/>
                <w:szCs w:val="22"/>
                <w:color w:val="auto"/>
              </w:rPr>
              <w:t>Title:</w:t>
            </w:r>
          </w:p>
        </w:tc>
        <w:tc>
          <w:tcPr>
            <w:tcW w:w="200" w:type="dxa"/>
            <w:vAlign w:val="bottom"/>
            <w:vMerge w:val="restart"/>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60" w:type="dxa"/>
            <w:vAlign w:val="bottom"/>
            <w:vMerge w:val="continue"/>
          </w:tcPr>
          <w:p>
            <w:pPr>
              <w:spacing w:after="0"/>
              <w:rPr>
                <w:sz w:val="21"/>
                <w:szCs w:val="21"/>
                <w:color w:val="auto"/>
              </w:rPr>
            </w:pPr>
          </w:p>
        </w:tc>
        <w:tc>
          <w:tcPr>
            <w:tcW w:w="4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Director</w:t>
            </w:r>
          </w:p>
        </w:tc>
        <w:tc>
          <w:tcPr>
            <w:tcW w:w="22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36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9"/>
        </w:trPr>
        <w:tc>
          <w:tcPr>
            <w:tcW w:w="9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96"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79"/>
        </w:trPr>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20" w:type="dxa"/>
            <w:vAlign w:val="bottom"/>
            <w:gridSpan w:val="4"/>
          </w:tcPr>
          <w:p>
            <w:pPr>
              <w:jc w:val="center"/>
              <w:ind w:right="2830"/>
              <w:spacing w:after="0"/>
              <w:rPr>
                <w:sz w:val="20"/>
                <w:szCs w:val="20"/>
                <w:color w:val="auto"/>
              </w:rPr>
            </w:pPr>
            <w:r>
              <w:rPr>
                <w:rFonts w:ascii="Arial" w:cs="Arial" w:eastAsia="Arial" w:hAnsi="Arial"/>
                <w:sz w:val="18"/>
                <w:szCs w:val="18"/>
                <w:b w:val="1"/>
                <w:bCs w:val="1"/>
                <w:color w:val="auto"/>
              </w:rPr>
              <w:t>COMPLIANCE STATEMENT</w:t>
            </w:r>
          </w:p>
        </w:tc>
      </w:tr>
      <w:tr>
        <w:trPr>
          <w:trHeight w:val="448"/>
        </w:trPr>
        <w:tc>
          <w:tcPr>
            <w:tcW w:w="640" w:type="dxa"/>
            <w:vAlign w:val="bottom"/>
          </w:tcPr>
          <w:p>
            <w:pPr>
              <w:spacing w:after="0"/>
              <w:rPr>
                <w:sz w:val="20"/>
                <w:szCs w:val="20"/>
                <w:color w:val="auto"/>
              </w:rPr>
            </w:pPr>
            <w:r>
              <w:rPr>
                <w:rFonts w:ascii="Arial" w:cs="Arial" w:eastAsia="Arial" w:hAnsi="Arial"/>
                <w:sz w:val="18"/>
                <w:szCs w:val="18"/>
                <w:color w:val="auto"/>
              </w:rPr>
              <w:t>TO:</w:t>
            </w:r>
          </w:p>
        </w:tc>
        <w:tc>
          <w:tcPr>
            <w:tcW w:w="3820" w:type="dxa"/>
            <w:vAlign w:val="bottom"/>
          </w:tcPr>
          <w:p>
            <w:pPr>
              <w:ind w:left="60"/>
              <w:spacing w:after="0"/>
              <w:rPr>
                <w:sz w:val="20"/>
                <w:szCs w:val="20"/>
                <w:color w:val="auto"/>
              </w:rPr>
            </w:pPr>
            <w:r>
              <w:rPr>
                <w:rFonts w:ascii="Arial" w:cs="Arial" w:eastAsia="Arial" w:hAnsi="Arial"/>
                <w:sz w:val="18"/>
                <w:szCs w:val="18"/>
                <w:b w:val="1"/>
                <w:bCs w:val="1"/>
                <w:color w:val="auto"/>
              </w:rPr>
              <w:t>SILICON VALLEY BANK</w:t>
            </w:r>
          </w:p>
        </w:tc>
        <w:tc>
          <w:tcPr>
            <w:tcW w:w="7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920" w:type="dxa"/>
            <w:vAlign w:val="bottom"/>
          </w:tcPr>
          <w:p>
            <w:pPr>
              <w:ind w:left="2540"/>
              <w:spacing w:after="0"/>
              <w:rPr>
                <w:sz w:val="20"/>
                <w:szCs w:val="20"/>
                <w:color w:val="auto"/>
              </w:rPr>
            </w:pPr>
            <w:r>
              <w:rPr>
                <w:rFonts w:ascii="Arial" w:cs="Arial" w:eastAsia="Arial" w:hAnsi="Arial"/>
                <w:sz w:val="18"/>
                <w:szCs w:val="18"/>
                <w:color w:val="auto"/>
                <w:w w:val="83"/>
              </w:rPr>
              <w:t>Date:</w:t>
            </w:r>
          </w:p>
        </w:tc>
      </w:tr>
      <w:tr>
        <w:trPr>
          <w:trHeight w:val="234"/>
        </w:trPr>
        <w:tc>
          <w:tcPr>
            <w:tcW w:w="640" w:type="dxa"/>
            <w:vAlign w:val="bottom"/>
          </w:tcPr>
          <w:p>
            <w:pPr>
              <w:spacing w:after="0"/>
              <w:rPr>
                <w:sz w:val="20"/>
                <w:szCs w:val="20"/>
                <w:color w:val="auto"/>
              </w:rPr>
            </w:pPr>
            <w:r>
              <w:rPr>
                <w:rFonts w:ascii="Arial" w:cs="Arial" w:eastAsia="Arial" w:hAnsi="Arial"/>
                <w:sz w:val="18"/>
                <w:szCs w:val="18"/>
                <w:color w:val="auto"/>
              </w:rPr>
              <w:t>FROM:</w:t>
            </w:r>
          </w:p>
        </w:tc>
        <w:tc>
          <w:tcPr>
            <w:tcW w:w="3820" w:type="dxa"/>
            <w:vAlign w:val="bottom"/>
          </w:tcPr>
          <w:p>
            <w:pPr>
              <w:ind w:left="60"/>
              <w:spacing w:after="0"/>
              <w:rPr>
                <w:sz w:val="20"/>
                <w:szCs w:val="20"/>
                <w:color w:val="auto"/>
              </w:rPr>
            </w:pPr>
            <w:r>
              <w:rPr>
                <w:rFonts w:ascii="Arial" w:cs="Arial" w:eastAsia="Arial" w:hAnsi="Arial"/>
                <w:sz w:val="18"/>
                <w:szCs w:val="18"/>
                <w:b w:val="1"/>
                <w:bCs w:val="1"/>
                <w:color w:val="auto"/>
              </w:rPr>
              <w:t>BIODESIX, INC.</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-145415</wp:posOffset>
            </wp:positionV>
            <wp:extent cx="848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Under the terms and conditions of the Loan and Security Agreement between Borrower and Bank (the “Agreement”): Borrower is in</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compliance in all material respects for the period ending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000" w:type="dxa"/>
            <w:vAlign w:val="bottom"/>
            <w:tcBorders>
              <w:top w:val="single" w:sz="8" w:color="auto"/>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b w:val="1"/>
                <w:bCs w:val="1"/>
                <w:color w:val="auto"/>
              </w:rPr>
              <w:t>Reporting Covenants</w:t>
            </w:r>
          </w:p>
        </w:tc>
        <w:tc>
          <w:tcPr>
            <w:tcW w:w="1580" w:type="dxa"/>
            <w:vAlign w:val="bottom"/>
            <w:tcBorders>
              <w:top w:val="single" w:sz="8" w:color="auto"/>
            </w:tcBorders>
          </w:tcPr>
          <w:p>
            <w:pPr>
              <w:spacing w:after="0"/>
              <w:rPr>
                <w:sz w:val="15"/>
                <w:szCs w:val="15"/>
                <w:color w:val="auto"/>
              </w:rPr>
            </w:pPr>
          </w:p>
        </w:tc>
        <w:tc>
          <w:tcPr>
            <w:tcW w:w="278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rPr>
              <w:t>Required</w:t>
            </w:r>
          </w:p>
        </w:tc>
        <w:tc>
          <w:tcPr>
            <w:tcW w:w="1880" w:type="dxa"/>
            <w:vAlign w:val="bottom"/>
            <w:tcBorders>
              <w:top w:val="single" w:sz="8" w:color="auto"/>
              <w:right w:val="single" w:sz="8" w:color="auto"/>
            </w:tcBorders>
            <w:gridSpan w:val="3"/>
          </w:tcPr>
          <w:p>
            <w:pPr>
              <w:ind w:left="1060"/>
              <w:spacing w:after="0" w:line="176" w:lineRule="exact"/>
              <w:rPr>
                <w:sz w:val="20"/>
                <w:szCs w:val="20"/>
                <w:color w:val="auto"/>
              </w:rPr>
            </w:pPr>
            <w:r>
              <w:rPr>
                <w:rFonts w:ascii="Arial" w:cs="Arial" w:eastAsia="Arial" w:hAnsi="Arial"/>
                <w:sz w:val="18"/>
                <w:szCs w:val="18"/>
                <w:b w:val="1"/>
                <w:bCs w:val="1"/>
                <w:color w:val="auto"/>
                <w:w w:val="96"/>
              </w:rPr>
              <w:t>Complies</w:t>
            </w:r>
          </w:p>
        </w:tc>
      </w:tr>
      <w:tr>
        <w:trPr>
          <w:trHeight w:val="20"/>
        </w:trPr>
        <w:tc>
          <w:tcPr>
            <w:tcW w:w="16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66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r>
      <w:tr>
        <w:trPr>
          <w:trHeight w:val="195"/>
        </w:trPr>
        <w:tc>
          <w:tcPr>
            <w:tcW w:w="50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Quarterly financial statements with Compliance Statement</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Within 5 Business Days following the date Borrower is</w:t>
            </w:r>
          </w:p>
        </w:tc>
        <w:tc>
          <w:tcPr>
            <w:tcW w:w="1060" w:type="dxa"/>
            <w:vAlign w:val="bottom"/>
          </w:tcPr>
          <w:p>
            <w:pPr>
              <w:spacing w:after="0"/>
              <w:rPr>
                <w:sz w:val="16"/>
                <w:szCs w:val="16"/>
                <w:color w:val="auto"/>
              </w:rPr>
            </w:pPr>
          </w:p>
        </w:tc>
        <w:tc>
          <w:tcPr>
            <w:tcW w:w="820" w:type="dxa"/>
            <w:vAlign w:val="bottom"/>
            <w:tcBorders>
              <w:right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Yes No</w:t>
            </w:r>
          </w:p>
        </w:tc>
      </w:tr>
      <w:tr>
        <w:trPr>
          <w:trHeight w:val="203"/>
        </w:trPr>
        <w:tc>
          <w:tcPr>
            <w:tcW w:w="1660" w:type="dxa"/>
            <w:vAlign w:val="bottom"/>
            <w:tcBorders>
              <w:left w:val="single" w:sz="8" w:color="auto"/>
            </w:tcBorders>
          </w:tcPr>
          <w:p>
            <w:pPr>
              <w:spacing w:after="0"/>
              <w:rPr>
                <w:sz w:val="17"/>
                <w:szCs w:val="17"/>
                <w:color w:val="auto"/>
              </w:rPr>
            </w:pPr>
          </w:p>
        </w:tc>
        <w:tc>
          <w:tcPr>
            <w:tcW w:w="33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required to file</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30"/>
        </w:trPr>
        <w:tc>
          <w:tcPr>
            <w:tcW w:w="166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its Form 10-Q</w:t>
            </w:r>
          </w:p>
        </w:tc>
        <w:tc>
          <w:tcPr>
            <w:tcW w:w="1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195"/>
        </w:trPr>
        <w:tc>
          <w:tcPr>
            <w:tcW w:w="50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Annual financial statements (CPA Audited)</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Within 5 Business Days following the date Borrower is</w:t>
            </w:r>
          </w:p>
        </w:tc>
        <w:tc>
          <w:tcPr>
            <w:tcW w:w="1060" w:type="dxa"/>
            <w:vAlign w:val="bottom"/>
          </w:tcPr>
          <w:p>
            <w:pPr>
              <w:spacing w:after="0"/>
              <w:rPr>
                <w:sz w:val="16"/>
                <w:szCs w:val="16"/>
                <w:color w:val="auto"/>
              </w:rPr>
            </w:pPr>
          </w:p>
        </w:tc>
        <w:tc>
          <w:tcPr>
            <w:tcW w:w="820" w:type="dxa"/>
            <w:vAlign w:val="bottom"/>
            <w:tcBorders>
              <w:right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Yes No</w:t>
            </w:r>
          </w:p>
        </w:tc>
      </w:tr>
      <w:tr>
        <w:trPr>
          <w:trHeight w:val="230"/>
        </w:trPr>
        <w:tc>
          <w:tcPr>
            <w:tcW w:w="1660" w:type="dxa"/>
            <w:vAlign w:val="bottom"/>
            <w:tcBorders>
              <w:lef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required to file its Form 10-K</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203"/>
        </w:trPr>
        <w:tc>
          <w:tcPr>
            <w:tcW w:w="1660" w:type="dxa"/>
            <w:vAlign w:val="bottom"/>
            <w:tcBorders>
              <w:left w:val="single" w:sz="8" w:color="auto"/>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r>
      <w:tr>
        <w:trPr>
          <w:trHeight w:val="195"/>
        </w:trPr>
        <w:tc>
          <w:tcPr>
            <w:tcW w:w="50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A/R &amp; A/P Agings and a Detailed Listing of Borrower’s Account</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10 Business Days</w:t>
            </w:r>
          </w:p>
        </w:tc>
        <w:tc>
          <w:tcPr>
            <w:tcW w:w="1060" w:type="dxa"/>
            <w:vAlign w:val="bottom"/>
          </w:tcPr>
          <w:p>
            <w:pPr>
              <w:spacing w:after="0"/>
              <w:rPr>
                <w:sz w:val="16"/>
                <w:szCs w:val="16"/>
                <w:color w:val="auto"/>
              </w:rPr>
            </w:pPr>
          </w:p>
        </w:tc>
        <w:tc>
          <w:tcPr>
            <w:tcW w:w="820" w:type="dxa"/>
            <w:vAlign w:val="bottom"/>
            <w:tcBorders>
              <w:right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Yes No</w:t>
            </w:r>
          </w:p>
        </w:tc>
      </w:tr>
      <w:tr>
        <w:trPr>
          <w:trHeight w:val="230"/>
        </w:trPr>
        <w:tc>
          <w:tcPr>
            <w:tcW w:w="5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Debtors</w:t>
            </w: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196"/>
        </w:trPr>
        <w:tc>
          <w:tcPr>
            <w:tcW w:w="5000" w:type="dxa"/>
            <w:vAlign w:val="bottom"/>
            <w:tcBorders>
              <w:left w:val="single" w:sz="8" w:color="auto"/>
              <w:bottom w:val="single" w:sz="8" w:color="auto"/>
              <w:right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Inventory Reports</w:t>
            </w:r>
          </w:p>
        </w:tc>
        <w:tc>
          <w:tcPr>
            <w:tcW w:w="4360" w:type="dxa"/>
            <w:vAlign w:val="bottom"/>
            <w:tcBorders>
              <w:bottom w:val="single" w:sz="8" w:color="auto"/>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Monthly within 30 days</w:t>
            </w:r>
          </w:p>
        </w:tc>
        <w:tc>
          <w:tcPr>
            <w:tcW w:w="10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gridSpan w:val="2"/>
          </w:tcPr>
          <w:p>
            <w:pPr>
              <w:ind w:left="160"/>
              <w:spacing w:after="0" w:line="196" w:lineRule="exact"/>
              <w:rPr>
                <w:sz w:val="20"/>
                <w:szCs w:val="20"/>
                <w:color w:val="auto"/>
              </w:rPr>
            </w:pPr>
            <w:r>
              <w:rPr>
                <w:rFonts w:ascii="Arial" w:cs="Arial" w:eastAsia="Arial" w:hAnsi="Arial"/>
                <w:sz w:val="18"/>
                <w:szCs w:val="18"/>
                <w:color w:val="auto"/>
              </w:rPr>
              <w:t>Yes No</w:t>
            </w:r>
          </w:p>
        </w:tc>
      </w:tr>
      <w:tr>
        <w:trPr>
          <w:trHeight w:val="182"/>
        </w:trPr>
        <w:tc>
          <w:tcPr>
            <w:tcW w:w="5000" w:type="dxa"/>
            <w:vAlign w:val="bottom"/>
            <w:tcBorders>
              <w:left w:val="single" w:sz="8" w:color="auto"/>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10-Q, 10-K and 8-K</w:t>
            </w:r>
          </w:p>
        </w:tc>
        <w:tc>
          <w:tcPr>
            <w:tcW w:w="436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Within 5 Business Days after filing</w:t>
            </w:r>
          </w:p>
        </w:tc>
        <w:tc>
          <w:tcPr>
            <w:tcW w:w="1060" w:type="dxa"/>
            <w:vAlign w:val="bottom"/>
          </w:tcPr>
          <w:p>
            <w:pPr>
              <w:spacing w:after="0"/>
              <w:rPr>
                <w:sz w:val="15"/>
                <w:szCs w:val="15"/>
                <w:color w:val="auto"/>
              </w:rPr>
            </w:pPr>
          </w:p>
        </w:tc>
        <w:tc>
          <w:tcPr>
            <w:tcW w:w="820" w:type="dxa"/>
            <w:vAlign w:val="bottom"/>
            <w:tcBorders>
              <w:right w:val="single" w:sz="8" w:color="auto"/>
            </w:tcBorders>
            <w:gridSpan w:val="2"/>
          </w:tcPr>
          <w:p>
            <w:pPr>
              <w:ind w:left="140"/>
              <w:spacing w:after="0" w:line="182" w:lineRule="exact"/>
              <w:rPr>
                <w:sz w:val="20"/>
                <w:szCs w:val="20"/>
                <w:color w:val="auto"/>
              </w:rPr>
            </w:pPr>
            <w:r>
              <w:rPr>
                <w:rFonts w:ascii="Arial" w:cs="Arial" w:eastAsia="Arial" w:hAnsi="Arial"/>
                <w:sz w:val="18"/>
                <w:szCs w:val="18"/>
                <w:color w:val="auto"/>
              </w:rPr>
              <w:t>Yes No</w:t>
            </w:r>
          </w:p>
        </w:tc>
      </w:tr>
      <w:tr>
        <w:trPr>
          <w:trHeight w:val="230"/>
        </w:trPr>
        <w:tc>
          <w:tcPr>
            <w:tcW w:w="166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with SEC</w:t>
            </w:r>
          </w:p>
        </w:tc>
        <w:tc>
          <w:tcPr>
            <w:tcW w:w="1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195"/>
        </w:trPr>
        <w:tc>
          <w:tcPr>
            <w:tcW w:w="50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Board approved projections</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7"/>
              </w:rPr>
              <w:t>Within 75 days after FYE, or, if earlier, the 7th Business</w:t>
            </w:r>
          </w:p>
        </w:tc>
        <w:tc>
          <w:tcPr>
            <w:tcW w:w="1060" w:type="dxa"/>
            <w:vAlign w:val="bottom"/>
          </w:tcPr>
          <w:p>
            <w:pPr>
              <w:spacing w:after="0"/>
              <w:rPr>
                <w:sz w:val="16"/>
                <w:szCs w:val="16"/>
                <w:color w:val="auto"/>
              </w:rPr>
            </w:pPr>
          </w:p>
        </w:tc>
        <w:tc>
          <w:tcPr>
            <w:tcW w:w="820" w:type="dxa"/>
            <w:vAlign w:val="bottom"/>
            <w:tcBorders>
              <w:right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Yes No</w:t>
            </w:r>
          </w:p>
        </w:tc>
      </w:tr>
      <w:tr>
        <w:trPr>
          <w:trHeight w:val="216"/>
        </w:trPr>
        <w:tc>
          <w:tcPr>
            <w:tcW w:w="166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Day following approval by the Borrower’s board of</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directors, and within seven (7) Business Days of any</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03"/>
        </w:trPr>
        <w:tc>
          <w:tcPr>
            <w:tcW w:w="1660" w:type="dxa"/>
            <w:vAlign w:val="bottom"/>
            <w:tcBorders>
              <w:left w:val="single" w:sz="8" w:color="auto"/>
            </w:tcBorders>
          </w:tcPr>
          <w:p>
            <w:pPr>
              <w:spacing w:after="0"/>
              <w:rPr>
                <w:sz w:val="17"/>
                <w:szCs w:val="17"/>
                <w:color w:val="auto"/>
              </w:rPr>
            </w:pPr>
          </w:p>
        </w:tc>
        <w:tc>
          <w:tcPr>
            <w:tcW w:w="33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material updates/amendments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30"/>
        </w:trPr>
        <w:tc>
          <w:tcPr>
            <w:tcW w:w="1660" w:type="dxa"/>
            <w:vAlign w:val="bottom"/>
            <w:tcBorders>
              <w:lef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thereto</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432"/>
        </w:trPr>
        <w:tc>
          <w:tcPr>
            <w:tcW w:w="166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210"/>
        </w:trPr>
        <w:tc>
          <w:tcPr>
            <w:tcW w:w="166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000" w:type="dxa"/>
            <w:vAlign w:val="bottom"/>
            <w:tcBorders>
              <w:top w:val="single" w:sz="8" w:color="auto"/>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b w:val="1"/>
                <w:bCs w:val="1"/>
                <w:color w:val="auto"/>
              </w:rPr>
              <w:t>Financial Covenants</w:t>
            </w:r>
          </w:p>
        </w:tc>
        <w:tc>
          <w:tcPr>
            <w:tcW w:w="1040" w:type="dxa"/>
            <w:vAlign w:val="bottom"/>
            <w:tcBorders>
              <w:top w:val="single" w:sz="8" w:color="auto"/>
            </w:tcBorders>
          </w:tcPr>
          <w:p>
            <w:pPr>
              <w:spacing w:after="0"/>
              <w:rPr>
                <w:sz w:val="15"/>
                <w:szCs w:val="15"/>
                <w:color w:val="auto"/>
              </w:rPr>
            </w:pPr>
          </w:p>
        </w:tc>
        <w:tc>
          <w:tcPr>
            <w:tcW w:w="1760" w:type="dxa"/>
            <w:vAlign w:val="bottom"/>
            <w:tcBorders>
              <w:top w:val="single" w:sz="8" w:color="auto"/>
              <w:right w:val="single" w:sz="8" w:color="auto"/>
            </w:tcBorders>
            <w:gridSpan w:val="2"/>
          </w:tcPr>
          <w:p>
            <w:pPr>
              <w:jc w:val="center"/>
              <w:ind w:right="1040"/>
              <w:spacing w:after="0" w:line="176" w:lineRule="exact"/>
              <w:rPr>
                <w:sz w:val="20"/>
                <w:szCs w:val="20"/>
                <w:color w:val="auto"/>
              </w:rPr>
            </w:pPr>
            <w:r>
              <w:rPr>
                <w:rFonts w:ascii="Arial" w:cs="Arial" w:eastAsia="Arial" w:hAnsi="Arial"/>
                <w:sz w:val="18"/>
                <w:szCs w:val="18"/>
                <w:b w:val="1"/>
                <w:bCs w:val="1"/>
                <w:color w:val="auto"/>
                <w:w w:val="92"/>
              </w:rPr>
              <w:t>Required</w:t>
            </w:r>
          </w:p>
        </w:tc>
        <w:tc>
          <w:tcPr>
            <w:tcW w:w="560" w:type="dxa"/>
            <w:vAlign w:val="bottom"/>
            <w:tcBorders>
              <w:top w:val="single" w:sz="8" w:color="auto"/>
            </w:tcBorders>
          </w:tcPr>
          <w:p>
            <w:pPr>
              <w:spacing w:after="0"/>
              <w:rPr>
                <w:sz w:val="15"/>
                <w:szCs w:val="15"/>
                <w:color w:val="auto"/>
              </w:rPr>
            </w:pPr>
          </w:p>
        </w:tc>
        <w:tc>
          <w:tcPr>
            <w:tcW w:w="110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rPr>
              <w:t>Actual</w:t>
            </w:r>
          </w:p>
        </w:tc>
        <w:tc>
          <w:tcPr>
            <w:tcW w:w="178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rPr>
              <w:t>Complies</w:t>
            </w:r>
          </w:p>
        </w:tc>
        <w:tc>
          <w:tcPr>
            <w:tcW w:w="20" w:type="dxa"/>
            <w:vAlign w:val="bottom"/>
          </w:tcPr>
          <w:p>
            <w:pPr>
              <w:spacing w:after="0"/>
              <w:rPr>
                <w:sz w:val="15"/>
                <w:szCs w:val="15"/>
                <w:color w:val="auto"/>
              </w:rPr>
            </w:pPr>
          </w:p>
        </w:tc>
      </w:tr>
      <w:tr>
        <w:trPr>
          <w:trHeight w:val="20"/>
        </w:trPr>
        <w:tc>
          <w:tcPr>
            <w:tcW w:w="16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34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60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0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Minimum Liquidity Ratio (maintain at all times)</w:t>
            </w:r>
          </w:p>
        </w:tc>
        <w:tc>
          <w:tcPr>
            <w:tcW w:w="176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0.95:1.0</w:t>
            </w:r>
          </w:p>
        </w:tc>
        <w:tc>
          <w:tcPr>
            <w:tcW w:w="1040" w:type="dxa"/>
            <w:vAlign w:val="bottom"/>
            <w:tcBorders>
              <w:right w:val="single" w:sz="8" w:color="auto"/>
            </w:tcBorders>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5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Yes No</w:t>
            </w:r>
          </w:p>
        </w:tc>
        <w:tc>
          <w:tcPr>
            <w:tcW w:w="20" w:type="dxa"/>
            <w:vAlign w:val="bottom"/>
          </w:tcPr>
          <w:p>
            <w:pPr>
              <w:spacing w:after="0"/>
              <w:rPr>
                <w:sz w:val="19"/>
                <w:szCs w:val="19"/>
                <w:color w:val="auto"/>
              </w:rPr>
            </w:pPr>
          </w:p>
        </w:tc>
      </w:tr>
      <w:tr>
        <w:trPr>
          <w:trHeight w:val="188"/>
        </w:trPr>
        <w:tc>
          <w:tcPr>
            <w:tcW w:w="1600" w:type="dxa"/>
            <w:vAlign w:val="bottom"/>
            <w:tcBorders>
              <w:left w:val="single" w:sz="8" w:color="auto"/>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0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1"/>
              </w:rPr>
              <w:t>Minimum Revenue (measured on a trailing three (3) month basis for</w:t>
            </w:r>
          </w:p>
        </w:tc>
        <w:tc>
          <w:tcPr>
            <w:tcW w:w="2800" w:type="dxa"/>
            <w:vAlign w:val="bottom"/>
            <w:tcBorders>
              <w:right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color w:val="auto"/>
                <w:w w:val="86"/>
              </w:rPr>
              <w:t>See Schedule 1</w:t>
            </w:r>
          </w:p>
        </w:tc>
        <w:tc>
          <w:tcPr>
            <w:tcW w:w="108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2"/>
          </w:tcPr>
          <w:p>
            <w:pPr>
              <w:ind w:left="600"/>
              <w:spacing w:after="0" w:line="195" w:lineRule="exact"/>
              <w:rPr>
                <w:sz w:val="20"/>
                <w:szCs w:val="20"/>
                <w:color w:val="auto"/>
              </w:rPr>
            </w:pPr>
            <w:r>
              <w:rPr>
                <w:rFonts w:ascii="Arial" w:cs="Arial" w:eastAsia="Arial" w:hAnsi="Arial"/>
                <w:sz w:val="18"/>
                <w:szCs w:val="18"/>
                <w:color w:val="auto"/>
              </w:rPr>
              <w:t>Yes No</w:t>
            </w:r>
          </w:p>
        </w:tc>
        <w:tc>
          <w:tcPr>
            <w:tcW w:w="20" w:type="dxa"/>
            <w:vAlign w:val="bottom"/>
          </w:tcPr>
          <w:p>
            <w:pPr>
              <w:spacing w:after="0"/>
              <w:rPr>
                <w:sz w:val="16"/>
                <w:szCs w:val="16"/>
                <w:color w:val="auto"/>
              </w:rPr>
            </w:pPr>
          </w:p>
        </w:tc>
      </w:tr>
      <w:tr>
        <w:trPr>
          <w:trHeight w:val="216"/>
        </w:trPr>
        <w:tc>
          <w:tcPr>
            <w:tcW w:w="50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the quarter ending December 31, 2021 and trailing six (6) month</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0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basis thereafter) (tested</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quarterly)</w:t>
            </w: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770"/>
        </w:trPr>
        <w:tc>
          <w:tcPr>
            <w:tcW w:w="16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4" w:right="319" w:bottom="1440" w:gutter="0" w:footer="0" w:header="0"/>
        </w:sectPr>
      </w:pPr>
    </w:p>
    <w:bookmarkStart w:id="48" w:name="page49"/>
    <w:bookmarkEnd w:id="48"/>
    <w:tbl>
      <w:tblPr>
        <w:tblLayout w:type="fixed"/>
        <w:tblInd w:w="100" w:type="dxa"/>
        <w:tblCellMar>
          <w:top w:w="0" w:type="dxa"/>
          <w:left w:w="0" w:type="dxa"/>
          <w:bottom w:w="0" w:type="dxa"/>
          <w:right w:w="0" w:type="dxa"/>
        </w:tblCellMar>
      </w:tblPr>
      <w:tr>
        <w:trPr>
          <w:trHeight w:val="207"/>
        </w:trPr>
        <w:tc>
          <w:tcPr>
            <w:tcW w:w="926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Matters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9260" w:type="dxa"/>
            <w:vAlign w:val="bottom"/>
            <w:gridSpan w:val="3"/>
          </w:tcPr>
          <w:p>
            <w:pPr>
              <w:spacing w:after="0"/>
              <w:rPr>
                <w:sz w:val="20"/>
                <w:szCs w:val="20"/>
                <w:color w:val="auto"/>
              </w:rPr>
            </w:pPr>
            <w:r>
              <w:rPr>
                <w:rFonts w:ascii="Arial" w:cs="Arial" w:eastAsia="Arial" w:hAnsi="Arial"/>
                <w:sz w:val="18"/>
                <w:szCs w:val="18"/>
                <w:color w:val="auto"/>
              </w:rPr>
              <w:t>Have there been any amendments of or other changes to the capitalization table of Borrower and to the Operating</w:t>
            </w:r>
          </w:p>
        </w:tc>
        <w:tc>
          <w:tcPr>
            <w:tcW w:w="940" w:type="dxa"/>
            <w:vAlign w:val="bottom"/>
            <w:vMerge w:val="restart"/>
          </w:tcPr>
          <w:p>
            <w:pPr>
              <w:ind w:left="26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w w:val="97"/>
              </w:rPr>
              <w:t>Documents of Borrower or any of its Subsidiaries? If yes, provide copies of any such amendments or changes with this</w:t>
            </w:r>
          </w:p>
        </w:tc>
        <w:tc>
          <w:tcPr>
            <w:tcW w:w="9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sz w:val="20"/>
                <w:szCs w:val="20"/>
                <w:color w:val="auto"/>
              </w:rPr>
            </w:pPr>
            <w:r>
              <w:rPr>
                <w:rFonts w:ascii="Arial" w:cs="Arial" w:eastAsia="Arial" w:hAnsi="Arial"/>
                <w:sz w:val="18"/>
                <w:szCs w:val="18"/>
                <w:color w:val="auto"/>
              </w:rPr>
              <w:t>Compliance Statement.</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792"/>
        <w:spacing w:after="0" w:line="277" w:lineRule="auto"/>
        <w:rPr>
          <w:sz w:val="20"/>
          <w:szCs w:val="20"/>
          <w:color w:val="auto"/>
        </w:rPr>
      </w:pPr>
      <w:r>
        <w:rPr>
          <w:rFonts w:ascii="Arial" w:cs="Arial" w:eastAsia="Arial" w:hAnsi="Arial"/>
          <w:sz w:val="18"/>
          <w:szCs w:val="18"/>
          <w:color w:val="auto"/>
        </w:rPr>
        <w:t>The following financial covenant analysis and information set forth in Schedule 1 attached hereto are true and accurate as of the date of this Compliance Statement.</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320" w:top="837" w:right="639" w:bottom="1440" w:gutter="0" w:footer="0" w:header="0"/>
        </w:sectPr>
      </w:pPr>
    </w:p>
    <w:bookmarkStart w:id="49" w:name="page50"/>
    <w:bookmarkEnd w:id="49"/>
    <w:p>
      <w:pPr>
        <w:jc w:val="center"/>
        <w:ind w:right="-159"/>
        <w:spacing w:after="0"/>
        <w:rPr>
          <w:sz w:val="20"/>
          <w:szCs w:val="20"/>
          <w:color w:val="auto"/>
        </w:rPr>
      </w:pPr>
      <w:r>
        <w:rPr>
          <w:rFonts w:ascii="Arial" w:cs="Arial" w:eastAsia="Arial" w:hAnsi="Arial"/>
          <w:sz w:val="18"/>
          <w:szCs w:val="18"/>
          <w:b w:val="1"/>
          <w:bCs w:val="1"/>
          <w:u w:val="single" w:color="auto"/>
          <w:color w:val="auto"/>
        </w:rPr>
        <w:t>Schedule 1 to Compliance Statement</w:t>
      </w:r>
    </w:p>
    <w:p>
      <w:pPr>
        <w:spacing w:after="0" w:line="200" w:lineRule="exact"/>
        <w:rPr>
          <w:sz w:val="20"/>
          <w:szCs w:val="20"/>
          <w:color w:val="auto"/>
        </w:rPr>
      </w:pP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the event of a conflict between this Schedule and the Agreement, the terms of the Agreement shall govern.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5143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69" w:lineRule="exact"/>
        <w:rPr>
          <w:sz w:val="20"/>
          <w:szCs w:val="20"/>
          <w:color w:val="auto"/>
        </w:rPr>
      </w:pPr>
    </w:p>
    <w:p>
      <w:pPr>
        <w:ind w:left="1180" w:hanging="389"/>
        <w:spacing w:after="0"/>
        <w:tabs>
          <w:tab w:leader="none" w:pos="1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Revenue </w:t>
      </w:r>
      <w:r>
        <w:rPr>
          <w:rFonts w:ascii="Arial" w:cs="Arial" w:eastAsia="Arial" w:hAnsi="Arial"/>
          <w:sz w:val="18"/>
          <w:szCs w:val="18"/>
          <w:color w:val="auto"/>
        </w:rPr>
        <w:t>(Section 6.7(a))</w:t>
      </w:r>
    </w:p>
    <w:p>
      <w:pPr>
        <w:spacing w:after="0" w:line="229"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Required:</w:t>
      </w:r>
      <w:r>
        <w:rPr>
          <w:sz w:val="20"/>
          <w:szCs w:val="20"/>
          <w:color w:val="auto"/>
        </w:rPr>
        <w:tab/>
      </w:r>
      <w:r>
        <w:rPr>
          <w:rFonts w:ascii="Arial" w:cs="Arial" w:eastAsia="Arial" w:hAnsi="Arial"/>
          <w:sz w:val="16"/>
          <w:szCs w:val="16"/>
          <w:color w:val="auto"/>
        </w:rPr>
        <w:t>(85% of board approved projections for December 31, 2021 and 70% of board approved projections for all periods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3810</wp:posOffset>
            </wp:positionV>
            <wp:extent cx="4572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25"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Borrower’s revenue (determined in accordance with GAAP) measured on a trailing 3 month basis (December 31, 2021) and trailing</w:t>
      </w:r>
    </w:p>
    <w:p>
      <w:pPr>
        <w:spacing w:after="0" w:line="35"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6-month basis (all quarters ending after December 31, 2021)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9620" w:type="dxa"/>
            <w:vAlign w:val="bottom"/>
            <w:gridSpan w:val="5"/>
          </w:tcPr>
          <w:p>
            <w:pPr>
              <w:jc w:val="right"/>
              <w:ind w:right="1550"/>
              <w:spacing w:after="0"/>
              <w:rPr>
                <w:sz w:val="20"/>
                <w:szCs w:val="20"/>
                <w:color w:val="auto"/>
              </w:rPr>
            </w:pPr>
            <w:r>
              <w:rPr>
                <w:rFonts w:ascii="Arial" w:cs="Arial" w:eastAsia="Arial" w:hAnsi="Arial"/>
                <w:sz w:val="18"/>
                <w:szCs w:val="18"/>
                <w:color w:val="auto"/>
                <w:w w:val="90"/>
              </w:rPr>
              <w:t>Is line A equal to or greater than the required revenue set forth above for the corresponding measuring period?</w:t>
            </w:r>
          </w:p>
        </w:tc>
      </w:tr>
      <w:tr>
        <w:trPr>
          <w:trHeight w:val="432"/>
        </w:trPr>
        <w:tc>
          <w:tcPr>
            <w:tcW w:w="660" w:type="dxa"/>
            <w:vAlign w:val="bottom"/>
          </w:tcPr>
          <w:p>
            <w:pPr>
              <w:spacing w:after="0"/>
              <w:rPr>
                <w:sz w:val="24"/>
                <w:szCs w:val="24"/>
                <w:color w:val="auto"/>
              </w:rPr>
            </w:pPr>
          </w:p>
        </w:tc>
        <w:tc>
          <w:tcPr>
            <w:tcW w:w="5940" w:type="dxa"/>
            <w:vAlign w:val="bottom"/>
            <w:gridSpan w:val="2"/>
          </w:tcPr>
          <w:p>
            <w:pPr>
              <w:ind w:left="1180"/>
              <w:spacing w:after="0"/>
              <w:rPr>
                <w:sz w:val="20"/>
                <w:szCs w:val="20"/>
                <w:color w:val="auto"/>
              </w:rPr>
            </w:pPr>
            <w:r>
              <w:rPr>
                <w:rFonts w:ascii="Arial" w:cs="Arial" w:eastAsia="Arial" w:hAnsi="Arial"/>
                <w:sz w:val="18"/>
                <w:szCs w:val="18"/>
                <w:color w:val="auto"/>
              </w:rPr>
              <w:t>No, not in compliance</w:t>
            </w:r>
          </w:p>
        </w:tc>
        <w:tc>
          <w:tcPr>
            <w:tcW w:w="1320" w:type="dxa"/>
            <w:vAlign w:val="bottom"/>
          </w:tcPr>
          <w:p>
            <w:pPr>
              <w:spacing w:after="0"/>
              <w:rPr>
                <w:sz w:val="24"/>
                <w:szCs w:val="24"/>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w w:val="90"/>
              </w:rPr>
              <w:t>Yes, in compliance</w:t>
            </w:r>
          </w:p>
        </w:tc>
      </w:tr>
      <w:tr>
        <w:trPr>
          <w:trHeight w:val="20"/>
        </w:trPr>
        <w:tc>
          <w:tcPr>
            <w:tcW w:w="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-702310</wp:posOffset>
            </wp:positionV>
            <wp:extent cx="471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45" w:lineRule="exact"/>
        <w:rPr>
          <w:sz w:val="20"/>
          <w:szCs w:val="20"/>
          <w:color w:val="auto"/>
        </w:rPr>
      </w:pPr>
    </w:p>
    <w:p>
      <w:pPr>
        <w:ind w:left="1620" w:hanging="820"/>
        <w:spacing w:after="0"/>
        <w:tabs>
          <w:tab w:leader="none" w:pos="16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Ratio </w:t>
      </w:r>
      <w:r>
        <w:rPr>
          <w:rFonts w:ascii="Arial" w:cs="Arial" w:eastAsia="Arial" w:hAnsi="Arial"/>
          <w:sz w:val="18"/>
          <w:szCs w:val="18"/>
          <w:color w:val="auto"/>
        </w:rPr>
        <w:t>(Section 6.7(b))</w:t>
      </w:r>
    </w:p>
    <w:p>
      <w:pPr>
        <w:spacing w:after="0" w:line="92"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1100" w:type="dxa"/>
            <w:vAlign w:val="bottom"/>
            <w:gridSpan w:val="2"/>
          </w:tcPr>
          <w:p>
            <w:pPr>
              <w:spacing w:after="0"/>
              <w:rPr>
                <w:sz w:val="20"/>
                <w:szCs w:val="20"/>
                <w:color w:val="auto"/>
              </w:rPr>
            </w:pPr>
            <w:r>
              <w:rPr>
                <w:rFonts w:ascii="Arial" w:cs="Arial" w:eastAsia="Arial" w:hAnsi="Arial"/>
                <w:sz w:val="20"/>
                <w:szCs w:val="20"/>
                <w:color w:val="auto"/>
              </w:rPr>
              <w:t>Required:</w:t>
            </w:r>
          </w:p>
        </w:tc>
        <w:tc>
          <w:tcPr>
            <w:tcW w:w="7360" w:type="dxa"/>
            <w:vAlign w:val="bottom"/>
          </w:tcPr>
          <w:p>
            <w:pPr>
              <w:ind w:left="320"/>
              <w:spacing w:after="0"/>
              <w:rPr>
                <w:sz w:val="20"/>
                <w:szCs w:val="20"/>
                <w:color w:val="auto"/>
              </w:rPr>
            </w:pPr>
            <w:r>
              <w:rPr>
                <w:rFonts w:ascii="Arial" w:cs="Arial" w:eastAsia="Arial" w:hAnsi="Arial"/>
                <w:sz w:val="20"/>
                <w:szCs w:val="20"/>
                <w:color w:val="auto"/>
              </w:rPr>
              <w:t>&gt;0.95 to 1.00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8060" w:type="dxa"/>
            <w:vAlign w:val="bottom"/>
            <w:gridSpan w:val="2"/>
          </w:tcPr>
          <w:p>
            <w:pPr>
              <w:ind w:left="200"/>
              <w:spacing w:after="0"/>
              <w:rPr>
                <w:sz w:val="20"/>
                <w:szCs w:val="20"/>
                <w:color w:val="auto"/>
              </w:rPr>
            </w:pPr>
            <w:r>
              <w:rPr>
                <w:rFonts w:ascii="Arial" w:cs="Arial" w:eastAsia="Arial" w:hAnsi="Arial"/>
                <w:sz w:val="18"/>
                <w:szCs w:val="18"/>
                <w:color w:val="auto"/>
                <w:w w:val="96"/>
              </w:rPr>
              <w:t>Aggregate value of Borrower’s unrestricted cash held at Bank or Bank’s Affiliates (subject to a Control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060" w:type="dxa"/>
            <w:vAlign w:val="bottom"/>
            <w:gridSpan w:val="2"/>
          </w:tcPr>
          <w:p>
            <w:pPr>
              <w:ind w:left="200"/>
              <w:spacing w:after="0"/>
              <w:rPr>
                <w:sz w:val="20"/>
                <w:szCs w:val="20"/>
                <w:color w:val="auto"/>
              </w:rPr>
            </w:pPr>
            <w:r>
              <w:rPr>
                <w:rFonts w:ascii="Arial" w:cs="Arial" w:eastAsia="Arial" w:hAnsi="Arial"/>
                <w:sz w:val="18"/>
                <w:szCs w:val="18"/>
                <w:color w:val="auto"/>
              </w:rPr>
              <w:t>Agreement in favor of Bank)</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-265430</wp:posOffset>
            </wp:positionV>
            <wp:extent cx="402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ind w:left="1400" w:hanging="60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value of Borrower’s net billed Accounts receivable</w:t>
      </w:r>
    </w:p>
    <w:p>
      <w:pPr>
        <w:spacing w:after="0" w:line="225" w:lineRule="exact"/>
        <w:rPr>
          <w:rFonts w:ascii="Arial" w:cs="Arial" w:eastAsia="Arial" w:hAnsi="Arial"/>
          <w:sz w:val="18"/>
          <w:szCs w:val="18"/>
          <w:color w:val="auto"/>
        </w:rPr>
      </w:pPr>
    </w:p>
    <w:p>
      <w:pPr>
        <w:ind w:left="1400" w:hanging="60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value of Term Loan Cash Collateral in the Pledged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-404495</wp:posOffset>
            </wp:positionV>
            <wp:extent cx="402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05" w:lineRule="exact"/>
        <w:rPr>
          <w:sz w:val="20"/>
          <w:szCs w:val="20"/>
          <w:color w:val="auto"/>
        </w:rPr>
      </w:pPr>
    </w:p>
    <w:p>
      <w:pPr>
        <w:ind w:left="800"/>
        <w:spacing w:after="0"/>
        <w:tabs>
          <w:tab w:leader="none" w:pos="1380" w:val="left"/>
          <w:tab w:leader="none" w:pos="95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Aggregate outstanding principal amount of the Term Loan Advance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23495</wp:posOffset>
            </wp:positionV>
            <wp:extent cx="402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32" w:lineRule="exact"/>
        <w:rPr>
          <w:sz w:val="20"/>
          <w:szCs w:val="20"/>
          <w:color w:val="auto"/>
        </w:rPr>
      </w:pPr>
    </w:p>
    <w:p>
      <w:pPr>
        <w:ind w:left="1400" w:hanging="600"/>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Liquidity Ratio (the sum of line A plus line B plus line C divided by line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23495</wp:posOffset>
            </wp:positionV>
            <wp:extent cx="402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ectPr>
          <w:pgSz w:w="11900" w:h="16838" w:orient="portrait"/>
          <w:cols w:equalWidth="0" w:num="1">
            <w:col w:w="11080"/>
          </w:cols>
          <w:pgMar w:left="320" w:top="567"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Actual:</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line F greater than 0.95:1.00?</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No, not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29210</wp:posOffset>
            </wp:positionV>
            <wp:extent cx="7454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29210</wp:posOffset>
            </wp:positionV>
            <wp:extent cx="8489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ectPr>
          <w:pgSz w:w="11900" w:h="16838" w:orient="portrait"/>
          <w:cols w:equalWidth="0" w:num="2">
            <w:col w:w="7920" w:space="720"/>
            <w:col w:w="2440"/>
          </w:cols>
          <w:pgMar w:left="320" w:top="567" w:right="49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1420" w:hanging="854"/>
        <w:spacing w:after="0"/>
        <w:tabs>
          <w:tab w:leader="none" w:pos="14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2260" w:hanging="844"/>
        <w:spacing w:after="0"/>
        <w:tabs>
          <w:tab w:leader="none" w:pos="2260" w:val="left"/>
        </w:tabs>
        <w:numPr>
          <w:ilvl w:val="1"/>
          <w:numId w:val="33"/>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9"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33"/>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33"/>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33"/>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spacing w:after="0"/>
        <w:tabs>
          <w:tab w:leader="none" w:pos="5360" w:val="left"/>
          <w:tab w:leader="none" w:pos="78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Scott Hutton</w:t>
      </w:r>
    </w:p>
    <w:p>
      <w:pPr>
        <w:spacing w:after="0" w:line="63"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1420" w:hanging="854"/>
        <w:spacing w:after="0"/>
        <w:tabs>
          <w:tab w:leader="none" w:pos="1420" w:val="left"/>
        </w:tabs>
        <w:numPr>
          <w:ilvl w:val="0"/>
          <w:numId w:val="34"/>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34"/>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34"/>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3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2260" w:hanging="844"/>
        <w:spacing w:after="0"/>
        <w:tabs>
          <w:tab w:leader="none" w:pos="2260" w:val="left"/>
        </w:tabs>
        <w:numPr>
          <w:ilvl w:val="1"/>
          <w:numId w:val="34"/>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9"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34"/>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3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34"/>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34"/>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34"/>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spacing w:after="0"/>
        <w:tabs>
          <w:tab w:leader="none" w:pos="5360" w:val="left"/>
          <w:tab w:leader="none" w:pos="75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Robin Harper Cowie</w:t>
      </w:r>
    </w:p>
    <w:p>
      <w:pPr>
        <w:spacing w:after="0" w:line="63"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September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180" w:hanging="764"/>
        <w:spacing w:after="0"/>
        <w:tabs>
          <w:tab w:leader="none" w:pos="2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180" w:right="20" w:hanging="764"/>
        <w:spacing w:after="0" w:line="277" w:lineRule="auto"/>
        <w:tabs>
          <w:tab w:leader="none" w:pos="2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November 15, 2021</w:t>
            </w:r>
          </w:p>
        </w:tc>
        <w:tc>
          <w:tcPr>
            <w:tcW w:w="2400" w:type="dxa"/>
            <w:vAlign w:val="bottom"/>
          </w:tcPr>
          <w:p>
            <w:pPr>
              <w:ind w:left="14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Hutton</w:t>
            </w:r>
          </w:p>
        </w:tc>
      </w:tr>
      <w:tr>
        <w:trPr>
          <w:trHeight w:val="195"/>
        </w:trPr>
        <w:tc>
          <w:tcPr>
            <w:tcW w:w="3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Hutton</w:t>
            </w:r>
          </w:p>
        </w:tc>
      </w:tr>
      <w:tr>
        <w:trPr>
          <w:trHeight w:val="230"/>
        </w:trPr>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September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180" w:hanging="764"/>
        <w:spacing w:after="0"/>
        <w:tabs>
          <w:tab w:leader="none" w:pos="2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180" w:right="20" w:hanging="764"/>
        <w:spacing w:after="0" w:line="277" w:lineRule="auto"/>
        <w:tabs>
          <w:tab w:leader="none" w:pos="2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November 15, 2021</w:t>
            </w:r>
          </w:p>
        </w:tc>
        <w:tc>
          <w:tcPr>
            <w:tcW w:w="2400" w:type="dxa"/>
            <w:vAlign w:val="bottom"/>
          </w:tcPr>
          <w:p>
            <w:pPr>
              <w:ind w:left="14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Robin Harper Cowie</w:t>
            </w:r>
          </w:p>
        </w:tc>
      </w:tr>
      <w:tr>
        <w:trPr>
          <w:trHeight w:val="195"/>
        </w:trPr>
        <w:tc>
          <w:tcPr>
            <w:tcW w:w="3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2"/>
              </w:rPr>
              <w:t>Robin Harper Cowie</w:t>
            </w:r>
          </w:p>
        </w:tc>
      </w:tr>
      <w:tr>
        <w:trPr>
          <w:trHeight w:val="230"/>
        </w:trPr>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bullet"/>
      <w:start w:val="1"/>
    </w:lvl>
  </w:abstractNum>
  <w:abstractNum w:abstractNumId="7">
    <w:nsid w:val="721DA317"/>
    <w:multiLevelType w:val="hybridMultilevel"/>
    <w:lvl w:ilvl="0">
      <w:lvlJc w:val="left"/>
      <w:lvlText w:val="2"/>
      <w:numFmt w:val="bullet"/>
      <w:start w:val="1"/>
    </w:lvl>
  </w:abstractNum>
  <w:abstractNum w:abstractNumId="8">
    <w:nsid w:val="2443A858"/>
    <w:multiLevelType w:val="hybridMultilevel"/>
    <w:lvl w:ilvl="0">
      <w:lvlJc w:val="left"/>
      <w:lvlText w:val="3"/>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4"/>
    </w:lvl>
  </w:abstractNum>
  <w:abstractNum w:abstractNumId="15">
    <w:nsid w:val="B03E0C6"/>
    <w:multiLevelType w:val="hybridMultilevel"/>
    <w:lvl w:ilvl="0">
      <w:lvlJc w:val="left"/>
      <w:lvlText w:val="*"/>
      <w:numFmt w:val="bullet"/>
      <w:start w:val="1"/>
    </w:lvl>
    <w:lvl w:ilvl="1">
      <w:lvlJc w:val="left"/>
      <w:lvlText w:val="%2"/>
      <w:numFmt w:val="decimal"/>
      <w:start w:val="104"/>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upperLetter"/>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Letter"/>
      <w:start w:val="2"/>
    </w:lvl>
    <w:lvl w:ilvl="1">
      <w:lvlJc w:val="left"/>
      <w:lvlText w:val="(%2)"/>
      <w:numFmt w:val="lowerRoman"/>
      <w:start w:val="1"/>
    </w:lvl>
  </w:abstractNum>
  <w:abstractNum w:abstractNumId="21">
    <w:nsid w:val="2901D82"/>
    <w:multiLevelType w:val="hybridMultilevel"/>
    <w:lvl w:ilvl="0">
      <w:lvlJc w:val="left"/>
      <w:lvlText w:val="(%1)"/>
      <w:numFmt w:val="lowerRoman"/>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decimal"/>
      <w:start w:val="6"/>
    </w:lvl>
  </w:abstractNum>
  <w:abstractNum w:abstractNumId="26">
    <w:nsid w:val="737B8DDC"/>
    <w:multiLevelType w:val="hybridMultilevel"/>
    <w:lvl w:ilvl="0">
      <w:lvlJc w:val="left"/>
      <w:lvlText w:val="%1."/>
      <w:numFmt w:val="decimal"/>
      <w:start w:val="10"/>
    </w:lvl>
  </w:abstractNum>
  <w:abstractNum w:abstractNumId="27">
    <w:nsid w:val="6CEAF087"/>
    <w:multiLevelType w:val="hybridMultilevel"/>
    <w:lvl w:ilvl="0">
      <w:lvlJc w:val="left"/>
      <w:lvlText w:val="%1."/>
      <w:numFmt w:val="upperLetter"/>
      <w:start w:val="9"/>
    </w:lvl>
  </w:abstractNum>
  <w:abstractNum w:abstractNumId="28">
    <w:nsid w:val="22221A70"/>
    <w:multiLevelType w:val="hybridMultilevel"/>
    <w:lvl w:ilvl="0">
      <w:lvlJc w:val="left"/>
      <w:lvlText w:val="%1."/>
      <w:numFmt w:val="upperLetter"/>
      <w:start w:val="1"/>
    </w:lvl>
  </w:abstractNum>
  <w:abstractNum w:abstractNumId="29">
    <w:nsid w:val="4516DDE9"/>
    <w:multiLevelType w:val="hybridMultilevel"/>
    <w:lvl w:ilvl="0">
      <w:lvlJc w:val="left"/>
      <w:lvlText w:val="%1."/>
      <w:numFmt w:val="upperLetter"/>
      <w:start w:val="35"/>
    </w:lvl>
  </w:abstractNum>
  <w:abstractNum w:abstractNumId="30">
    <w:nsid w:val="3006C83E"/>
    <w:multiLevelType w:val="hybridMultilevel"/>
    <w:lvl w:ilvl="0">
      <w:lvlJc w:val="left"/>
      <w:lvlText w:val="%1."/>
      <w:numFmt w:val="upperLetter"/>
      <w:start w:val="2"/>
    </w:lvl>
  </w:abstractNum>
  <w:abstractNum w:abstractNumId="31">
    <w:nsid w:val="614FD4A1"/>
    <w:multiLevelType w:val="hybridMultilevel"/>
    <w:lvl w:ilvl="0">
      <w:lvlJc w:val="left"/>
      <w:lvlText w:val="%1."/>
      <w:numFmt w:val="upperLetter"/>
      <w:start w:val="5"/>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2021-11-15T07:38:37Z</dcterms:created>
  <dcterms:modified xsi:type="dcterms:W3CDTF">2021-11-15T07:38:37Z</dcterms:modified>
</cp:coreProperties>
</file>