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64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438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SCHULER JACK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BIODESIX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BDSX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760" w:type="dxa"/>
            <w:vAlign w:val="bottom"/>
            <w:gridSpan w:val="2"/>
            <w:vMerge w:val="restart"/>
          </w:tcPr>
          <w:p>
            <w:pPr>
              <w:ind w:left="440"/>
              <w:spacing w:after="0"/>
              <w:rPr>
                <w:sz w:val="20"/>
                <w:szCs w:val="20"/>
                <w:color w:val="auto"/>
              </w:rPr>
            </w:pPr>
            <w:r>
              <w:rPr>
                <w:rFonts w:ascii="Arial" w:cs="Arial" w:eastAsia="Arial" w:hAnsi="Arial"/>
                <w:sz w:val="17"/>
                <w:szCs w:val="17"/>
                <w:color w:val="0000FF"/>
              </w:rPr>
              <w:t>X</w:t>
            </w: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3"/>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2970 WILDERNESS PLACE</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3"/>
          </w:tcPr>
          <w:p>
            <w:pPr>
              <w:ind w:left="80"/>
              <w:spacing w:after="0"/>
              <w:rPr>
                <w:sz w:val="20"/>
                <w:szCs w:val="20"/>
                <w:color w:val="auto"/>
              </w:rPr>
            </w:pPr>
            <w:r>
              <w:rPr>
                <w:rFonts w:ascii="Arial" w:cs="Arial" w:eastAsia="Arial" w:hAnsi="Arial"/>
                <w:sz w:val="17"/>
                <w:szCs w:val="17"/>
                <w:color w:val="0000FF"/>
              </w:rPr>
              <w:t>12/30/2021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100</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8"/>
            <w:vMerge w:val="continue"/>
          </w:tcPr>
          <w:p>
            <w:pPr>
              <w:spacing w:after="0"/>
              <w:rPr>
                <w:sz w:val="8"/>
                <w:szCs w:val="8"/>
                <w:color w:val="auto"/>
              </w:rPr>
            </w:pPr>
          </w:p>
        </w:tc>
        <w:tc>
          <w:tcPr>
            <w:tcW w:w="36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vMerge w:val="restart"/>
          </w:tcPr>
          <w:p>
            <w:pPr>
              <w:spacing w:after="0"/>
              <w:rPr>
                <w:sz w:val="5"/>
                <w:szCs w:val="5"/>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BOULDER</w:t>
            </w:r>
          </w:p>
        </w:tc>
        <w:tc>
          <w:tcPr>
            <w:tcW w:w="300" w:type="dxa"/>
            <w:vAlign w:val="bottom"/>
          </w:tcPr>
          <w:p>
            <w:pPr>
              <w:ind w:left="40"/>
              <w:spacing w:after="0"/>
              <w:rPr>
                <w:sz w:val="20"/>
                <w:szCs w:val="20"/>
                <w:color w:val="auto"/>
              </w:rPr>
            </w:pPr>
            <w:r>
              <w:rPr>
                <w:rFonts w:ascii="Arial" w:cs="Arial" w:eastAsia="Arial" w:hAnsi="Arial"/>
                <w:sz w:val="17"/>
                <w:szCs w:val="17"/>
                <w:color w:val="0000FF"/>
                <w:w w:val="93"/>
              </w:rPr>
              <w:t>CO</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80301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ind w:left="320"/>
              <w:spacing w:after="0" w:line="134" w:lineRule="exact"/>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8"/>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3"/>
          </w:tcPr>
          <w:p>
            <w:pPr>
              <w:ind w:left="16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w w:val="98"/>
              </w:rPr>
              <w:t>6. Ownership</w:t>
            </w:r>
          </w:p>
        </w:tc>
        <w:tc>
          <w:tcPr>
            <w:tcW w:w="1260" w:type="dxa"/>
            <w:vAlign w:val="bottom"/>
            <w:gridSpan w:val="4"/>
          </w:tcPr>
          <w:p>
            <w:pPr>
              <w:ind w:left="1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1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2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52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6"/>
                <w:szCs w:val="6"/>
                <w:color w:val="auto"/>
              </w:rPr>
            </w:pPr>
          </w:p>
        </w:tc>
        <w:tc>
          <w:tcPr>
            <w:tcW w:w="1260" w:type="dxa"/>
            <w:vAlign w:val="bottom"/>
            <w:gridSpan w:val="4"/>
            <w:vMerge w:val="restart"/>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4"/>
          </w:tcPr>
          <w:p>
            <w:pPr>
              <w:ind w:left="160"/>
              <w:spacing w:after="0"/>
              <w:rPr>
                <w:sz w:val="20"/>
                <w:szCs w:val="20"/>
                <w:color w:val="auto"/>
              </w:rPr>
            </w:pPr>
            <w:r>
              <w:rPr>
                <w:rFonts w:ascii="Arial" w:cs="Arial" w:eastAsia="Arial" w:hAnsi="Arial"/>
                <w:sz w:val="17"/>
                <w:szCs w:val="17"/>
                <w:color w:val="0000FF"/>
              </w:rPr>
              <w:t>By Jack 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gridSpan w:val="4"/>
            <w:vMerge w:val="restart"/>
          </w:tcPr>
          <w:p>
            <w:pPr>
              <w:ind w:left="640"/>
              <w:spacing w:after="0"/>
              <w:rPr>
                <w:sz w:val="20"/>
                <w:szCs w:val="20"/>
                <w:color w:val="auto"/>
              </w:rPr>
            </w:pPr>
            <w:r>
              <w:rPr>
                <w:rFonts w:ascii="Arial" w:cs="Arial" w:eastAsia="Arial" w:hAnsi="Arial"/>
                <w:sz w:val="17"/>
                <w:szCs w:val="17"/>
                <w:color w:val="0000FF"/>
                <w:w w:val="98"/>
              </w:rPr>
              <w:t>12/30/2021</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vMerge w:val="restart"/>
          </w:tcPr>
          <w:p>
            <w:pPr>
              <w:spacing w:after="0"/>
              <w:rPr>
                <w:sz w:val="20"/>
                <w:szCs w:val="20"/>
                <w:color w:val="auto"/>
              </w:rPr>
            </w:pPr>
            <w:r>
              <w:rPr>
                <w:rFonts w:ascii="Arial" w:cs="Arial" w:eastAsia="Arial" w:hAnsi="Arial"/>
                <w:sz w:val="12"/>
                <w:szCs w:val="12"/>
                <w:color w:val="0000FF"/>
                <w:w w:val="74"/>
              </w:rPr>
              <w:t>P</w:t>
            </w:r>
          </w:p>
        </w:tc>
        <w:tc>
          <w:tcPr>
            <w:tcW w:w="540" w:type="dxa"/>
            <w:vAlign w:val="bottom"/>
          </w:tcPr>
          <w:p>
            <w:pPr>
              <w:spacing w:after="0"/>
              <w:rPr>
                <w:sz w:val="18"/>
                <w:szCs w:val="18"/>
                <w:color w:val="auto"/>
              </w:rPr>
            </w:pP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2,298,850</w:t>
            </w:r>
          </w:p>
        </w:tc>
        <w:tc>
          <w:tcPr>
            <w:tcW w:w="48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560" w:type="dxa"/>
            <w:vAlign w:val="bottom"/>
            <w:gridSpan w:val="2"/>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4.35</w:t>
            </w:r>
          </w:p>
        </w:tc>
        <w:tc>
          <w:tcPr>
            <w:tcW w:w="80" w:type="dxa"/>
            <w:vAlign w:val="bottom"/>
          </w:tcPr>
          <w:p>
            <w:pPr>
              <w:spacing w:after="0"/>
              <w:rPr>
                <w:sz w:val="18"/>
                <w:szCs w:val="18"/>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0000FF"/>
              </w:rPr>
              <w:t>8,463,164</w:t>
            </w:r>
          </w:p>
        </w:tc>
        <w:tc>
          <w:tcPr>
            <w:tcW w:w="520" w:type="dxa"/>
            <w:vAlign w:val="bottom"/>
            <w:vMerge w:val="restart"/>
          </w:tcPr>
          <w:p>
            <w:pPr>
              <w:ind w:left="300"/>
              <w:spacing w:after="0" w:line="382" w:lineRule="exact"/>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(1)</w:t>
            </w:r>
          </w:p>
        </w:tc>
        <w:tc>
          <w:tcPr>
            <w:tcW w:w="240" w:type="dxa"/>
            <w:vAlign w:val="bottom"/>
          </w:tcPr>
          <w:p>
            <w:pPr>
              <w:spacing w:after="0"/>
              <w:rPr>
                <w:sz w:val="18"/>
                <w:szCs w:val="18"/>
                <w:color w:val="auto"/>
              </w:rPr>
            </w:pPr>
          </w:p>
        </w:tc>
        <w:tc>
          <w:tcPr>
            <w:tcW w:w="1260" w:type="dxa"/>
            <w:vAlign w:val="bottom"/>
            <w:gridSpan w:val="4"/>
          </w:tcPr>
          <w:p>
            <w:pPr>
              <w:ind w:left="160"/>
              <w:spacing w:after="0"/>
              <w:rPr>
                <w:sz w:val="20"/>
                <w:szCs w:val="20"/>
                <w:color w:val="auto"/>
              </w:rPr>
            </w:pPr>
            <w:r>
              <w:rPr>
                <w:rFonts w:ascii="Arial" w:cs="Arial" w:eastAsia="Arial" w:hAnsi="Arial"/>
                <w:sz w:val="17"/>
                <w:szCs w:val="17"/>
                <w:color w:val="0000FF"/>
              </w:rPr>
              <w:t>Schuler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16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4"/>
          </w:tcPr>
          <w:p>
            <w:pPr>
              <w:ind w:left="160"/>
              <w:spacing w:after="0"/>
              <w:rPr>
                <w:sz w:val="20"/>
                <w:szCs w:val="20"/>
                <w:color w:val="auto"/>
              </w:rPr>
            </w:pPr>
            <w:r>
              <w:rPr>
                <w:rFonts w:ascii="Arial" w:cs="Arial" w:eastAsia="Arial" w:hAnsi="Arial"/>
                <w:sz w:val="17"/>
                <w:szCs w:val="17"/>
                <w:color w:val="0000FF"/>
              </w:rPr>
              <w:t>By Schuler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0000FF"/>
              </w:rPr>
              <w:t>277,777</w:t>
            </w:r>
          </w:p>
        </w:tc>
        <w:tc>
          <w:tcPr>
            <w:tcW w:w="520" w:type="dxa"/>
            <w:vAlign w:val="bottom"/>
          </w:tcPr>
          <w:p>
            <w:pPr>
              <w:ind w:left="300"/>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(2)</w:t>
            </w:r>
          </w:p>
        </w:tc>
        <w:tc>
          <w:tcPr>
            <w:tcW w:w="240" w:type="dxa"/>
            <w:vAlign w:val="bottom"/>
          </w:tcPr>
          <w:p>
            <w:pPr>
              <w:spacing w:after="0"/>
              <w:rPr>
                <w:sz w:val="18"/>
                <w:szCs w:val="18"/>
                <w:color w:val="auto"/>
              </w:rPr>
            </w:pPr>
          </w:p>
        </w:tc>
        <w:tc>
          <w:tcPr>
            <w:tcW w:w="1260" w:type="dxa"/>
            <w:vAlign w:val="bottom"/>
            <w:gridSpan w:val="4"/>
          </w:tcPr>
          <w:p>
            <w:pPr>
              <w:ind w:left="16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4"/>
          </w:tcPr>
          <w:p>
            <w:pPr>
              <w:ind w:left="160"/>
              <w:spacing w:after="0"/>
              <w:rPr>
                <w:sz w:val="20"/>
                <w:szCs w:val="20"/>
                <w:color w:val="auto"/>
              </w:rPr>
            </w:pPr>
            <w:r>
              <w:rPr>
                <w:rFonts w:ascii="Arial" w:cs="Arial" w:eastAsia="Arial" w:hAnsi="Arial"/>
                <w:sz w:val="17"/>
                <w:szCs w:val="17"/>
                <w:color w:val="0000FF"/>
              </w:rPr>
              <w:t>Foundation</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4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Jack W. Schuler is the sole trustee of the Jack W. Schuler Living Trust.</w:t>
      </w:r>
    </w:p>
    <w:p>
      <w:pPr>
        <w:spacing w:after="0" w:line="50" w:lineRule="exact"/>
        <w:rPr>
          <w:rFonts w:ascii="Arial" w:cs="Arial" w:eastAsia="Arial" w:hAnsi="Arial"/>
          <w:sz w:val="13"/>
          <w:szCs w:val="13"/>
          <w:color w:val="008000"/>
        </w:rPr>
      </w:pPr>
    </w:p>
    <w:p>
      <w:pPr>
        <w:ind w:left="40" w:right="28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shares of the Issuer owned by the Schuler Family Foundation (the "Foundation"). Although the Reporting Person is the President of the Foundation and makes investment decisions regarding the Foundation's securities transactions, by virtue of the Foundation's status as a 501(c)(3) tax-exempt organization, the Reporting Person may not, and in fact, does not personally derive any profit from the Foundation's transactions in the Issuer's common stock. As a result, this Form 4 is a voluntary report with respect to these purchases of the Issuer's common stock by the Foundation.</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right="180"/>
        <w:spacing w:after="0" w:line="308" w:lineRule="auto"/>
        <w:rPr>
          <w:sz w:val="20"/>
          <w:szCs w:val="20"/>
          <w:color w:val="auto"/>
        </w:rPr>
      </w:pPr>
      <w:r>
        <w:rPr>
          <w:rFonts w:ascii="Arial" w:cs="Arial" w:eastAsia="Arial" w:hAnsi="Arial"/>
          <w:sz w:val="12"/>
          <w:szCs w:val="12"/>
          <w:color w:val="008000"/>
        </w:rPr>
        <w:t>This Form 4 does not include securities acquired or held by the Tino Hans Schuler Trust, Tanya Eva Schuler Trust, Therese Heidi Schuler Trust, Schuler Grandchildren LLC, Schuler Descendants Trust or JS Grandchildren Trust, because the Reporting Person has no pecuniary interest, as such term is used for purposes of Section 16 of the Securities Exchange Act of 1934, as amended, in such securities.</w:t>
      </w:r>
    </w:p>
    <w:p>
      <w:pPr>
        <w:spacing w:after="0" w:line="19"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Robin H. Cowie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68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Jack</w:t>
      </w:r>
      <w:r>
        <w:rPr>
          <w:sz w:val="20"/>
          <w:szCs w:val="20"/>
          <w:color w:val="auto"/>
        </w:rPr>
        <w:tab/>
      </w:r>
      <w:r>
        <w:rPr>
          <w:rFonts w:ascii="Arial" w:cs="Arial" w:eastAsia="Arial" w:hAnsi="Arial"/>
          <w:sz w:val="15"/>
          <w:szCs w:val="15"/>
          <w:color w:val="0000FF"/>
        </w:rPr>
        <w:t>01/04/2022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21412" TargetMode="External"/><Relationship Id="rId13"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2022-01-04T16:17:27Z</dcterms:created>
  <dcterms:modified xsi:type="dcterms:W3CDTF">2022-01-04T16:17:27Z</dcterms:modified>
</cp:coreProperties>
</file>