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2" w:lineRule="exact"/>
        <w:rPr>
          <w:sz w:val="24"/>
          <w:szCs w:val="24"/>
          <w:color w:val="auto"/>
        </w:rPr>
      </w:pPr>
    </w:p>
    <w:p>
      <w:pPr>
        <w:ind w:left="36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-231140</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59"/>
              <w:spacing w:after="0" w:line="140"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5219700</wp:posOffset>
            </wp:positionH>
            <wp:positionV relativeFrom="paragraph">
              <wp:posOffset>-607695</wp:posOffset>
            </wp:positionV>
            <wp:extent cx="57150" cy="621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1030"/>
                    </a:xfrm>
                    <a:prstGeom prst="rect">
                      <a:avLst/>
                    </a:prstGeom>
                    <a:noFill/>
                  </pic:spPr>
                </pic:pic>
              </a:graphicData>
            </a:graphic>
          </wp:anchor>
        </w:drawing>
        <w:drawing>
          <wp:anchor simplePos="0" relativeHeight="251657728" behindDoc="1" locked="0" layoutInCell="0" allowOverlap="1">
            <wp:simplePos x="0" y="0"/>
            <wp:positionH relativeFrom="column">
              <wp:posOffset>3933190</wp:posOffset>
            </wp:positionH>
            <wp:positionV relativeFrom="paragraph">
              <wp:posOffset>-607695</wp:posOffset>
            </wp:positionV>
            <wp:extent cx="57150" cy="621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03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19685</wp:posOffset>
            </wp:positionV>
            <wp:extent cx="6997700" cy="6100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610044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180" w:space="460"/>
            <w:col w:w="8440"/>
          </w:cols>
          <w:pgMar w:left="460" w:top="214" w:right="359" w:bottom="803"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O'Kane Kieran</w:t>
        </w:r>
      </w:hyperlink>
    </w:p>
    <w:p>
      <w:pPr>
        <w:spacing w:after="0" w:line="286"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1120" w:type="dxa"/>
            <w:vAlign w:val="bottom"/>
          </w:tcPr>
          <w:p>
            <w:pPr>
              <w:ind w:left="40"/>
              <w:spacing w:after="0"/>
              <w:rPr>
                <w:sz w:val="20"/>
                <w:szCs w:val="20"/>
                <w:color w:val="auto"/>
              </w:rPr>
            </w:pPr>
            <w:r>
              <w:rPr>
                <w:rFonts w:ascii="Arial" w:cs="Arial" w:eastAsia="Arial" w:hAnsi="Arial"/>
                <w:sz w:val="13"/>
                <w:szCs w:val="13"/>
                <w:color w:val="auto"/>
              </w:rPr>
              <w:t>(Last)</w:t>
            </w:r>
          </w:p>
        </w:tc>
        <w:tc>
          <w:tcPr>
            <w:tcW w:w="960" w:type="dxa"/>
            <w:vAlign w:val="bottom"/>
          </w:tcPr>
          <w:p>
            <w:pPr>
              <w:ind w:left="140"/>
              <w:spacing w:after="0"/>
              <w:rPr>
                <w:sz w:val="20"/>
                <w:szCs w:val="20"/>
                <w:color w:val="auto"/>
              </w:rPr>
            </w:pPr>
            <w:r>
              <w:rPr>
                <w:rFonts w:ascii="Arial" w:cs="Arial" w:eastAsia="Arial" w:hAnsi="Arial"/>
                <w:sz w:val="13"/>
                <w:szCs w:val="13"/>
                <w:color w:val="auto"/>
              </w:rPr>
              <w:t>(First)</w:t>
            </w:r>
          </w:p>
        </w:tc>
        <w:tc>
          <w:tcPr>
            <w:tcW w:w="860" w:type="dxa"/>
            <w:vAlign w:val="bottom"/>
          </w:tcPr>
          <w:p>
            <w:pPr>
              <w:ind w:left="400"/>
              <w:spacing w:after="0"/>
              <w:rPr>
                <w:sz w:val="20"/>
                <w:szCs w:val="20"/>
                <w:color w:val="auto"/>
              </w:rPr>
            </w:pPr>
            <w:r>
              <w:rPr>
                <w:rFonts w:ascii="Arial" w:cs="Arial" w:eastAsia="Arial" w:hAnsi="Arial"/>
                <w:sz w:val="13"/>
                <w:szCs w:val="13"/>
                <w:color w:val="auto"/>
                <w:w w:val="93"/>
              </w:rPr>
              <w:t>(Middle)</w:t>
            </w:r>
          </w:p>
        </w:tc>
      </w:tr>
      <w:tr>
        <w:trPr>
          <w:trHeight w:val="258"/>
        </w:trPr>
        <w:tc>
          <w:tcPr>
            <w:tcW w:w="20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919 WEST DILLON RD</w:t>
            </w:r>
          </w:p>
        </w:tc>
        <w:tc>
          <w:tcPr>
            <w:tcW w:w="860" w:type="dxa"/>
            <w:vAlign w:val="bottom"/>
          </w:tcPr>
          <w:p>
            <w:pPr>
              <w:spacing w:after="0"/>
              <w:rPr>
                <w:sz w:val="22"/>
                <w:szCs w:val="22"/>
                <w:color w:val="auto"/>
              </w:rPr>
            </w:pPr>
          </w:p>
        </w:tc>
      </w:tr>
      <w:tr>
        <w:trPr>
          <w:trHeight w:val="467"/>
        </w:trPr>
        <w:tc>
          <w:tcPr>
            <w:tcW w:w="1120" w:type="dxa"/>
            <w:vAlign w:val="bottom"/>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21"/>
        </w:trPr>
        <w:tc>
          <w:tcPr>
            <w:tcW w:w="11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LOUISVILLE</w:t>
            </w:r>
          </w:p>
        </w:tc>
        <w:tc>
          <w:tcPr>
            <w:tcW w:w="96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CO</w:t>
            </w:r>
          </w:p>
        </w:tc>
        <w:tc>
          <w:tcPr>
            <w:tcW w:w="86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80027</w:t>
            </w:r>
          </w:p>
        </w:tc>
      </w:tr>
      <w:tr>
        <w:trPr>
          <w:trHeight w:val="455"/>
        </w:trPr>
        <w:tc>
          <w:tcPr>
            <w:tcW w:w="1120" w:type="dxa"/>
            <w:vAlign w:val="bottom"/>
          </w:tcPr>
          <w:p>
            <w:pPr>
              <w:ind w:left="40"/>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86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5"/>
        </w:trPr>
        <w:tc>
          <w:tcPr>
            <w:tcW w:w="60" w:type="dxa"/>
            <w:vAlign w:val="bottom"/>
          </w:tcPr>
          <w:p>
            <w:pPr>
              <w:spacing w:after="0"/>
              <w:rPr>
                <w:sz w:val="17"/>
                <w:szCs w:val="17"/>
                <w:color w:val="auto"/>
              </w:rPr>
            </w:pPr>
          </w:p>
        </w:tc>
        <w:tc>
          <w:tcPr>
            <w:tcW w:w="3760" w:type="dxa"/>
            <w:vAlign w:val="bottom"/>
            <w:gridSpan w:val="3"/>
          </w:tcPr>
          <w:p>
            <w:pPr>
              <w:spacing w:after="0" w:line="200"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BIODESIX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BDSX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1220" w:type="dxa"/>
            <w:vAlign w:val="bottom"/>
            <w:tcBorders>
              <w:top w:val="single" w:sz="8" w:color="0000EE"/>
            </w:tcBorders>
          </w:tcPr>
          <w:p>
            <w:pPr>
              <w:spacing w:after="0"/>
              <w:rPr>
                <w:sz w:val="12"/>
                <w:szCs w:val="12"/>
                <w:color w:val="auto"/>
              </w:rPr>
            </w:pPr>
          </w:p>
        </w:tc>
        <w:tc>
          <w:tcPr>
            <w:tcW w:w="2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ind w:left="120"/>
              <w:spacing w:after="0" w:line="141" w:lineRule="exact"/>
              <w:rPr>
                <w:sz w:val="20"/>
                <w:szCs w:val="20"/>
                <w:color w:val="auto"/>
              </w:rPr>
            </w:pPr>
            <w:r>
              <w:rPr>
                <w:rFonts w:ascii="Arial" w:cs="Arial" w:eastAsia="Arial" w:hAnsi="Arial"/>
                <w:sz w:val="13"/>
                <w:szCs w:val="13"/>
                <w:color w:val="auto"/>
              </w:rPr>
              <w:t>Director</w:t>
            </w:r>
          </w:p>
        </w:tc>
        <w:tc>
          <w:tcPr>
            <w:tcW w:w="1460" w:type="dxa"/>
            <w:vAlign w:val="bottom"/>
          </w:tcPr>
          <w:p>
            <w:pPr>
              <w:ind w:left="320"/>
              <w:spacing w:after="0" w:line="141"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2"/>
        </w:trPr>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42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X</w:t>
            </w:r>
          </w:p>
        </w:tc>
        <w:tc>
          <w:tcPr>
            <w:tcW w:w="1360" w:type="dxa"/>
            <w:vAlign w:val="bottom"/>
            <w:vMerge w:val="restart"/>
          </w:tcPr>
          <w:p>
            <w:pPr>
              <w:ind w:left="120"/>
              <w:spacing w:after="0" w:line="148" w:lineRule="exact"/>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line="14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5"/>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360" w:type="dxa"/>
            <w:vAlign w:val="bottom"/>
          </w:tcPr>
          <w:p>
            <w:pPr>
              <w:ind w:left="120"/>
              <w:spacing w:after="0" w:line="11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1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1"/>
        </w:trPr>
        <w:tc>
          <w:tcPr>
            <w:tcW w:w="14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02/08/2024</w:t>
            </w:r>
          </w:p>
        </w:tc>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6"/>
                <w:szCs w:val="16"/>
                <w:color w:val="0000FF"/>
              </w:rPr>
              <w:t>Chief Commercial Officer</w:t>
            </w:r>
          </w:p>
        </w:tc>
        <w:tc>
          <w:tcPr>
            <w:tcW w:w="0" w:type="dxa"/>
            <w:vAlign w:val="bottom"/>
          </w:tcPr>
          <w:p>
            <w:pPr>
              <w:spacing w:after="0"/>
              <w:rPr>
                <w:sz w:val="1"/>
                <w:szCs w:val="1"/>
                <w:color w:val="auto"/>
              </w:rPr>
            </w:pPr>
          </w:p>
        </w:tc>
      </w:tr>
      <w:tr>
        <w:trPr>
          <w:trHeight w:val="70"/>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tcPr>
          <w:p>
            <w:pPr>
              <w:spacing w:after="0"/>
              <w:rPr>
                <w:sz w:val="8"/>
                <w:szCs w:val="8"/>
                <w:color w:val="auto"/>
              </w:rPr>
            </w:pPr>
          </w:p>
        </w:tc>
        <w:tc>
          <w:tcPr>
            <w:tcW w:w="24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r>
        <w:trPr>
          <w:trHeight w:val="165"/>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48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1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4100"/>
        <w:spacing w:after="0" w:line="228" w:lineRule="auto"/>
        <w:tabs>
          <w:tab w:leader="none" w:pos="440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5" w:lineRule="exact"/>
        <w:rPr>
          <w:sz w:val="24"/>
          <w:szCs w:val="24"/>
          <w:color w:val="auto"/>
        </w:rPr>
      </w:pPr>
    </w:p>
    <w:p>
      <w:pPr>
        <w:ind w:left="4420"/>
        <w:spacing w:after="0"/>
        <w:rPr>
          <w:sz w:val="20"/>
          <w:szCs w:val="20"/>
          <w:color w:val="auto"/>
        </w:rPr>
      </w:pPr>
      <w:r>
        <w:rPr>
          <w:rFonts w:ascii="Arial" w:cs="Arial" w:eastAsia="Arial" w:hAnsi="Arial"/>
          <w:sz w:val="11"/>
          <w:szCs w:val="11"/>
          <w:color w:val="auto"/>
        </w:rPr>
        <w:t>Form filed by More than One Reporting Person</w:t>
      </w:r>
    </w:p>
    <w:p>
      <w:pPr>
        <w:spacing w:after="0" w:line="160"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9" w:lineRule="exact"/>
        <w:rPr>
          <w:sz w:val="24"/>
          <w:szCs w:val="24"/>
          <w:color w:val="auto"/>
        </w:rPr>
      </w:pPr>
    </w:p>
    <w:p>
      <w:pPr>
        <w:ind w:left="320" w:right="320"/>
        <w:spacing w:after="0" w:line="27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4" w:right="359" w:bottom="803"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2"/>
          </w:tcPr>
          <w:p>
            <w:pPr>
              <w:ind w:left="78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ind w:left="780"/>
              <w:spacing w:after="0" w:line="125"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102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Transaction</w:t>
            </w:r>
          </w:p>
        </w:tc>
        <w:tc>
          <w:tcPr>
            <w:tcW w:w="202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780" w:type="dxa"/>
            <w:vAlign w:val="bottom"/>
            <w:gridSpan w:val="2"/>
          </w:tcPr>
          <w:p>
            <w:pPr>
              <w:ind w:left="780"/>
              <w:spacing w:after="0" w:line="125" w:lineRule="exact"/>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360" w:type="dxa"/>
            <w:vAlign w:val="bottom"/>
          </w:tcPr>
          <w:p>
            <w:pPr>
              <w:spacing w:after="0"/>
              <w:rPr>
                <w:sz w:val="10"/>
                <w:szCs w:val="10"/>
                <w:color w:val="auto"/>
              </w:rPr>
            </w:pPr>
          </w:p>
        </w:tc>
        <w:tc>
          <w:tcPr>
            <w:tcW w:w="8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Pr>
          <w:p>
            <w:pPr>
              <w:spacing w:after="0"/>
              <w:rPr>
                <w:sz w:val="21"/>
                <w:szCs w:val="21"/>
                <w:color w:val="auto"/>
              </w:rPr>
            </w:pPr>
          </w:p>
        </w:tc>
        <w:tc>
          <w:tcPr>
            <w:tcW w:w="178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0000FF"/>
              </w:rPr>
              <w:t>02/08/2024</w:t>
            </w: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32,024</w:t>
            </w: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86"/>
              </w:rPr>
              <w:t>A</w:t>
            </w:r>
          </w:p>
        </w:tc>
        <w:tc>
          <w:tcPr>
            <w:tcW w:w="68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008000"/>
              </w:rPr>
              <w:t>(1)</w:t>
            </w:r>
          </w:p>
        </w:tc>
        <w:tc>
          <w:tcPr>
            <w:tcW w:w="40" w:type="dxa"/>
            <w:vAlign w:val="bottom"/>
          </w:tcPr>
          <w:p>
            <w:pPr>
              <w:spacing w:after="0"/>
              <w:rPr>
                <w:sz w:val="21"/>
                <w:szCs w:val="21"/>
                <w:color w:val="auto"/>
              </w:rPr>
            </w:pPr>
          </w:p>
        </w:tc>
        <w:tc>
          <w:tcPr>
            <w:tcW w:w="1240" w:type="dxa"/>
            <w:vAlign w:val="bottom"/>
            <w:gridSpan w:val="3"/>
          </w:tcPr>
          <w:p>
            <w:pPr>
              <w:jc w:val="right"/>
              <w:ind w:right="342"/>
              <w:spacing w:after="0"/>
              <w:rPr>
                <w:sz w:val="20"/>
                <w:szCs w:val="20"/>
                <w:color w:val="auto"/>
              </w:rPr>
            </w:pPr>
            <w:r>
              <w:rPr>
                <w:rFonts w:ascii="Times New Roman" w:cs="Times New Roman" w:eastAsia="Times New Roman" w:hAnsi="Times New Roman"/>
                <w:sz w:val="16"/>
                <w:szCs w:val="16"/>
                <w:color w:val="0000FF"/>
              </w:rPr>
              <w:t>79,736</w:t>
            </w:r>
          </w:p>
        </w:tc>
        <w:tc>
          <w:tcPr>
            <w:tcW w:w="28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14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16"/>
                <w:szCs w:val="16"/>
                <w:color w:val="0000FF"/>
              </w:rPr>
              <w:t>02/09/2024</w:t>
            </w:r>
          </w:p>
        </w:tc>
        <w:tc>
          <w:tcPr>
            <w:tcW w:w="6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(2)</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6,319</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86"/>
              </w:rPr>
              <w:t>D</w:t>
            </w:r>
          </w:p>
        </w:tc>
        <w:tc>
          <w:tcPr>
            <w:tcW w:w="72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6"/>
                <w:szCs w:val="16"/>
                <w:color w:val="auto"/>
                <w:w w:val="99"/>
              </w:rPr>
              <w:t>$</w:t>
            </w:r>
            <w:r>
              <w:rPr>
                <w:rFonts w:ascii="Times New Roman" w:cs="Times New Roman" w:eastAsia="Times New Roman" w:hAnsi="Times New Roman"/>
                <w:sz w:val="16"/>
                <w:szCs w:val="16"/>
                <w:color w:val="0000FF"/>
                <w:w w:val="99"/>
              </w:rPr>
              <w:t>1.9166</w:t>
            </w:r>
            <w:r>
              <w:rPr>
                <w:rFonts w:ascii="Times New Roman" w:cs="Times New Roman" w:eastAsia="Times New Roman" w:hAnsi="Times New Roman"/>
                <w:sz w:val="20"/>
                <w:szCs w:val="20"/>
                <w:color w:val="008000"/>
                <w:w w:val="99"/>
                <w:vertAlign w:val="superscript"/>
              </w:rPr>
              <w:t>(3)</w:t>
            </w:r>
          </w:p>
        </w:tc>
        <w:tc>
          <w:tcPr>
            <w:tcW w:w="1240" w:type="dxa"/>
            <w:vAlign w:val="bottom"/>
            <w:tcBorders>
              <w:bottom w:val="single" w:sz="8" w:color="2C2C2C"/>
            </w:tcBorders>
            <w:gridSpan w:val="3"/>
          </w:tcPr>
          <w:p>
            <w:pPr>
              <w:jc w:val="right"/>
              <w:ind w:right="342"/>
              <w:spacing w:after="0"/>
              <w:rPr>
                <w:sz w:val="20"/>
                <w:szCs w:val="20"/>
                <w:color w:val="auto"/>
              </w:rPr>
            </w:pPr>
            <w:r>
              <w:rPr>
                <w:rFonts w:ascii="Times New Roman" w:cs="Times New Roman" w:eastAsia="Times New Roman" w:hAnsi="Times New Roman"/>
                <w:sz w:val="16"/>
                <w:szCs w:val="16"/>
                <w:color w:val="0000FF"/>
              </w:rPr>
              <w:t>73,417</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16"/>
                <w:szCs w:val="16"/>
                <w:color w:val="0000FF"/>
              </w:rPr>
              <w:t>02/12/2024</w:t>
            </w:r>
          </w:p>
        </w:tc>
        <w:tc>
          <w:tcPr>
            <w:tcW w:w="6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(2)</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5,412</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86"/>
              </w:rPr>
              <w:t>D</w:t>
            </w:r>
          </w:p>
        </w:tc>
        <w:tc>
          <w:tcPr>
            <w:tcW w:w="72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6"/>
                <w:szCs w:val="16"/>
                <w:color w:val="auto"/>
                <w:w w:val="99"/>
              </w:rPr>
              <w:t>$</w:t>
            </w:r>
            <w:r>
              <w:rPr>
                <w:rFonts w:ascii="Times New Roman" w:cs="Times New Roman" w:eastAsia="Times New Roman" w:hAnsi="Times New Roman"/>
                <w:sz w:val="16"/>
                <w:szCs w:val="16"/>
                <w:color w:val="0000FF"/>
                <w:w w:val="99"/>
              </w:rPr>
              <w:t>1.6647</w:t>
            </w:r>
            <w:r>
              <w:rPr>
                <w:rFonts w:ascii="Times New Roman" w:cs="Times New Roman" w:eastAsia="Times New Roman" w:hAnsi="Times New Roman"/>
                <w:sz w:val="20"/>
                <w:szCs w:val="20"/>
                <w:color w:val="008000"/>
                <w:w w:val="99"/>
                <w:vertAlign w:val="superscript"/>
              </w:rPr>
              <w:t>(4)</w:t>
            </w:r>
          </w:p>
        </w:tc>
        <w:tc>
          <w:tcPr>
            <w:tcW w:w="1240" w:type="dxa"/>
            <w:vAlign w:val="bottom"/>
            <w:tcBorders>
              <w:bottom w:val="single" w:sz="8" w:color="2C2C2C"/>
            </w:tcBorders>
            <w:gridSpan w:val="3"/>
          </w:tcPr>
          <w:p>
            <w:pPr>
              <w:jc w:val="right"/>
              <w:ind w:right="342"/>
              <w:spacing w:after="0"/>
              <w:rPr>
                <w:sz w:val="20"/>
                <w:szCs w:val="20"/>
                <w:color w:val="auto"/>
              </w:rPr>
            </w:pPr>
            <w:r>
              <w:rPr>
                <w:rFonts w:ascii="Times New Roman" w:cs="Times New Roman" w:eastAsia="Times New Roman" w:hAnsi="Times New Roman"/>
                <w:sz w:val="16"/>
                <w:szCs w:val="16"/>
                <w:color w:val="0000FF"/>
              </w:rPr>
              <w:t>68,005</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300" w:type="dxa"/>
            <w:vAlign w:val="bottom"/>
            <w:tcBorders>
              <w:top w:val="single" w:sz="8" w:color="2C2C2C"/>
            </w:tcBorders>
            <w:gridSpan w:val="11"/>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20" w:type="dxa"/>
            <w:vAlign w:val="bottom"/>
            <w:gridSpan w:val="9"/>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44"/>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20"/>
              <w:spacing w:after="0" w:line="125" w:lineRule="exact"/>
              <w:rPr>
                <w:sz w:val="20"/>
                <w:szCs w:val="20"/>
                <w:color w:val="auto"/>
              </w:rPr>
            </w:pPr>
            <w:r>
              <w:rPr>
                <w:rFonts w:ascii="Arial" w:cs="Arial" w:eastAsia="Arial" w:hAnsi="Arial"/>
                <w:sz w:val="11"/>
                <w:szCs w:val="11"/>
                <w:b w:val="1"/>
                <w:bCs w:val="1"/>
                <w:color w:val="auto"/>
                <w:w w:val="98"/>
              </w:rPr>
              <w:t>Derivative</w:t>
            </w:r>
          </w:p>
        </w:tc>
        <w:tc>
          <w:tcPr>
            <w:tcW w:w="360" w:type="dxa"/>
            <w:vAlign w:val="bottom"/>
          </w:tcPr>
          <w:p>
            <w:pPr>
              <w:spacing w:after="0"/>
              <w:rPr>
                <w:sz w:val="10"/>
                <w:szCs w:val="10"/>
                <w:color w:val="auto"/>
              </w:rPr>
            </w:pPr>
          </w:p>
        </w:tc>
        <w:tc>
          <w:tcPr>
            <w:tcW w:w="152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44"/>
              <w:spacing w:after="0" w:line="125" w:lineRule="exact"/>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20"/>
              <w:spacing w:after="0" w:line="125" w:lineRule="exact"/>
              <w:rPr>
                <w:sz w:val="20"/>
                <w:szCs w:val="20"/>
                <w:color w:val="auto"/>
              </w:rPr>
            </w:pPr>
            <w:r>
              <w:rPr>
                <w:rFonts w:ascii="Arial" w:cs="Arial" w:eastAsia="Arial" w:hAnsi="Arial"/>
                <w:sz w:val="11"/>
                <w:szCs w:val="11"/>
                <w:b w:val="1"/>
                <w:bCs w:val="1"/>
                <w:color w:val="auto"/>
                <w:w w:val="98"/>
              </w:rPr>
              <w:t>Securities</w:t>
            </w:r>
          </w:p>
        </w:tc>
        <w:tc>
          <w:tcPr>
            <w:tcW w:w="360" w:type="dxa"/>
            <w:vAlign w:val="bottom"/>
          </w:tcPr>
          <w:p>
            <w:pPr>
              <w:spacing w:after="0"/>
              <w:rPr>
                <w:sz w:val="10"/>
                <w:szCs w:val="10"/>
                <w:color w:val="auto"/>
              </w:rPr>
            </w:pPr>
          </w:p>
        </w:tc>
        <w:tc>
          <w:tcPr>
            <w:tcW w:w="152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(Month/Day/Year)</w:t>
            </w:r>
          </w:p>
        </w:tc>
        <w:tc>
          <w:tcPr>
            <w:tcW w:w="13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line="125" w:lineRule="exact"/>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Acquired (A) or</w:t>
            </w: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Disposed of (D)</w:t>
            </w: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(Instr. 3, 4 and 5)</w:t>
            </w: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vMerge w:val="restart"/>
          </w:tcPr>
          <w:p>
            <w:pPr>
              <w:ind w:left="20"/>
              <w:spacing w:after="0" w:line="125" w:lineRule="exact"/>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7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360" w:type="dxa"/>
            <w:vAlign w:val="bottom"/>
          </w:tcPr>
          <w:p>
            <w:pPr>
              <w:spacing w:after="0"/>
              <w:rPr>
                <w:sz w:val="20"/>
                <w:szCs w:val="20"/>
                <w:color w:val="auto"/>
              </w:rPr>
            </w:pPr>
            <w:r>
              <w:rPr>
                <w:rFonts w:ascii="Arial" w:cs="Arial" w:eastAsia="Arial" w:hAnsi="Arial"/>
                <w:sz w:val="11"/>
                <w:szCs w:val="11"/>
                <w:b w:val="1"/>
                <w:bCs w:val="1"/>
                <w:color w:val="auto"/>
              </w:rPr>
              <w:t>(D)</w:t>
            </w:r>
          </w:p>
        </w:tc>
        <w:tc>
          <w:tcPr>
            <w:tcW w:w="80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0"/>
                <w:szCs w:val="10"/>
                <w:color w:val="008000"/>
              </w:rPr>
              <w:t>(5)</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Common</w:t>
            </w:r>
          </w:p>
        </w:tc>
        <w:tc>
          <w:tcPr>
            <w:tcW w:w="680" w:type="dxa"/>
            <w:vAlign w:val="bottom"/>
            <w:vMerge w:val="restart"/>
          </w:tcPr>
          <w:p>
            <w:pPr>
              <w:jc w:val="right"/>
              <w:ind w:right="32"/>
              <w:spacing w:after="0"/>
              <w:rPr>
                <w:sz w:val="20"/>
                <w:szCs w:val="20"/>
                <w:color w:val="auto"/>
              </w:rPr>
            </w:pPr>
            <w:r>
              <w:rPr>
                <w:rFonts w:ascii="Times New Roman" w:cs="Times New Roman" w:eastAsia="Times New Roman" w:hAnsi="Times New Roman"/>
                <w:sz w:val="16"/>
                <w:szCs w:val="16"/>
                <w:color w:val="0000FF"/>
              </w:rPr>
              <w:t>64,381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5"/>
                <w:szCs w:val="5"/>
                <w:color w:val="auto"/>
              </w:rPr>
            </w:pPr>
          </w:p>
        </w:tc>
        <w:tc>
          <w:tcPr>
            <w:tcW w:w="104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02/08/2024</w:t>
            </w:r>
          </w:p>
        </w:tc>
        <w:tc>
          <w:tcPr>
            <w:tcW w:w="1060" w:type="dxa"/>
            <w:vAlign w:val="bottom"/>
          </w:tcPr>
          <w:p>
            <w:pPr>
              <w:spacing w:after="0"/>
              <w:rPr>
                <w:sz w:val="5"/>
                <w:szCs w:val="5"/>
                <w:color w:val="auto"/>
              </w:rPr>
            </w:pPr>
          </w:p>
        </w:tc>
        <w:tc>
          <w:tcPr>
            <w:tcW w:w="720" w:type="dxa"/>
            <w:vAlign w:val="bottom"/>
            <w:vMerge w:val="restart"/>
          </w:tcPr>
          <w:p>
            <w:pPr>
              <w:ind w:left="160"/>
              <w:spacing w:after="0" w:line="138"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vMerge w:val="restart"/>
          </w:tcPr>
          <w:p>
            <w:pPr>
              <w:jc w:val="right"/>
              <w:ind w:right="103"/>
              <w:spacing w:after="0" w:line="138" w:lineRule="exact"/>
              <w:rPr>
                <w:sz w:val="20"/>
                <w:szCs w:val="20"/>
                <w:color w:val="auto"/>
              </w:rPr>
            </w:pPr>
            <w:r>
              <w:rPr>
                <w:rFonts w:ascii="Times New Roman" w:cs="Times New Roman" w:eastAsia="Times New Roman" w:hAnsi="Times New Roman"/>
                <w:sz w:val="13"/>
                <w:szCs w:val="13"/>
                <w:color w:val="0000FF"/>
              </w:rPr>
              <w:t>64,381</w:t>
            </w:r>
          </w:p>
        </w:tc>
        <w:tc>
          <w:tcPr>
            <w:tcW w:w="3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restart"/>
          </w:tcPr>
          <w:p>
            <w:pPr>
              <w:jc w:val="center"/>
              <w:ind w:right="24"/>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40" w:type="dxa"/>
            <w:vAlign w:val="bottom"/>
            <w:gridSpan w:val="2"/>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64,381</w:t>
            </w:r>
          </w:p>
        </w:tc>
        <w:tc>
          <w:tcPr>
            <w:tcW w:w="640" w:type="dxa"/>
            <w:vAlign w:val="bottom"/>
            <w:vMerge w:val="restart"/>
          </w:tcPr>
          <w:p>
            <w:pPr>
              <w:ind w:left="34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1.99</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02/08/2024</w:t>
            </w:r>
          </w:p>
        </w:tc>
        <w:tc>
          <w:tcPr>
            <w:tcW w:w="1060" w:type="dxa"/>
            <w:vAlign w:val="bottom"/>
          </w:tcPr>
          <w:p>
            <w:pPr>
              <w:spacing w:after="0"/>
              <w:rPr>
                <w:sz w:val="17"/>
                <w:szCs w:val="17"/>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jc w:val="right"/>
              <w:ind w:right="63"/>
              <w:spacing w:after="0"/>
              <w:rPr>
                <w:sz w:val="20"/>
                <w:szCs w:val="20"/>
                <w:color w:val="auto"/>
              </w:rPr>
            </w:pPr>
            <w:r>
              <w:rPr>
                <w:rFonts w:ascii="Times New Roman" w:cs="Times New Roman" w:eastAsia="Times New Roman" w:hAnsi="Times New Roman"/>
                <w:sz w:val="13"/>
                <w:szCs w:val="13"/>
                <w:color w:val="0000FF"/>
              </w:rPr>
              <w:t>128,761</w:t>
            </w:r>
          </w:p>
        </w:tc>
        <w:tc>
          <w:tcPr>
            <w:tcW w:w="360" w:type="dxa"/>
            <w:vAlign w:val="bottom"/>
          </w:tcPr>
          <w:p>
            <w:pPr>
              <w:spacing w:after="0"/>
              <w:rPr>
                <w:sz w:val="17"/>
                <w:szCs w:val="17"/>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10"/>
                <w:szCs w:val="10"/>
                <w:color w:val="008000"/>
              </w:rPr>
              <w:t>(6)</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02/07/2034</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Common</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128,761</w:t>
            </w:r>
          </w:p>
        </w:tc>
        <w:tc>
          <w:tcPr>
            <w:tcW w:w="40" w:type="dxa"/>
            <w:vAlign w:val="bottom"/>
          </w:tcPr>
          <w:p>
            <w:pPr>
              <w:spacing w:after="0"/>
              <w:rPr>
                <w:sz w:val="17"/>
                <w:szCs w:val="17"/>
                <w:color w:val="auto"/>
              </w:rPr>
            </w:pPr>
          </w:p>
        </w:tc>
        <w:tc>
          <w:tcPr>
            <w:tcW w:w="680" w:type="dxa"/>
            <w:vAlign w:val="bottom"/>
            <w:gridSpan w:val="2"/>
          </w:tcPr>
          <w:p>
            <w:pPr>
              <w:jc w:val="center"/>
              <w:ind w:right="24"/>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9"/>
              </w:rPr>
              <w:t>128,761</w:t>
            </w:r>
          </w:p>
        </w:tc>
        <w:tc>
          <w:tcPr>
            <w:tcW w:w="6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tcPr>
          <w:p>
            <w:pPr>
              <w:ind w:left="60"/>
              <w:spacing w:after="0" w:line="75" w:lineRule="exact"/>
              <w:rPr>
                <w:sz w:val="20"/>
                <w:szCs w:val="20"/>
                <w:color w:val="auto"/>
              </w:rPr>
            </w:pPr>
            <w:r>
              <w:rPr>
                <w:rFonts w:ascii="Times New Roman" w:cs="Times New Roman" w:eastAsia="Times New Roman" w:hAnsi="Times New Roman"/>
                <w:sz w:val="8"/>
                <w:szCs w:val="8"/>
                <w:color w:val="0000FF"/>
              </w:rPr>
              <w:t>(Right to</w:t>
            </w: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jc w:val="center"/>
              <w:spacing w:after="0" w:line="75" w:lineRule="exact"/>
              <w:rPr>
                <w:sz w:val="20"/>
                <w:szCs w:val="20"/>
                <w:color w:val="auto"/>
              </w:rPr>
            </w:pPr>
            <w:r>
              <w:rPr>
                <w:rFonts w:ascii="Times New Roman" w:cs="Times New Roman" w:eastAsia="Times New Roman" w:hAnsi="Times New Roman"/>
                <w:sz w:val="8"/>
                <w:szCs w:val="8"/>
                <w:color w:val="0000FF"/>
              </w:rPr>
              <w:t>Stock</w:t>
            </w: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0"/>
                <w:szCs w:val="10"/>
                <w:color w:val="008000"/>
              </w:rPr>
              <w:t>(7)</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(7)</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Common</w:t>
            </w:r>
          </w:p>
        </w:tc>
        <w:tc>
          <w:tcPr>
            <w:tcW w:w="680" w:type="dxa"/>
            <w:vAlign w:val="bottom"/>
            <w:vMerge w:val="restart"/>
          </w:tcPr>
          <w:p>
            <w:pPr>
              <w:jc w:val="right"/>
              <w:ind w:right="72"/>
              <w:spacing w:after="0"/>
              <w:rPr>
                <w:sz w:val="20"/>
                <w:szCs w:val="20"/>
                <w:color w:val="auto"/>
              </w:rPr>
            </w:pPr>
            <w:r>
              <w:rPr>
                <w:rFonts w:ascii="Times New Roman" w:cs="Times New Roman" w:eastAsia="Times New Roman" w:hAnsi="Times New Roman"/>
                <w:sz w:val="16"/>
                <w:szCs w:val="16"/>
                <w:color w:val="0000FF"/>
              </w:rPr>
              <w:t>1,490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5"/>
                <w:szCs w:val="5"/>
                <w:color w:val="auto"/>
              </w:rPr>
            </w:pPr>
          </w:p>
        </w:tc>
        <w:tc>
          <w:tcPr>
            <w:tcW w:w="104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02/08/2024</w:t>
            </w:r>
          </w:p>
        </w:tc>
        <w:tc>
          <w:tcPr>
            <w:tcW w:w="1060" w:type="dxa"/>
            <w:vAlign w:val="bottom"/>
          </w:tcPr>
          <w:p>
            <w:pPr>
              <w:spacing w:after="0"/>
              <w:rPr>
                <w:sz w:val="5"/>
                <w:szCs w:val="5"/>
                <w:color w:val="auto"/>
              </w:rPr>
            </w:pPr>
          </w:p>
        </w:tc>
        <w:tc>
          <w:tcPr>
            <w:tcW w:w="720" w:type="dxa"/>
            <w:vAlign w:val="bottom"/>
            <w:vMerge w:val="restart"/>
          </w:tcPr>
          <w:p>
            <w:pPr>
              <w:ind w:left="140"/>
              <w:spacing w:after="0" w:line="138" w:lineRule="exact"/>
              <w:rPr>
                <w:sz w:val="20"/>
                <w:szCs w:val="20"/>
                <w:color w:val="auto"/>
              </w:rPr>
            </w:pPr>
            <w:r>
              <w:rPr>
                <w:rFonts w:ascii="Times New Roman" w:cs="Times New Roman" w:eastAsia="Times New Roman" w:hAnsi="Times New Roman"/>
                <w:sz w:val="13"/>
                <w:szCs w:val="13"/>
                <w:color w:val="0000FF"/>
              </w:rPr>
              <w:t>M</w:t>
            </w:r>
          </w:p>
        </w:tc>
        <w:tc>
          <w:tcPr>
            <w:tcW w:w="660" w:type="dxa"/>
            <w:vAlign w:val="bottom"/>
          </w:tcPr>
          <w:p>
            <w:pPr>
              <w:spacing w:after="0"/>
              <w:rPr>
                <w:sz w:val="5"/>
                <w:szCs w:val="5"/>
                <w:color w:val="auto"/>
              </w:rPr>
            </w:pPr>
          </w:p>
        </w:tc>
        <w:tc>
          <w:tcPr>
            <w:tcW w:w="360" w:type="dxa"/>
            <w:vAlign w:val="bottom"/>
            <w:vMerge w:val="restart"/>
          </w:tcPr>
          <w:p>
            <w:pPr>
              <w:jc w:val="right"/>
              <w:spacing w:after="0" w:line="138" w:lineRule="exact"/>
              <w:rPr>
                <w:sz w:val="20"/>
                <w:szCs w:val="20"/>
                <w:color w:val="auto"/>
              </w:rPr>
            </w:pPr>
            <w:r>
              <w:rPr>
                <w:rFonts w:ascii="Times New Roman" w:cs="Times New Roman" w:eastAsia="Times New Roman" w:hAnsi="Times New Roman"/>
                <w:sz w:val="13"/>
                <w:szCs w:val="13"/>
                <w:color w:val="0000FF"/>
              </w:rPr>
              <w:t>1,490</w:t>
            </w: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restart"/>
          </w:tcPr>
          <w:p>
            <w:pPr>
              <w:jc w:val="center"/>
              <w:ind w:right="24"/>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40" w:type="dxa"/>
            <w:vAlign w:val="bottom"/>
            <w:gridSpan w:val="2"/>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11,915</w:t>
            </w:r>
          </w:p>
        </w:tc>
        <w:tc>
          <w:tcPr>
            <w:tcW w:w="640" w:type="dxa"/>
            <w:vAlign w:val="bottom"/>
            <w:vMerge w:val="restart"/>
          </w:tcPr>
          <w:p>
            <w:pPr>
              <w:ind w:left="34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0"/>
                <w:szCs w:val="10"/>
                <w:color w:val="008000"/>
              </w:rPr>
              <w:t>(8)</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(8)</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Common</w:t>
            </w:r>
          </w:p>
        </w:tc>
        <w:tc>
          <w:tcPr>
            <w:tcW w:w="680" w:type="dxa"/>
            <w:vAlign w:val="bottom"/>
            <w:vMerge w:val="restart"/>
          </w:tcPr>
          <w:p>
            <w:pPr>
              <w:jc w:val="right"/>
              <w:ind w:right="32"/>
              <w:spacing w:after="0"/>
              <w:rPr>
                <w:sz w:val="20"/>
                <w:szCs w:val="20"/>
                <w:color w:val="auto"/>
              </w:rPr>
            </w:pPr>
            <w:r>
              <w:rPr>
                <w:rFonts w:ascii="Times New Roman" w:cs="Times New Roman" w:eastAsia="Times New Roman" w:hAnsi="Times New Roman"/>
                <w:sz w:val="16"/>
                <w:szCs w:val="16"/>
                <w:color w:val="0000FF"/>
              </w:rPr>
              <w:t>30,534</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5"/>
                <w:szCs w:val="5"/>
                <w:color w:val="auto"/>
              </w:rPr>
            </w:pPr>
          </w:p>
        </w:tc>
        <w:tc>
          <w:tcPr>
            <w:tcW w:w="104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02/08/2024</w:t>
            </w:r>
          </w:p>
        </w:tc>
        <w:tc>
          <w:tcPr>
            <w:tcW w:w="1060" w:type="dxa"/>
            <w:vAlign w:val="bottom"/>
          </w:tcPr>
          <w:p>
            <w:pPr>
              <w:spacing w:after="0"/>
              <w:rPr>
                <w:sz w:val="5"/>
                <w:szCs w:val="5"/>
                <w:color w:val="auto"/>
              </w:rPr>
            </w:pPr>
          </w:p>
        </w:tc>
        <w:tc>
          <w:tcPr>
            <w:tcW w:w="720" w:type="dxa"/>
            <w:vAlign w:val="bottom"/>
            <w:vMerge w:val="restart"/>
          </w:tcPr>
          <w:p>
            <w:pPr>
              <w:ind w:left="140"/>
              <w:spacing w:after="0" w:line="138" w:lineRule="exact"/>
              <w:rPr>
                <w:sz w:val="20"/>
                <w:szCs w:val="20"/>
                <w:color w:val="auto"/>
              </w:rPr>
            </w:pPr>
            <w:r>
              <w:rPr>
                <w:rFonts w:ascii="Times New Roman" w:cs="Times New Roman" w:eastAsia="Times New Roman" w:hAnsi="Times New Roman"/>
                <w:sz w:val="13"/>
                <w:szCs w:val="13"/>
                <w:color w:val="0000FF"/>
              </w:rPr>
              <w:t>M</w:t>
            </w:r>
          </w:p>
        </w:tc>
        <w:tc>
          <w:tcPr>
            <w:tcW w:w="660" w:type="dxa"/>
            <w:vAlign w:val="bottom"/>
          </w:tcPr>
          <w:p>
            <w:pPr>
              <w:spacing w:after="0"/>
              <w:rPr>
                <w:sz w:val="5"/>
                <w:szCs w:val="5"/>
                <w:color w:val="auto"/>
              </w:rPr>
            </w:pPr>
          </w:p>
        </w:tc>
        <w:tc>
          <w:tcPr>
            <w:tcW w:w="360" w:type="dxa"/>
            <w:vAlign w:val="bottom"/>
            <w:vMerge w:val="restart"/>
          </w:tcPr>
          <w:p>
            <w:pPr>
              <w:jc w:val="right"/>
              <w:spacing w:after="0" w:line="138" w:lineRule="exact"/>
              <w:rPr>
                <w:sz w:val="20"/>
                <w:szCs w:val="20"/>
                <w:color w:val="auto"/>
              </w:rPr>
            </w:pPr>
            <w:r>
              <w:rPr>
                <w:rFonts w:ascii="Times New Roman" w:cs="Times New Roman" w:eastAsia="Times New Roman" w:hAnsi="Times New Roman"/>
                <w:sz w:val="13"/>
                <w:szCs w:val="13"/>
                <w:color w:val="0000FF"/>
                <w:w w:val="94"/>
              </w:rPr>
              <w:t>30,534</w:t>
            </w: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restart"/>
          </w:tcPr>
          <w:p>
            <w:pPr>
              <w:jc w:val="center"/>
              <w:ind w:right="24"/>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40" w:type="dxa"/>
            <w:vAlign w:val="bottom"/>
            <w:gridSpan w:val="2"/>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91,601</w:t>
            </w:r>
          </w:p>
        </w:tc>
        <w:tc>
          <w:tcPr>
            <w:tcW w:w="640" w:type="dxa"/>
            <w:vAlign w:val="bottom"/>
            <w:vMerge w:val="restart"/>
          </w:tcPr>
          <w:p>
            <w:pPr>
              <w:ind w:left="34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-2743835</wp:posOffset>
            </wp:positionV>
            <wp:extent cx="28575" cy="2748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74891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4"/>
          <w:szCs w:val="24"/>
          <w:color w:val="auto"/>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(the "RSU") represents a contingent right to receive one share of the Issuer's Common Stock.</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the Issuer's Common Stock were sold automatically to cover taxes upon the vesting of RSUs.</w:t>
      </w:r>
    </w:p>
    <w:p>
      <w:pPr>
        <w:spacing w:after="0" w:line="38" w:lineRule="exact"/>
        <w:rPr>
          <w:rFonts w:ascii="Times New Roman" w:cs="Times New Roman" w:eastAsia="Times New Roman" w:hAnsi="Times New Roman"/>
          <w:sz w:val="13"/>
          <w:szCs w:val="13"/>
          <w:color w:val="008000"/>
        </w:rPr>
      </w:pPr>
    </w:p>
    <w:p>
      <w:pPr>
        <w:jc w:val="both"/>
        <w:ind w:left="40" w:right="280" w:hanging="2"/>
        <w:spacing w:after="0" w:line="292" w:lineRule="auto"/>
        <w:tabs>
          <w:tab w:leader="none" w:pos="165" w:val="left"/>
        </w:tabs>
        <w:numPr>
          <w:ilvl w:val="0"/>
          <w:numId w:val="1"/>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The price reported in Column 4 is a weighted average price of all shares sold on the transaction date by the Issuer's broker to cover taxes upon the vesting of RSUs for certain employees of the Issuer, including the Reporting Person. These shares were sold in multiple transactions at prices ranging from $1.8191 to $2.03,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 w:lineRule="exact"/>
        <w:rPr>
          <w:rFonts w:ascii="Times New Roman" w:cs="Times New Roman" w:eastAsia="Times New Roman" w:hAnsi="Times New Roman"/>
          <w:sz w:val="11"/>
          <w:szCs w:val="11"/>
          <w:color w:val="008000"/>
        </w:rPr>
      </w:pPr>
    </w:p>
    <w:p>
      <w:pPr>
        <w:ind w:left="160" w:hanging="122"/>
        <w:spacing w:after="0"/>
        <w:tabs>
          <w:tab w:leader="none" w:pos="160" w:val="left"/>
        </w:tabs>
        <w:numPr>
          <w:ilvl w:val="0"/>
          <w:numId w:val="1"/>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The price reported in Column 4 is a weighted average price of all shares sold on the transaction date by the Issuer's broker to cover taxes upon the vesting of RSUs for certain employees of the Issuer, including the</w:t>
      </w:r>
    </w:p>
    <w:p>
      <w:pPr>
        <w:spacing w:after="0" w:line="25" w:lineRule="exact"/>
        <w:rPr>
          <w:rFonts w:ascii="Times New Roman" w:cs="Times New Roman" w:eastAsia="Times New Roman" w:hAnsi="Times New Roman"/>
          <w:sz w:val="11"/>
          <w:szCs w:val="11"/>
          <w:color w:val="008000"/>
        </w:rPr>
      </w:pPr>
    </w:p>
    <w:p>
      <w:pPr>
        <w:ind w:left="40" w:right="160"/>
        <w:spacing w:after="0" w:line="230" w:lineRule="auto"/>
        <w:rPr>
          <w:rFonts w:ascii="Times New Roman" w:cs="Times New Roman" w:eastAsia="Times New Roman" w:hAnsi="Times New Roman"/>
          <w:sz w:val="11"/>
          <w:szCs w:val="11"/>
          <w:color w:val="008000"/>
        </w:rPr>
      </w:pPr>
      <w:r>
        <w:rPr>
          <w:rFonts w:ascii="Times New Roman" w:cs="Times New Roman" w:eastAsia="Times New Roman" w:hAnsi="Times New Roman"/>
          <w:sz w:val="13"/>
          <w:szCs w:val="13"/>
          <w:color w:val="008000"/>
        </w:rPr>
        <w:t>Reporting Person. These shares were sold in multiple transactions at prices ranging from $1.55 to $1.83,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4" w:lineRule="exact"/>
        <w:rPr>
          <w:rFonts w:ascii="Times New Roman" w:cs="Times New Roman" w:eastAsia="Times New Roman" w:hAnsi="Times New Roman"/>
          <w:sz w:val="11"/>
          <w:szCs w:val="11"/>
          <w:color w:val="008000"/>
        </w:rPr>
      </w:pPr>
    </w:p>
    <w:p>
      <w:pPr>
        <w:ind w:left="160" w:hanging="122"/>
        <w:spacing w:after="0"/>
        <w:tabs>
          <w:tab w:leader="none" w:pos="160" w:val="left"/>
        </w:tabs>
        <w:numPr>
          <w:ilvl w:val="0"/>
          <w:numId w:val="1"/>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These RSUs vest in a series of four successive equal annual installments measured from January 15, 2024, generally subject to the Reporting Person's continued service with the Issuer, and have no expiration date.</w:t>
      </w:r>
    </w:p>
    <w:p>
      <w:pPr>
        <w:spacing w:after="0" w:line="61" w:lineRule="exact"/>
        <w:rPr>
          <w:rFonts w:ascii="Times New Roman" w:cs="Times New Roman" w:eastAsia="Times New Roman" w:hAnsi="Times New Roman"/>
          <w:sz w:val="11"/>
          <w:szCs w:val="11"/>
          <w:color w:val="008000"/>
        </w:rPr>
      </w:pPr>
    </w:p>
    <w:p>
      <w:pPr>
        <w:ind w:left="160" w:hanging="122"/>
        <w:spacing w:after="0"/>
        <w:tabs>
          <w:tab w:leader="none" w:pos="160" w:val="left"/>
        </w:tabs>
        <w:numPr>
          <w:ilvl w:val="0"/>
          <w:numId w:val="1"/>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This option vests in a series of forty-eight successive equal monthly installments measured from January 15, 2024, generally subject to the Reporting Person's continuous service through each applicable vesting date.</w:t>
      </w:r>
    </w:p>
    <w:p>
      <w:pPr>
        <w:spacing w:after="0" w:line="61" w:lineRule="exact"/>
        <w:rPr>
          <w:rFonts w:ascii="Times New Roman" w:cs="Times New Roman" w:eastAsia="Times New Roman" w:hAnsi="Times New Roman"/>
          <w:sz w:val="11"/>
          <w:szCs w:val="11"/>
          <w:color w:val="008000"/>
        </w:rPr>
      </w:pPr>
    </w:p>
    <w:p>
      <w:pPr>
        <w:ind w:left="160" w:hanging="122"/>
        <w:spacing w:after="0"/>
        <w:tabs>
          <w:tab w:leader="none" w:pos="160" w:val="left"/>
        </w:tabs>
        <w:numPr>
          <w:ilvl w:val="0"/>
          <w:numId w:val="1"/>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These RSUs vest in a series of sixteen successive quarterly installments measured from February 8, 2022, generally subject to the Reporting Person's continued service with the Issuer, and have no expiration date.</w:t>
      </w:r>
    </w:p>
    <w:p>
      <w:pPr>
        <w:spacing w:after="0" w:line="61" w:lineRule="exact"/>
        <w:rPr>
          <w:rFonts w:ascii="Times New Roman" w:cs="Times New Roman" w:eastAsia="Times New Roman" w:hAnsi="Times New Roman"/>
          <w:sz w:val="11"/>
          <w:szCs w:val="11"/>
          <w:color w:val="008000"/>
        </w:rPr>
      </w:pPr>
    </w:p>
    <w:p>
      <w:pPr>
        <w:ind w:left="160" w:hanging="122"/>
        <w:spacing w:after="0"/>
        <w:tabs>
          <w:tab w:leader="none" w:pos="160" w:val="left"/>
        </w:tabs>
        <w:numPr>
          <w:ilvl w:val="0"/>
          <w:numId w:val="1"/>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These RSUs vest in a series of four successive equal annual installments measured from February 8, 2023, generally subject to the Reporting Person's continued service with the Issuer, and have no expiration date.</w:t>
      </w:r>
    </w:p>
    <w:p>
      <w:pPr>
        <w:spacing w:after="0" w:line="86"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Robin Harper Cowie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-5080</wp:posOffset>
            </wp:positionV>
            <wp:extent cx="10953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95375" cy="8255"/>
                    </a:xfrm>
                    <a:prstGeom prst="rect">
                      <a:avLst/>
                    </a:prstGeom>
                    <a:noFill/>
                  </pic:spPr>
                </pic:pic>
              </a:graphicData>
            </a:graphic>
          </wp:anchor>
        </w:drawing>
      </w:r>
    </w:p>
    <w:p>
      <w:pPr>
        <w:spacing w:after="0" w:line="7"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6"/>
          <w:szCs w:val="16"/>
          <w:color w:val="0000FF"/>
        </w:rPr>
        <w:t>Attorney-in-Fact for Kieran</w:t>
      </w:r>
      <w:r>
        <w:rPr>
          <w:sz w:val="20"/>
          <w:szCs w:val="20"/>
          <w:color w:val="auto"/>
        </w:rPr>
        <w:tab/>
      </w:r>
      <w:r>
        <w:rPr>
          <w:rFonts w:ascii="Times New Roman" w:cs="Times New Roman" w:eastAsia="Times New Roman" w:hAnsi="Times New Roman"/>
          <w:sz w:val="16"/>
          <w:szCs w:val="16"/>
          <w:color w:val="0000FF"/>
        </w:rPr>
        <w:t>02/12/2024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-11430</wp:posOffset>
            </wp:positionV>
            <wp:extent cx="18681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6817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O'Kane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-11430</wp:posOffset>
            </wp:positionV>
            <wp:extent cx="3111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150" cy="8255"/>
                    </a:xfrm>
                    <a:prstGeom prst="rect">
                      <a:avLst/>
                    </a:prstGeom>
                    <a:noFill/>
                  </pic:spPr>
                </pic:pic>
              </a:graphicData>
            </a:graphic>
          </wp:anchor>
        </w:drawing>
      </w:r>
    </w:p>
    <w:p>
      <w:pPr>
        <w:spacing w:after="0" w:line="3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1"/>
          <w:szCs w:val="11"/>
          <w:color w:val="auto"/>
        </w:rPr>
        <w:t>Date</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4"/>
          <w:szCs w:val="24"/>
          <w:color w:val="auto"/>
        </w:rPr>
      </w:pPr>
    </w:p>
    <w:p>
      <w:pPr>
        <w:jc w:val="both"/>
        <w:ind w:left="40" w:right="3820" w:hanging="2"/>
        <w:spacing w:after="0" w:line="355" w:lineRule="auto"/>
        <w:tabs>
          <w:tab w:leader="none" w:pos="172"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80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28131" TargetMode="External"/><Relationship Id="rId13" Type="http://schemas.openxmlformats.org/officeDocument/2006/relationships/hyperlink" Target="http://www.sec.gov/cgi-bin/browse-edgar?action=getcompany&amp;CIK=0001439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2024-02-12T20:49:40Z</dcterms:created>
  <dcterms:modified xsi:type="dcterms:W3CDTF">2024-02-12T20:49:40Z</dcterms:modified>
</cp:coreProperties>
</file>