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21496ddef14a.htm"/>
        <w:bookmarkStart w:id="1" w:name="ksd921496ddef1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SCHEDULE 14A</w:t>
      </w:r>
    </w:p>
    <w:p>
      <w:pPr>
        <w:pStyle w:val="TextBody"/>
        <w:bidi w:val="0"/>
        <w:spacing w:before="0" w:after="0"/>
        <w:jc w:val="center"/>
        <w:rPr>
          <w:rFonts w:ascii="Times New Roman" w:hAnsi="Times New Roman"/>
          <w:b/>
          <w:sz w:val="20"/>
        </w:rPr>
      </w:pPr>
      <w:r>
        <w:rPr>
          <w:rFonts w:ascii="Times New Roman" w:hAnsi="Times New Roman"/>
          <w:b/>
          <w:sz w:val="20"/>
        </w:rPr>
        <w:t xml:space="preserve">(Rule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14a-101)</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24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center"/>
        <w:rPr>
          <w:rFonts w:ascii="Times New Roman" w:hAnsi="Times New Roman"/>
          <w:sz w:val="20"/>
        </w:rPr>
      </w:pPr>
      <w:r>
        <w:rPr>
          <w:rFonts w:ascii="Times New Roman" w:hAnsi="Times New Roman"/>
          <w:sz w:val="20"/>
        </w:rPr>
        <w:t xml:space="preserve">(Amendment No. </w:t>
      </w:r>
    </w:p>
    <w:p>
      <w:pPr>
        <w:pStyle w:val="TextBody"/>
        <w:bidi w:val="0"/>
        <w:spacing w:before="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245"/>
        <w:gridCol w:w="120"/>
        <w:gridCol w:w="3905"/>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Filed by the Registrant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0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Filed by a Party other than the Registrant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tbl>
      <w:tblPr>
        <w:tblW w:w="6925" w:type="dxa"/>
        <w:jc w:val="left"/>
        <w:tblInd w:w="0" w:type="dxa"/>
        <w:tblLayout w:type="fixed"/>
        <w:tblCellMar>
          <w:top w:w="0" w:type="dxa"/>
          <w:left w:w="0" w:type="dxa"/>
          <w:bottom w:w="0" w:type="dxa"/>
          <w:right w:w="0" w:type="dxa"/>
        </w:tblCellMar>
      </w:tblPr>
      <w:tblGrid>
        <w:gridCol w:w="245"/>
        <w:gridCol w:w="120"/>
        <w:gridCol w:w="6560"/>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Confidential, for Use of the Commission Only (as permitted by Rule </w:t>
            </w:r>
          </w:p>
          <w:p>
            <w:pPr>
              <w:pStyle w:val="TableContents"/>
              <w:bidi w:val="0"/>
              <w:spacing w:before="0" w:after="0"/>
              <w:jc w:val="left"/>
              <w:rPr>
                <w:spacing w:val="0"/>
              </w:rPr>
            </w:pPr>
            <w:r>
              <w:rPr>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Soliciting Material under §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Biodesix,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8109" w:type="dxa"/>
        <w:jc w:val="left"/>
        <w:tblInd w:w="0" w:type="dxa"/>
        <w:tblLayout w:type="fixed"/>
        <w:tblCellMar>
          <w:top w:w="0" w:type="dxa"/>
          <w:left w:w="0" w:type="dxa"/>
          <w:bottom w:w="0" w:type="dxa"/>
          <w:right w:w="0" w:type="dxa"/>
        </w:tblCellMar>
      </w:tblPr>
      <w:tblGrid>
        <w:gridCol w:w="245"/>
        <w:gridCol w:w="12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304415" cy="394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4415" cy="3943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Biodesix, Inc. </w:t>
      </w:r>
    </w:p>
    <w:p>
      <w:pPr>
        <w:pStyle w:val="TextBody"/>
        <w:bidi w:val="0"/>
        <w:spacing w:before="0" w:after="0"/>
        <w:jc w:val="center"/>
        <w:rPr>
          <w:rFonts w:ascii="Times New Roman" w:hAnsi="Times New Roman"/>
          <w:sz w:val="20"/>
        </w:rPr>
      </w:pPr>
      <w:r>
        <w:rPr>
          <w:rFonts w:ascii="Times New Roman" w:hAnsi="Times New Roman"/>
          <w:sz w:val="20"/>
        </w:rPr>
        <w:t xml:space="preserve">919 West Dillon Rd., </w:t>
      </w:r>
    </w:p>
    <w:p>
      <w:pPr>
        <w:pStyle w:val="TextBody"/>
        <w:bidi w:val="0"/>
        <w:spacing w:before="0" w:after="0"/>
        <w:jc w:val="center"/>
        <w:rPr>
          <w:rFonts w:ascii="Times New Roman" w:hAnsi="Times New Roman"/>
          <w:sz w:val="20"/>
        </w:rPr>
      </w:pPr>
      <w:r>
        <w:rPr>
          <w:rFonts w:ascii="Times New Roman" w:hAnsi="Times New Roman"/>
          <w:sz w:val="20"/>
        </w:rPr>
        <w:t xml:space="preserve">Louisville, CO 80027 </w:t>
      </w:r>
    </w:p>
    <w:p>
      <w:pPr>
        <w:pStyle w:val="TextBody"/>
        <w:bidi w:val="0"/>
        <w:spacing w:before="240" w:after="0"/>
        <w:jc w:val="center"/>
        <w:rPr>
          <w:rFonts w:ascii="Times New Roman" w:hAnsi="Times New Roman"/>
          <w:b/>
          <w:color w:val="305494"/>
          <w:sz w:val="28"/>
        </w:rPr>
      </w:pPr>
      <w:r>
        <w:rPr>
          <w:rFonts w:ascii="Times New Roman" w:hAnsi="Times New Roman"/>
          <w:b/>
          <w:color w:val="305494"/>
          <w:sz w:val="28"/>
        </w:rPr>
        <w:t xml:space="preserve">Notice of 2025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Dear Biodesix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Biodesix, Inc.’s 2025 Annual Meeting of Stockholders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1"/>
        <w:gridCol w:w="120"/>
        <w:gridCol w:w="9104"/>
      </w:tblGrid>
      <w:tr>
        <w:trPr/>
        <w:tc>
          <w:tcPr>
            <w:tcW w:w="9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04" w:type="dxa"/>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Date:</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May 20, 2025 (Tuesday)</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Time:</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1:00 p.m., Mountain Time</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Virtual Location:</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 xml:space="preserve">You can attend the Annual Meeting online, including to vote and/or submit questions, at </w:t>
            </w:r>
            <w:r>
              <w:rPr>
                <w:color w:val="2E65AF"/>
                <w:u w:val="single"/>
              </w:rPr>
              <w:t>www.proxydocs.com/BDSX</w:t>
            </w:r>
            <w:r>
              <w:rPr/>
              <w:t>. See page 1 of the accompanying proxy statement for additional information regarding participation in the virtual meeting.</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Items of Business:</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the Annual Meeting, stockholders will be asked to vote: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To elect the two Class II directors named in this proxy statement to hold office until the 2028 annual meeting of stockholders;</w:t>
            </w:r>
          </w:p>
          <w:p>
            <w:pPr>
              <w:pStyle w:val="TableContents"/>
              <w:bidi w:val="0"/>
              <w:spacing w:before="0" w:after="0"/>
              <w:jc w:val="left"/>
              <w:rPr>
                <w:rFonts w:ascii="Times New Roman" w:hAnsi="Times New Roman"/>
                <w:sz w:val="20"/>
              </w:rPr>
            </w:pPr>
            <w:r>
              <w:rPr>
                <w:rFonts w:ascii="Times New Roman" w:hAnsi="Times New Roman"/>
                <w:sz w:val="20"/>
              </w:rPr>
              <w:t>2.  To ratify the appointment of KPMG LLP as our independent registered public accounting firm for the year ending December 31, 2025;</w:t>
            </w:r>
          </w:p>
          <w:p>
            <w:pPr>
              <w:pStyle w:val="TableContents"/>
              <w:bidi w:val="0"/>
              <w:spacing w:before="0" w:after="0"/>
              <w:jc w:val="left"/>
              <w:rPr>
                <w:rFonts w:ascii="Times New Roman" w:hAnsi="Times New Roman"/>
                <w:sz w:val="20"/>
              </w:rPr>
            </w:pPr>
            <w:r>
              <w:rPr>
                <w:rFonts w:ascii="Times New Roman" w:hAnsi="Times New Roman"/>
                <w:sz w:val="20"/>
              </w:rPr>
              <w:t>3.  To approve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w:t>
            </w:r>
          </w:p>
          <w:p>
            <w:pPr>
              <w:pStyle w:val="TableContents"/>
              <w:bidi w:val="0"/>
              <w:spacing w:before="0" w:after="0"/>
              <w:jc w:val="left"/>
              <w:rPr>
                <w:rFonts w:ascii="Times New Roman" w:hAnsi="Times New Roman"/>
                <w:sz w:val="20"/>
              </w:rPr>
            </w:pPr>
            <w:r>
              <w:rPr>
                <w:rFonts w:ascii="Times New Roman" w:hAnsi="Times New Roman"/>
                <w:sz w:val="20"/>
              </w:rPr>
              <w:t>4.  To approve the Company’s Amended and Restated Employee Stock Purchase Plan; and</w:t>
            </w:r>
          </w:p>
          <w:p>
            <w:pPr>
              <w:pStyle w:val="TableContents"/>
              <w:bidi w:val="0"/>
              <w:spacing w:before="0" w:after="20"/>
              <w:jc w:val="left"/>
              <w:rPr>
                <w:rFonts w:ascii="Times New Roman" w:hAnsi="Times New Roman"/>
                <w:sz w:val="20"/>
              </w:rPr>
            </w:pPr>
            <w:r>
              <w:rPr>
                <w:rFonts w:ascii="Times New Roman" w:hAnsi="Times New Roman"/>
                <w:sz w:val="20"/>
              </w:rPr>
              <w:t>5.  To conduct any other business properly brought before the meeting, or any adjournment or postponement thereof.</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Record Date:</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You can participate in the Annual Meeting and vote if you were a stockholder of record as of the close of business on March 24, 2025.</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Voting:</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b/>
              </w:rPr>
              <w:t>Your vote is very important to us.</w:t>
            </w:r>
            <w:r>
              <w:rPr/>
              <w:t xml:space="preserve"> Whether or not you plan to attend the virtual Annual Meeting, please ensure your shares are represented by voting promptly. For instructions on how to vote your shares, please refer to the instructions included with this proxy statement and your proxy card.</w:t>
            </w:r>
          </w:p>
        </w:tc>
      </w:tr>
    </w:tbl>
    <w:p>
      <w:pPr>
        <w:pStyle w:val="TextBody"/>
        <w:bidi w:val="0"/>
        <w:spacing w:before="48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524000" cy="4273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2735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Robin Harper Cowie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Secretary and Treasurer </w:t>
      </w:r>
    </w:p>
    <w:p>
      <w:pPr>
        <w:pStyle w:val="TextBody"/>
        <w:bidi w:val="0"/>
        <w:spacing w:before="0" w:after="0"/>
        <w:jc w:val="left"/>
        <w:rPr>
          <w:rFonts w:ascii="Times New Roman" w:hAnsi="Times New Roman"/>
          <w:sz w:val="20"/>
        </w:rPr>
      </w:pPr>
      <w:r>
        <w:rPr>
          <w:rFonts w:ascii="Times New Roman" w:hAnsi="Times New Roman"/>
          <w:sz w:val="20"/>
        </w:rPr>
        <w:t xml:space="preserve">April 28, 2025 </w:t>
      </w:r>
    </w:p>
    <w:p>
      <w:pPr>
        <w:pStyle w:val="TextBody"/>
        <w:bidi w:val="0"/>
        <w:spacing w:before="240" w:after="0"/>
        <w:jc w:val="center"/>
        <w:rPr>
          <w:rFonts w:ascii="Times New Roman" w:hAnsi="Times New Roman"/>
          <w:i/>
          <w:sz w:val="20"/>
        </w:rPr>
      </w:pPr>
      <w:r>
        <w:rPr>
          <w:rFonts w:ascii="Times New Roman" w:hAnsi="Times New Roman"/>
          <w:i/>
          <w:sz w:val="20"/>
        </w:rPr>
        <w:t xml:space="preserve">This Notice of 2025 Annual Meeting of Stockholders, the accompanying proxy statement and our 2024 Annual Report on Form 10-K are available on our website at https://investors.biodesix.com/investor-relations in the SEC Filings section, as well as at </w:t>
      </w:r>
      <w:r>
        <w:rPr>
          <w:rFonts w:ascii="Times New Roman" w:hAnsi="Times New Roman"/>
          <w:i/>
          <w:color w:val="2E65AF"/>
          <w:sz w:val="20"/>
          <w:u w:val="single"/>
        </w:rPr>
        <w:t>www.proxydocs.com/BDSX</w:t>
      </w:r>
      <w:r>
        <w:rPr>
          <w:rFonts w:ascii="Times New Roman" w:hAnsi="Times New Roman"/>
          <w:i/>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color w:val="305494"/>
          <w:sz w:val="40"/>
        </w:rPr>
      </w:pPr>
      <w:bookmarkStart w:id="2" w:name="toc"/>
      <w:bookmarkEnd w:id="2"/>
      <w:r>
        <w:rPr>
          <w:rFonts w:ascii="Times New Roman" w:hAnsi="Times New Roman"/>
          <w:color w:val="305494"/>
          <w:sz w:val="40"/>
        </w:rPr>
        <w:t xml:space="preserve">Table of Contents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6335"/>
        <w:gridCol w:w="120"/>
        <w:gridCol w:w="60"/>
        <w:gridCol w:w="260"/>
        <w:gridCol w:w="75"/>
      </w:tblGrid>
      <w:tr>
        <w:trPr/>
        <w:tc>
          <w:tcPr>
            <w:tcW w:w="6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
              <w:r>
                <w:rPr>
                  <w:rStyle w:val="InternetLink"/>
                  <w:rFonts w:ascii="Times New Roman" w:hAnsi="Times New Roman"/>
                  <w:b/>
                  <w:color w:val="305494"/>
                  <w:sz w:val="22"/>
                </w:rPr>
                <w:t>ANNUAL MEETING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1</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
              <w:r>
                <w:rPr>
                  <w:rStyle w:val="InternetLink"/>
                  <w:rFonts w:ascii="Times New Roman" w:hAnsi="Times New Roman"/>
                  <w:b/>
                  <w:color w:val="124A8D"/>
                  <w:sz w:val="22"/>
                </w:rPr>
                <w:t>BOARD AND CORPORATE GOVERNANCE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8</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
              <w:r>
                <w:rPr>
                  <w:rStyle w:val="InternetLink"/>
                  <w:rFonts w:ascii="Times New Roman" w:hAnsi="Times New Roman"/>
                  <w:sz w:val="22"/>
                </w:rPr>
                <w:t>Proposal One: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4">
              <w:r>
                <w:rPr>
                  <w:rStyle w:val="InternetLink"/>
                  <w:rFonts w:ascii="Times New Roman" w:hAnsi="Times New Roman"/>
                  <w:sz w:val="22"/>
                </w:rPr>
                <w:t>Overview of Our Nominees and Continuing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5">
              <w:r>
                <w:rPr>
                  <w:rStyle w:val="InternetLink"/>
                  <w:rFonts w:ascii="Times New Roman" w:hAnsi="Times New Roman"/>
                  <w:sz w:val="22"/>
                </w:rPr>
                <w:t>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6">
              <w:r>
                <w:rPr>
                  <w:rStyle w:val="InternetLink"/>
                  <w:rFonts w:ascii="Times New Roman" w:hAnsi="Times New Roman"/>
                  <w:sz w:val="22"/>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7">
              <w:r>
                <w:rPr>
                  <w:rStyle w:val="InternetLink"/>
                  <w:rFonts w:ascii="Times New Roman" w:hAnsi="Times New Roman"/>
                  <w:sz w:val="22"/>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8">
              <w:r>
                <w:rPr>
                  <w:rStyle w:val="InternetLink"/>
                  <w:rFonts w:ascii="Times New Roman" w:hAnsi="Times New Roman"/>
                  <w:sz w:val="22"/>
                </w:rPr>
                <w:t>Role of our Board of Directors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9">
              <w:r>
                <w:rPr>
                  <w:rStyle w:val="InternetLink"/>
                  <w:rFonts w:ascii="Times New Roman" w:hAnsi="Times New Roman"/>
                  <w:sz w:val="22"/>
                </w:rPr>
                <w:t>Meetings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0">
              <w:r>
                <w:rPr>
                  <w:rStyle w:val="InternetLink"/>
                  <w:rFonts w:ascii="Times New Roman" w:hAnsi="Times New Roman"/>
                  <w:sz w:val="22"/>
                </w:rPr>
                <w:t>Committees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1">
              <w:r>
                <w:rPr>
                  <w:rStyle w:val="InternetLink"/>
                  <w:rFonts w:ascii="Times New Roman" w:hAnsi="Times New Roman"/>
                  <w:sz w:val="22"/>
                </w:rPr>
                <w:t>Committee Composition and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2">
              <w:r>
                <w:rPr>
                  <w:rStyle w:val="InternetLink"/>
                  <w:rFonts w:ascii="Times New Roman" w:hAnsi="Times New Roman"/>
                  <w:sz w:val="22"/>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3">
              <w:r>
                <w:rPr>
                  <w:rStyle w:val="InternetLink"/>
                  <w:rFonts w:ascii="Times New Roman" w:hAnsi="Times New Roman"/>
                  <w:sz w:val="22"/>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4">
              <w:r>
                <w:rPr>
                  <w:rStyle w:val="InternetLink"/>
                  <w:rFonts w:ascii="Times New Roman" w:hAnsi="Times New Roman"/>
                  <w:sz w:val="22"/>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5">
              <w:r>
                <w:rPr>
                  <w:rStyle w:val="InternetLink"/>
                  <w:rFonts w:ascii="Times New Roman" w:hAnsi="Times New Roman"/>
                  <w:sz w:val="22"/>
                </w:rPr>
                <w:t>Nominating and Corporate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6">
              <w:r>
                <w:rPr>
                  <w:rStyle w:val="InternetLink"/>
                  <w:rFonts w:ascii="Times New Roman" w:hAnsi="Times New Roman"/>
                  <w:sz w:val="22"/>
                </w:rPr>
                <w:t>Director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7">
              <w:r>
                <w:rPr>
                  <w:rStyle w:val="InternetLink"/>
                  <w:rFonts w:ascii="Times New Roman" w:hAnsi="Times New Roman"/>
                  <w:sz w:val="22"/>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8">
              <w:r>
                <w:rPr>
                  <w:rStyle w:val="InternetLink"/>
                  <w:rFonts w:ascii="Times New Roman" w:hAnsi="Times New Roman"/>
                  <w:sz w:val="22"/>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9">
              <w:r>
                <w:rPr>
                  <w:rStyle w:val="InternetLink"/>
                  <w:rFonts w:ascii="Times New Roman" w:hAnsi="Times New Roman"/>
                  <w:sz w:val="22"/>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0">
              <w:r>
                <w:rPr>
                  <w:rStyle w:val="InternetLink"/>
                  <w:rFonts w:ascii="Times New Roman" w:hAnsi="Times New Roman"/>
                  <w:sz w:val="22"/>
                </w:rPr>
                <w:t>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1">
              <w:r>
                <w:rPr>
                  <w:rStyle w:val="InternetLink"/>
                  <w:rFonts w:ascii="Times New Roman" w:hAnsi="Times New Roman"/>
                  <w:sz w:val="22"/>
                </w:rPr>
                <w:t>Stockholder Communications with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2">
              <w:r>
                <w:rPr>
                  <w:rStyle w:val="InternetLink"/>
                  <w:rFonts w:ascii="Times New Roman" w:hAnsi="Times New Roman"/>
                  <w:sz w:val="22"/>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3">
              <w:r>
                <w:rPr>
                  <w:rStyle w:val="InternetLink"/>
                  <w:rFonts w:ascii="Times New Roman" w:hAnsi="Times New Roman"/>
                  <w:b/>
                  <w:color w:val="124A8D"/>
                  <w:sz w:val="22"/>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21</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4">
              <w:r>
                <w:rPr>
                  <w:rStyle w:val="InternetLink"/>
                  <w:rFonts w:ascii="Times New Roman" w:hAnsi="Times New Roman"/>
                  <w:b/>
                  <w:color w:val="124A8D"/>
                  <w:sz w:val="22"/>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22</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5">
              <w:r>
                <w:rPr>
                  <w:rStyle w:val="InternetLink"/>
                  <w:rFonts w:ascii="Times New Roman" w:hAnsi="Times New Roman"/>
                  <w:sz w:val="22"/>
                </w:rPr>
                <w:t>Non-Employee Director Compensation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6">
              <w:r>
                <w:rPr>
                  <w:rStyle w:val="InternetLink"/>
                  <w:rFonts w:ascii="Times New Roman" w:hAnsi="Times New Roman"/>
                  <w:sz w:val="22"/>
                </w:rPr>
                <w:t>Director Deferred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7">
              <w:r>
                <w:rPr>
                  <w:rStyle w:val="InternetLink"/>
                  <w:rFonts w:ascii="Times New Roman" w:hAnsi="Times New Roman"/>
                  <w:sz w:val="22"/>
                </w:rPr>
                <w:t>2024 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8">
              <w:r>
                <w:rPr>
                  <w:rStyle w:val="InternetLink"/>
                  <w:rFonts w:ascii="Times New Roman" w:hAnsi="Times New Roman"/>
                  <w:b/>
                  <w:color w:val="124A8D"/>
                  <w:sz w:val="22"/>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26</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9">
              <w:r>
                <w:rPr>
                  <w:rStyle w:val="InternetLink"/>
                  <w:rFonts w:ascii="Times New Roman" w:hAnsi="Times New Roman"/>
                  <w:sz w:val="22"/>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0">
              <w:r>
                <w:rPr>
                  <w:rStyle w:val="InternetLink"/>
                  <w:rFonts w:ascii="Times New Roman" w:hAnsi="Times New Roman"/>
                  <w:sz w:val="22"/>
                </w:rPr>
                <w:t>Compensation of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1">
              <w:r>
                <w:rPr>
                  <w:rStyle w:val="InternetLink"/>
                  <w:rFonts w:ascii="Times New Roman" w:hAnsi="Times New Roman"/>
                  <w:sz w:val="22"/>
                </w:rPr>
                <w:t>2024 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2">
              <w:r>
                <w:rPr>
                  <w:rStyle w:val="InternetLink"/>
                  <w:rFonts w:ascii="Times New Roman" w:hAnsi="Times New Roman"/>
                  <w:sz w:val="22"/>
                </w:rPr>
                <w:t>Outstanding Equity Awards at Fiscal 2024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3">
              <w:r>
                <w:rPr>
                  <w:rStyle w:val="InternetLink"/>
                  <w:rFonts w:ascii="Times New Roman" w:hAnsi="Times New Roman"/>
                  <w:sz w:val="22"/>
                </w:rPr>
                <w:t>Additional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4">
              <w:r>
                <w:rPr>
                  <w:rStyle w:val="InternetLink"/>
                  <w:rFonts w:ascii="Times New Roman" w:hAnsi="Times New Roman"/>
                  <w:b/>
                  <w:color w:val="124A8D"/>
                  <w:sz w:val="22"/>
                </w:rPr>
                <w:t>STOCK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36</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5">
              <w:r>
                <w:rPr>
                  <w:rStyle w:val="InternetLink"/>
                  <w:rFonts w:ascii="Times New Roman" w:hAnsi="Times New Roman"/>
                  <w:sz w:val="22"/>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6">
              <w:r>
                <w:rPr>
                  <w:rStyle w:val="InternetLink"/>
                  <w:rFonts w:ascii="Times New Roman" w:hAnsi="Times New Roman"/>
                  <w:sz w:val="22"/>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47"/>
        <w:gridCol w:w="120"/>
        <w:gridCol w:w="60"/>
        <w:gridCol w:w="302"/>
        <w:gridCol w:w="76"/>
      </w:tblGrid>
      <w:tr>
        <w:trPr/>
        <w:tc>
          <w:tcPr>
            <w:tcW w:w="96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37">
              <w:r>
                <w:rPr>
                  <w:rStyle w:val="InternetLink"/>
                  <w:rFonts w:ascii="Times New Roman" w:hAnsi="Times New Roman"/>
                  <w:b/>
                  <w:color w:val="124A8D"/>
                  <w:sz w:val="22"/>
                </w:rPr>
                <w:t>AUDIT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39</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38">
              <w:r>
                <w:rPr>
                  <w:rStyle w:val="InternetLink"/>
                  <w:rFonts w:ascii="Times New Roman" w:hAnsi="Times New Roman"/>
                  <w:sz w:val="22"/>
                </w:rPr>
                <w:t>Proposal Two: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39</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39">
              <w:r>
                <w:rPr>
                  <w:rStyle w:val="InternetLink"/>
                  <w:rFonts w:ascii="Times New Roman" w:hAnsi="Times New Roman"/>
                  <w:sz w:val="22"/>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0">
              <w:r>
                <w:rPr>
                  <w:rStyle w:val="InternetLink"/>
                  <w:rFonts w:ascii="Times New Roman" w:hAnsi="Times New Roman"/>
                  <w:b/>
                  <w:color w:val="124A8D"/>
                  <w:sz w:val="22"/>
                </w:rPr>
                <w:t>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41</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1">
              <w:r>
                <w:rPr>
                  <w:rStyle w:val="InternetLink"/>
                  <w:rFonts w:ascii="Times New Roman" w:hAnsi="Times New Roman"/>
                  <w:sz w:val="22"/>
                </w:rPr>
                <w:t xml:space="preserve">Proposal Three: 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41</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2">
              <w:r>
                <w:rPr>
                  <w:rStyle w:val="InternetLink"/>
                  <w:rFonts w:ascii="Times New Roman" w:hAnsi="Times New Roman"/>
                  <w:b/>
                  <w:color w:val="124A8D"/>
                  <w:sz w:val="22"/>
                </w:rPr>
                <w:t>APPROVAL OF THE COMPANY’S AMENDED AND RESTATED EMPLOYEE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50</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3">
              <w:r>
                <w:rPr>
                  <w:rStyle w:val="InternetLink"/>
                  <w:rFonts w:ascii="Times New Roman" w:hAnsi="Times New Roman"/>
                  <w:sz w:val="22"/>
                </w:rPr>
                <w:t>Proposal Four: Approval of the Company’s Amended and Restated ESPP to increase the available shares of the Company’s Common Stock under the plan by 1,451,500 and to increase the maximum number of shares of the Company’s Common Stock that may be provided as the result of the plan’s annual automatic increase to 3,000,000</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50</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4">
              <w:r>
                <w:rPr>
                  <w:rStyle w:val="InternetLink"/>
                  <w:rFonts w:ascii="Times New Roman" w:hAnsi="Times New Roman"/>
                  <w:b/>
                  <w:color w:val="124A8D"/>
                  <w:sz w:val="22"/>
                </w:rPr>
                <w:t>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54</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5">
              <w:r>
                <w:rPr>
                  <w:rStyle w:val="InternetLink"/>
                  <w:rFonts w:ascii="Times New Roman" w:hAnsi="Times New Roman"/>
                  <w:sz w:val="22"/>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6">
              <w:r>
                <w:rPr>
                  <w:rStyle w:val="InternetLink"/>
                  <w:rFonts w:ascii="Times New Roman" w:hAnsi="Times New Roman"/>
                  <w:sz w:val="22"/>
                </w:rPr>
                <w:t>Stockholder Proposals and Nominations for Next Year’s Annual Meeting of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7">
              <w:r>
                <w:rPr>
                  <w:rStyle w:val="InternetLink"/>
                  <w:rFonts w:ascii="Times New Roman" w:hAnsi="Times New Roman"/>
                  <w:sz w:val="22"/>
                </w:rPr>
                <w:t>Availability of Annual Report on 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8">
              <w:r>
                <w:rPr>
                  <w:rStyle w:val="InternetLink"/>
                  <w:rFonts w:ascii="Times New Roman" w:hAnsi="Times New Roman"/>
                  <w:sz w:val="22"/>
                </w:rPr>
                <w:t>Annex 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A-1</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9">
              <w:r>
                <w:rPr>
                  <w:rStyle w:val="InternetLink"/>
                  <w:rFonts w:ascii="Times New Roman" w:hAnsi="Times New Roman"/>
                  <w:sz w:val="22"/>
                </w:rPr>
                <w:t>Annex B</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B-1</w:t>
            </w:r>
          </w:p>
        </w:tc>
        <w:tc>
          <w:tcPr>
            <w:tcW w:w="76"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304415" cy="3943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04415" cy="3943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color w:val="305494"/>
          <w:sz w:val="56"/>
        </w:rPr>
      </w:pPr>
      <w:r>
        <w:rPr>
          <w:rFonts w:ascii="Times New Roman" w:hAnsi="Times New Roman"/>
          <w:color w:val="305494"/>
          <w:sz w:val="56"/>
        </w:rPr>
        <w:t xml:space="preserve">Proxy Statement </w:t>
      </w:r>
    </w:p>
    <w:p>
      <w:pPr>
        <w:pStyle w:val="TextBody"/>
        <w:bidi w:val="0"/>
        <w:spacing w:before="40" w:after="0"/>
        <w:jc w:val="center"/>
        <w:rPr>
          <w:rFonts w:ascii="Times New Roman" w:hAnsi="Times New Roman"/>
          <w:sz w:val="20"/>
        </w:rPr>
      </w:pPr>
      <w:r>
        <w:rPr>
          <w:rFonts w:ascii="Times New Roman" w:hAnsi="Times New Roman"/>
          <w:sz w:val="20"/>
        </w:rPr>
        <w:t xml:space="preserve">2025 Annual Meeting of Stockholders </w:t>
      </w:r>
    </w:p>
    <w:p>
      <w:pPr>
        <w:pStyle w:val="TextBody"/>
        <w:bidi w:val="0"/>
        <w:spacing w:before="0" w:after="0"/>
        <w:jc w:val="center"/>
        <w:rPr>
          <w:rFonts w:ascii="Times New Roman" w:hAnsi="Times New Roman"/>
          <w:sz w:val="20"/>
        </w:rPr>
      </w:pPr>
      <w:r>
        <w:rPr>
          <w:rFonts w:ascii="Times New Roman" w:hAnsi="Times New Roman"/>
          <w:sz w:val="20"/>
        </w:rPr>
        <w:t xml:space="preserve">May 20, 2025 </w:t>
      </w:r>
    </w:p>
    <w:p>
      <w:pPr>
        <w:pStyle w:val="TextBody"/>
        <w:bidi w:val="0"/>
        <w:spacing w:before="240" w:after="0"/>
        <w:jc w:val="center"/>
        <w:rPr>
          <w:rFonts w:ascii="Times New Roman" w:hAnsi="Times New Roman"/>
          <w:b/>
          <w:color w:val="305494"/>
          <w:sz w:val="32"/>
        </w:rPr>
      </w:pPr>
      <w:bookmarkStart w:id="3" w:name="toc921496_1"/>
      <w:bookmarkEnd w:id="3"/>
      <w:r>
        <w:rPr>
          <w:rFonts w:ascii="Times New Roman" w:hAnsi="Times New Roman"/>
          <w:b/>
          <w:color w:val="305494"/>
          <w:sz w:val="32"/>
        </w:rPr>
        <w:t xml:space="preserve">ANNUAL MEETING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your proxy for the 2025 Annual Meeting of Stockholders (the Annual Meeting) of Biodesix, Inc. (Biodesix, the Company, we, us or our) and at any adjournment, continuation or postponement of the meeting for the purposes described in this proxy statement and the accompanying Notice of 2025 Annual Meeting of Stockholders. The Annual Meeting will take place virtually on May 20, 2025 at 1:00 p.m. Mountain Time. You must register to attend the meeting online and/or participate at </w:t>
      </w:r>
      <w:r>
        <w:rPr>
          <w:rFonts w:ascii="Times New Roman" w:hAnsi="Times New Roman"/>
          <w:color w:val="2E65AF"/>
          <w:sz w:val="20"/>
          <w:u w:val="single"/>
        </w:rPr>
        <w:t>www.proxydocs.com/BDSX</w:t>
      </w:r>
      <w:r>
        <w:rPr>
          <w:rFonts w:ascii="Times New Roman" w:hAnsi="Times New Roman"/>
          <w:sz w:val="20"/>
        </w:rPr>
        <w:t xml:space="preserve"> using the control number on your proxy card or notice. You will receive an email one hour prior to the meeting containing a link which will connect you to the meeting portal. If you held shares of our Common Stock as of the close of business on March 24, 2025, you will be able to vote on the proposals described in this proxy statement and submit questions online through the virtual meeting platform during the Annual Meeting. On or about April 28, 2025, we will be mailing a copy of our Annual Report on Form 10-K for the year ended December 31, 2024 (the 2024 Annual Report), this Proxy Statement and the proxy card (together, the Proxy Materials). The documents will be available at </w:t>
      </w:r>
      <w:r>
        <w:rPr>
          <w:rFonts w:ascii="Times New Roman" w:hAnsi="Times New Roman"/>
          <w:color w:val="2E65AF"/>
          <w:sz w:val="20"/>
          <w:u w:val="single"/>
        </w:rPr>
        <w:t>www.proxydocs.com/BDSX</w:t>
      </w:r>
      <w:r>
        <w:rPr>
          <w:rFonts w:ascii="Times New Roman" w:hAnsi="Times New Roman"/>
          <w:sz w:val="20"/>
        </w:rPr>
        <w:t xml:space="preserve">.The proxy card will also include information on how to vote online or by telephone or by returning your proxy card by mail.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can vote? </w:t>
      </w:r>
    </w:p>
    <w:p>
      <w:pPr>
        <w:pStyle w:val="TextBody"/>
        <w:bidi w:val="0"/>
        <w:spacing w:before="240" w:after="0"/>
        <w:jc w:val="left"/>
        <w:rPr>
          <w:rFonts w:ascii="Times New Roman" w:hAnsi="Times New Roman"/>
          <w:sz w:val="20"/>
        </w:rPr>
      </w:pPr>
      <w:r>
        <w:rPr>
          <w:rFonts w:ascii="Times New Roman" w:hAnsi="Times New Roman"/>
          <w:sz w:val="20"/>
        </w:rPr>
        <w:t xml:space="preserve">If you were a stockholder of record as of the close of business on March 24, 2025 (the record date), you are entitled to vote your shares at the Annual Meeting. As of the record date, 146,443,291 shares of our Common Stock were issued and outstanding. Each share of our Common Stock is entitled to one vote with respect to each matter on which it is entitled to vote and that is properly brought before the Annual Meeting.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am I voting on? </w:t>
      </w:r>
    </w:p>
    <w:p>
      <w:pPr>
        <w:pStyle w:val="TextBody"/>
        <w:bidi w:val="0"/>
        <w:spacing w:before="240" w:after="0"/>
        <w:jc w:val="left"/>
        <w:rPr>
          <w:rFonts w:ascii="Times New Roman" w:hAnsi="Times New Roman"/>
          <w:sz w:val="20"/>
        </w:rPr>
      </w:pPr>
      <w:r>
        <w:rPr>
          <w:rFonts w:ascii="Times New Roman" w:hAnsi="Times New Roman"/>
          <w:sz w:val="20"/>
        </w:rPr>
        <w:t xml:space="preserve">You are being asked to vote on four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One: To elect the two Class II directors named in this proxy statement to hold office until the 2028 annual meeting of stockholders;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Two: To ratify the appointment of KPMG LLP as our independent registered public accounting firm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Three: To approve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Four: To approve the Company’s Amended and Restated Employee Stock Purchase Plan to increase the available shares of the Company’s Common Stock under the plan by 1,451,500 and to increase the maximum number of shares of the Company’s Common Stock that may be provided as the result of the plan’s annual automatic increase to 3,000,000. </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How does the board of directors recommend that I vote on each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recommends that our stockholders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the two Class II directors named in this proxy statement to hold office until the 2028 annual meeting of stockholders;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77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appointment of KPMG LLP as our independent registered public accounting firm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an amendment to the Company’s amended and restated certificate of incorporation to effect a reverse stock split of the Company’s Common Stock; and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767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Company’s Amended and Restated Employee Stock Purchase Plan.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if another matter is properly brought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do I vote?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depend on whether your shares are registered in your name or are held by a bank, broker or other nominee. You may also vote your shares electronically during a designated portion of the virtual Annual Meeting after your successful registration at </w:t>
      </w:r>
      <w:r>
        <w:rPr>
          <w:rFonts w:ascii="Times New Roman" w:hAnsi="Times New Roman"/>
          <w:color w:val="2E65AF"/>
          <w:sz w:val="20"/>
          <w:u w:val="single"/>
        </w:rPr>
        <w:t>www.proxydocs.com/BDSX</w:t>
      </w:r>
      <w:r>
        <w:rPr>
          <w:rFonts w:ascii="Times New Roman" w:hAnsi="Times New Roman"/>
          <w:sz w:val="20"/>
        </w:rPr>
        <w:t xml:space="preserve">. Whether or not you plan to attend the Annual Meeting, we encourage you to vote and submit your proxy in advance of the meeting by one of the methods described below.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48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of Record: Shares Registered in Your Name </w:t>
            </w:r>
          </w:p>
        </w:tc>
      </w:tr>
    </w:tbl>
    <w:p>
      <w:pPr>
        <w:pStyle w:val="TextBody"/>
        <w:bidi w:val="0"/>
        <w:spacing w:before="240" w:after="0"/>
        <w:jc w:val="left"/>
        <w:rPr>
          <w:rFonts w:ascii="Times New Roman" w:hAnsi="Times New Roman"/>
          <w:sz w:val="20"/>
        </w:rPr>
      </w:pPr>
      <w:r>
        <w:rPr>
          <w:rFonts w:ascii="Times New Roman" w:hAnsi="Times New Roman"/>
          <w:sz w:val="20"/>
          <w:u w:val="single"/>
        </w:rPr>
        <w:t>Vote by Proxy in Advance of the Annual Meeting</w:t>
      </w:r>
      <w:r>
        <w:rPr>
          <w:rFonts w:ascii="Times New Roman" w:hAnsi="Times New Roman"/>
          <w:sz w:val="20"/>
        </w:rPr>
        <w:t xml:space="preserve">: If, on the record date, your shares were registered directly in your name with Biodesix’s transfer agent, Computershare Trust Company, N.A., then you are a “stockholder of record.” As a stockholder of record, you may vote by proxy in advance of the Annual Meeting in three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66"/>
        <w:gridCol w:w="60"/>
        <w:gridCol w:w="3246"/>
        <w:gridCol w:w="60"/>
        <w:gridCol w:w="2973"/>
      </w:tblGrid>
      <w:tr>
        <w:trPr/>
        <w:tc>
          <w:tcPr>
            <w:tcW w:w="3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r>
      <w:tr>
        <w:trPr/>
        <w:tc>
          <w:tcPr>
            <w:tcW w:w="3866" w:type="dxa"/>
            <w:tcBorders>
              <w:top w:val="dotted" w:sz="8" w:space="0" w:color="305494"/>
              <w:left w:val="dotted" w:sz="8" w:space="0" w:color="305494"/>
              <w:right w:val="dotted" w:sz="8" w:space="0" w:color="305494"/>
            </w:tcBorders>
            <w:tcMar>
              <w:top w:w="28" w:type="dxa"/>
              <w:left w:w="160" w:type="dxa"/>
              <w:right w:w="28" w:type="dxa"/>
            </w:tcMar>
            <w:vAlign w:val="center"/>
          </w:tcPr>
          <w:p>
            <w:pPr>
              <w:pStyle w:val="TableContents"/>
              <w:bidi w:val="0"/>
              <w:spacing w:before="0" w:after="283"/>
              <w:jc w:val="left"/>
              <w:rPr/>
            </w:pPr>
            <w:r>
              <w:rPr/>
              <w:t> </w:t>
            </w:r>
          </w:p>
        </w:tc>
        <w:tc>
          <w:tcPr>
            <w:tcW w:w="3306" w:type="dxa"/>
            <w:gridSpan w:val="2"/>
            <w:tcBorders>
              <w:top w:val="dotted" w:sz="8" w:space="0" w:color="305494"/>
              <w:right w:val="dotted" w:sz="8" w:space="0" w:color="305494"/>
            </w:tcBorders>
            <w:tcMar>
              <w:top w:w="28" w:type="dxa"/>
              <w:right w:w="28" w:type="dxa"/>
            </w:tcMar>
            <w:vAlign w:val="center"/>
          </w:tcPr>
          <w:p>
            <w:pPr>
              <w:pStyle w:val="TableContents"/>
              <w:bidi w:val="0"/>
              <w:spacing w:before="0" w:after="283"/>
              <w:jc w:val="left"/>
              <w:rPr/>
            </w:pPr>
            <w:r>
              <w:rPr/>
              <w:t> </w:t>
            </w:r>
          </w:p>
        </w:tc>
        <w:tc>
          <w:tcPr>
            <w:tcW w:w="3033" w:type="dxa"/>
            <w:gridSpan w:val="2"/>
            <w:tcBorders>
              <w:top w:val="dotted" w:sz="8" w:space="0" w:color="305494"/>
              <w:right w:val="dotted" w:sz="8" w:space="0" w:color="305494"/>
            </w:tcBorders>
            <w:tcMar>
              <w:top w:w="28" w:type="dxa"/>
              <w:right w:w="28" w:type="dxa"/>
            </w:tcMar>
            <w:vAlign w:val="center"/>
          </w:tcPr>
          <w:p>
            <w:pPr>
              <w:pStyle w:val="TableContents"/>
              <w:bidi w:val="0"/>
              <w:spacing w:before="0" w:after="283"/>
              <w:jc w:val="left"/>
              <w:rPr/>
            </w:pPr>
            <w:r>
              <w:rPr/>
              <w:t> </w:t>
            </w:r>
          </w:p>
        </w:tc>
      </w:tr>
      <w:tr>
        <w:trPr/>
        <w:tc>
          <w:tcPr>
            <w:tcW w:w="3866" w:type="dxa"/>
            <w:tcBorders>
              <w:left w:val="dotted" w:sz="8" w:space="0" w:color="305494"/>
              <w:right w:val="dotted" w:sz="8" w:space="0" w:color="305494"/>
            </w:tcBorders>
            <w:tcMar>
              <w:left w:w="160" w:type="dxa"/>
              <w:right w:w="28" w:type="dxa"/>
            </w:tcMar>
            <w:vAlign w:val="center"/>
          </w:tcPr>
          <w:p>
            <w:pPr>
              <w:pStyle w:val="TableContents"/>
              <w:bidi w:val="0"/>
              <w:spacing w:before="0" w:after="283"/>
              <w:jc w:val="center"/>
              <w:rPr/>
            </w:pPr>
            <w:r>
              <w:rPr/>
              <w:drawing>
                <wp:inline distT="0" distB="0" distL="0" distR="0">
                  <wp:extent cx="656590" cy="7600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6590" cy="7600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46" w:type="dxa"/>
            <w:tcBorders>
              <w:right w:val="dotted" w:sz="8" w:space="0" w:color="305494"/>
            </w:tcBorders>
            <w:tcMar>
              <w:right w:w="28" w:type="dxa"/>
            </w:tcMar>
            <w:vAlign w:val="center"/>
          </w:tcPr>
          <w:p>
            <w:pPr>
              <w:pStyle w:val="TableContents"/>
              <w:bidi w:val="0"/>
              <w:spacing w:before="0" w:after="283"/>
              <w:jc w:val="center"/>
              <w:rPr/>
            </w:pPr>
            <w:r>
              <w:rPr/>
              <w:drawing>
                <wp:inline distT="0" distB="0" distL="0" distR="0">
                  <wp:extent cx="304800" cy="551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4800" cy="5511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73" w:type="dxa"/>
            <w:tcBorders>
              <w:right w:val="dotted" w:sz="8" w:space="0" w:color="305494"/>
            </w:tcBorders>
            <w:tcMar>
              <w:right w:w="40" w:type="dxa"/>
            </w:tcMar>
            <w:vAlign w:val="center"/>
          </w:tcPr>
          <w:p>
            <w:pPr>
              <w:pStyle w:val="TableContents"/>
              <w:bidi w:val="0"/>
              <w:spacing w:before="0" w:after="283"/>
              <w:jc w:val="center"/>
              <w:rPr/>
            </w:pPr>
            <w:r>
              <w:rPr/>
              <w:drawing>
                <wp:inline distT="0" distB="0" distL="0" distR="0">
                  <wp:extent cx="615950" cy="4216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15950" cy="421640"/>
                          </a:xfrm>
                          <a:prstGeom prst="rect">
                            <a:avLst/>
                          </a:prstGeom>
                        </pic:spPr>
                      </pic:pic>
                    </a:graphicData>
                  </a:graphic>
                </wp:inline>
              </w:drawing>
            </w:r>
            <w:r>
              <w:rPr/>
              <w:t xml:space="preserve"> </w:t>
            </w:r>
          </w:p>
        </w:tc>
      </w:tr>
      <w:tr>
        <w:trPr/>
        <w:tc>
          <w:tcPr>
            <w:tcW w:w="3866" w:type="dxa"/>
            <w:tcBorders>
              <w:left w:val="single" w:sz="8" w:space="0" w:color="305494"/>
              <w:bottom w:val="single" w:sz="8" w:space="0" w:color="305494"/>
              <w:right w:val="single" w:sz="8" w:space="0" w:color="305494"/>
            </w:tcBorders>
            <w:tcMar>
              <w:left w:w="160" w:type="dxa"/>
              <w:bottom w:w="28"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by Internet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 to</w:t>
            </w:r>
          </w:p>
          <w:p>
            <w:pPr>
              <w:pStyle w:val="TableContents"/>
              <w:bidi w:val="0"/>
              <w:spacing w:before="0" w:after="20"/>
              <w:jc w:val="left"/>
              <w:rPr>
                <w:rFonts w:ascii="Times New Roman" w:hAnsi="Times New Roman"/>
                <w:sz w:val="20"/>
              </w:rPr>
            </w:pPr>
            <w:r>
              <w:rPr>
                <w:rFonts w:ascii="Times New Roman" w:hAnsi="Times New Roman"/>
                <w:sz w:val="20"/>
              </w:rPr>
              <w:t>http://www.proxypush.com/ BDSX to complete an electronic proxy card. You will be asked to provide the Company number and control number from your proxy card. Your vote must be received prior to the meeting start time to be counted.</w:t>
            </w:r>
          </w:p>
        </w:tc>
        <w:tc>
          <w:tcPr>
            <w:tcW w:w="60" w:type="dxa"/>
            <w:tcBorders>
              <w:bottom w:val="single" w:sz="8" w:space="0" w:color="305494"/>
            </w:tcBorders>
            <w:tcMar>
              <w:bottom w:w="28" w:type="dxa"/>
            </w:tcMar>
            <w:vAlign w:val="center"/>
          </w:tcPr>
          <w:p>
            <w:pPr>
              <w:pStyle w:val="TableContents"/>
              <w:bidi w:val="0"/>
              <w:spacing w:before="0" w:after="283"/>
              <w:jc w:val="left"/>
              <w:rPr/>
            </w:pPr>
            <w:r>
              <w:rPr/>
              <w:t> </w:t>
            </w:r>
          </w:p>
        </w:tc>
        <w:tc>
          <w:tcPr>
            <w:tcW w:w="3246" w:type="dxa"/>
            <w:tcBorders>
              <w:bottom w:val="single" w:sz="8" w:space="0" w:color="305494"/>
              <w:right w:val="single" w:sz="8" w:space="0" w:color="305494"/>
            </w:tcBorders>
            <w:tcMar>
              <w:bottom w:w="28"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by telephone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Dial toll-free 1-866-291-6774 using a touch-tone phone and follow the recorded instructions. You will be asked to provide the Company number and control number from your proxy card. Your vote must be received prior to the meeting start time to be counted.</w:t>
            </w:r>
          </w:p>
        </w:tc>
        <w:tc>
          <w:tcPr>
            <w:tcW w:w="60" w:type="dxa"/>
            <w:tcBorders>
              <w:bottom w:val="single" w:sz="8" w:space="0" w:color="305494"/>
            </w:tcBorders>
            <w:tcMar>
              <w:bottom w:w="28" w:type="dxa"/>
            </w:tcMar>
            <w:vAlign w:val="center"/>
          </w:tcPr>
          <w:p>
            <w:pPr>
              <w:pStyle w:val="TableContents"/>
              <w:bidi w:val="0"/>
              <w:spacing w:before="0" w:after="283"/>
              <w:jc w:val="left"/>
              <w:rPr/>
            </w:pPr>
            <w:r>
              <w:rPr/>
              <w:t> </w:t>
            </w:r>
          </w:p>
        </w:tc>
        <w:tc>
          <w:tcPr>
            <w:tcW w:w="2973" w:type="dxa"/>
            <w:tcBorders>
              <w:bottom w:val="single" w:sz="8" w:space="0" w:color="305494"/>
              <w:right w:val="single" w:sz="8" w:space="0" w:color="305494"/>
            </w:tcBorders>
            <w:tcMar>
              <w:bottom w:w="28" w:type="dxa"/>
              <w:right w:w="4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by mail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Complete, sign and date the proxy card you received as part of the Proxy Materials, and return it promptly in the envelope provided. If your signed proxy card is received prior to the meeting date, we will vote your shares as you direct.</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7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 Shares Registered in the Name of Broker, Bank or Other Nominee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your shares were held not in your name, but in an account with a broker, bank or other nominee as custodian on your behalf, then you are considered the “beneficial owner” of shares held in “street name.” The Proxy Materials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is the effect of giving a proxy? What if I return a proxy card or otherwise vote but do not make specific choices? </w:t>
      </w:r>
    </w:p>
    <w:p>
      <w:pPr>
        <w:pStyle w:val="TextBody"/>
        <w:bidi w:val="0"/>
        <w:spacing w:before="240" w:after="0"/>
        <w:jc w:val="left"/>
        <w:rPr>
          <w:rFonts w:ascii="Times New Roman" w:hAnsi="Times New Roman"/>
          <w:sz w:val="20"/>
        </w:rPr>
      </w:pPr>
      <w:r>
        <w:rPr>
          <w:rFonts w:ascii="Times New Roman" w:hAnsi="Times New Roman"/>
          <w:sz w:val="20"/>
        </w:rPr>
        <w:t xml:space="preserve">Proxies are solicited by and on behalf of the board of directors. Robin Harper Cowie (our Chief Financial Officer, Secretary and Treasurer) and Christopher C. Vazquez (our Chief Accounting Officer) have been designated as proxy holders by the board of directors. If you properly grant your proxy, your shares will be voted as you instruct. If you return a signed proxy card or otherwise vote without marking specific voting selections, your shares will be voted as the board of directors recommends: “For” the election of two Class II directors (Proposal One); “For” the ratification of the appointment of KPMG LLP as our independent registered public accounting firm for 2025 (Proposal Two); “For” the approval of the amendment to the Company’s amended and restated certificate of incorporation to effect a reverse stock split of the Company’s Common Stock (Proposal Three); “For” the approval of the Company’s Amended and Restated Employee Stock Purchase Plan (Proposal Four); and in accordance with the best judgment of your proxy holder for any other matters properly brought before the meeting, if any.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Can I change my vote or revoke my proxy? </w:t>
      </w:r>
    </w:p>
    <w:p>
      <w:pPr>
        <w:pStyle w:val="TextBody"/>
        <w:bidi w:val="0"/>
        <w:spacing w:before="240" w:after="0"/>
        <w:jc w:val="left"/>
        <w:rPr>
          <w:rFonts w:ascii="Times New Roman" w:hAnsi="Times New Roman"/>
          <w:sz w:val="20"/>
        </w:rPr>
      </w:pPr>
      <w:r>
        <w:rPr>
          <w:rFonts w:ascii="Times New Roman" w:hAnsi="Times New Roman"/>
          <w:sz w:val="20"/>
        </w:rPr>
        <w:t xml:space="preserve">Yes. If you are a stockholder of record, you can change your vote or revoke your proxy and voting instructions at any time prior to the vote at the Annual Meeting. To do so: </w:t>
      </w:r>
    </w:p>
    <w:p>
      <w:pPr>
        <w:pStyle w:val="TextBody"/>
        <w:bidi w:val="0"/>
        <w:spacing w:before="240" w:after="0"/>
        <w:jc w:val="left"/>
        <w:rPr/>
      </w:pPr>
      <w:r>
        <w:rPr>
          <w:color w:val="2E65AF"/>
        </w:rPr>
        <w:t>●</w:t>
      </w:r>
      <w:r>
        <w:rPr/>
        <w:t xml:space="preserve"> </w:t>
      </w:r>
      <w:r>
        <w:rPr>
          <w:rFonts w:ascii="Times New Roman" w:hAnsi="Times New Roman"/>
          <w:sz w:val="20"/>
        </w:rPr>
        <w:t xml:space="preserve">Submit a new proxy card or voting instructions to the independent tabulator, Mediant Communications Inc. (Mediant), by mail, telephone or through the Internet by the closing of the polls at the Annual Meeting. </w:t>
      </w:r>
    </w:p>
    <w:p>
      <w:pPr>
        <w:pStyle w:val="TextBody"/>
        <w:bidi w:val="0"/>
        <w:spacing w:before="240" w:after="0"/>
        <w:jc w:val="left"/>
        <w:rPr/>
      </w:pPr>
      <w:r>
        <w:rPr>
          <w:color w:val="2E65AF"/>
        </w:rPr>
        <w:t>●</w:t>
      </w:r>
      <w:r>
        <w:rPr/>
        <w:t xml:space="preserve"> </w:t>
      </w:r>
      <w:r>
        <w:rPr>
          <w:rFonts w:ascii="Times New Roman" w:hAnsi="Times New Roman"/>
          <w:sz w:val="20"/>
        </w:rPr>
        <w:t xml:space="preserve">Attend the virtual Annual Meeting and vote electronically during the meeting. Simply attending the meeting will not, by itself, revoke your proxy. </w:t>
      </w:r>
    </w:p>
    <w:p>
      <w:pPr>
        <w:pStyle w:val="TextBody"/>
        <w:bidi w:val="0"/>
        <w:spacing w:before="240" w:after="0"/>
        <w:jc w:val="left"/>
        <w:rPr>
          <w:rFonts w:ascii="Times New Roman" w:hAnsi="Times New Roman"/>
          <w:sz w:val="20"/>
        </w:rPr>
      </w:pPr>
      <w:r>
        <w:rPr>
          <w:rFonts w:ascii="Times New Roman" w:hAnsi="Times New Roman"/>
          <w:sz w:val="20"/>
        </w:rPr>
        <w:t xml:space="preserve">If you are the beneficial owner of shares held in street name, you should follow the instructions provided by your broker, bank or other nominee to revoke previously submitted voting instructions.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are broker non-votes? </w:t>
      </w:r>
    </w:p>
    <w:p>
      <w:pPr>
        <w:pStyle w:val="TextBody"/>
        <w:bidi w:val="0"/>
        <w:spacing w:before="240" w:after="0"/>
        <w:jc w:val="left"/>
        <w:rPr>
          <w:rFonts w:ascii="Times New Roman" w:hAnsi="Times New Roman"/>
          <w:sz w:val="20"/>
        </w:rPr>
      </w:pPr>
      <w:r>
        <w:rPr>
          <w:rFonts w:ascii="Times New Roman" w:hAnsi="Times New Roman"/>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routine matters to be presented at the Annual Meeting are the proposal to ratify the appointment of KPMG LLP as our independent registered public accounting firm for 2025 (Proposal Two) and approval of an amendment to the Company’s amended and restated certificate of incorporation to effect a reverse stock split of the Company’s Common Stock (Proposal Three). The election of two Class II directors (Proposal One) and the approval of the Company’s Amended and Restated Employee Stock Purchase Plan (Proposal Four) are non-routine matters.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and Proposal Three, such shares will be considered present at the Annual Meeting for quorum purposes and broker non-votes will occur as to Proposal One and Proposal Four and any other non-routine matters that are properly presented at the Annual Meeting. Broker non-votes will have no impact on the voting results.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many shares must be present to hold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146,443,291 shares of our Common Stock outstanding and entitled to vote. Therefore, the holders of 73,221,646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What vote is required for the approval of each proposal? What effect do “withhold” votes, abstentions and broker non-votes have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summarizes the proposals to be considered at the Annual Meeting, the vote required for approval of each proposal, and the manner in which votes will be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1"/>
        <w:gridCol w:w="485"/>
        <w:gridCol w:w="489"/>
        <w:gridCol w:w="120"/>
        <w:gridCol w:w="1116"/>
        <w:gridCol w:w="120"/>
        <w:gridCol w:w="2873"/>
        <w:gridCol w:w="120"/>
        <w:gridCol w:w="2143"/>
        <w:gridCol w:w="120"/>
        <w:gridCol w:w="1818"/>
      </w:tblGrid>
      <w:tr>
        <w:trPr/>
        <w:tc>
          <w:tcPr>
            <w:tcW w:w="8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bottom w:val="single" w:sz="16" w:space="0" w:color="305494"/>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1116"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Voting Options</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2873"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Vote Required to Adopt the</w:t>
              <w:br/>
              <w:t>Proposal</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2143"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Effect of “Withheld”</w:t>
              <w:br/>
              <w:t>Votes or Abstentions</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1818"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Effect of “Broker</w:t>
              <w:br/>
              <w:t>Non-Votes”</w:t>
            </w:r>
          </w:p>
        </w:tc>
      </w:tr>
      <w:tr>
        <w:trPr/>
        <w:tc>
          <w:tcPr>
            <w:tcW w:w="1775" w:type="dxa"/>
            <w:gridSpan w:val="3"/>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Proposal One:</w:t>
            </w:r>
            <w:r>
              <w:rPr>
                <w:rFonts w:ascii="Times New Roman" w:hAnsi="Times New Roman"/>
                <w:sz w:val="18"/>
              </w:rPr>
              <w:t> Election of the two Class II directors named in this proxy statement</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or Withhold on each nominee</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Plurality of the votes cast. This means that the two nominees receiving the highest number of “For” votes (from the holders of votes of shares present or represented by proxy and entitled to vote on the election of directors) will be elected as Class II directors.</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pPr>
            <w:r>
              <w:rPr/>
              <w:t>“</w:t>
            </w:r>
            <w:r>
              <w:rPr>
                <w:rFonts w:ascii="Times New Roman" w:hAnsi="Times New Roman"/>
                <w:sz w:val="18"/>
              </w:rPr>
              <w:t>Withheld” votes have no effect; only “For” votes affect the outcome of the election.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do not have discretion to vote. Broker non-votes will have no effect; only “For” votes affect the outcome of the election.</w:t>
            </w:r>
          </w:p>
        </w:tc>
      </w:tr>
      <w:tr>
        <w:trPr/>
        <w:tc>
          <w:tcPr>
            <w:tcW w:w="1775" w:type="dxa"/>
            <w:gridSpan w:val="3"/>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 xml:space="preserve">Proposal Two: </w:t>
            </w:r>
            <w:r>
              <w:rPr>
                <w:rFonts w:ascii="Times New Roman" w:hAnsi="Times New Roman"/>
                <w:sz w:val="18"/>
              </w:rPr>
              <w:t>Ratification of appointment of KPMG LLP as our independent registered public accounting firm for the year ended December 31, 2025</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Against or Abstain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Affirmative vote of a majority of the shares present or represented by proxy and entitled to vote on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Abstentions are considered shares present and entitled to vote, and therefore have the same impact as votes “Against”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have discretion to vote. Therefore, we do not expect any broker non-votes.</w:t>
            </w:r>
          </w:p>
        </w:tc>
      </w:tr>
      <w:tr>
        <w:trPr/>
        <w:tc>
          <w:tcPr>
            <w:tcW w:w="1775" w:type="dxa"/>
            <w:gridSpan w:val="3"/>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 xml:space="preserve">Proposal Three: </w:t>
            </w:r>
            <w:r>
              <w:rPr>
                <w:rFonts w:ascii="Times New Roman" w:hAnsi="Times New Roman"/>
                <w:sz w:val="18"/>
              </w:rPr>
              <w:t>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Against or Abstain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Affirmative vote of a majority of the shares present or represented by proxy and entitled to vote on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Abstentions are considered shares present and entitled to vote, and therefore have the same impact as votes “Against”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have discretion to vote. Therefore, we do not expect any broker non-votes.</w:t>
            </w:r>
          </w:p>
        </w:tc>
      </w:tr>
      <w:tr>
        <w:trPr/>
        <w:tc>
          <w:tcPr>
            <w:tcW w:w="1775" w:type="dxa"/>
            <w:gridSpan w:val="3"/>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 xml:space="preserve">Proposal Four: </w:t>
            </w:r>
            <w:r>
              <w:rPr>
                <w:rFonts w:ascii="Times New Roman" w:hAnsi="Times New Roman"/>
                <w:sz w:val="18"/>
              </w:rPr>
              <w:t>Approval of the Company’s Amended and Restated Employee Stock Purchase Plan to increase the available shares of the Company’s Common Stock under the plan by 1,451,500 and to increase the maximum number of shares of the Company’s Common Stock that may be provided as the result of the plan’s annual automatic increase to 3,000,000</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Against or Abstain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Affirmative vote of a majority of the shares present or represented by proxy and entitled to vote on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Abstentions are considered shares present and entitled to vote, and therefore have the same impact as votes “Against”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do not have discretion to vote. Broker non-votes will have no effect; only “For” votes affect the outcome of the election.</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Important Information About Our Virtual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Why is the Annual Meeting being held in a virtual format this year? </w:t>
            </w:r>
            <w:r>
              <w:rPr>
                <w:rFonts w:ascii="Times New Roman" w:hAnsi="Times New Roman"/>
                <w:sz w:val="20"/>
              </w:rPr>
              <w:t xml:space="preserve">The Annual Meeting will be held in a virtual meeting format via live audio 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How can I attend the Annual Meeting online? </w:t>
            </w:r>
            <w:r>
              <w:rPr>
                <w:rFonts w:ascii="Times New Roman" w:hAnsi="Times New Roman"/>
                <w:sz w:val="20"/>
              </w:rPr>
              <w:t xml:space="preserve">To join the Annual Meeting online, visit </w:t>
            </w:r>
            <w:r>
              <w:rPr>
                <w:rFonts w:ascii="Times New Roman" w:hAnsi="Times New Roman"/>
                <w:color w:val="305494"/>
                <w:sz w:val="20"/>
                <w:u w:val="single"/>
              </w:rPr>
              <w:t>www.proxydocs.com/BDSX</w:t>
            </w:r>
            <w:r>
              <w:rPr>
                <w:rFonts w:ascii="Times New Roman" w:hAnsi="Times New Roman"/>
                <w:sz w:val="20"/>
              </w:rPr>
              <w:t xml:space="preserve"> and register using your control number on your proxy card or on the instructions that accompanied your Proxy Materials, and following the instructions received via email, including a unique link that will allow you access to the Annual Meeting, to vote, and submit questions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When can I join the virtual Annual Meeting?</w:t>
            </w:r>
            <w:r>
              <w:rPr>
                <w:rFonts w:ascii="Times New Roman" w:hAnsi="Times New Roman"/>
                <w:sz w:val="20"/>
              </w:rPr>
              <w:t xml:space="preserve"> The meeting will begin promptly at 1:00 p.m. Mountain Time on Tuesday, May 20, 2025. You may access the meeting platform 15 minutes earlier, and we encourage you to join in advance of the meeting start time to allow sufficient time to log in and confirm your connection and audio are working properly.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Can I ask questions during the virtual Annual Meeting? </w:t>
            </w:r>
            <w:r>
              <w:rPr>
                <w:rFonts w:ascii="Times New Roman" w:hAnsi="Times New Roman"/>
                <w:sz w:val="20"/>
              </w:rPr>
              <w:t xml:space="preserve">Yes. If you are logged in as a “stockholder” at the virtual Annual Meeting, you will 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How do I vote during the virtual Annual Meeting? </w:t>
            </w:r>
            <w:r>
              <w:rPr>
                <w:rFonts w:ascii="Times New Roman" w:hAnsi="Times New Roman"/>
                <w:sz w:val="20"/>
              </w:rPr>
              <w:t xml:space="preserve">You will have an opportunity to vote your shares electronically during a designated portion of the virtual Annual Meeting after logging in. Whether or not you plan to join the Annual Meeting, we encourage you to vote and submit your proxy in advance of the meeting by one of the methods described in these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What if I have technical difficulties? </w:t>
            </w:r>
            <w:r>
              <w:rPr>
                <w:rFonts w:ascii="Times New Roman" w:hAnsi="Times New Roman"/>
                <w:sz w:val="20"/>
              </w:rPr>
              <w:t xml:space="preserve">On the day of the Annual Meeting, if you have trouble accessing the virtual meeting platform or encounter other technical difficulties with the platform before or during the meeting, please call the technical support number provided in your email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Will a list of stockholders be available for inspection prior to and during the meeting?</w:t>
            </w:r>
            <w:r>
              <w:rPr>
                <w:rFonts w:ascii="Times New Roman" w:hAnsi="Times New Roman"/>
                <w:sz w:val="20"/>
              </w:rPr>
              <w:t xml:space="preserve"> Yes. A complete list of stockholders of record will be available for inspection, by appointment only, by any stockholder for at least ten (10) days prior to the Annual Meeting during ordinary business hours at our headquarters located at 919 West Dillon Rd., Louisville, CO 80027.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Will a recording of the meeting be available? </w:t>
            </w:r>
            <w:r>
              <w:rPr>
                <w:rFonts w:ascii="Times New Roman" w:hAnsi="Times New Roman"/>
                <w:sz w:val="20"/>
              </w:rPr>
              <w:t xml:space="preserve">Yes, following the Annual Meeting, a recording of the meeting will be available on </w:t>
            </w:r>
            <w:r>
              <w:rPr>
                <w:rFonts w:ascii="Times New Roman" w:hAnsi="Times New Roman"/>
                <w:color w:val="305494"/>
                <w:sz w:val="20"/>
                <w:u w:val="single"/>
              </w:rPr>
              <w:t>www.proxydocs.com/BDSX</w:t>
            </w:r>
            <w:r>
              <w:rPr>
                <w:rFonts w:ascii="Times New Roman" w:hAnsi="Times New Roman"/>
                <w:sz w:val="20"/>
              </w:rPr>
              <w:t xml:space="preserve"> for one year following the meeting date.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will count the votes?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Mediant will tabulate the votes, and a representative of Mediant will act as inspector of election.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is paying for this proxy solicitation?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What does it mean if I receive more than one set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If you receive more than one set of Proxy Materials, your shares may be registered in more than one name or in different accounts. Please follow the voting instructions included in each set of Proxy Materials to ensure that all of your shares are voted.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can I find out the results of the voting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 the SEC within four business days after the Annual Meeting.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Why were my Proxy Materials included in the same envelope as other people at my address? How may I obtain an additional copy of the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we deliver a single copy of our Proxy Materials to stockholders of record who share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our Proxy Materials, but would like to request a separate copy of these materials, please contact our mailing agent, Mediant, by calling 1-866-648-8133 or e-mailing paper@investorelections.com and an additional copy of the materials will be promptly delivered to you. Similarly, if you receive multiple copies of the Proxy Materials, but would prefer to receive a single copy in the future, you may also contact Mediant at the above telephone number or address. Beneficial owners should contact their broker, bank or other nominee to request information about householding procedures.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4" w:name="toc921496_2"/>
      <w:bookmarkEnd w:id="4"/>
      <w:r>
        <w:rPr>
          <w:rFonts w:ascii="Times New Roman" w:hAnsi="Times New Roman"/>
          <w:b/>
          <w:color w:val="305494"/>
          <w:sz w:val="32"/>
        </w:rPr>
        <w:t xml:space="preserve">BOARD AND CORPORATE GOVERNANCE MATTERS </w:t>
      </w:r>
    </w:p>
    <w:p>
      <w:pPr>
        <w:pStyle w:val="TextBody"/>
        <w:bidi w:val="0"/>
        <w:spacing w:before="360" w:after="0"/>
        <w:jc w:val="left"/>
        <w:rPr>
          <w:rFonts w:ascii="Times New Roman" w:hAnsi="Times New Roman"/>
          <w:color w:val="305494"/>
          <w:sz w:val="28"/>
        </w:rPr>
      </w:pPr>
      <w:bookmarkStart w:id="5" w:name="toc921496_3"/>
      <w:bookmarkEnd w:id="5"/>
      <w:r>
        <w:rPr>
          <w:rFonts w:ascii="Times New Roman" w:hAnsi="Times New Roman"/>
          <w:color w:val="305494"/>
          <w:sz w:val="28"/>
        </w:rPr>
        <w:t xml:space="preserve">Proposal One: Election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2027. At the Annual Meeting, our stockholders will vote on the election of two Class II directors whose terms will expire at our 2028 annual meeting of stockholders. Each of our other current directors will continue to serve as a director until the election and qualification of his or her successor. </w:t>
      </w:r>
    </w:p>
    <w:p>
      <w:pPr>
        <w:pStyle w:val="TextBody"/>
        <w:bidi w:val="0"/>
        <w:spacing w:before="240" w:after="0"/>
        <w:jc w:val="left"/>
        <w:rPr>
          <w:rFonts w:ascii="Times New Roman" w:hAnsi="Times New Roman"/>
          <w:sz w:val="20"/>
        </w:rPr>
      </w:pPr>
      <w:r>
        <w:rPr>
          <w:rFonts w:ascii="Times New Roman" w:hAnsi="Times New Roman"/>
          <w:sz w:val="20"/>
        </w:rPr>
        <w:t xml:space="preserve">One current Class II member of our board of directors, Charles Watts, M.D., will not stand for reelection at the Annual Meeting. One current Class III member of our board of directors, Jack Schuler, will transition to the role of emeritus director at the Annual Meeting. As a result, the size of our board of directors will be reduced from nine (9) to seven (7) directors effective as of immediately prior to the closing of the polls at the Annual Meeting. The other two directors currently serving on our board of directors in Class II, the class whose term of office expires in 2025, have both been nominated by our board of directors, upon the recommendation of our nominating and corporate governance committee, to stand for election at the Annual Meeting. Lawrence T. Kennedy, Jr. has served on our board of directors since 2023. Matthew Strobeck, Ph.D. has served on our board of directors since 2012. Both of these two nominees have consented to being named as a nominee in this proxy statement and have agreed to serve, if elected, until our 2028 annual meeting of stockholders and until the election and qualification of his successor.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1"/>
        <w:gridCol w:w="120"/>
        <w:gridCol w:w="7890"/>
        <w:gridCol w:w="74"/>
        <w:gridCol w:w="590"/>
      </w:tblGrid>
      <w:tr>
        <w:trPr/>
        <w:tc>
          <w:tcPr>
            <w:tcW w:w="15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9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554" w:type="dxa"/>
            <w:gridSpan w:val="3"/>
            <w:tcBorders/>
            <w:vAlign w:val="center"/>
          </w:tcPr>
          <w:p>
            <w:pPr>
              <w:pStyle w:val="TableContents"/>
              <w:bidi w:val="0"/>
              <w:spacing w:before="0" w:after="283"/>
              <w:jc w:val="left"/>
              <w:rPr/>
            </w:pPr>
            <w:r>
              <w:rPr/>
              <w:t>Directors are elected by a plurality of the votes cast by our stockholders at the Annual Meeting. This means that the two nominees receiving the highest number of affirmative votes (from the holders of votes of shares present or represented by proxy and entitled to vote on the election of directors) will be elected. Broker non-votes and “Withheld” votes will have no effect.</w:t>
            </w:r>
          </w:p>
        </w:tc>
      </w:tr>
      <w:tr>
        <w:trPr/>
        <w:tc>
          <w:tcPr>
            <w:tcW w:w="1531"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664" w:type="dxa"/>
            <w:gridSpan w:val="2"/>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w:t>
            </w:r>
          </w:p>
          <w:p>
            <w:pPr>
              <w:pStyle w:val="TableContents"/>
              <w:bidi w:val="0"/>
              <w:spacing w:before="0" w:after="20"/>
              <w:jc w:val="left"/>
              <w:rPr>
                <w:rFonts w:ascii="Times New Roman" w:hAnsi="Times New Roman"/>
                <w:b/>
                <w:sz w:val="20"/>
              </w:rPr>
            </w:pPr>
            <w:r>
              <w:rPr>
                <w:rFonts w:ascii="Times New Roman" w:hAnsi="Times New Roman"/>
                <w:b/>
                <w:sz w:val="20"/>
              </w:rPr>
              <w:t>Recommendation:</w:t>
            </w:r>
          </w:p>
        </w:tc>
        <w:tc>
          <w:tcPr>
            <w:tcW w:w="120" w:type="dxa"/>
            <w:tcBorders/>
            <w:vAlign w:val="center"/>
          </w:tcPr>
          <w:p>
            <w:pPr>
              <w:pStyle w:val="TableContents"/>
              <w:bidi w:val="0"/>
              <w:spacing w:before="0" w:after="283"/>
              <w:jc w:val="left"/>
              <w:rPr/>
            </w:pPr>
            <w:r>
              <w:rPr/>
              <w:t>  </w:t>
            </w:r>
          </w:p>
        </w:tc>
        <w:tc>
          <w:tcPr>
            <w:tcW w:w="7890" w:type="dxa"/>
            <w:tcBorders/>
            <w:vAlign w:val="center"/>
          </w:tcPr>
          <w:p>
            <w:pPr>
              <w:pStyle w:val="TableContents"/>
              <w:bidi w:val="0"/>
              <w:spacing w:before="0" w:after="283"/>
              <w:jc w:val="left"/>
              <w:rPr>
                <w:b/>
                <w:color w:val="305494"/>
                <w:sz w:val="20"/>
              </w:rPr>
            </w:pPr>
            <w:r>
              <w:rPr>
                <w:b/>
                <w:color w:val="305494"/>
                <w:sz w:val="20"/>
              </w:rPr>
              <w:t>OUR BOARD OF DIRECTORS UNANIMOUSLY RECOMMENDS A VOTE “FOR” THE ELECTION OF EACH OF THE TWO CLASS II DIRECTOR NOMINEES NAMED ABOVE.</w:t>
            </w:r>
          </w:p>
        </w:tc>
        <w:tc>
          <w:tcPr>
            <w:tcW w:w="7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drawing>
                <wp:inline distT="0" distB="0" distL="0" distR="0">
                  <wp:extent cx="279400" cy="387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color w:val="305494"/>
          <w:sz w:val="28"/>
        </w:rPr>
      </w:pPr>
      <w:bookmarkStart w:id="6" w:name="toc921496_4"/>
      <w:bookmarkEnd w:id="6"/>
      <w:r>
        <w:rPr>
          <w:rFonts w:ascii="Times New Roman" w:hAnsi="Times New Roman"/>
          <w:color w:val="305494"/>
          <w:sz w:val="28"/>
        </w:rPr>
        <w:t xml:space="preserve">Overview of Our Nominees and Continuing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the brief biographies that follow provide information, as of the date of this proxy statement, about each director nominee and each continuing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5"/>
        <w:gridCol w:w="60"/>
        <w:gridCol w:w="305"/>
        <w:gridCol w:w="60"/>
        <w:gridCol w:w="2345"/>
        <w:gridCol w:w="60"/>
        <w:gridCol w:w="635"/>
        <w:gridCol w:w="60"/>
        <w:gridCol w:w="395"/>
        <w:gridCol w:w="60"/>
        <w:gridCol w:w="605"/>
        <w:gridCol w:w="60"/>
        <w:gridCol w:w="875"/>
        <w:gridCol w:w="60"/>
        <w:gridCol w:w="905"/>
        <w:gridCol w:w="60"/>
        <w:gridCol w:w="563"/>
        <w:gridCol w:w="60"/>
        <w:gridCol w:w="563"/>
        <w:gridCol w:w="60"/>
        <w:gridCol w:w="579"/>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885" w:type="dxa"/>
            <w:gridSpan w:val="6"/>
            <w:tcBorders>
              <w:top w:val="single" w:sz="6" w:space="0" w:color="BFBFBF"/>
              <w:left w:val="single" w:sz="6" w:space="0" w:color="BFBFBF"/>
              <w:right w:val="single" w:sz="6" w:space="0" w:color="BFBFBF"/>
            </w:tcBorders>
            <w:tcMar>
              <w:top w:w="28" w:type="dxa"/>
              <w:left w:w="28" w:type="dxa"/>
              <w:right w:w="28" w:type="dxa"/>
            </w:tcMar>
            <w:vAlign w:val="center"/>
          </w:tcPr>
          <w:p>
            <w:pPr>
              <w:pStyle w:val="TableContents"/>
              <w:bidi w:val="0"/>
              <w:spacing w:before="0" w:after="283"/>
              <w:jc w:val="left"/>
              <w:rPr/>
            </w:pPr>
            <w:r>
              <w:rPr/>
              <w:t> </w:t>
            </w:r>
          </w:p>
        </w:tc>
      </w:tr>
      <w:tr>
        <w:trPr/>
        <w:tc>
          <w:tcPr>
            <w:tcW w:w="1835"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30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Age</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234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Position(s)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63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br/>
              <w:t>Since</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39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Class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60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Current</w:t>
              <w:br/>
              <w:t>Term</w:t>
              <w:br/>
              <w:t>Expires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87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Expiration</w:t>
              <w:br/>
              <w:t>of Term for</w:t>
              <w:br/>
              <w:t>which</w:t>
              <w:br/>
              <w:t>Nominated</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90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Independent</w:t>
            </w:r>
          </w:p>
          <w:p>
            <w:pPr>
              <w:pStyle w:val="TableContents"/>
              <w:bidi w:val="0"/>
              <w:spacing w:before="0" w:after="20"/>
              <w:jc w:val="left"/>
              <w:rPr/>
            </w:pPr>
            <w:r>
              <w:rPr/>
              <w:t> </w:t>
            </w:r>
          </w:p>
        </w:tc>
        <w:tc>
          <w:tcPr>
            <w:tcW w:w="60" w:type="dxa"/>
            <w:tcBorders>
              <w:left w:val="single" w:sz="6" w:space="0" w:color="BFBFBF"/>
              <w:bottom w:val="single" w:sz="6" w:space="0" w:color="BFBFBF"/>
            </w:tcBorders>
            <w:tcMar>
              <w:left w:w="28" w:type="dxa"/>
              <w:bottom w:w="28" w:type="dxa"/>
            </w:tcMar>
            <w:vAlign w:val="center"/>
          </w:tcPr>
          <w:p>
            <w:pPr>
              <w:pStyle w:val="TableContents"/>
              <w:bidi w:val="0"/>
              <w:spacing w:before="0" w:after="283"/>
              <w:jc w:val="left"/>
              <w:rPr/>
            </w:pPr>
            <w:r>
              <w:rPr/>
              <w:t> </w:t>
            </w:r>
          </w:p>
        </w:tc>
        <w:tc>
          <w:tcPr>
            <w:tcW w:w="1825" w:type="dxa"/>
            <w:gridSpan w:val="5"/>
            <w:tcBorders>
              <w:bottom w:val="single" w:sz="6" w:space="0" w:color="BFBFBF"/>
              <w:right w:val="single" w:sz="6" w:space="0" w:color="BFBFBF"/>
            </w:tcBorders>
            <w:tcMar>
              <w:bottom w:w="28" w:type="dxa"/>
              <w:right w:w="40"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Committee</w:t>
              <w:br/>
              <w:t>Membership*</w:t>
            </w:r>
          </w:p>
          <w:p>
            <w:pPr>
              <w:pStyle w:val="TableContents"/>
              <w:bidi w:val="0"/>
              <w:spacing w:before="0" w:after="20"/>
              <w:jc w:val="left"/>
              <w:rPr/>
            </w:pPr>
            <w:r>
              <w:rPr/>
              <w:t> </w:t>
            </w:r>
          </w:p>
        </w:tc>
      </w:tr>
      <w:tr>
        <w:trPr/>
        <w:tc>
          <w:tcPr>
            <w:tcW w:w="183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30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234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63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39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60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87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905" w:type="dxa"/>
            <w:vMerge w:val="continue"/>
            <w:tcBorders>
              <w:bottom w:val="single" w:sz="12" w:space="0" w:color="305494"/>
            </w:tcBorders>
            <w:tcMar>
              <w:bottom w:w="28" w:type="dxa"/>
            </w:tcMar>
            <w:vAlign w:val="center"/>
          </w:tcPr>
          <w:p>
            <w:pPr>
              <w:pStyle w:val="Normal"/>
              <w:bidi w:val="0"/>
              <w:jc w:val="left"/>
              <w:rPr/>
            </w:pPr>
            <w:r>
              <w:rPr/>
            </w:r>
          </w:p>
        </w:tc>
        <w:tc>
          <w:tcPr>
            <w:tcW w:w="60" w:type="dxa"/>
            <w:tcBorders>
              <w:bottom w:val="single" w:sz="12" w:space="0" w:color="305494"/>
            </w:tcBorders>
            <w:tcMar>
              <w:bottom w:w="28" w:type="dxa"/>
            </w:tcMar>
            <w:vAlign w:val="center"/>
          </w:tcPr>
          <w:p>
            <w:pPr>
              <w:pStyle w:val="TableContents"/>
              <w:bidi w:val="0"/>
              <w:spacing w:before="0" w:after="283"/>
              <w:jc w:val="left"/>
              <w:rPr/>
            </w:pPr>
            <w:r>
              <w:rPr/>
              <w:t> </w:t>
            </w:r>
          </w:p>
        </w:tc>
        <w:tc>
          <w:tcPr>
            <w:tcW w:w="563" w:type="dxa"/>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w:t>
            </w:r>
          </w:p>
          <w:p>
            <w:pPr>
              <w:pStyle w:val="TableContents"/>
              <w:bidi w:val="0"/>
              <w:spacing w:before="0" w:after="20"/>
              <w:jc w:val="left"/>
              <w:rPr/>
            </w:pPr>
            <w:r>
              <w:rPr/>
              <w:t> </w:t>
            </w:r>
          </w:p>
        </w:tc>
        <w:tc>
          <w:tcPr>
            <w:tcW w:w="60" w:type="dxa"/>
            <w:tcBorders>
              <w:bottom w:val="single" w:sz="12" w:space="0" w:color="305494"/>
            </w:tcBorders>
            <w:tcMar>
              <w:bottom w:w="28" w:type="dxa"/>
            </w:tcMar>
            <w:vAlign w:val="center"/>
          </w:tcPr>
          <w:p>
            <w:pPr>
              <w:pStyle w:val="TableContents"/>
              <w:bidi w:val="0"/>
              <w:spacing w:before="0" w:after="283"/>
              <w:jc w:val="left"/>
              <w:rPr/>
            </w:pPr>
            <w:r>
              <w:rPr/>
              <w:t> </w:t>
            </w:r>
          </w:p>
        </w:tc>
        <w:tc>
          <w:tcPr>
            <w:tcW w:w="563" w:type="dxa"/>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CC</w:t>
            </w:r>
          </w:p>
          <w:p>
            <w:pPr>
              <w:pStyle w:val="TableContents"/>
              <w:bidi w:val="0"/>
              <w:spacing w:before="0" w:after="20"/>
              <w:jc w:val="left"/>
              <w:rPr/>
            </w:pPr>
            <w:r>
              <w:rPr/>
              <w:t> </w:t>
            </w:r>
          </w:p>
        </w:tc>
        <w:tc>
          <w:tcPr>
            <w:tcW w:w="60" w:type="dxa"/>
            <w:tcBorders>
              <w:bottom w:val="single" w:sz="12" w:space="0" w:color="305494"/>
            </w:tcBorders>
            <w:tcMar>
              <w:bottom w:w="28" w:type="dxa"/>
            </w:tcMar>
            <w:vAlign w:val="center"/>
          </w:tcPr>
          <w:p>
            <w:pPr>
              <w:pStyle w:val="TableContents"/>
              <w:bidi w:val="0"/>
              <w:spacing w:before="0" w:after="283"/>
              <w:jc w:val="left"/>
              <w:rPr/>
            </w:pPr>
            <w:r>
              <w:rPr/>
              <w:t> </w:t>
            </w:r>
          </w:p>
        </w:tc>
        <w:tc>
          <w:tcPr>
            <w:tcW w:w="579" w:type="dxa"/>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NCG</w:t>
            </w:r>
          </w:p>
          <w:p>
            <w:pPr>
              <w:pStyle w:val="TableContents"/>
              <w:bidi w:val="0"/>
              <w:spacing w:before="0" w:after="20"/>
              <w:jc w:val="left"/>
              <w:rPr/>
            </w:pPr>
            <w:r>
              <w:rPr/>
              <w:t> </w:t>
            </w:r>
          </w:p>
        </w:tc>
      </w:tr>
      <w:tr>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6" w:space="0" w:color="305494"/>
            </w:tcBorders>
            <w:tcMar>
              <w:bottom w:w="40" w:type="dxa"/>
            </w:tcMar>
            <w:vAlign w:val="center"/>
          </w:tcPr>
          <w:p>
            <w:pPr>
              <w:pStyle w:val="TableContents"/>
              <w:bidi w:val="0"/>
              <w:spacing w:before="0" w:after="0"/>
              <w:jc w:val="left"/>
              <w:rPr>
                <w:rFonts w:ascii="Times New Roman" w:hAnsi="Times New Roman"/>
                <w:b/>
                <w:color w:val="305494"/>
                <w:sz w:val="16"/>
              </w:rPr>
            </w:pPr>
            <w:r>
              <w:rPr>
                <w:rFonts w:ascii="Times New Roman" w:hAnsi="Times New Roman"/>
                <w:b/>
                <w:color w:val="305494"/>
                <w:sz w:val="16"/>
              </w:rPr>
              <w:t>DIRECTOR NOMINEES</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Lawrence T. Kennedy, Jr.</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Matthew Strobeck, Ph.D.</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52</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2012</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Chair </w:t>
            </w:r>
          </w:p>
        </w:tc>
      </w:tr>
      <w:tr>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6" w:space="0" w:color="305494"/>
            </w:tcBorders>
            <w:tcMar>
              <w:bottom w:w="40" w:type="dxa"/>
            </w:tcMar>
            <w:vAlign w:val="center"/>
          </w:tcPr>
          <w:p>
            <w:pPr>
              <w:pStyle w:val="TableContents"/>
              <w:bidi w:val="0"/>
              <w:spacing w:before="0" w:after="0"/>
              <w:jc w:val="left"/>
              <w:rPr>
                <w:rFonts w:ascii="Times New Roman" w:hAnsi="Times New Roman"/>
                <w:b/>
                <w:color w:val="305494"/>
                <w:sz w:val="16"/>
              </w:rPr>
            </w:pPr>
            <w:r>
              <w:rPr>
                <w:rFonts w:ascii="Times New Roman" w:hAnsi="Times New Roman"/>
                <w:b/>
                <w:color w:val="305494"/>
                <w:sz w:val="16"/>
              </w:rPr>
              <w:t>CONTINUING DIRECTORS</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Jean Franchi</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Hany Massarany</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63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Jon Faiz Kayyem, Ph.D.</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61</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2021</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Scott Hutton</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President, Chief Executive Officer and Director 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No</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John Patience</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78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Chairman of the Board</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2008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240" w:after="0"/>
        <w:jc w:val="left"/>
        <w:rPr>
          <w:rFonts w:ascii="Times New Roman" w:hAnsi="Times New Roman"/>
          <w:sz w:val="16"/>
        </w:rPr>
      </w:pPr>
      <w:r>
        <w:rPr>
          <w:rFonts w:ascii="Times New Roman" w:hAnsi="Times New Roman"/>
          <w:b/>
          <w:sz w:val="16"/>
        </w:rPr>
        <w:t xml:space="preserve">* AC </w:t>
      </w:r>
      <w:r>
        <w:rPr>
          <w:rFonts w:ascii="Times New Roman" w:hAnsi="Times New Roman"/>
          <w:sz w:val="16"/>
        </w:rPr>
        <w:t xml:space="preserve">- Audit Committee; </w:t>
      </w:r>
      <w:r>
        <w:rPr>
          <w:rFonts w:ascii="Times New Roman" w:hAnsi="Times New Roman"/>
          <w:b/>
          <w:sz w:val="16"/>
        </w:rPr>
        <w:t xml:space="preserve">CC </w:t>
      </w:r>
      <w:r>
        <w:rPr>
          <w:rFonts w:ascii="Times New Roman" w:hAnsi="Times New Roman"/>
          <w:sz w:val="16"/>
        </w:rPr>
        <w:t xml:space="preserve">- Compensation Committee; </w:t>
      </w:r>
      <w:r>
        <w:rPr>
          <w:rFonts w:ascii="Times New Roman" w:hAnsi="Times New Roman"/>
          <w:b/>
          <w:sz w:val="16"/>
        </w:rPr>
        <w:t>NCG</w:t>
      </w:r>
      <w:r>
        <w:rPr>
          <w:rFonts w:ascii="Times New Roman" w:hAnsi="Times New Roman"/>
          <w:sz w:val="16"/>
        </w:rPr>
        <w:t xml:space="preserve"> - Nominating and Corporate Governance Committee </w:t>
      </w:r>
    </w:p>
    <w:p>
      <w:pPr>
        <w:pStyle w:val="TextBody"/>
        <w:bidi w:val="0"/>
        <w:spacing w:before="480" w:after="0"/>
        <w:jc w:val="left"/>
        <w:rPr>
          <w:rFonts w:ascii="Times New Roman" w:hAnsi="Times New Roman"/>
          <w:b/>
          <w:color w:val="305494"/>
          <w:sz w:val="20"/>
        </w:rPr>
      </w:pPr>
      <w:r>
        <w:rPr>
          <w:rFonts w:ascii="Times New Roman" w:hAnsi="Times New Roman"/>
          <w:b/>
          <w:color w:val="305494"/>
          <w:sz w:val="20"/>
        </w:rPr>
        <w:t xml:space="preserve">Director Nominees </w:t>
      </w:r>
    </w:p>
    <w:p>
      <w:pPr>
        <w:pStyle w:val="TextBody"/>
        <w:bidi w:val="0"/>
        <w:spacing w:before="480" w:after="0"/>
        <w:jc w:val="left"/>
        <w:rPr>
          <w:rFonts w:ascii="Times New Roman" w:hAnsi="Times New Roman"/>
          <w:i/>
          <w:color w:val="305494"/>
          <w:sz w:val="20"/>
        </w:rPr>
      </w:pPr>
      <w:r>
        <w:rPr>
          <w:rFonts w:ascii="Times New Roman" w:hAnsi="Times New Roman"/>
          <w:i/>
          <w:color w:val="305494"/>
          <w:sz w:val="20"/>
        </w:rPr>
        <w:t xml:space="preserve">Class II Directors – Nominees for Election at the Annual Meeting </w:t>
      </w:r>
    </w:p>
    <w:p>
      <w:pPr>
        <w:pStyle w:val="TextBody"/>
        <w:bidi w:val="0"/>
        <w:spacing w:before="480" w:after="0"/>
        <w:jc w:val="left"/>
        <w:rPr>
          <w:rFonts w:ascii="Times New Roman" w:hAnsi="Times New Roman"/>
          <w:sz w:val="20"/>
        </w:rPr>
      </w:pPr>
      <w:r>
        <w:rPr>
          <w:rFonts w:ascii="Times New Roman" w:hAnsi="Times New Roman"/>
          <w:b/>
          <w:i/>
          <w:sz w:val="20"/>
        </w:rPr>
        <w:t xml:space="preserve">Lawrence T. Kennedy, Jr. </w:t>
      </w:r>
      <w:r>
        <w:rPr>
          <w:rFonts w:ascii="Times New Roman" w:hAnsi="Times New Roman"/>
          <w:sz w:val="20"/>
        </w:rPr>
        <w:t xml:space="preserve">has served as a Director of the Company since January 2023. Mr. Kennedy brings to Biodesix more than 25 years of broad 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 Solutions, Revolution 4.0 and Health Carousel. Mr. Kennedy has received an M.B.A. from Duke University’s Fuqua School of Business and a B.A. from Colgate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Kennedy is qualified to serve on our board of directors because of his experience in leadership and management roles in the field of healthcare,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Matthew Strobeck, Ph.D</w:t>
      </w:r>
      <w:r>
        <w:rPr>
          <w:rFonts w:ascii="Times New Roman" w:hAnsi="Times New Roman"/>
          <w:sz w:val="20"/>
        </w:rPr>
        <w:t xml:space="preserve">. has served as a Director of the Company since January 2012. Dr. Strobeck is currently the Managing Partner of Birchview 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Cincinnati, an M.S. from the Harvard University-MIT Health Sciences and Technology Program, and an M.S. from the MIT Sloan School of Management. We believe that Dr. Strobeck is qualified to serve on our board of directors because of his experience in leadership and management roles at medical technology companies, as well as his experience as a board member and investor in the medical technology industry. </w:t>
      </w:r>
    </w:p>
    <w:p>
      <w:pPr>
        <w:pStyle w:val="TextBody"/>
        <w:bidi w:val="0"/>
        <w:spacing w:before="480" w:after="0"/>
        <w:jc w:val="left"/>
        <w:rPr>
          <w:rFonts w:ascii="Times New Roman" w:hAnsi="Times New Roman"/>
          <w:b/>
          <w:color w:val="305494"/>
          <w:sz w:val="20"/>
        </w:rPr>
      </w:pPr>
      <w:r>
        <w:rPr>
          <w:rFonts w:ascii="Times New Roman" w:hAnsi="Times New Roman"/>
          <w:b/>
          <w:color w:val="305494"/>
          <w:sz w:val="20"/>
        </w:rPr>
        <w:t xml:space="preserve">Continuing Directors </w:t>
      </w:r>
    </w:p>
    <w:p>
      <w:pPr>
        <w:pStyle w:val="TextBody"/>
        <w:bidi w:val="0"/>
        <w:spacing w:before="480" w:after="0"/>
        <w:jc w:val="left"/>
        <w:rPr>
          <w:rFonts w:ascii="Times New Roman" w:hAnsi="Times New Roman"/>
          <w:i/>
          <w:color w:val="305494"/>
          <w:sz w:val="20"/>
        </w:rPr>
      </w:pPr>
      <w:r>
        <w:rPr>
          <w:rFonts w:ascii="Times New Roman" w:hAnsi="Times New Roman"/>
          <w:i/>
          <w:color w:val="305494"/>
          <w:sz w:val="20"/>
        </w:rPr>
        <w:t xml:space="preserve">Class III Directors – Term Expiring at the 2026 Annual Meeting </w:t>
      </w:r>
    </w:p>
    <w:p>
      <w:pPr>
        <w:pStyle w:val="TextBody"/>
        <w:bidi w:val="0"/>
        <w:spacing w:before="480" w:after="0"/>
        <w:jc w:val="left"/>
        <w:rPr>
          <w:rFonts w:ascii="Times New Roman" w:hAnsi="Times New Roman"/>
          <w:sz w:val="20"/>
        </w:rPr>
      </w:pPr>
      <w:r>
        <w:rPr>
          <w:rFonts w:ascii="Times New Roman" w:hAnsi="Times New Roman"/>
          <w:b/>
          <w:i/>
          <w:sz w:val="20"/>
        </w:rPr>
        <w:t>Jean M. Franchi</w:t>
      </w:r>
      <w:r>
        <w:rPr>
          <w:rFonts w:ascii="Times New Roman" w:hAnsi="Times New Roman"/>
          <w:sz w:val="20"/>
        </w:rPr>
        <w:t xml:space="preserve"> has served as a Director of the Company since April 2020. Ms. Franchi is currently Chief Financial Officer of Disc Medicine, Inc., a 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Ms. Franchi is qualified to serve on our board of directors because of her experience in leadership and management roles in the healthcare industry as well as her experience holding finance-related roles of increasing responsibility. </w:t>
      </w:r>
    </w:p>
    <w:p>
      <w:pPr>
        <w:pStyle w:val="TextBody"/>
        <w:bidi w:val="0"/>
        <w:spacing w:before="240" w:after="0"/>
        <w:jc w:val="left"/>
        <w:rPr>
          <w:rFonts w:ascii="Times New Roman" w:hAnsi="Times New Roman"/>
          <w:sz w:val="20"/>
        </w:rPr>
      </w:pPr>
      <w:r>
        <w:rPr>
          <w:rFonts w:ascii="Times New Roman" w:hAnsi="Times New Roman"/>
          <w:b/>
          <w:i/>
          <w:sz w:val="20"/>
        </w:rPr>
        <w:t>Hany Massarany</w:t>
      </w:r>
      <w:r>
        <w:rPr>
          <w:rFonts w:ascii="Times New Roman" w:hAnsi="Times New Roman"/>
          <w:sz w:val="20"/>
        </w:rPr>
        <w:t xml:space="preserve"> has served as a Director of the Company since July 2020. Mr. Massarany currently serves as both a director (since 2020) and chairman (since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Massarany is qualified to serve on our board of directors because of his experience in leadership and management roles, and experience as a board member, in the healthcare industry. </w:t>
      </w:r>
    </w:p>
    <w:p>
      <w:pPr>
        <w:pStyle w:val="TextBody"/>
        <w:bidi w:val="0"/>
        <w:spacing w:before="360" w:after="0"/>
        <w:jc w:val="left"/>
        <w:rPr>
          <w:rFonts w:ascii="Times New Roman" w:hAnsi="Times New Roman"/>
          <w:i/>
          <w:color w:val="305494"/>
          <w:sz w:val="20"/>
        </w:rPr>
      </w:pPr>
      <w:r>
        <w:rPr>
          <w:rFonts w:ascii="Times New Roman" w:hAnsi="Times New Roman"/>
          <w:i/>
          <w:color w:val="305494"/>
          <w:sz w:val="20"/>
        </w:rPr>
        <w:t xml:space="preserve">Class I Directors – Term Expiring at the 2027 Annual Meeting </w:t>
      </w:r>
    </w:p>
    <w:p>
      <w:pPr>
        <w:pStyle w:val="TextBody"/>
        <w:bidi w:val="0"/>
        <w:spacing w:before="360" w:after="0"/>
        <w:jc w:val="left"/>
        <w:rPr>
          <w:rFonts w:ascii="Times New Roman" w:hAnsi="Times New Roman"/>
          <w:sz w:val="20"/>
        </w:rPr>
      </w:pPr>
      <w:r>
        <w:rPr>
          <w:rFonts w:ascii="Times New Roman" w:hAnsi="Times New Roman"/>
          <w:b/>
          <w:i/>
          <w:sz w:val="20"/>
        </w:rPr>
        <w:t>Jon Faiz Kayyem, Ph.D.</w:t>
      </w:r>
      <w:r>
        <w:rPr>
          <w:rFonts w:ascii="Times New Roman" w:hAnsi="Times New Roman"/>
          <w:sz w:val="20"/>
        </w:rPr>
        <w:t xml:space="preserve"> has served as a Director of the Company since December 2021. Dr. Kayyem has over 25 years of experience inventing, patenting, licensing, developing, and commercializing novel solutions for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Inhibrix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Kayyem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Scott Hutton</w:t>
      </w:r>
      <w:r>
        <w:rPr>
          <w:rFonts w:ascii="Times New Roman" w:hAnsi="Times New Roman"/>
          <w:sz w:val="20"/>
        </w:rPr>
        <w:t xml:space="preserve"> has served as our President, Chief Executive Officer and Director since January 2020, and previously held the role of Chief Operating Officer from March 2018 to December 2019. Mr. Hutton also serves 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hAnsi="Times New Roman"/>
          <w:i/>
          <w:sz w:val="20"/>
        </w:rPr>
        <w:t>Wallin Leadership Award</w:t>
      </w:r>
      <w:r>
        <w:rPr>
          <w:rFonts w:ascii="Times New Roman" w:hAnsi="Times New Roman"/>
          <w:sz w:val="20"/>
        </w:rPr>
        <w:t xml:space="preserve"> for his focus on talent development, business performance, and his personal and intentional demonstration of leadership.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Hutton is qualified to serve on our board of directors because of his experience in leadership and management roles at our Company, as well as his experience as a board member in the healthcare and medical device industries. </w:t>
      </w:r>
    </w:p>
    <w:p>
      <w:pPr>
        <w:pStyle w:val="TextBody"/>
        <w:bidi w:val="0"/>
        <w:spacing w:before="240" w:after="0"/>
        <w:jc w:val="left"/>
        <w:rPr>
          <w:rFonts w:ascii="Times New Roman" w:hAnsi="Times New Roman"/>
          <w:sz w:val="20"/>
        </w:rPr>
      </w:pPr>
      <w:r>
        <w:rPr>
          <w:rFonts w:ascii="Times New Roman" w:hAnsi="Times New Roman"/>
          <w:b/>
          <w:i/>
          <w:sz w:val="20"/>
        </w:rPr>
        <w:t>John Patience</w:t>
      </w:r>
      <w:r>
        <w:rPr>
          <w:rFonts w:ascii="Times New Roman" w:hAnsi="Times New Roman"/>
          <w:sz w:val="20"/>
        </w:rPr>
        <w:t xml:space="preserve"> has served as a Director of the Company since June 2008 and as Chairman of the Board since September 2020. Mr. Patience currently serves as a director (since 2012) of Accelerate Diagnostics, Inc., an </w:t>
      </w:r>
      <w:r>
        <w:rPr>
          <w:rFonts w:ascii="Times New Roman" w:hAnsi="Times New Roman"/>
          <w:i/>
          <w:sz w:val="20"/>
        </w:rPr>
        <w:t>in vitro</w:t>
      </w:r>
      <w:r>
        <w:rPr>
          <w:rFonts w:ascii="Times New Roman" w:hAnsi="Times New Roman"/>
          <w:sz w:val="20"/>
        </w:rPr>
        <w:t xml:space="preserve"> diagnostics company (Accelerate Diagnostics).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Liberal Arts and an L.L.B. from the University of Sydney, Australia, and an M.B.A. from the University of Pennsylvania’s Wharton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Patience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240" w:after="0"/>
        <w:jc w:val="left"/>
        <w:rPr>
          <w:rFonts w:ascii="Times New Roman" w:hAnsi="Times New Roman"/>
          <w:color w:val="305494"/>
          <w:sz w:val="28"/>
        </w:rPr>
      </w:pPr>
      <w:bookmarkStart w:id="7" w:name="toc921496_5"/>
      <w:bookmarkEnd w:id="7"/>
      <w:r>
        <w:rPr>
          <w:rFonts w:ascii="Times New Roman" w:hAnsi="Times New Roman"/>
          <w:color w:val="305494"/>
          <w:sz w:val="28"/>
        </w:rPr>
        <w:t xml:space="preserve">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Matthew Strobeck, Ph.D. and Lawrence T. Kennedy Jr., and their terms will expire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Jean Franchi and Hany Massarany, and their terms expire at the 2026 annual meeting of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Jon Faiz Kayyem, Ph.D., John Patience and Scott Hutton, and their terms will expire at the 2027 annual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 </w:t>
      </w:r>
    </w:p>
    <w:p>
      <w:pPr>
        <w:pStyle w:val="TextBody"/>
        <w:bidi w:val="0"/>
        <w:spacing w:before="240" w:after="0"/>
        <w:jc w:val="left"/>
        <w:rPr>
          <w:rFonts w:ascii="Times New Roman" w:hAnsi="Times New Roman"/>
          <w:color w:val="305494"/>
          <w:sz w:val="28"/>
        </w:rPr>
      </w:pPr>
      <w:bookmarkStart w:id="8" w:name="toc921496_6"/>
      <w:bookmarkEnd w:id="8"/>
      <w:r>
        <w:rPr>
          <w:rFonts w:ascii="Times New Roman" w:hAnsi="Times New Roman"/>
          <w:color w:val="305494"/>
          <w:sz w:val="28"/>
        </w:rPr>
        <w:t xml:space="preserve">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Under the listing requirements and rules of Nasdaq Stock Market (Nasdaq), independent directors must comprise a majority of our board of directors as a listed company within one year of the closing of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Patience and Kennedy and Drs. Kayyem and Strobeck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w:t>
      </w:r>
    </w:p>
    <w:p>
      <w:pPr>
        <w:pStyle w:val="TextBody"/>
        <w:bidi w:val="0"/>
        <w:spacing w:before="240" w:after="0"/>
        <w:jc w:val="left"/>
        <w:rPr>
          <w:rFonts w:ascii="Times New Roman" w:hAnsi="Times New Roman"/>
          <w:color w:val="305494"/>
          <w:sz w:val="28"/>
        </w:rPr>
      </w:pPr>
      <w:bookmarkStart w:id="9" w:name="toc921496_7"/>
      <w:bookmarkEnd w:id="9"/>
      <w:r>
        <w:rPr>
          <w:rFonts w:ascii="Times New Roman" w:hAnsi="Times New Roman"/>
          <w:color w:val="305494"/>
          <w:sz w:val="28"/>
        </w:rPr>
        <w:t xml:space="preserve">Board Leadership Structure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 </w:t>
      </w:r>
    </w:p>
    <w:p>
      <w:pPr>
        <w:pStyle w:val="TextBody"/>
        <w:bidi w:val="0"/>
        <w:spacing w:before="240" w:after="0"/>
        <w:jc w:val="left"/>
        <w:rPr>
          <w:rFonts w:ascii="Times New Roman" w:hAnsi="Times New Roman"/>
          <w:color w:val="305494"/>
          <w:sz w:val="28"/>
        </w:rPr>
      </w:pPr>
      <w:bookmarkStart w:id="10" w:name="toc921496_8"/>
      <w:bookmarkEnd w:id="10"/>
      <w:r>
        <w:rPr>
          <w:rFonts w:ascii="Times New Roman" w:hAnsi="Times New Roman"/>
          <w:color w:val="305494"/>
          <w:sz w:val="28"/>
        </w:rPr>
        <w:t xml:space="preserve">Role of our Board of Directors in Risk Oversight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overseeing the overall risk management process at Biodesix. The day-to-day responsibility for managing risks and exposures resides with our executive management team while our board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cybersecurity risk profile and other policies such as our code of conduct and overseeing our environmental and sustainability efforts and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compensation committee regularly assesses risks arising from our compensation plans, policies and programs, including whether any such plans encourage excessive or inappropriate risk-taking.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each committee is responsible for evaluating certain risks and overseeing the management of such risks, the full board of directors is regularly informed through committee reports about such risks. </w:t>
      </w:r>
    </w:p>
    <w:p>
      <w:pPr>
        <w:pStyle w:val="TextBody"/>
        <w:bidi w:val="0"/>
        <w:spacing w:before="240" w:after="0"/>
        <w:jc w:val="left"/>
        <w:rPr>
          <w:rFonts w:ascii="Times New Roman" w:hAnsi="Times New Roman"/>
          <w:color w:val="305494"/>
          <w:sz w:val="28"/>
        </w:rPr>
      </w:pPr>
      <w:bookmarkStart w:id="11" w:name="toc921496_9"/>
      <w:bookmarkEnd w:id="11"/>
      <w:r>
        <w:rPr>
          <w:rFonts w:ascii="Times New Roman" w:hAnsi="Times New Roman"/>
          <w:color w:val="305494"/>
          <w:sz w:val="28"/>
        </w:rPr>
        <w:t xml:space="preserve">Meetings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held five meetings during 2024. Each incumbent director attended at least 75% of the aggregate total number of meetings of the board of directors and the committees on which he or she served held during the portion of 2024 for which he or she was a director or committee member. We encourage our directors to attend our annual meetings of stockholders. Eight directors, including our Chief Executive Officer, Mr. Hutton, attended our 2024 annual meeting of stockholders. </w:t>
      </w:r>
    </w:p>
    <w:p>
      <w:pPr>
        <w:pStyle w:val="TextBody"/>
        <w:bidi w:val="0"/>
        <w:spacing w:before="240" w:after="0"/>
        <w:jc w:val="left"/>
        <w:rPr>
          <w:rFonts w:ascii="Times New Roman" w:hAnsi="Times New Roman"/>
          <w:color w:val="305494"/>
          <w:sz w:val="28"/>
        </w:rPr>
      </w:pPr>
      <w:bookmarkStart w:id="12" w:name="toc921496_10"/>
      <w:bookmarkEnd w:id="12"/>
      <w:r>
        <w:rPr>
          <w:rFonts w:ascii="Times New Roman" w:hAnsi="Times New Roman"/>
          <w:color w:val="305494"/>
          <w:sz w:val="28"/>
        </w:rPr>
        <w:t xml:space="preserve">Committees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“Governance—Governance Highlights.” Reference to our website does not constitute incorporation by reference of the information contained at or accessible through our website into this proxy statement. </w:t>
      </w:r>
    </w:p>
    <w:p>
      <w:pPr>
        <w:pStyle w:val="TextBody"/>
        <w:bidi w:val="0"/>
        <w:spacing w:before="240" w:after="0"/>
        <w:jc w:val="left"/>
        <w:rPr>
          <w:rFonts w:ascii="Times New Roman" w:hAnsi="Times New Roman"/>
          <w:b/>
          <w:color w:val="305494"/>
          <w:sz w:val="20"/>
        </w:rPr>
      </w:pPr>
      <w:bookmarkStart w:id="13" w:name="toc921496_11"/>
      <w:bookmarkEnd w:id="13"/>
      <w:r>
        <w:rPr>
          <w:rFonts w:ascii="Times New Roman" w:hAnsi="Times New Roman"/>
          <w:b/>
          <w:color w:val="305494"/>
          <w:sz w:val="20"/>
        </w:rPr>
        <w:t xml:space="preserve">Committee Composition and Meetings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current membership and 2024 meeting information for each committee of our board of directors: </w:t>
      </w:r>
    </w:p>
    <w:p>
      <w:pPr>
        <w:pStyle w:val="TextBody"/>
        <w:bidi w:val="0"/>
        <w:spacing w:before="0" w:after="0"/>
        <w:jc w:val="left"/>
        <w:rPr/>
      </w:pPr>
      <w:r>
        <w:rPr/>
        <w:t> </w:t>
      </w:r>
    </w:p>
    <w:tbl>
      <w:tblPr>
        <w:tblW w:w="8885" w:type="dxa"/>
        <w:jc w:val="left"/>
        <w:tblInd w:w="0" w:type="dxa"/>
        <w:tblLayout w:type="fixed"/>
        <w:tblCellMar>
          <w:top w:w="0" w:type="dxa"/>
          <w:left w:w="0" w:type="dxa"/>
          <w:bottom w:w="0" w:type="dxa"/>
          <w:right w:w="0" w:type="dxa"/>
        </w:tblCellMar>
      </w:tblPr>
      <w:tblGrid>
        <w:gridCol w:w="2450"/>
        <w:gridCol w:w="120"/>
        <w:gridCol w:w="1775"/>
        <w:gridCol w:w="120"/>
        <w:gridCol w:w="1490"/>
        <w:gridCol w:w="120"/>
        <w:gridCol w:w="2810"/>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2450" w:type="dxa"/>
            <w:tcBorders>
              <w:bottom w:val="single" w:sz="8" w:space="0" w:color="000000"/>
            </w:tcBorders>
            <w:tcMar>
              <w:bottom w:w="28" w:type="dxa"/>
            </w:tcMar>
            <w:vAlign w:val="center"/>
          </w:tcPr>
          <w:p>
            <w:pPr>
              <w:pStyle w:val="TableContents"/>
              <w:bidi w:val="0"/>
              <w:spacing w:before="0" w:after="20"/>
              <w:jc w:val="left"/>
              <w:rPr/>
            </w:pPr>
            <w:r>
              <w:rPr/>
              <w:t> </w:t>
            </w: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b/>
              </w:rPr>
            </w:pPr>
            <w:r>
              <w:rPr>
                <w:b/>
              </w:rPr>
              <w:t>Audit 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12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jc w:val="center"/>
              <w:rPr>
                <w:b/>
              </w:rPr>
            </w:pPr>
            <w:r>
              <w:rPr>
                <w:b/>
              </w:rPr>
              <w:t>Nominating and Corporate</w:t>
              <w:br/>
              <w:t>Governance Committee</w:t>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Jean Franchi</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center"/>
              <w:rPr/>
            </w:pPr>
            <w:r>
              <w:rPr/>
              <w:t>Chair</w:t>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center"/>
              <w:rPr/>
            </w:pPr>
            <w:r>
              <w:rPr/>
              <w:t>X</w:t>
            </w:r>
          </w:p>
        </w:tc>
      </w:tr>
      <w:tr>
        <w:trPr/>
        <w:tc>
          <w:tcPr>
            <w:tcW w:w="2450" w:type="dxa"/>
            <w:tcBorders/>
            <w:vAlign w:val="center"/>
          </w:tcPr>
          <w:p>
            <w:pPr>
              <w:pStyle w:val="TableContents"/>
              <w:bidi w:val="0"/>
              <w:spacing w:before="0" w:after="0"/>
              <w:jc w:val="left"/>
              <w:rPr/>
            </w:pPr>
            <w:r>
              <w:rPr/>
              <w:t> </w:t>
            </w:r>
            <w:r>
              <w:rPr>
                <w:rFonts w:ascii="Times New Roman" w:hAnsi="Times New Roman"/>
                <w:sz w:val="20"/>
              </w:rPr>
              <w:t>Jon Faiz Kayyem, Ph.D.</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Lawrence T. Kennedy, Jr.</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center"/>
              <w:rPr/>
            </w:pPr>
            <w:r>
              <w:rPr/>
              <w:t>X</w:t>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pPr>
            <w:r>
              <w:rPr/>
              <w:t> </w:t>
            </w:r>
            <w:r>
              <w:rPr>
                <w:rFonts w:ascii="Times New Roman" w:hAnsi="Times New Roman"/>
                <w:sz w:val="20"/>
              </w:rPr>
              <w:t>Hany Massarany</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John Patience</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center"/>
              <w:rPr/>
            </w:pPr>
            <w:r>
              <w:rPr/>
              <w:t>X</w:t>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pPr>
            <w:r>
              <w:rPr/>
              <w:t> </w:t>
            </w:r>
            <w:r>
              <w:rPr>
                <w:rFonts w:ascii="Times New Roman" w:hAnsi="Times New Roman"/>
                <w:sz w:val="20"/>
              </w:rPr>
              <w:t>Matthew Strobeck, Ph.D.</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pPr>
            <w:r>
              <w:rPr/>
              <w:t>Chair</w:t>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Total meetings held in 2024</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center"/>
              <w:rPr/>
            </w:pPr>
            <w:r>
              <w:rPr/>
              <w:t>4</w:t>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center"/>
              <w:rPr/>
            </w:pPr>
            <w:r>
              <w:rPr/>
              <w:t>6</w:t>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center"/>
              <w:rPr/>
            </w:pPr>
            <w:r>
              <w:rPr/>
              <w:t>4</w:t>
            </w:r>
          </w:p>
        </w:tc>
      </w:tr>
    </w:tbl>
    <w:p>
      <w:pPr>
        <w:pStyle w:val="TextBody"/>
        <w:bidi w:val="0"/>
        <w:spacing w:before="360" w:after="0"/>
        <w:jc w:val="left"/>
        <w:rPr>
          <w:rFonts w:ascii="Times New Roman" w:hAnsi="Times New Roman"/>
          <w:b/>
          <w:color w:val="305494"/>
          <w:sz w:val="20"/>
        </w:rPr>
      </w:pPr>
      <w:bookmarkStart w:id="14" w:name="toc921496_12"/>
      <w:bookmarkEnd w:id="14"/>
      <w:r>
        <w:rPr>
          <w:rFonts w:ascii="Times New Roman" w:hAnsi="Times New Roman"/>
          <w:b/>
          <w:color w:val="305494"/>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Ms. Franchi, Messrs. Kennedy and Massarany and Dr. Strobeck, each of whom our board of directors has determined satisfies the independence requirements under Nasdaq listing rules and Rule 10A-3(b)(1)(ii)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our management the adequacy and effectiveness of our disclosure controls and procedures;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with design and implementation of our risk assessment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performance and independence of our independent registered public accounting firm and deciding whether to retain its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registered public accounting firm on our engagement team as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results;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related-party transactions;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our independent registered public accounting firm; and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audit committee and adequacy of its charter. </w:t>
            </w:r>
          </w:p>
        </w:tc>
      </w:tr>
    </w:tbl>
    <w:p>
      <w:pPr>
        <w:pStyle w:val="TextBody"/>
        <w:bidi w:val="0"/>
        <w:spacing w:before="240" w:after="0"/>
        <w:jc w:val="left"/>
        <w:rPr>
          <w:rFonts w:ascii="Times New Roman" w:hAnsi="Times New Roman"/>
          <w:b/>
          <w:color w:val="305494"/>
          <w:sz w:val="20"/>
        </w:rPr>
      </w:pPr>
      <w:bookmarkStart w:id="15" w:name="toc921496_13"/>
      <w:bookmarkEnd w:id="15"/>
      <w:r>
        <w:rPr>
          <w:rFonts w:ascii="Times New Roman" w:hAnsi="Times New Roman"/>
          <w:b/>
          <w:color w:val="305494"/>
          <w:sz w:val="20"/>
        </w:rPr>
        <w:t xml:space="preserve">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consists of Messrs. Massarany and Patience and Dr. Kayyem, and the chair of our compensation committee is Mr. Massarany. Our board of directors has determined that each of Messrs. Massarany and Patience and Dr. Kayyem is independent under the applicable Nasdaq listing rules and is a “non-employee director” as defined in Rule 16b-3 promulgated under the Exchange Act. The functions of this committee include: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overseeing overall compensation strategy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arrangements and other terms of employment of our chief executive officer, other executive officers and senior management, as appropriate;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full board of directors the compensation of our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and overseeing the work of compensation consultants, legal counsel or any other advisors and consultants engaged for the purpose of advising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recommending to the full board of directors, as appropriate, and administering equity award plans, compensation plans and similar programs, as well as modification or termination of plans and programs;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with the chief executive officer and the full board of directors the succession plans for our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compensation committee and the adequacy of its charter. </w:t>
            </w:r>
          </w:p>
        </w:tc>
      </w:tr>
    </w:tbl>
    <w:p>
      <w:pPr>
        <w:pStyle w:val="TextBody"/>
        <w:bidi w:val="0"/>
        <w:spacing w:before="240" w:after="0"/>
        <w:jc w:val="left"/>
        <w:rPr>
          <w:rFonts w:ascii="Times New Roman" w:hAnsi="Times New Roman"/>
          <w:b/>
          <w:color w:val="305494"/>
          <w:sz w:val="20"/>
        </w:rPr>
      </w:pPr>
      <w:bookmarkStart w:id="16" w:name="toc921496_14"/>
      <w:bookmarkEnd w:id="16"/>
      <w:r>
        <w:rPr>
          <w:rFonts w:ascii="Times New Roman" w:hAnsi="Times New Roman"/>
          <w:b/>
          <w:color w:val="305494"/>
          <w:sz w:val="20"/>
        </w:rPr>
        <w:t xml:space="preserve">Compensation Committee Interlocks and Insider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members of the compensation committee is currently, or has been at any time during 2024, one of our officers or employees. None of our executive officers currently serve, or has served during 2024, as a member of the board of directors or compensation committee of any entity that has one or more executive officers serving as a member of our board of directors or compensation committee. </w:t>
      </w:r>
    </w:p>
    <w:p>
      <w:pPr>
        <w:pStyle w:val="TextBody"/>
        <w:bidi w:val="0"/>
        <w:spacing w:before="240" w:after="0"/>
        <w:jc w:val="left"/>
        <w:rPr>
          <w:rFonts w:ascii="Times New Roman" w:hAnsi="Times New Roman"/>
          <w:b/>
          <w:color w:val="305494"/>
          <w:sz w:val="20"/>
        </w:rPr>
      </w:pPr>
      <w:bookmarkStart w:id="17" w:name="toc921496_15"/>
      <w:bookmarkEnd w:id="17"/>
      <w:r>
        <w:rPr>
          <w:rFonts w:ascii="Times New Roman" w:hAnsi="Times New Roman"/>
          <w:b/>
          <w:color w:val="305494"/>
          <w:sz w:val="20"/>
        </w:rPr>
        <w:t xml:space="preserve">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consists of Ms. Franchi, Dr. Strobeck and Mr. Kennedy, and the chair of our nominating and corporate governance committee is Dr. Strobeck. Our board of directors has determined that Ms. Franchi, Dr. Strobeck and Mr. Kennedy are independent under the applicable Nasdaq listing rules. The functions of this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and evaluating director performance of our board of directors and its applicable committees, and recommending to our board of directors and management areas for improvement;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nominating and recommending individuals for membership on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chief executive officer the plans for succession to the offices of our executive officers and make recommendations to our board of directors with respect to the selection of appropriate individuals to succeed to these positions;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any amendments to our corporate governance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our cybersecurity risk profile, receiving periodic updates from management on all matters related to cybersecurity, and reporting to our full board of directors on an annual or as necessary basis;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nominating and corporate governance committee and the adequacy of its charter. </w:t>
            </w:r>
          </w:p>
        </w:tc>
      </w:tr>
    </w:tbl>
    <w:p>
      <w:pPr>
        <w:pStyle w:val="TextBody"/>
        <w:bidi w:val="0"/>
        <w:spacing w:before="240" w:after="0"/>
        <w:jc w:val="left"/>
        <w:rPr>
          <w:rFonts w:ascii="Times New Roman" w:hAnsi="Times New Roman"/>
          <w:color w:val="305494"/>
          <w:sz w:val="28"/>
        </w:rPr>
      </w:pPr>
      <w:bookmarkStart w:id="18" w:name="toc921496_16"/>
      <w:bookmarkEnd w:id="18"/>
      <w:r>
        <w:rPr>
          <w:rFonts w:ascii="Times New Roman" w:hAnsi="Times New Roman"/>
          <w:color w:val="305494"/>
          <w:sz w:val="28"/>
        </w:rPr>
        <w:t xml:space="preserve">Director Nomination Process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Selection and Nomination Process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Criteria for Board Membership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review candidates for director nomination in the context of the current composition of the board of directors, the operating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 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Stockholder Recommendations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 </w:t>
      </w:r>
    </w:p>
    <w:p>
      <w:pPr>
        <w:pStyle w:val="TextBody"/>
        <w:bidi w:val="0"/>
        <w:spacing w:before="240" w:after="0"/>
        <w:jc w:val="left"/>
        <w:rPr>
          <w:rFonts w:ascii="Times New Roman" w:hAnsi="Times New Roman"/>
          <w:color w:val="305494"/>
          <w:sz w:val="28"/>
        </w:rPr>
      </w:pPr>
      <w:bookmarkStart w:id="19" w:name="toc921496_17"/>
      <w:bookmarkEnd w:id="19"/>
      <w:r>
        <w:rPr>
          <w:rFonts w:ascii="Times New Roman" w:hAnsi="Times New Roman"/>
          <w:color w:val="305494"/>
          <w:sz w:val="28"/>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Directors—Director Nominees.” </w:t>
      </w:r>
    </w:p>
    <w:p>
      <w:pPr>
        <w:pStyle w:val="TextBody"/>
        <w:bidi w:val="0"/>
        <w:spacing w:before="240" w:after="0"/>
        <w:jc w:val="left"/>
        <w:rPr>
          <w:rFonts w:ascii="Times New Roman" w:hAnsi="Times New Roman"/>
          <w:sz w:val="20"/>
        </w:rPr>
      </w:pPr>
      <w:r>
        <w:rPr>
          <w:rFonts w:ascii="Times New Roman" w:hAnsi="Times New Roman"/>
          <w:b/>
          <w:i/>
          <w:sz w:val="20"/>
        </w:rPr>
        <w:t>Robin Harper Cowie</w:t>
      </w:r>
      <w:r>
        <w:rPr>
          <w:rFonts w:ascii="Times New Roman" w:hAnsi="Times New Roman"/>
          <w:sz w:val="20"/>
        </w:rPr>
        <w:t xml:space="preserve">, age 45. Ms. Harper Cowie has served as our Chief Financial Officer since April 2017. She has been with the Company 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 </w:t>
      </w:r>
    </w:p>
    <w:p>
      <w:pPr>
        <w:pStyle w:val="TextBody"/>
        <w:bidi w:val="0"/>
        <w:spacing w:before="240" w:after="0"/>
        <w:jc w:val="left"/>
        <w:rPr>
          <w:rFonts w:ascii="Times New Roman" w:hAnsi="Times New Roman"/>
          <w:sz w:val="20"/>
        </w:rPr>
      </w:pPr>
      <w:r>
        <w:rPr>
          <w:rFonts w:ascii="Times New Roman" w:hAnsi="Times New Roman"/>
          <w:b/>
          <w:i/>
          <w:sz w:val="20"/>
        </w:rPr>
        <w:t>Kieran O’Kane</w:t>
      </w:r>
      <w:r>
        <w:rPr>
          <w:rFonts w:ascii="Times New Roman" w:hAnsi="Times New Roman"/>
          <w:sz w:val="20"/>
        </w:rPr>
        <w:t xml:space="preserve">, age 48. Mr. O’Kane has served as our Chief Commercial Officer since March 2020 and has been with the Company in multiple 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Code of Business Conduct and Ethics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Stockholders may request a free copy of our Code of Business Conduct and Ethics by contacting Biodesix, Inc., Attention: Chief Financial Officer, 919 West Dillon Rd., Louisville, Colorado 80027.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at www.biodesix.com. Reference to our website does not constitute incorporation by reference of the information contained at or accessible through our website into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color w:val="305494"/>
          <w:spacing w:val="0"/>
          <w:sz w:val="28"/>
        </w:rPr>
      </w:pPr>
      <w:r>
        <w:rPr>
          <w:rFonts w:ascii="Times New Roman" w:hAnsi="Times New Roman"/>
          <w:color w:val="305494"/>
          <w:spacing w:val="0"/>
          <w:sz w:val="28"/>
        </w:rPr>
        <w:t xml:space="preserve">Corporate Governance Guidelines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“Governance—Governance Highlights.” Reference to our website does not constitute incorporation by reference of the information contained at or accessible through our website into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color w:val="305494"/>
          <w:spacing w:val="0"/>
          <w:sz w:val="28"/>
        </w:rPr>
      </w:pPr>
      <w:r>
        <w:rPr>
          <w:rFonts w:ascii="Times New Roman" w:hAnsi="Times New Roman"/>
          <w:color w:val="305494"/>
          <w:spacing w:val="0"/>
          <w:sz w:val="28"/>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an insider trading policy to establish guidelines for our employees, directors, executive officers, and other employees regarding transactions in our securities and the disclosure of material nonpublic information related to our Company. In addition, 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 Our policy is reasonably designed to promote compliance with insider trading laws, rules and regulations, and any listing standards applicable to the registrant. In addition, it is the policy of the Company to comply with applicable U.S. securities laws, including laws, rules and regulations related to trading in our securities. A copy of our Insider Trading Policy was filed as Exhibit 19.1 to our Form 10-K for the year ended December 31, 2024.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18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color w:val="305494"/>
          <w:sz w:val="28"/>
        </w:rPr>
      </w:pPr>
      <w:bookmarkStart w:id="20" w:name="toc921496_21"/>
      <w:bookmarkEnd w:id="20"/>
      <w:r>
        <w:rPr>
          <w:rFonts w:ascii="Times New Roman" w:hAnsi="Times New Roman"/>
          <w:color w:val="305494"/>
          <w:sz w:val="28"/>
        </w:rPr>
        <w:t xml:space="preserve">Stockholder Communications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or other interested party who wishes to communicate with our board of directors or any individual director may send written communications to our board of directors or such director c/o Corporate Secretary, Biodesix, Inc., 919 West Dillon Rd., Louisville, CO 80027.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 </w:t>
      </w:r>
    </w:p>
    <w:p>
      <w:pPr>
        <w:pStyle w:val="TextBody"/>
        <w:bidi w:val="0"/>
        <w:spacing w:before="240" w:after="0"/>
        <w:jc w:val="left"/>
        <w:rPr>
          <w:rFonts w:ascii="Times New Roman" w:hAnsi="Times New Roman"/>
          <w:color w:val="305494"/>
          <w:sz w:val="28"/>
        </w:rPr>
      </w:pPr>
      <w:bookmarkStart w:id="21" w:name="toc921496_22"/>
      <w:bookmarkEnd w:id="21"/>
      <w:r>
        <w:rPr>
          <w:rFonts w:ascii="Times New Roman" w:hAnsi="Times New Roman"/>
          <w:color w:val="305494"/>
          <w:sz w:val="28"/>
        </w:rPr>
        <w:t xml:space="preserve">Certain Relationships and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transactions since January 1, 2023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2023, we entered into subscription agreements with a consortium of investors, including all members of our board of directors, certain members of the Company’s management team, including our Chief Executive Officer, Chief Financial Officer and Chief Accounting Officer, for the issuance and sale by the Company of an aggregate of 16,975,298 shares at a purchase price of $1.62 per share in a private placement offering, for an aggregate purchase price of $27.5 million. The net proceeds were used, among other things, to fund the commercial expansion of the Company’s sales and research and development business units, and for general corporate purposes.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Consulting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we entered into a two-year consulting agreement with Aspira Women’s Health Inc. and Aspira Labs (collectively, “Aspira”), a gynecological health company, to provide consulting services related to our research programs to test the efficacy of Aspira’s new ovarian cancer MDx ddPCR assay. Two members of our board of directors, Jack Schuler and Matthew Strobeck, Ph.D., have ownership interests in Aspira. As of March 24, 2025, we have recognized $251,653 in revenue. The net proceeds were used, among other things, to fund the commercial expansion of the Company’s sales and research and development business units, and for general corporate purposes. The agreement is set to expire in November 2025 but may be extended.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Investor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Indemnification of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the Delaware General Corporation Law, and have purchased directors’ and officers’ liability insurance. Subject to very limited exceptions, our bylaws will also require us to advance expenses incurred by our directors and officers.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Policies and Procedures for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Private Placement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5, 2024, we entered into securities purchase agreements with a consortium of investors, including members of our board of directors, certain members of the Company’s management team, including our Chief Executive Officer, Chief Financial Officer and Chief Commercial Officer, for the issuance and sale by the Company of 760,857 shares of Series A Preferred Stock at a price of $46.00 per share. On April 5, 2024, we also entered into a registration rights agreement with the consortium of investors, pursuant to which the investors are entitled to certain resale registration rights with respect to shares of our Common Stock underlying the Series A Preferred Stock that will be held by such investors. On May 23, 2024, after approval from our stockholders at last year’s annual meeting, we issued 30,434,280 shares of Common Stock in exchange for all outstanding shares of Series A Preferred Stock, and no shares of Series A Preferred Stock remain outstanding.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22" w:name="toc921496_23"/>
      <w:bookmarkEnd w:id="22"/>
      <w:r>
        <w:rPr>
          <w:rFonts w:ascii="Times New Roman" w:hAnsi="Times New Roman"/>
          <w:b/>
          <w:color w:val="305494"/>
          <w:sz w:val="32"/>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2"/>
        <w:gridCol w:w="120"/>
        <w:gridCol w:w="134"/>
        <w:gridCol w:w="2196"/>
        <w:gridCol w:w="259"/>
        <w:gridCol w:w="60"/>
        <w:gridCol w:w="486"/>
        <w:gridCol w:w="1529"/>
        <w:gridCol w:w="259"/>
        <w:gridCol w:w="60"/>
        <w:gridCol w:w="165"/>
        <w:gridCol w:w="2210"/>
        <w:gridCol w:w="275"/>
      </w:tblGrid>
      <w:tr>
        <w:trPr/>
        <w:tc>
          <w:tcPr>
            <w:tcW w:w="2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 to be</w:t>
              <w:br/>
              <w:t>issued upon exercise of</w:t>
              <w:br/>
              <w:t>outstanding options</w:t>
              <w:br/>
              <w:t>(a)</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 of</w:t>
              <w:br/>
              <w:t>outstanding options</w:t>
              <w:br/>
              <w:t>(b)($)</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 for</w:t>
              <w:br/>
              <w:t>issuance under equity</w:t>
              <w:br/>
              <w:t>compensation plans</w:t>
              <w:br/>
              <w:t>(excluding securities</w:t>
              <w:br/>
              <w:t>reflected in column</w:t>
              <w:br/>
              <w:t>(a))</w:t>
            </w:r>
          </w:p>
        </w:tc>
        <w:tc>
          <w:tcPr>
            <w:tcW w:w="275" w:type="dxa"/>
            <w:tcBorders/>
            <w:vAlign w:val="center"/>
          </w:tcPr>
          <w:p>
            <w:pPr>
              <w:pStyle w:val="TableContents"/>
              <w:bidi w:val="0"/>
              <w:spacing w:before="0" w:after="283"/>
              <w:jc w:val="left"/>
              <w:rPr/>
            </w:pPr>
            <w:r>
              <w:rPr/>
              <w:t> </w:t>
            </w:r>
          </w:p>
        </w:tc>
      </w:tr>
      <w:tr>
        <w:trPr/>
        <w:tc>
          <w:tcPr>
            <w:tcW w:w="2452" w:type="dxa"/>
            <w:tcBorders/>
            <w:shd w:fill="F2F2F2" w:val="clear"/>
            <w:vAlign w:val="center"/>
          </w:tcPr>
          <w:p>
            <w:pPr>
              <w:pStyle w:val="TableContents"/>
              <w:bidi w:val="0"/>
              <w:spacing w:before="0" w:after="0"/>
              <w:jc w:val="left"/>
              <w:rPr/>
            </w:pPr>
            <w:r>
              <w:rPr/>
              <w:t> </w:t>
            </w:r>
            <w:r>
              <w:rPr>
                <w:rFonts w:ascii="Times New Roman" w:hAnsi="Times New Roman"/>
                <w:sz w:val="20"/>
              </w:rPr>
              <w:t>Equity compensation plans approved by security holders(1)</w:t>
            </w:r>
          </w:p>
        </w:tc>
        <w:tc>
          <w:tcPr>
            <w:tcW w:w="120" w:type="dxa"/>
            <w:tcBorders/>
            <w:shd w:fill="F2F2F2" w:val="clear"/>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2196" w:type="dxa"/>
            <w:tcBorders/>
            <w:shd w:fill="F2F2F2" w:val="clear"/>
            <w:vAlign w:val="center"/>
          </w:tcPr>
          <w:p>
            <w:pPr>
              <w:pStyle w:val="TableContents"/>
              <w:bidi w:val="0"/>
              <w:spacing w:before="0" w:after="283"/>
              <w:jc w:val="right"/>
              <w:rPr/>
            </w:pPr>
            <w:r>
              <w:rPr/>
              <w:t>9,297,420</w:t>
            </w:r>
          </w:p>
        </w:tc>
        <w:tc>
          <w:tcPr>
            <w:tcW w:w="259" w:type="dxa"/>
            <w:tcBorders/>
            <w:shd w:fill="F2F2F2" w:val="clear"/>
            <w:vAlign w:val="center"/>
          </w:tcPr>
          <w:p>
            <w:pPr>
              <w:pStyle w:val="TableContents"/>
              <w:bidi w:val="0"/>
              <w:spacing w:before="0" w:after="283"/>
              <w:jc w:val="left"/>
              <w:rPr/>
            </w:pPr>
            <w:r>
              <w:rPr/>
              <w:t>(2) </w:t>
            </w:r>
          </w:p>
        </w:tc>
        <w:tc>
          <w:tcPr>
            <w:tcW w:w="60" w:type="dxa"/>
            <w:tcBorders/>
            <w:shd w:fill="F2F2F2" w:val="clear"/>
            <w:vAlign w:val="center"/>
          </w:tcPr>
          <w:p>
            <w:pPr>
              <w:pStyle w:val="TableContents"/>
              <w:bidi w:val="0"/>
              <w:spacing w:before="0" w:after="283"/>
              <w:jc w:val="left"/>
              <w:rPr/>
            </w:pPr>
            <w:r>
              <w:rPr/>
              <w:t> </w:t>
            </w:r>
          </w:p>
        </w:tc>
        <w:tc>
          <w:tcPr>
            <w:tcW w:w="486" w:type="dxa"/>
            <w:tcBorders/>
            <w:shd w:fill="F2F2F2" w:val="clear"/>
            <w:vAlign w:val="center"/>
          </w:tcPr>
          <w:p>
            <w:pPr>
              <w:pStyle w:val="TableContents"/>
              <w:bidi w:val="0"/>
              <w:spacing w:before="0" w:after="283"/>
              <w:jc w:val="left"/>
              <w:rPr/>
            </w:pPr>
            <w:r>
              <w:rPr/>
              <w:t>$</w:t>
            </w:r>
          </w:p>
        </w:tc>
        <w:tc>
          <w:tcPr>
            <w:tcW w:w="1529" w:type="dxa"/>
            <w:tcBorders/>
            <w:shd w:fill="F2F2F2" w:val="clear"/>
            <w:vAlign w:val="center"/>
          </w:tcPr>
          <w:p>
            <w:pPr>
              <w:pStyle w:val="TableContents"/>
              <w:bidi w:val="0"/>
              <w:spacing w:before="0" w:after="283"/>
              <w:jc w:val="right"/>
              <w:rPr/>
            </w:pPr>
            <w:r>
              <w:rPr/>
              <w:t>2.38</w:t>
            </w:r>
          </w:p>
        </w:tc>
        <w:tc>
          <w:tcPr>
            <w:tcW w:w="259" w:type="dxa"/>
            <w:tcBorders/>
            <w:shd w:fill="F2F2F2" w:val="clear"/>
            <w:vAlign w:val="center"/>
          </w:tcPr>
          <w:p>
            <w:pPr>
              <w:pStyle w:val="TableContents"/>
              <w:bidi w:val="0"/>
              <w:spacing w:before="0" w:after="283"/>
              <w:jc w:val="left"/>
              <w:rPr/>
            </w:pPr>
            <w:r>
              <w:rPr/>
              <w:t>(3) </w:t>
            </w:r>
          </w:p>
        </w:tc>
        <w:tc>
          <w:tcPr>
            <w:tcW w:w="60" w:type="dxa"/>
            <w:tcBorders/>
            <w:shd w:fill="F2F2F2" w:val="clear"/>
            <w:vAlign w:val="center"/>
          </w:tcPr>
          <w:p>
            <w:pPr>
              <w:pStyle w:val="TableContents"/>
              <w:bidi w:val="0"/>
              <w:spacing w:before="0" w:after="283"/>
              <w:jc w:val="left"/>
              <w:rPr/>
            </w:pPr>
            <w:r>
              <w:rPr/>
              <w:t> </w:t>
            </w:r>
          </w:p>
        </w:tc>
        <w:tc>
          <w:tcPr>
            <w:tcW w:w="165" w:type="dxa"/>
            <w:tcBorders/>
            <w:shd w:fill="F2F2F2" w:val="clear"/>
            <w:vAlign w:val="center"/>
          </w:tcPr>
          <w:p>
            <w:pPr>
              <w:pStyle w:val="TableContents"/>
              <w:bidi w:val="0"/>
              <w:spacing w:before="0" w:after="283"/>
              <w:jc w:val="left"/>
              <w:rPr/>
            </w:pPr>
            <w:r>
              <w:rPr/>
              <w:t> </w:t>
            </w:r>
          </w:p>
        </w:tc>
        <w:tc>
          <w:tcPr>
            <w:tcW w:w="2210" w:type="dxa"/>
            <w:tcBorders/>
            <w:shd w:fill="F2F2F2" w:val="clear"/>
            <w:vAlign w:val="center"/>
          </w:tcPr>
          <w:p>
            <w:pPr>
              <w:pStyle w:val="TableContents"/>
              <w:bidi w:val="0"/>
              <w:spacing w:before="0" w:after="283"/>
              <w:jc w:val="right"/>
              <w:rPr/>
            </w:pPr>
            <w:r>
              <w:rPr/>
              <w:t>837,381</w:t>
            </w:r>
          </w:p>
        </w:tc>
        <w:tc>
          <w:tcPr>
            <w:tcW w:w="275" w:type="dxa"/>
            <w:tcBorders/>
            <w:shd w:fill="F2F2F2" w:val="clear"/>
            <w:vAlign w:val="center"/>
          </w:tcPr>
          <w:p>
            <w:pPr>
              <w:pStyle w:val="TableContents"/>
              <w:bidi w:val="0"/>
              <w:spacing w:before="0" w:after="283"/>
              <w:jc w:val="left"/>
              <w:rPr/>
            </w:pPr>
            <w:r>
              <w:rPr/>
              <w:t>(4) </w:t>
            </w:r>
          </w:p>
        </w:tc>
      </w:tr>
      <w:tr>
        <w:trPr/>
        <w:tc>
          <w:tcPr>
            <w:tcW w:w="2452" w:type="dxa"/>
            <w:tcBorders/>
            <w:vAlign w:val="center"/>
          </w:tcPr>
          <w:p>
            <w:pPr>
              <w:pStyle w:val="TableContents"/>
              <w:bidi w:val="0"/>
              <w:spacing w:before="0" w:after="0"/>
              <w:jc w:val="left"/>
              <w:rPr/>
            </w:pPr>
            <w:r>
              <w:rPr/>
              <w:t> </w:t>
            </w: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2452" w:type="dxa"/>
            <w:tcBorders/>
            <w:shd w:fill="F2F2F2" w:val="clear"/>
            <w:vAlign w:val="center"/>
          </w:tcPr>
          <w:p>
            <w:pPr>
              <w:pStyle w:val="TableContents"/>
              <w:bidi w:val="0"/>
              <w:spacing w:before="0" w:after="0"/>
              <w:jc w:val="left"/>
              <w:rPr/>
            </w:pPr>
            <w:r>
              <w:rPr/>
              <w:t> </w:t>
            </w:r>
            <w:r>
              <w:rPr>
                <w:rFonts w:ascii="Times New Roman" w:hAnsi="Times New Roman"/>
                <w:sz w:val="20"/>
              </w:rPr>
              <w:t>Total</w:t>
            </w:r>
          </w:p>
        </w:tc>
        <w:tc>
          <w:tcPr>
            <w:tcW w:w="120" w:type="dxa"/>
            <w:tcBorders/>
            <w:shd w:fill="F2F2F2" w:val="clear"/>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2196" w:type="dxa"/>
            <w:tcBorders/>
            <w:shd w:fill="F2F2F2" w:val="clear"/>
            <w:vAlign w:val="center"/>
          </w:tcPr>
          <w:p>
            <w:pPr>
              <w:pStyle w:val="TableContents"/>
              <w:bidi w:val="0"/>
              <w:spacing w:before="0" w:after="283"/>
              <w:jc w:val="right"/>
              <w:rPr/>
            </w:pPr>
            <w:r>
              <w:rPr/>
              <w:t>9,297,420</w:t>
            </w:r>
          </w:p>
        </w:tc>
        <w:tc>
          <w:tcPr>
            <w:tcW w:w="259"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6" w:type="dxa"/>
            <w:tcBorders/>
            <w:shd w:fill="F2F2F2" w:val="clear"/>
            <w:vAlign w:val="center"/>
          </w:tcPr>
          <w:p>
            <w:pPr>
              <w:pStyle w:val="TableContents"/>
              <w:bidi w:val="0"/>
              <w:spacing w:before="0" w:after="283"/>
              <w:jc w:val="left"/>
              <w:rPr/>
            </w:pPr>
            <w:r>
              <w:rPr/>
              <w:t>$</w:t>
            </w:r>
          </w:p>
        </w:tc>
        <w:tc>
          <w:tcPr>
            <w:tcW w:w="1529" w:type="dxa"/>
            <w:tcBorders/>
            <w:shd w:fill="F2F2F2" w:val="clear"/>
            <w:vAlign w:val="center"/>
          </w:tcPr>
          <w:p>
            <w:pPr>
              <w:pStyle w:val="TableContents"/>
              <w:bidi w:val="0"/>
              <w:spacing w:before="0" w:after="283"/>
              <w:jc w:val="right"/>
              <w:rPr/>
            </w:pPr>
            <w:r>
              <w:rPr/>
              <w:t>2.38</w:t>
            </w:r>
          </w:p>
        </w:tc>
        <w:tc>
          <w:tcPr>
            <w:tcW w:w="259"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5" w:type="dxa"/>
            <w:tcBorders/>
            <w:shd w:fill="F2F2F2" w:val="clear"/>
            <w:vAlign w:val="center"/>
          </w:tcPr>
          <w:p>
            <w:pPr>
              <w:pStyle w:val="TableContents"/>
              <w:bidi w:val="0"/>
              <w:spacing w:before="0" w:after="283"/>
              <w:jc w:val="left"/>
              <w:rPr/>
            </w:pPr>
            <w:r>
              <w:rPr/>
              <w:t> </w:t>
            </w:r>
          </w:p>
        </w:tc>
        <w:tc>
          <w:tcPr>
            <w:tcW w:w="2210" w:type="dxa"/>
            <w:tcBorders/>
            <w:shd w:fill="F2F2F2" w:val="clear"/>
            <w:vAlign w:val="center"/>
          </w:tcPr>
          <w:p>
            <w:pPr>
              <w:pStyle w:val="TableContents"/>
              <w:bidi w:val="0"/>
              <w:spacing w:before="0" w:after="283"/>
              <w:jc w:val="right"/>
              <w:rPr/>
            </w:pPr>
            <w:r>
              <w:rPr/>
              <w:t>837,381</w:t>
            </w:r>
          </w:p>
        </w:tc>
        <w:tc>
          <w:tcPr>
            <w:tcW w:w="275" w:type="dxa"/>
            <w:tcBorders/>
            <w:shd w:fill="F2F2F2"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the 2006 Employee, Director and Consultant Stock Plan (2006 Incentive Plan), the 2016 Equity Incentive Plan (2016 Incentive Plan), the 2020 Equity Incentive Plan (2020 Incentive Plan), the Employee Stock Purchase Plan (ESPP), the 2011 Second Amended and Restated Bonus-to-Options Program and the 2015 Third Amended and Restated Bonus-to-Options Program. </w:t>
            </w:r>
          </w:p>
        </w:tc>
      </w:tr>
    </w:tbl>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(2)</w:t>
            </w:r>
          </w:p>
        </w:tc>
        <w:tc>
          <w:tcPr>
            <w:tcW w:w="98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52,736 RSUs that were outstanding on December 31, 2024 under the 2016 Incentive Plan and 3,717,523 RSUs that were outstanding on December 31, 2024 under the 2020 Incentive Plan. RSU awards may be settled only for shares of Common Stock on a one-for-one basis. </w:t>
            </w:r>
          </w:p>
        </w:tc>
      </w:tr>
    </w:tbl>
    <w:tbl>
      <w:tblPr>
        <w:tblW w:w="6190" w:type="dxa"/>
        <w:jc w:val="left"/>
        <w:tblInd w:w="0" w:type="dxa"/>
        <w:tblLayout w:type="fixed"/>
        <w:tblCellMar>
          <w:top w:w="0" w:type="dxa"/>
          <w:left w:w="0" w:type="dxa"/>
          <w:bottom w:w="0" w:type="dxa"/>
          <w:right w:w="0" w:type="dxa"/>
        </w:tblCellMar>
      </w:tblPr>
      <w:tblGrid>
        <w:gridCol w:w="75"/>
        <w:gridCol w:w="290"/>
        <w:gridCol w:w="58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58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Only option awards were used in computing the weighted-average exercise price. </w:t>
            </w:r>
          </w:p>
        </w:tc>
      </w:tr>
    </w:tbl>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This amount represents 662,106 shares of Common Stock available for issuance under the 2020 Incentive Plan and 175,275 shares of Common Stock available for issuance under the ESPP, all of which were subject to purchase under the offering period in effect as of December 31, 2024, which offering period ended on February 28, 2025. Awards available for grant under the Company’s 2020 Incentive Plan include stock options, stock appreciation rights, restricted stock, RSUs,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(i) 1% of the number of shares of Common Stock issued and outstanding on the immediately preceding December 31, (ii) 338,106 shares of our Common Stock or (iii) such lesser amount as is determined by our board of directors.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23" w:name="toc921496_24"/>
      <w:bookmarkEnd w:id="23"/>
      <w:r>
        <w:rPr>
          <w:rFonts w:ascii="Times New Roman" w:hAnsi="Times New Roman"/>
          <w:b/>
          <w:color w:val="305494"/>
          <w:sz w:val="32"/>
        </w:rPr>
        <w:t xml:space="preserve">DIRECTOR COMPENSATION </w:t>
      </w:r>
    </w:p>
    <w:p>
      <w:pPr>
        <w:pStyle w:val="TextBody"/>
        <w:bidi w:val="0"/>
        <w:spacing w:before="240" w:after="0"/>
        <w:jc w:val="left"/>
        <w:rPr>
          <w:rFonts w:ascii="Times New Roman" w:hAnsi="Times New Roman"/>
          <w:color w:val="305494"/>
          <w:sz w:val="28"/>
        </w:rPr>
      </w:pPr>
      <w:bookmarkStart w:id="24" w:name="toc921496_25"/>
      <w:bookmarkEnd w:id="24"/>
      <w:r>
        <w:rPr>
          <w:rFonts w:ascii="Times New Roman" w:hAnsi="Times New Roman"/>
          <w:color w:val="305494"/>
          <w:sz w:val="28"/>
        </w:rPr>
        <w:t xml:space="preserve">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our non-employee director compensation policy, as amended in the first quarter of 2024. Our employee director receives no additional compensation for service on our board of directors. </w:t>
      </w:r>
    </w:p>
    <w:p>
      <w:pPr>
        <w:pStyle w:val="TextBody"/>
        <w:bidi w:val="0"/>
        <w:spacing w:before="120" w:after="0"/>
        <w:jc w:val="left"/>
        <w:rPr/>
      </w:pPr>
      <w:r>
        <w:rPr>
          <w:color w:val="305494"/>
        </w:rPr>
        <w:t>●</w:t>
      </w:r>
      <w:r>
        <w:rPr/>
        <w:t xml:space="preserve"> </w:t>
      </w:r>
      <w:r>
        <w:rPr>
          <w:rFonts w:ascii="Times New Roman" w:hAnsi="Times New Roman"/>
          <w:sz w:val="20"/>
          <w:u w:val="single"/>
        </w:rPr>
        <w:t>Annual Retainers:</w:t>
      </w:r>
      <w:r>
        <w:rPr>
          <w:rFonts w:ascii="Times New Roman" w:hAnsi="Times New Roman"/>
          <w:sz w:val="20"/>
        </w:rPr>
        <w:t xml:space="preserve">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40"/>
        <w:gridCol w:w="91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non-employee director is entitled to receive annual retainers in the amount summarized in the table below.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3230"/>
        <w:gridCol w:w="120"/>
        <w:gridCol w:w="295"/>
        <w:gridCol w:w="1435"/>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b/>
              </w:rPr>
            </w:pPr>
            <w:r>
              <w:rPr>
                <w:b/>
              </w:rPr>
              <w:t>Position</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 Retainer</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Member</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 of the Board of Directors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Committee Chairs: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4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Committee Members: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4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2024 to March 31, 2025, non-employee directors could elect to receive annual retainers in cash or RSUs, or a mixture of cash and RSUs (with 25%, 50% or 75% of such annual retainers paid in RSUs). Annual retainers paid in cash would be paid in equal quarterly installments, in arrears following the end of each quarter in which the service was performed. Equity grants made in respect of annual retainers were granted as of the date of our 2024 annual meeting of stockholders, were valued based on the average price of our Common Stock over a 90-day period preceding the date of grant, and vested on March 31, 2025. If a non-employee director became a director after April 1, 2024, his or her annual retainers were pro-rated based on the period of the non-employee director’s service on our board of directors during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2024 to March 31, 2025, all of our non-employee directors elected to receive their annual retainers with respect to service on our board of directors or any of its committees in the form of RSUs. The average closing price of our Common Stock for the 90-day period beginning on February 21, 2024 and ending on May 20, 2024 was $1.42. Based on this price, it was determined that each non-employee director was entitled to a grant of 28,161 RSUs. In addition, the Audit Committee Chair, Compensation Committee Chair, and Nominating and Corporate Governance Committee Chair were entitled to a grant of 14,080 RSUs, 10,560, RSUs, and 7,040 RSUs, respectively. </w:t>
            </w:r>
          </w:p>
        </w:tc>
      </w:tr>
    </w:tbl>
    <w:p>
      <w:pPr>
        <w:pStyle w:val="TextBody"/>
        <w:bidi w:val="0"/>
        <w:spacing w:before="120" w:after="0"/>
        <w:jc w:val="left"/>
        <w:rPr/>
      </w:pPr>
      <w:r>
        <w:rPr>
          <w:color w:val="305494"/>
        </w:rPr>
        <w:t>●</w:t>
      </w:r>
      <w:r>
        <w:rPr/>
        <w:t xml:space="preserve"> </w:t>
      </w:r>
      <w:r>
        <w:rPr>
          <w:rFonts w:ascii="Times New Roman" w:hAnsi="Times New Roman"/>
          <w:sz w:val="20"/>
          <w:u w:val="single"/>
        </w:rPr>
        <w:t>Equity Compensation: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entitled to receive an initial stock option grant having a Black Scholes value of $187,500, determined as of the date of grant based on the average price of our Common Stock over a 90-day period preceding the date of grant, with 40% vesting on the two-year anniversary of the grant date and the remainder vesting ratably on each subsequent monthly anniversary of the grant date for 36 months, subject to such director’s continuous service through each applicable vesting date. The Company limits the number of shares of Common Stock that may be subject to the initial stock option grant to 0.075% of the Company’s outstanding shares of Common Stock as of the immediately preceding January 1, which may result in a newly appointed non-employee director receiving an initial stock option grant having a Black Scholes value that is less than $187,500.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also entitled to receive an initial RSU grant valued at $187,500 as of the date of grant based on the average price of our Common Stock over a 90-day period preceding the date of grant, which will vest on the one-year anniversary of the grant date subject to such director’s continuous service through such date. The Company limits the number of shares of Common Stock that may be subject to the initial RSU grant to 0.0375% of the Company’s outstanding shares of Common Stock as of the immediately preceding January 1, which may result in a newly appointed non-employee director receiving an initial RSU grant having a value that is less than $187,500.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2024 to March 31, 2025, each non-employee director continuing his or her service on our board of directors following the annual meeting of stockholders was entitled to receive an annual stock option grant having a Black Scholes value of $96,250 and an annual RSU grant valued at $96,250, in each case determined as of the date of the 2024 annual meeting of stockholders, based on the average price of our Common Stock over the preceding 90 days, which vested on March 31, 2025, subject to such director’s continuous service through such date. The Company limits the number of shares of Common Stock that may be subject to an annual stock option grant or an annual RSU grant to 0.0385% and 0.01925%, respectively, of the Company’s outstanding shares of Common Stock as of the immediately preceding January 1. The average closing price of our Common Stock for the 90-day period beginning on February 21, 2024 and ending on May 20, 2024 was $1.42. Based on this price, each non-employee director would have been granted an option to purchase 103,354 shares of the Company’s Common Stock and 67,762 RSUs on May 21, 2024. However, as a result of the grant limitations described above, each non-employee director was instead granted an option to purchase 37,050 shares of the Company’s Common Stock, having a Black Scholes value as of the date of grant of $1.06, and 18,525 RSUs with a grant date value of $1.42.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vesting schedules described above, each non-employee director who remains in continuous service until a change of control (as defined in our 2020 Incentive Plan) will become fully vested in all then-outstanding equity awards. In addition, annual equity grants and equity grants in respect of annual retainers that were granted during 2024 will vest on a prorated basis in the event a director resigns or otherwise experiences a termination of service other than for cause. </w:t>
            </w:r>
          </w:p>
        </w:tc>
      </w:tr>
    </w:tbl>
    <w:p>
      <w:pPr>
        <w:pStyle w:val="TextBody"/>
        <w:bidi w:val="0"/>
        <w:spacing w:before="120" w:after="0"/>
        <w:jc w:val="left"/>
        <w:rPr/>
      </w:pPr>
      <w:r>
        <w:rPr>
          <w:color w:val="305494"/>
        </w:rPr>
        <w:t>●</w:t>
      </w:r>
      <w:r>
        <w:rPr/>
        <w:t xml:space="preserve"> </w:t>
      </w:r>
      <w:r>
        <w:rPr>
          <w:rFonts w:ascii="Times New Roman" w:hAnsi="Times New Roman"/>
          <w:sz w:val="20"/>
          <w:u w:val="single"/>
        </w:rPr>
        <w:t>Expense Reimbursement</w:t>
      </w:r>
      <w:r>
        <w:rPr>
          <w:rFonts w:ascii="Times New Roman" w:hAnsi="Times New Roman"/>
          <w:sz w:val="20"/>
        </w:rPr>
        <w:t xml:space="preserve">: Our non-employee directors are also reimbursed for their reasonable out-of-pocket travel expenses to cover in-person attendance at and participation in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non-employee director compensation policy was further amended on October 30, 2024, effective as of April 1, 2025, to provide that non-employee directors will receive annual retainers in the form of RSUs that vest in equal quarterly installments and to provide that annual equity grants will also vest in equal quarterly installments, beginning with 2025 grants. </w:t>
      </w:r>
    </w:p>
    <w:p>
      <w:pPr>
        <w:pStyle w:val="TextBody"/>
        <w:bidi w:val="0"/>
        <w:spacing w:before="240" w:after="0"/>
        <w:jc w:val="left"/>
        <w:rPr>
          <w:rFonts w:ascii="Times New Roman" w:hAnsi="Times New Roman"/>
          <w:color w:val="305494"/>
          <w:sz w:val="28"/>
        </w:rPr>
      </w:pPr>
      <w:bookmarkStart w:id="25" w:name="toc921496_26"/>
      <w:bookmarkEnd w:id="25"/>
      <w:r>
        <w:rPr>
          <w:rFonts w:ascii="Times New Roman" w:hAnsi="Times New Roman"/>
          <w:color w:val="305494"/>
          <w:sz w:val="28"/>
        </w:rPr>
        <w:t xml:space="preserve">Director 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On December 21, 2021, our compensation committee adopted the 2021 Non-Employee Director Deferred Compensation Plan (the Director Deferred Compensation Plan), an unfunded, non-qualified deferred compensation plan that allows our non-employee directors to defer RSU awards that they receive. </w:t>
      </w:r>
    </w:p>
    <w:p>
      <w:pPr>
        <w:pStyle w:val="TextBody"/>
        <w:bidi w:val="0"/>
        <w:spacing w:before="240" w:after="0"/>
        <w:jc w:val="left"/>
        <w:rPr>
          <w:rFonts w:ascii="Times New Roman" w:hAnsi="Times New Roman"/>
          <w:sz w:val="20"/>
        </w:rPr>
      </w:pPr>
      <w:r>
        <w:rPr>
          <w:rFonts w:ascii="Times New Roman" w:hAnsi="Times New Roman"/>
          <w:sz w:val="20"/>
        </w:rPr>
        <w:t xml:space="preserve">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 </w:t>
      </w:r>
    </w:p>
    <w:p>
      <w:pPr>
        <w:pStyle w:val="TextBody"/>
        <w:bidi w:val="0"/>
        <w:spacing w:before="240" w:after="0"/>
        <w:jc w:val="left"/>
        <w:rPr>
          <w:rFonts w:ascii="Times New Roman" w:hAnsi="Times New Roman"/>
          <w:color w:val="305494"/>
          <w:sz w:val="28"/>
        </w:rPr>
      </w:pPr>
      <w:bookmarkStart w:id="26" w:name="toc921496_27"/>
      <w:bookmarkEnd w:id="26"/>
      <w:r>
        <w:rPr>
          <w:rFonts w:ascii="Times New Roman" w:hAnsi="Times New Roman"/>
          <w:color w:val="305494"/>
          <w:sz w:val="28"/>
        </w:rPr>
        <w:t xml:space="preserve">2024 Director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for the fiscal year ended December 31, 2024 regarding the compensation awarded to, earned by or paid to our non-employee directors. The compensation received by our non-employee directors in respect of annual retainers for 2024 service was in the form of RSU awards and the compensation received by our non-employee directors in respect of annual equity grants was a mixture of stock option and RSU awards. Each of Messrs. Schuler, Patience and Kennedy, and Drs. Kayyem and Watts received grants for a total of 152,075 RSUs and stock options in respect of 37,050 shares of our Common Stock. Dr. Strobeck received grants for a total of 159,115 RSUs and stock options in respect of 37,050 shares of our Common Stock. Mr. Massarany received grants for a total of 162,635 RSUs and stock options in respect of 37,050 shares of our Common Stock. Ms. Franchi received grants for a total of 166,155 RSUs and stock options in respect of 37,050 shares of our Common Stock. Mr. Hutton, our Chief Executive Officer, does not receive any separate compensation for his service on our board of directors. Please see the 2024 Summary Compensation Table for the compensation paid or awarded to Mr. Hutton. </w:t>
      </w:r>
    </w:p>
    <w:p>
      <w:pPr>
        <w:pStyle w:val="TextBody"/>
        <w:bidi w:val="0"/>
        <w:spacing w:before="0" w:after="0"/>
        <w:jc w:val="left"/>
        <w:rPr/>
      </w:pPr>
      <w:r>
        <w:rPr/>
        <w:t> </w:t>
      </w:r>
    </w:p>
    <w:tbl>
      <w:tblPr>
        <w:tblW w:w="5430" w:type="dxa"/>
        <w:jc w:val="left"/>
        <w:tblInd w:w="0" w:type="dxa"/>
        <w:tblLayout w:type="fixed"/>
        <w:tblCellMar>
          <w:top w:w="0" w:type="dxa"/>
          <w:left w:w="0" w:type="dxa"/>
          <w:bottom w:w="0" w:type="dxa"/>
          <w:right w:w="0" w:type="dxa"/>
        </w:tblCellMar>
      </w:tblPr>
      <w:tblGrid>
        <w:gridCol w:w="2225"/>
        <w:gridCol w:w="120"/>
        <w:gridCol w:w="140"/>
        <w:gridCol w:w="800"/>
        <w:gridCol w:w="60"/>
        <w:gridCol w:w="120"/>
        <w:gridCol w:w="830"/>
        <w:gridCol w:w="120"/>
        <w:gridCol w:w="140"/>
        <w:gridCol w:w="80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rPr>
            </w:pPr>
            <w:r>
              <w:rPr>
                <w:b/>
              </w:rPr>
              <w:t>Option</w:t>
              <w:br/>
              <w:t>Awards</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Jean Franchi(3)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289,318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328,499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Faiz Kayyem, Ph.D(3)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267,213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306,394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Hany Massarany(3)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283,792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322,973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267,213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306,394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Jack Schuler(3)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267,213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306,394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Strobeck, Ph.D(3)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278,266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317,447</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Charles M. Watts, M.D(3)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267,213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306,394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Kennedy(3)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267,213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306,394</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RSUs, calculated in accordance with FASB ASC Topic 718 based on the assumption that the value of each RSU granted on January 1, 2024 and May 21, 2024, was equal to $1.84, and $1.57, respectively, with such amount being the closing price of our Common Stock on the grant date. The assumptions used in calculating the grant date fair value of the award disclosed in this column are set forth in Note 12 of our audited financial statements included in the 2024 Annual Report on Form 10-K Item 8. “Financial Statements and Supplementary Data” for the year ended December 31, 2024. Pursuant to the Director Deferred Compensation Plan, non-employee directors may choose to defer receipt of the shares to be issued in connection with settlement of the annual RSU award. Dr. Kayyem chose to defer receipt of 152,075 shares upon their vesting. Mr. Massarany chose to defer receipt of 162,635 shares upon their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vesting. Mr. Schuler chose to defer receipt of 152,075 shares upon their vesting. Mr. Patience chose to defer receipt of 105,389 shares upon their vesting. Dr. Strobeck chose to defer receipt of 159,115 shares upon their vesting. Ms. Franchi chose to defer receipt of 166,155 shares upon their vesting. Mr. Kennedy chose to defer receipt of 152,075 shares upon their vesting.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stock options calculated in accordance with FASB ASC Topic 718. The assumptions used in calculating the grant date fair value of the award disclosed in this column are set forth in Note 12 of our audited financial statements included in the 2024 Form 10-K Report under “Item 8. Financial Statements and Supplementary Data” for the year ended December 31, 2024. These amounts do not correspond to the actual value that may be recognized by the non-employee directors upon exercise of the applicable awards. </w:t>
            </w:r>
          </w:p>
        </w:tc>
      </w:tr>
    </w:tbl>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Ms. Franchi held options to purchase 66,413 shares of our Common Stock and RSUs in respect of 386,095 shares of our Common Stock; Dr. Kayyem held options to purchase 114,456 shares of our Common Stock and RSUs in respect of 185,826 shares of our Common Stock; Mr. Massarany held options to purchase 97,996 shares of our Common Stock and RSUs in respect of 233,245 shares of our Common Stock; Mr. Patience held options to purchase 83,152 shares of our Common Stock and RSUs in respect of 331,659 shares of our Common Stock; Mr. Schuler held options to purchase 83,152 shares of our Common Stock and RSUs in respect of 331,659 shares of our Common Stock; Dr. Strobeck held options to purchase 48,767 shares of our Common Stock and RSUs in respect of 345,692 shares of our Common Stock; Dr. Watts held options to purchase 132,960 shares of our Common Stock and RSUs in respect of 46,686 shares of our Common Stock; and Mr. Kennedy held options to purchase 162,048 shares of our Common Stock and RSUs in respect of 299,819 shares of our Common Stock.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27" w:name="toc921496_28"/>
      <w:bookmarkEnd w:id="27"/>
      <w:r>
        <w:rPr>
          <w:rFonts w:ascii="Times New Roman" w:hAnsi="Times New Roman"/>
          <w:b/>
          <w:color w:val="305494"/>
          <w:sz w:val="32"/>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 </w:t>
      </w:r>
    </w:p>
    <w:p>
      <w:pPr>
        <w:pStyle w:val="TextBody"/>
        <w:bidi w:val="0"/>
        <w:spacing w:before="240" w:after="0"/>
        <w:jc w:val="left"/>
        <w:rPr>
          <w:rFonts w:ascii="Times New Roman" w:hAnsi="Times New Roman"/>
          <w:color w:val="305494"/>
          <w:sz w:val="28"/>
        </w:rPr>
      </w:pPr>
      <w:bookmarkStart w:id="28" w:name="toc921496_29"/>
      <w:bookmarkEnd w:id="28"/>
      <w:r>
        <w:rPr>
          <w:rFonts w:ascii="Times New Roman" w:hAnsi="Times New Roman"/>
          <w:color w:val="305494"/>
          <w:sz w:val="28"/>
        </w:rPr>
        <w:t xml:space="preserve">Overview </w:t>
      </w:r>
    </w:p>
    <w:p>
      <w:pPr>
        <w:pStyle w:val="TextBody"/>
        <w:bidi w:val="0"/>
        <w:spacing w:before="240" w:after="0"/>
        <w:jc w:val="left"/>
        <w:rPr>
          <w:rFonts w:ascii="Times New Roman" w:hAnsi="Times New Roman"/>
          <w:sz w:val="20"/>
        </w:rPr>
      </w:pPr>
      <w:r>
        <w:rPr>
          <w:rFonts w:ascii="Times New Roman" w:hAnsi="Times New Roman"/>
          <w:sz w:val="20"/>
        </w:rPr>
        <w:t xml:space="preserve">This section provides a discussion of the compensation paid or awarded to our Chief Executive Officer and our two other most highly compensated executive officers as of December 31, 2024. We refer to these individuals as our “named executive officers.” For 2024, our named executive officers were: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Scott Hutton, President and Chief Executive Officer;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Robin Harper Cowie, Chief Financial Officer, Secretary and Treasurer; and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Kieran O’Kane, Chief Commercial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2024, the material elements of our executive compensation program were base salary, annual cash bonus and equity awards in the form of RSUs and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depends on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2024, the compensation committee utilized our independent executive compensation consultant to advise us on the elements of our executive compensation program.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color w:val="305494"/>
          <w:sz w:val="28"/>
        </w:rPr>
      </w:pPr>
      <w:bookmarkStart w:id="29" w:name="toc921496_30"/>
      <w:bookmarkEnd w:id="29"/>
      <w:r>
        <w:rPr>
          <w:rFonts w:ascii="Times New Roman" w:hAnsi="Times New Roman"/>
          <w:color w:val="305494"/>
          <w:sz w:val="28"/>
        </w:rPr>
        <w:t xml:space="preserve">Compensation of Named Executive Officers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Base Salary </w:t>
      </w:r>
    </w:p>
    <w:p>
      <w:pPr>
        <w:pStyle w:val="TextBody"/>
        <w:bidi w:val="0"/>
        <w:spacing w:before="24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2023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 2024, Mr. Hutton’s annual base salary was $515,000, Ms. Harper Cowie’s annual base salary was $355,000, and Mr. O’Kane’s annual base salary was $335,000. The compensation committee retained an independent executive compensation consultant and after review of external market data and consideration of individual factors including, but not limited to, performance and scope of role, determined to increase base salaries for the named executive officers. As of March 1, 2024, Mr. Hutton’s annual base salary was increased to $608,000, and each of Ms. Harper Cowie’s and Mr. O’Kane’s annual base salary was increased to $419,000. As of March 1, 2025, Mr. Hutton’s annual base salary was increased to $652,500, Ms. Harper Cowie’s annual base salary was increased to $449,500 and Mr. O’Kane’s annual base salary was increased to $449,500.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Annual Cash Bonuses </w:t>
      </w:r>
    </w:p>
    <w:p>
      <w:pPr>
        <w:pStyle w:val="TextBody"/>
        <w:bidi w:val="0"/>
        <w:spacing w:before="240" w:after="0"/>
        <w:jc w:val="left"/>
        <w:rPr>
          <w:rFonts w:ascii="Times New Roman" w:hAnsi="Times New Roman"/>
          <w:sz w:val="20"/>
        </w:rPr>
      </w:pPr>
      <w:r>
        <w:rPr>
          <w:rFonts w:ascii="Times New Roman" w:hAnsi="Times New Roman"/>
          <w:sz w:val="20"/>
        </w:rPr>
        <w:t xml:space="preserve">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Generally, our compensation committee establishes a Company-based performance metric as a threshold vesting criterion for any payouts for a particular annual bonus period. For 2024, individual performance goals did not factor into determining payouts for the annual bonus period. </w:t>
      </w:r>
    </w:p>
    <w:p>
      <w:pPr>
        <w:pStyle w:val="TextBody"/>
        <w:bidi w:val="0"/>
        <w:spacing w:before="240" w:after="0"/>
        <w:jc w:val="left"/>
        <w:rPr>
          <w:rFonts w:ascii="Times New Roman" w:hAnsi="Times New Roman"/>
          <w:sz w:val="20"/>
        </w:rPr>
      </w:pPr>
      <w:r>
        <w:rPr>
          <w:rFonts w:ascii="Times New Roman" w:hAnsi="Times New Roman"/>
          <w:sz w:val="20"/>
        </w:rPr>
        <w:t xml:space="preserve">For 2024, the compensation committee determined that the Company’s short-term incentive compensation would be based on the achievement of three financial objectives, (i) total revenue determined in accordance with U.S. GAAP, (ii) lung diagnostic gross margin percentage and (iii) total operating expense (excluding certain non-cash expenses). Actual results were measured at year end against targeted outcomes. Mr. Hutton’s, Ms. Harper Cowie’s and Mr. O’Kane’s 2024 bonus targets as a percentage of annual base salary were 100%, 50% and 60%, respectively. Based on our 2024 performance, our compensation committee determined, and our board of directors approved, a corporate funding percentage under our annual cash bonus program equal to approximately 75.4% of the target bonus opportunity.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Company’s 2021 Senior Management Bonus to Equity Plan, eligible executives, including each of our named executive officers, were permitted to elect to receive 25%, 50%, 75% or 100% of the annual bonus earned in the form of a bonus-to-options award, subject to an individual cap equal to the executive’s target annual bonus or any maximum dollar amount or percentage approved by the Company or the executive for such year. The maximum percentage that applied for 2024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elections made in 2023, each named executive officer received a portion of their respective annual bonuses earned for 2024 in the form of a bonus-to-options award instead of in cash. For annual bonuses earned in 2024,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$1.57 (the Company’s average stock price during 2024, calculated based on the daily closing price of our publicly traded Common Stock). Accordingly, each of Mr. Hutton, Ms. Harper Cowie and Mr. O’Kane received a payout under the 2024 annual cash bonus program in cash and/or a bonus-to-options award, as illustrated below: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1460"/>
        <w:gridCol w:w="120"/>
        <w:gridCol w:w="146"/>
        <w:gridCol w:w="804"/>
        <w:gridCol w:w="60"/>
        <w:gridCol w:w="120"/>
        <w:gridCol w:w="280"/>
        <w:gridCol w:w="154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05" w:type="dxa"/>
            <w:gridSpan w:val="9"/>
            <w:tcBorders>
              <w:top w:val="single" w:sz="6" w:space="0" w:color="000000"/>
              <w:left w:val="single" w:sz="6" w:space="0" w:color="000000"/>
              <w:right w:val="single" w:sz="6" w:space="0" w:color="000000"/>
            </w:tcBorders>
            <w:shd w:fill="D8D8D8" w:val="clear"/>
            <w:tcMar>
              <w:top w:w="28" w:type="dxa"/>
              <w:left w:w="160" w:type="dxa"/>
              <w:right w:w="28" w:type="dxa"/>
            </w:tcMar>
            <w:vAlign w:val="center"/>
          </w:tcPr>
          <w:p>
            <w:pPr>
              <w:pStyle w:val="TableContents"/>
              <w:bidi w:val="0"/>
              <w:spacing w:before="0" w:after="283"/>
              <w:jc w:val="left"/>
              <w:rPr/>
            </w:pPr>
            <w:r>
              <w:rPr/>
              <w:t> </w:t>
            </w:r>
          </w:p>
        </w:tc>
      </w:tr>
      <w:tr>
        <w:trPr/>
        <w:tc>
          <w:tcPr>
            <w:tcW w:w="4530" w:type="dxa"/>
            <w:gridSpan w:val="8"/>
            <w:tcBorders>
              <w:left w:val="single" w:sz="6" w:space="0" w:color="000000"/>
            </w:tcBorders>
            <w:shd w:fill="D8D8D8" w:val="clear"/>
            <w:tcMar>
              <w:left w:w="160" w:type="dxa"/>
            </w:tcMar>
            <w:vAlign w:val="center"/>
          </w:tcPr>
          <w:p>
            <w:pPr>
              <w:pStyle w:val="TableContents"/>
              <w:bidi w:val="0"/>
              <w:spacing w:before="0" w:after="0"/>
              <w:jc w:val="center"/>
              <w:rPr>
                <w:b/>
                <w:spacing w:val="0"/>
              </w:rPr>
            </w:pPr>
            <w:r>
              <w:rPr>
                <w:b/>
                <w:spacing w:val="0"/>
              </w:rPr>
              <w:t>2024</w:t>
            </w:r>
          </w:p>
        </w:tc>
        <w:tc>
          <w:tcPr>
            <w:tcW w:w="75" w:type="dxa"/>
            <w:tcBorders>
              <w:right w:val="single" w:sz="6" w:space="0" w:color="000000"/>
            </w:tcBorders>
            <w:shd w:fill="D8D8D8" w:val="clear"/>
            <w:tcMar>
              <w:right w:w="40" w:type="dxa"/>
            </w:tcMar>
            <w:vAlign w:val="center"/>
          </w:tcPr>
          <w:p>
            <w:pPr>
              <w:pStyle w:val="TableContents"/>
              <w:bidi w:val="0"/>
              <w:spacing w:before="0" w:after="283"/>
              <w:jc w:val="left"/>
              <w:rPr/>
            </w:pPr>
            <w:r>
              <w:rPr/>
              <w:t> </w:t>
            </w:r>
          </w:p>
        </w:tc>
      </w:tr>
      <w:tr>
        <w:trPr/>
        <w:tc>
          <w:tcPr>
            <w:tcW w:w="1460" w:type="dxa"/>
            <w:tcBorders>
              <w:top w:val="single" w:sz="6" w:space="0" w:color="000000"/>
              <w:left w:val="single" w:sz="6" w:space="0" w:color="000000"/>
            </w:tcBorders>
            <w:shd w:fill="D8D8D8" w:val="clear"/>
            <w:tcMar>
              <w:top w:w="28" w:type="dxa"/>
              <w:left w:w="160"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sz w:val="16"/>
              </w:rPr>
            </w:pPr>
            <w:r>
              <w:rPr>
                <w:rFonts w:ascii="Times New Roman" w:hAnsi="Times New Roman"/>
                <w:b/>
                <w:sz w:val="16"/>
              </w:rPr>
              <w:t>Name</w:t>
            </w:r>
          </w:p>
        </w:tc>
        <w:tc>
          <w:tcPr>
            <w:tcW w:w="120" w:type="dxa"/>
            <w:tcBorders>
              <w:top w:val="single" w:sz="6" w:space="0" w:color="000000"/>
              <w:left w:val="single" w:sz="6" w:space="0" w:color="000000"/>
            </w:tcBorders>
            <w:shd w:fill="D8D8D8"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tcBorders>
            <w:shd w:fill="D8D8D8"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Incentive</w:t>
              <w:br/>
              <w:t>Cash Payout</w:t>
            </w:r>
          </w:p>
        </w:tc>
        <w:tc>
          <w:tcPr>
            <w:tcW w:w="60" w:type="dxa"/>
            <w:tcBorders>
              <w:top w:val="single" w:sz="6" w:space="0" w:color="000000"/>
              <w:right w:val="single" w:sz="6" w:space="0" w:color="000000"/>
            </w:tcBorders>
            <w:shd w:fill="D8D8D8" w:val="clear"/>
            <w:tcMar>
              <w:top w:w="28" w:type="dxa"/>
              <w:right w:w="28" w:type="dxa"/>
            </w:tcMar>
            <w:vAlign w:val="center"/>
          </w:tcPr>
          <w:p>
            <w:pPr>
              <w:pStyle w:val="TableContents"/>
              <w:bidi w:val="0"/>
              <w:spacing w:before="0" w:after="283"/>
              <w:jc w:val="left"/>
              <w:rPr/>
            </w:pPr>
            <w:r>
              <w:rPr/>
              <w:t> </w:t>
            </w:r>
          </w:p>
        </w:tc>
        <w:tc>
          <w:tcPr>
            <w:tcW w:w="120" w:type="dxa"/>
            <w:tcBorders>
              <w:top w:val="single" w:sz="6" w:space="0" w:color="000000"/>
            </w:tcBorders>
            <w:shd w:fill="D8D8D8" w:val="clear"/>
            <w:tcMar>
              <w:top w:w="28" w:type="dxa"/>
            </w:tcMar>
            <w:vAlign w:val="center"/>
          </w:tcPr>
          <w:p>
            <w:pPr>
              <w:pStyle w:val="TableContents"/>
              <w:bidi w:val="0"/>
              <w:spacing w:before="0" w:after="283"/>
              <w:jc w:val="left"/>
              <w:rPr/>
            </w:pPr>
            <w:r>
              <w:rPr/>
              <w:t>  </w:t>
            </w:r>
          </w:p>
        </w:tc>
        <w:tc>
          <w:tcPr>
            <w:tcW w:w="1820" w:type="dxa"/>
            <w:gridSpan w:val="2"/>
            <w:tcBorders>
              <w:top w:val="single" w:sz="6" w:space="0" w:color="000000"/>
            </w:tcBorders>
            <w:shd w:fill="D8D8D8"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Shares Subject to Bonus-</w:t>
              <w:br/>
              <w:t>to-Option Award</w:t>
            </w:r>
          </w:p>
        </w:tc>
        <w:tc>
          <w:tcPr>
            <w:tcW w:w="75" w:type="dxa"/>
            <w:tcBorders>
              <w:top w:val="single" w:sz="6" w:space="0" w:color="000000"/>
              <w:right w:val="single" w:sz="6" w:space="0" w:color="000000"/>
            </w:tcBorders>
            <w:shd w:fill="D8D8D8" w:val="clear"/>
            <w:tcMar>
              <w:top w:w="28" w:type="dxa"/>
              <w:right w:w="40" w:type="dxa"/>
            </w:tcMar>
            <w:vAlign w:val="center"/>
          </w:tcPr>
          <w:p>
            <w:pPr>
              <w:pStyle w:val="TableContents"/>
              <w:bidi w:val="0"/>
              <w:spacing w:before="0" w:after="283"/>
              <w:jc w:val="left"/>
              <w:rPr/>
            </w:pPr>
            <w:r>
              <w:rPr/>
              <w:t> </w:t>
            </w:r>
          </w:p>
        </w:tc>
      </w:tr>
      <w:tr>
        <w:trPr/>
        <w:tc>
          <w:tcPr>
            <w:tcW w:w="1460"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Scott Hutton</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6"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804"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223,604</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8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54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425,929</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460"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Robin Harper Cowie</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6"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804"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115,597</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8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54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73,398</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460"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Kieran O’Kane</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80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137,522</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8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5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87,319</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360" w:after="0"/>
        <w:jc w:val="left"/>
        <w:rPr>
          <w:rFonts w:ascii="Times New Roman" w:hAnsi="Times New Roman"/>
          <w:b/>
          <w:color w:val="305494"/>
          <w:spacing w:val="0"/>
          <w:sz w:val="20"/>
        </w:rPr>
      </w:pPr>
      <w:r>
        <w:rPr>
          <w:rFonts w:ascii="Times New Roman" w:hAnsi="Times New Roman"/>
          <w:b/>
          <w:color w:val="305494"/>
          <w:spacing w:val="0"/>
          <w:sz w:val="20"/>
        </w:rPr>
        <w:t xml:space="preserve">Equity Awards </w:t>
      </w:r>
    </w:p>
    <w:p>
      <w:pPr>
        <w:pStyle w:val="TextBody"/>
        <w:bidi w:val="0"/>
        <w:spacing w:before="240" w:after="0"/>
        <w:jc w:val="left"/>
        <w:rPr>
          <w:rFonts w:ascii="Times New Roman" w:hAnsi="Times New Roman"/>
          <w:sz w:val="20"/>
        </w:rPr>
      </w:pPr>
      <w:r>
        <w:rPr>
          <w:rFonts w:ascii="Times New Roman" w:hAnsi="Times New Roman"/>
          <w:sz w:val="20"/>
        </w:rPr>
        <w:t xml:space="preserve">In the year ended December 31, 2024, the compensation committee awarded Mr. Hutton, Ms. Harper Cowie and Mr. O’Kane, 210,625 RSUs, 64,381 RSUs and 64,381 RSUs, respectively, which vest ratably on an annual basis for four years from the vesting commencement date, subject to continued service through the applicable vesting date. In addition, the compensation committee awarded Mr. Hutton, Ms. Harper Cowie and Mr. O’Kane, stock options in respect of 421,250, 128,761 and 128,761 shares of our Common Stock, respectively, which vest ratably on a monthly basis for four years from the vesting commencement date, subject to continued service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For 2025, the compensation committee has determined to continue to award a blend of stock options and RSUs to each of our named executive officers.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28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2024 Summary Compensation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information regarding the compensation of our named executive officers for services performed during the years ended December 31, 2024 and 2023. </w:t>
      </w:r>
    </w:p>
    <w:p>
      <w:pPr>
        <w:pStyle w:val="TextBody"/>
        <w:bidi w:val="0"/>
        <w:spacing w:before="0" w:after="0"/>
        <w:jc w:val="left"/>
        <w:rPr/>
      </w:pPr>
      <w:r>
        <w:rPr/>
        <w:t> </w:t>
      </w:r>
    </w:p>
    <w:tbl>
      <w:tblPr>
        <w:tblW w:w="10360" w:type="dxa"/>
        <w:jc w:val="left"/>
        <w:tblInd w:w="0" w:type="dxa"/>
        <w:tblLayout w:type="fixed"/>
        <w:tblCellMar>
          <w:top w:w="0" w:type="dxa"/>
          <w:left w:w="0" w:type="dxa"/>
          <w:bottom w:w="0" w:type="dxa"/>
          <w:right w:w="0" w:type="dxa"/>
        </w:tblCellMar>
      </w:tblPr>
      <w:tblGrid>
        <w:gridCol w:w="2120"/>
        <w:gridCol w:w="60"/>
        <w:gridCol w:w="64"/>
        <w:gridCol w:w="541"/>
        <w:gridCol w:w="60"/>
        <w:gridCol w:w="60"/>
        <w:gridCol w:w="60"/>
        <w:gridCol w:w="800"/>
        <w:gridCol w:w="60"/>
        <w:gridCol w:w="60"/>
        <w:gridCol w:w="60"/>
        <w:gridCol w:w="980"/>
        <w:gridCol w:w="60"/>
        <w:gridCol w:w="60"/>
        <w:gridCol w:w="60"/>
        <w:gridCol w:w="800"/>
        <w:gridCol w:w="60"/>
        <w:gridCol w:w="60"/>
        <w:gridCol w:w="103"/>
        <w:gridCol w:w="1387"/>
        <w:gridCol w:w="60"/>
        <w:gridCol w:w="60"/>
        <w:gridCol w:w="144"/>
        <w:gridCol w:w="1346"/>
        <w:gridCol w:w="60"/>
        <w:gridCol w:w="60"/>
        <w:gridCol w:w="60"/>
        <w:gridCol w:w="980"/>
        <w:gridCol w:w="7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b/>
                <w:spacing w:val="0"/>
              </w:rPr>
            </w:pPr>
            <w:r>
              <w:rPr>
                <w:b/>
                <w:spacing w:val="0"/>
              </w:rPr>
              <w:t>Name and Principal Position</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0"/>
              <w:jc w:val="center"/>
              <w:rPr>
                <w:b/>
                <w:spacing w:val="0"/>
              </w:rPr>
            </w:pPr>
            <w:r>
              <w:rPr>
                <w:b/>
                <w:spacing w:val="0"/>
              </w:rPr>
              <w:t>Fiscal</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Salary</w:t>
              <w:br/>
              <w:t>($)</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Stock</w:t>
              <w:br/>
              <w:t>Awards</w:t>
              <w:br/>
              <w:t>($)</w:t>
            </w:r>
          </w:p>
          <w:p>
            <w:pPr>
              <w:pStyle w:val="TableContents"/>
              <w:bidi w:val="0"/>
              <w:spacing w:before="0" w:after="0"/>
              <w:jc w:val="center"/>
              <w:rPr>
                <w:b/>
                <w:spacing w:val="0"/>
                <w:sz w:val="9"/>
              </w:rPr>
            </w:pPr>
            <w:r>
              <w:rPr>
                <w:b/>
                <w:spacing w:val="0"/>
                <w:sz w:val="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Option</w:t>
              <w:br/>
              <w:t>Awards</w:t>
              <w:br/>
              <w:t>($)</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spacing w:val="0"/>
              </w:rPr>
            </w:pPr>
            <w:r>
              <w:rPr>
                <w:b/>
                <w:spacing w:val="0"/>
              </w:rPr>
              <w:t>Non-Equity</w:t>
              <w:br/>
              <w:t>Incentive Plan</w:t>
              <w:br/>
              <w:t>Compensation</w:t>
              <w:br/>
              <w:t>($)</w:t>
            </w:r>
          </w:p>
          <w:p>
            <w:pPr>
              <w:pStyle w:val="TableContents"/>
              <w:bidi w:val="0"/>
              <w:spacing w:before="0" w:after="0"/>
              <w:jc w:val="center"/>
              <w:rPr>
                <w:b/>
                <w:spacing w:val="0"/>
                <w:sz w:val="9"/>
              </w:rPr>
            </w:pPr>
            <w:r>
              <w:rPr>
                <w:b/>
                <w:spacing w:val="0"/>
                <w:sz w:val="9"/>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spacing w:val="0"/>
              </w:rPr>
            </w:pPr>
            <w:r>
              <w:rPr>
                <w:b/>
                <w:spacing w:val="0"/>
              </w:rPr>
              <w:t>All Other</w:t>
              <w:br/>
              <w:t>Compensation</w:t>
              <w:br/>
              <w:t>($)</w:t>
            </w:r>
          </w:p>
          <w:p>
            <w:pPr>
              <w:pStyle w:val="TableContents"/>
              <w:bidi w:val="0"/>
              <w:spacing w:before="0" w:after="0"/>
              <w:jc w:val="center"/>
              <w:rPr>
                <w:b/>
                <w:spacing w:val="0"/>
                <w:sz w:val="9"/>
              </w:rPr>
            </w:pPr>
            <w:r>
              <w:rPr>
                <w:b/>
                <w:spacing w:val="0"/>
                <w:sz w:val="9"/>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Total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54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38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34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Hutton</w:t>
            </w:r>
          </w:p>
          <w:p>
            <w:pPr>
              <w:pStyle w:val="TableContents"/>
              <w:bidi w:val="0"/>
              <w:spacing w:before="0" w:after="20"/>
              <w:jc w:val="left"/>
              <w:rPr>
                <w:rFonts w:ascii="Times New Roman" w:hAnsi="Times New Roman"/>
                <w:sz w:val="20"/>
              </w:rPr>
            </w:pPr>
            <w:r>
              <w:rPr>
                <w:rFonts w:ascii="Times New Roman" w:hAnsi="Times New Roman"/>
                <w:sz w:val="20"/>
              </w:rPr>
              <w:t>President and Chief Executive Officer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588,858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419,144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852,017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0"/>
              <w:jc w:val="center"/>
              <w:rPr/>
            </w:pPr>
            <w:r>
              <w:rPr/>
              <w:t>223,604</w:t>
            </w:r>
          </w:p>
          <w:p>
            <w:pPr>
              <w:pStyle w:val="TableContents"/>
              <w:bidi w:val="0"/>
              <w:spacing w:before="0" w:after="0"/>
              <w:jc w:val="center"/>
              <w:rPr>
                <w:sz w:val="12"/>
              </w:rPr>
            </w:pPr>
            <w:r>
              <w:rPr>
                <w:sz w:val="12"/>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center"/>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2,084,873</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515,000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1,442,001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233,622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0"/>
              <w:jc w:val="center"/>
              <w:rPr/>
            </w:pPr>
            <w:r>
              <w:rPr/>
              <w:t>98,058</w:t>
            </w:r>
          </w:p>
          <w:p>
            <w:pPr>
              <w:pStyle w:val="TableContents"/>
              <w:bidi w:val="0"/>
              <w:spacing w:before="0" w:after="0"/>
              <w:jc w:val="center"/>
              <w:rPr>
                <w:sz w:val="12"/>
              </w:rPr>
            </w:pPr>
            <w:r>
              <w:rPr>
                <w:sz w:val="12"/>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center"/>
              <w:rPr/>
            </w:pPr>
            <w:r>
              <w:rPr/>
              <w:t>1,865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2,290,546</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Robin Harper Cowie</w:t>
            </w:r>
          </w:p>
          <w:p>
            <w:pPr>
              <w:pStyle w:val="TableContents"/>
              <w:bidi w:val="0"/>
              <w:spacing w:before="0" w:after="20"/>
              <w:jc w:val="left"/>
              <w:rPr>
                <w:rFonts w:ascii="Times New Roman" w:hAnsi="Times New Roman"/>
                <w:sz w:val="20"/>
              </w:rPr>
            </w:pPr>
            <w:r>
              <w:rPr>
                <w:rFonts w:ascii="Times New Roman" w:hAnsi="Times New Roman"/>
                <w:sz w:val="20"/>
              </w:rPr>
              <w:t>Chief Financial Officer, Secretary and Treasurer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405,881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128,118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224,690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0"/>
              <w:jc w:val="center"/>
              <w:rPr/>
            </w:pPr>
            <w:r>
              <w:rPr/>
              <w:t>115,597</w:t>
            </w:r>
          </w:p>
          <w:p>
            <w:pPr>
              <w:pStyle w:val="TableContents"/>
              <w:bidi w:val="0"/>
              <w:spacing w:before="0" w:after="0"/>
              <w:jc w:val="center"/>
              <w:rPr>
                <w:sz w:val="12"/>
              </w:rPr>
            </w:pPr>
            <w:r>
              <w:rPr>
                <w:sz w:val="12"/>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center"/>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875,536</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355,000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372,751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81,319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0"/>
              <w:jc w:val="center"/>
              <w:rPr/>
            </w:pPr>
            <w:r>
              <w:rPr/>
              <w:t>33,797</w:t>
            </w:r>
          </w:p>
          <w:p>
            <w:pPr>
              <w:pStyle w:val="TableContents"/>
              <w:bidi w:val="0"/>
              <w:spacing w:before="0" w:after="0"/>
              <w:jc w:val="center"/>
              <w:rPr>
                <w:sz w:val="12"/>
              </w:rPr>
            </w:pPr>
            <w:r>
              <w:rPr>
                <w:sz w:val="12"/>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center"/>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844,367</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Kieran O’Kane</w:t>
            </w:r>
          </w:p>
          <w:p>
            <w:pPr>
              <w:pStyle w:val="TableContents"/>
              <w:bidi w:val="0"/>
              <w:spacing w:before="0" w:after="20"/>
              <w:jc w:val="left"/>
              <w:rPr>
                <w:rFonts w:ascii="Times New Roman" w:hAnsi="Times New Roman"/>
                <w:sz w:val="20"/>
              </w:rPr>
            </w:pPr>
            <w:r>
              <w:rPr>
                <w:rFonts w:ascii="Times New Roman" w:hAnsi="Times New Roman"/>
                <w:sz w:val="20"/>
              </w:rPr>
              <w:t>Chief Commercial Officer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401,554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128,118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233,451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0"/>
              <w:jc w:val="center"/>
              <w:rPr/>
            </w:pPr>
            <w:r>
              <w:rPr/>
              <w:t>137,522</w:t>
            </w:r>
          </w:p>
          <w:p>
            <w:pPr>
              <w:pStyle w:val="TableContents"/>
              <w:bidi w:val="0"/>
              <w:spacing w:before="0" w:after="0"/>
              <w:jc w:val="center"/>
              <w:rPr>
                <w:sz w:val="12"/>
              </w:rPr>
            </w:pPr>
            <w:r>
              <w:rPr>
                <w:sz w:val="12"/>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900,645</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234,499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45,555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0"/>
              <w:jc w:val="center"/>
              <w:rPr/>
            </w:pPr>
            <w:r>
              <w:rPr/>
              <w:t>57,407</w:t>
            </w:r>
          </w:p>
          <w:p>
            <w:pPr>
              <w:pStyle w:val="TableContents"/>
              <w:bidi w:val="0"/>
              <w:spacing w:before="0" w:after="0"/>
              <w:jc w:val="center"/>
              <w:rPr>
                <w:sz w:val="12"/>
              </w:rPr>
            </w:pPr>
            <w:r>
              <w:rPr>
                <w:sz w:val="12"/>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center"/>
              <w:rPr/>
            </w:pPr>
            <w:r>
              <w:rPr/>
              <w:t>205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672,666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strike w:val="false"/>
          <w:dstrike w:val="false"/>
          <w:spacing w:val="0"/>
          <w:u w:val="none"/>
          <w:effect w:val="none"/>
        </w:rPr>
      </w:pPr>
      <w:r>
        <w:rPr>
          <w:strike w:val="false"/>
          <w:dstrike w:val="false"/>
          <w:spacing w:val="0"/>
          <w:u w:val="none"/>
          <w:effect w:val="none"/>
        </w:rPr>
        <w:t xml:space="preserve">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(1)</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dollar value of base salary earned by the named executive officer as of December 31 of each applicable fiscal year.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2024 Annual Report on Form 10-K Item 8. “Financial Statements and Supplementary Data” for the year ended December 31, 2024. These amounts do not correspond to the actual value that may be realized by the named executive officers upon vesting or exercise of the applicable awards. </w:t>
            </w:r>
          </w:p>
        </w:tc>
      </w:tr>
    </w:tbl>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option awards, including an estimate of the grant date fair value of bonus-to-options awards, as calculated in accordance with FASB ASC Topic 718 as well as the incremental fair value of certain new stock options granted to each of the named executive officers on July 24, 2023 as a result of the shareholder approved stock option exchange program by which Mr. Hutton, Ms. Harper Cowie and Mr. O’Kane tendered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 The assumptions used in calculating the grant date fair value of the awards disclosed in this column are set forth in Note 12 of our audited financial statements included in the 2024 Annual Report on Form 10-K Item 8. “Financial Statements and Supplementary Data” for the year ended December 31, 2024. For the bonus-to-options awards, the estimated grant date fair value was used to correspond to the treatment of such expense under U.S. GAAP in the 2024 Annual Report on Form 10-K, as the service inception period precedes the grant date. These amounts do not correspond to the actual value that may be realized by the named executive officers upon vesting or exercise of the applicable awards. </w:t>
            </w:r>
          </w:p>
        </w:tc>
      </w:tr>
    </w:tbl>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(4)</w:t>
            </w:r>
          </w:p>
        </w:tc>
        <w:tc>
          <w:tcPr>
            <w:tcW w:w="9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our 2023 and 2024 performance measured against the Company’s achievement of three financial objectives, (i) total revenue determined in accordance with U.S. GAAP, (ii) lung diagnostic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29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gross margin percentage, and (iii) total operating expense (excluding certain non-cash expenses), our compensation committee determined, and our board of directors approved, payouts under the 2023 and 2024 annual cash bonus program at a 38.1% and 75.4% achievement level, respectively. The Non-Equity Incentive Plan Compensation listed for each named executive officer represents the annual cash bonus award for the 2023 and 2024 fiscal years after taking into consideration the election of each individual to participate in the bonus-to-options program. </w:t>
            </w:r>
          </w:p>
        </w:tc>
      </w:tr>
    </w:tbl>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(5)</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75.4% achievement level, Mr. Hutton was entitled to a payout under the 2024 annual cash bonus program of $447,207. However, Mr. Hutton elected to receive a portion of his 2024 annual cash bonus in the form of an option award under the bonus-to-options program. In accordance with Mr. Hutton’s election and the terms of the bonus-to-options program, Mr. Hutton received a cash payment of $223,604 in respect of his 2024 annual cash bonus, as reflected in this column, and in place of the remaining amount, received an option award representing the right to purchase 425,929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Hutton was entitled to a payout under the 2023 annual cash bonus program of $196,116. However, Mr. Hutton elected to receive a portion of his 2023 annual cash bonus in 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(8)</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75.4% achievement level, Ms. Harper Cowie was entitled to a payout under the 2024 annual cash bonus program of $154,129. However, Ms. Harper Cowie elected to receive a portion of her 2024 annual cash bonus in the form of an option award under the bonus-to-options program. In accordance with Ms. Harper Cowie’s election and the terms of the bonus-to-options program, Ms. Harper Cowie received a cash payment of $115,597 in respect of her 2024 annual cash bonus, as reflected in this column, and in place of the remaining amount, received an option award representing the right to purchase 73,398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(9)</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Ms. Harper Cowie was entitled to a payout under the 2023 annual cash bonus program of $67,593. However, Ms.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75.4% achievement level, Mr. O’Kane was entitled to a payout under the 2024 annual cash bonus program of $183,363. However, Mr. O’Kane elected to receive a portion of his 2024 annual cash bonus in the form of an option award under the bonus-to-options program. In accordance with Mr. O’Kane’s election and the terms of the bonus-to-options program, Mr. O’Kane received a cash payment of $137,522 in respect of his 2024 annual cash bonus, as reflected in this column, and in place of the remaining amount, received an option award representing the right to purchase 87,319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(11)</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O’Kane was entitled to a payout under the 2023 annual cash bonus program of $76,542. However, 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Outstanding Equity Awards at Fiscal 2024 Year-End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the outstanding equity awards held by each of the named executive officers as of December 31, 2024. As of the year ended December 31, 2024, none of the named executive officers held any outstanding stock awards other than options and RSUs. </w:t>
      </w:r>
    </w:p>
    <w:p>
      <w:pPr>
        <w:pStyle w:val="TextBody"/>
        <w:bidi w:val="0"/>
        <w:spacing w:before="0" w:after="0"/>
        <w:jc w:val="left"/>
        <w:rPr/>
      </w:pPr>
      <w:r>
        <w:rPr/>
        <w:t> </w:t>
      </w:r>
    </w:p>
    <w:tbl>
      <w:tblPr>
        <w:tblW w:w="12645" w:type="dxa"/>
        <w:jc w:val="left"/>
        <w:tblInd w:w="0" w:type="dxa"/>
        <w:tblLayout w:type="fixed"/>
        <w:tblCellMar>
          <w:top w:w="0" w:type="dxa"/>
          <w:left w:w="0" w:type="dxa"/>
          <w:bottom w:w="0" w:type="dxa"/>
          <w:right w:w="0" w:type="dxa"/>
        </w:tblCellMar>
      </w:tblPr>
      <w:tblGrid>
        <w:gridCol w:w="1460"/>
        <w:gridCol w:w="60"/>
        <w:gridCol w:w="635"/>
        <w:gridCol w:w="60"/>
        <w:gridCol w:w="1520"/>
        <w:gridCol w:w="60"/>
        <w:gridCol w:w="1775"/>
        <w:gridCol w:w="60"/>
        <w:gridCol w:w="1595"/>
        <w:gridCol w:w="60"/>
        <w:gridCol w:w="875"/>
        <w:gridCol w:w="60"/>
        <w:gridCol w:w="1115"/>
        <w:gridCol w:w="60"/>
        <w:gridCol w:w="1730"/>
        <w:gridCol w:w="60"/>
        <w:gridCol w:w="1460"/>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b/>
                <w:spacing w:val="0"/>
              </w:rPr>
            </w:pPr>
            <w:r>
              <w:rPr>
                <w:b/>
                <w:spacing w:val="0"/>
              </w:rPr>
              <w:t>Option Awards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b/>
                <w:spacing w:val="0"/>
              </w:rPr>
            </w:pPr>
            <w:r>
              <w:rPr>
                <w:b/>
                <w:spacing w:val="0"/>
              </w:rPr>
              <w:t>Stock Awards</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bdr w:val="single" w:sz="2" w:space="1" w:color="000000"/>
              </w:rPr>
            </w:pPr>
            <w:r>
              <w:rPr>
                <w:bdr w:val="single" w:sz="2" w:space="1" w:color="000000"/>
              </w:rPr>
              <w:t> </w:t>
            </w:r>
          </w:p>
        </w:tc>
      </w:tr>
      <w:tr>
        <w:trPr/>
        <w:tc>
          <w:tcPr>
            <w:tcW w:w="1460" w:type="dxa"/>
            <w:tcBorders/>
            <w:vAlign w:val="center"/>
          </w:tcPr>
          <w:p>
            <w:pPr>
              <w:pStyle w:val="TableContents"/>
              <w:bidi w:val="0"/>
              <w:spacing w:before="0" w:after="0"/>
              <w:jc w:val="left"/>
              <w:rPr>
                <w:rFonts w:ascii="Times New Roman" w:hAnsi="Times New Roman"/>
                <w:b/>
                <w:sz w:val="15"/>
                <w:bdr w:val="single" w:sz="8" w:space="1" w:color="000000"/>
              </w:rPr>
            </w:pPr>
            <w:r>
              <w:rPr>
                <w:rFonts w:ascii="Times New Roman" w:hAnsi="Times New Roman"/>
                <w:b/>
                <w:sz w:val="15"/>
                <w:bdr w:val="single" w:sz="8" w:space="1" w:color="000000"/>
              </w:rPr>
              <w:t>Name</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w:t>
            </w:r>
          </w:p>
        </w:tc>
        <w:tc>
          <w:tcPr>
            <w:tcW w:w="60"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w:t>
              <w:br/>
              <w:t>Unexercised</w:t>
              <w:br/>
              <w:t>Options</w:t>
              <w:br/>
              <w:t>(#) Exercisable</w:t>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w:t>
              <w:br/>
              <w:t>Unexercised</w:t>
              <w:br/>
              <w:t>Options</w:t>
              <w:br/>
              <w:t>(#) Unexercisable</w:t>
            </w:r>
          </w:p>
        </w:tc>
        <w:tc>
          <w:tcPr>
            <w:tcW w:w="60"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w:t>
              <w:br/>
              <w:t>Incentive</w:t>
            </w:r>
          </w:p>
          <w:p>
            <w:pPr>
              <w:pStyle w:val="TableContents"/>
              <w:bidi w:val="0"/>
              <w:spacing w:before="0" w:after="0"/>
              <w:jc w:val="center"/>
              <w:rPr/>
            </w:pPr>
            <w:r>
              <w:rPr/>
            </w:r>
          </w:p>
          <w:p>
            <w:pPr>
              <w:pStyle w:val="TableContents"/>
              <w:bidi w:val="0"/>
              <w:spacing w:before="0" w:after="0"/>
              <w:jc w:val="center"/>
              <w:rPr>
                <w:b/>
                <w:spacing w:val="0"/>
              </w:rPr>
            </w:pPr>
            <w:r>
              <w:rPr>
                <w:b/>
                <w:spacing w:val="0"/>
              </w:rPr>
              <w:t>Plan</w:t>
              <w:br/>
              <w:t>Awards:</w:t>
              <w:br/>
              <w:t>Number of</w:t>
              <w:br/>
              <w:t>Securities</w:t>
              <w:br/>
              <w:t>Underlying</w:t>
            </w:r>
          </w:p>
          <w:p>
            <w:pPr>
              <w:pStyle w:val="TableContents"/>
              <w:bidi w:val="0"/>
              <w:spacing w:before="0" w:after="0"/>
              <w:jc w:val="center"/>
              <w:rPr/>
            </w:pPr>
            <w:r>
              <w:rPr/>
            </w:r>
          </w:p>
          <w:p>
            <w:pPr>
              <w:pStyle w:val="TableContents"/>
              <w:bidi w:val="0"/>
              <w:spacing w:before="0" w:after="0"/>
              <w:jc w:val="center"/>
              <w:rPr>
                <w:b/>
                <w:spacing w:val="0"/>
              </w:rPr>
            </w:pPr>
            <w:r>
              <w:rPr>
                <w:b/>
                <w:spacing w:val="0"/>
              </w:rPr>
              <w:t>Unexercised</w:t>
            </w:r>
          </w:p>
          <w:p>
            <w:pPr>
              <w:pStyle w:val="TableContents"/>
              <w:bidi w:val="0"/>
              <w:spacing w:before="0" w:after="0"/>
              <w:jc w:val="center"/>
              <w:rPr/>
            </w:pPr>
            <w:r>
              <w:rPr/>
            </w:r>
          </w:p>
          <w:p>
            <w:pPr>
              <w:pStyle w:val="TableContents"/>
              <w:bidi w:val="0"/>
              <w:spacing w:before="0" w:after="0"/>
              <w:jc w:val="center"/>
              <w:rPr>
                <w:b/>
                <w:spacing w:val="0"/>
              </w:rPr>
            </w:pPr>
            <w:r>
              <w:rPr>
                <w:b/>
                <w:spacing w:val="0"/>
              </w:rPr>
              <w:t>Unearned</w:t>
              <w:br/>
              <w:t>Options (#)</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Exercise</w:t>
              <w:br/>
              <w:t>Price</w:t>
              <w:br/>
              <w:t>($)</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Expiration</w:t>
              <w:br/>
              <w:t>Date</w:t>
            </w:r>
          </w:p>
        </w:tc>
        <w:tc>
          <w:tcPr>
            <w:tcW w:w="6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Shares or Units</w:t>
              <w:br/>
              <w:t>of Stock That</w:t>
              <w:br/>
              <w:t>Have Not Vested</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Market Value</w:t>
              <w:br/>
              <w:t>of Shares or</w:t>
              <w:br/>
              <w:t>Units of Stock</w:t>
              <w:br/>
              <w:t>That Have</w:t>
              <w:br/>
              <w:t>Not Vested</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(7)</w:t>
            </w:r>
          </w:p>
        </w:tc>
      </w:tr>
      <w:tr>
        <w:trPr/>
        <w:tc>
          <w:tcPr>
            <w:tcW w:w="14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Scott Hutton</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4/4/2018</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84,231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0.42</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4/3/2028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3/22/2019</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42,115</w:t>
            </w:r>
          </w:p>
          <w:p>
            <w:pPr>
              <w:pStyle w:val="TableContents"/>
              <w:bidi w:val="0"/>
              <w:spacing w:before="0" w:after="0"/>
              <w:jc w:val="center"/>
              <w:rPr>
                <w:sz w:val="9"/>
              </w:rPr>
            </w:pPr>
            <w:r>
              <w:rPr>
                <w:sz w:val="9"/>
              </w:rPr>
              <w:t>(2)</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12/31/2028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3/22/2019</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16,846</w:t>
            </w:r>
          </w:p>
          <w:p>
            <w:pPr>
              <w:pStyle w:val="TableContents"/>
              <w:bidi w:val="0"/>
              <w:spacing w:before="0" w:after="0"/>
              <w:jc w:val="center"/>
              <w:rPr>
                <w:sz w:val="9"/>
              </w:rPr>
            </w:pPr>
            <w:r>
              <w:rPr>
                <w:sz w:val="9"/>
              </w:rPr>
              <w:t>(4)</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12/31/2028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4/15/2020</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149,091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2,526</w:t>
            </w:r>
          </w:p>
          <w:p>
            <w:pPr>
              <w:pStyle w:val="TableContents"/>
              <w:bidi w:val="0"/>
              <w:spacing w:before="0" w:after="0"/>
              <w:jc w:val="center"/>
              <w:rPr>
                <w:sz w:val="9"/>
              </w:rPr>
            </w:pPr>
            <w:r>
              <w:rPr>
                <w:sz w:val="9"/>
              </w:rPr>
              <w:t>(1)</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4/14/2030</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61,060</w:t>
            </w:r>
          </w:p>
          <w:p>
            <w:pPr>
              <w:pStyle w:val="TableContents"/>
              <w:bidi w:val="0"/>
              <w:spacing w:before="0" w:after="0"/>
              <w:jc w:val="center"/>
              <w:rPr>
                <w:sz w:val="9"/>
              </w:rPr>
            </w:pPr>
            <w:r>
              <w:rPr>
                <w:sz w:val="9"/>
              </w:rPr>
              <w:t>(6)</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93,422</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3/10/2022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85,875</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2.29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3/9/2032</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563,281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861,820</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3/1/2023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435,668</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2.00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2/28/2033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48,733</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4,345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22,615</w:t>
            </w:r>
          </w:p>
          <w:p>
            <w:pPr>
              <w:pStyle w:val="TableContents"/>
              <w:bidi w:val="0"/>
              <w:spacing w:before="0" w:after="0"/>
              <w:jc w:val="center"/>
              <w:rPr>
                <w:sz w:val="9"/>
              </w:rPr>
            </w:pPr>
            <w:r>
              <w:rPr>
                <w:sz w:val="9"/>
              </w:rPr>
              <w:t>(8)</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2/8/2024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96,536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324,714</w:t>
            </w:r>
          </w:p>
          <w:p>
            <w:pPr>
              <w:pStyle w:val="TableContents"/>
              <w:bidi w:val="0"/>
              <w:spacing w:before="0" w:after="0"/>
              <w:jc w:val="center"/>
              <w:rPr>
                <w:sz w:val="9"/>
              </w:rPr>
            </w:pPr>
            <w:r>
              <w:rPr>
                <w:sz w:val="9"/>
              </w:rPr>
              <w:t>(9)</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1.99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2/7/2034</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2/8/2024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210,625</w:t>
            </w:r>
          </w:p>
          <w:p>
            <w:pPr>
              <w:pStyle w:val="TableContents"/>
              <w:bidi w:val="0"/>
              <w:spacing w:before="0" w:after="0"/>
              <w:jc w:val="center"/>
              <w:rPr>
                <w:sz w:val="9"/>
              </w:rPr>
            </w:pPr>
            <w:r>
              <w:rPr>
                <w:sz w:val="9"/>
              </w:rPr>
              <w:t>(3)</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322,256</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2/21/2024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180,926</w:t>
            </w:r>
          </w:p>
          <w:p>
            <w:pPr>
              <w:pStyle w:val="TableContents"/>
              <w:bidi w:val="0"/>
              <w:spacing w:before="0" w:after="0"/>
              <w:jc w:val="center"/>
              <w:rPr>
                <w:sz w:val="9"/>
              </w:rPr>
            </w:pPr>
            <w:r>
              <w:rPr>
                <w:sz w:val="9"/>
              </w:rPr>
              <w:t>(5)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1.46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2/20/2034</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Robin Harper Cowie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4/8/2015</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6,738</w:t>
            </w:r>
          </w:p>
          <w:p>
            <w:pPr>
              <w:pStyle w:val="TableContents"/>
              <w:bidi w:val="0"/>
              <w:spacing w:before="0" w:after="0"/>
              <w:jc w:val="center"/>
              <w:rPr>
                <w:sz w:val="9"/>
              </w:rPr>
            </w:pPr>
            <w:r>
              <w:rPr>
                <w:sz w:val="9"/>
              </w:rPr>
              <w:t>(1)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4.40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4/7/2025</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4/7/2016</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35,377</w:t>
            </w:r>
          </w:p>
          <w:p>
            <w:pPr>
              <w:pStyle w:val="TableContents"/>
              <w:bidi w:val="0"/>
              <w:spacing w:before="0" w:after="0"/>
              <w:jc w:val="center"/>
              <w:rPr>
                <w:sz w:val="9"/>
              </w:rPr>
            </w:pPr>
            <w:r>
              <w:rPr>
                <w:sz w:val="9"/>
              </w:rPr>
              <w:t>(1)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0.84</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4/6/2026</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3/22/2019</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35,377</w:t>
            </w:r>
          </w:p>
          <w:p>
            <w:pPr>
              <w:pStyle w:val="TableContents"/>
              <w:bidi w:val="0"/>
              <w:spacing w:before="0" w:after="0"/>
              <w:jc w:val="center"/>
              <w:rPr>
                <w:sz w:val="9"/>
              </w:rPr>
            </w:pPr>
            <w:r>
              <w:rPr>
                <w:sz w:val="9"/>
              </w:rPr>
              <w:t>(2)</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0.77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12/31/2028</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3/22/2019</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11,792</w:t>
            </w:r>
          </w:p>
          <w:p>
            <w:pPr>
              <w:pStyle w:val="TableContents"/>
              <w:bidi w:val="0"/>
              <w:spacing w:before="0" w:after="0"/>
              <w:jc w:val="center"/>
              <w:rPr>
                <w:sz w:val="9"/>
              </w:rPr>
            </w:pPr>
            <w:r>
              <w:rPr>
                <w:sz w:val="9"/>
              </w:rPr>
              <w:t>(4)</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0.77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12/31/2028</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4/15/2020</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29,818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505</w:t>
            </w:r>
          </w:p>
          <w:p>
            <w:pPr>
              <w:pStyle w:val="TableContents"/>
              <w:bidi w:val="0"/>
              <w:spacing w:before="0" w:after="0"/>
              <w:jc w:val="center"/>
              <w:rPr>
                <w:sz w:val="9"/>
              </w:rPr>
            </w:pPr>
            <w:r>
              <w:rPr>
                <w:sz w:val="9"/>
              </w:rPr>
              <w:t>(1)</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0.77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4/14/2030</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2/8/2022</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15,784</w:t>
            </w:r>
          </w:p>
          <w:p>
            <w:pPr>
              <w:pStyle w:val="TableContents"/>
              <w:bidi w:val="0"/>
              <w:spacing w:before="0" w:after="0"/>
              <w:jc w:val="center"/>
              <w:rPr>
                <w:sz w:val="9"/>
              </w:rPr>
            </w:pPr>
            <w:r>
              <w:rPr>
                <w:sz w:val="9"/>
              </w:rPr>
              <w:t>(6)</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24,150</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3/10/2022</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27,758</w:t>
            </w:r>
          </w:p>
          <w:p>
            <w:pPr>
              <w:pStyle w:val="TableContents"/>
              <w:bidi w:val="0"/>
              <w:spacing w:before="0" w:after="0"/>
              <w:jc w:val="center"/>
              <w:rPr>
                <w:sz w:val="9"/>
              </w:rPr>
            </w:pPr>
            <w:r>
              <w:rPr>
                <w:sz w:val="9"/>
              </w:rPr>
              <w:t>(5)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2.29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3/9/2032</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2/8/2023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145,606</w:t>
            </w:r>
          </w:p>
          <w:p>
            <w:pPr>
              <w:pStyle w:val="TableContents"/>
              <w:bidi w:val="0"/>
              <w:spacing w:before="0" w:after="0"/>
              <w:jc w:val="center"/>
              <w:rPr>
                <w:sz w:val="9"/>
              </w:rPr>
            </w:pPr>
            <w:r>
              <w:rPr>
                <w:sz w:val="9"/>
              </w:rPr>
              <w:t>(3)</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222,777</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3/1/2023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148,448</w:t>
            </w:r>
          </w:p>
          <w:p>
            <w:pPr>
              <w:pStyle w:val="TableContents"/>
              <w:bidi w:val="0"/>
              <w:spacing w:before="0" w:after="0"/>
              <w:jc w:val="center"/>
              <w:rPr>
                <w:sz w:val="9"/>
              </w:rPr>
            </w:pPr>
            <w:r>
              <w:rPr>
                <w:sz w:val="9"/>
              </w:rPr>
              <w:t>(5)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2.00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2/28/2033</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center"/>
              <w:rPr/>
            </w:pPr>
            <w:r>
              <w:rPr/>
              <w:t>7/24/2023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20,659</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pPr>
            <w:r>
              <w:rPr/>
              <w:t>1.20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center"/>
              <w:rPr/>
            </w:pPr>
            <w:r>
              <w:rPr/>
              <w:t>7/23/2033</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1,045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5,434</w:t>
            </w:r>
          </w:p>
          <w:p>
            <w:pPr>
              <w:pStyle w:val="TableContents"/>
              <w:bidi w:val="0"/>
              <w:spacing w:before="0" w:after="0"/>
              <w:jc w:val="center"/>
              <w:rPr>
                <w:sz w:val="9"/>
              </w:rPr>
            </w:pPr>
            <w:r>
              <w:rPr>
                <w:sz w:val="9"/>
              </w:rPr>
              <w:t>(8)</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29,508</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99,253</w:t>
            </w:r>
          </w:p>
          <w:p>
            <w:pPr>
              <w:pStyle w:val="TableContents"/>
              <w:bidi w:val="0"/>
              <w:spacing w:before="0" w:after="0"/>
              <w:jc w:val="center"/>
              <w:rPr>
                <w:sz w:val="9"/>
              </w:rPr>
            </w:pPr>
            <w:r>
              <w:rPr>
                <w:sz w:val="9"/>
              </w:rPr>
              <w:t>(9)</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1.99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2/7/2034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64,381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98,503</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2/21/2024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62,358</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1.46</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2/20/2034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Kieran O’Kane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4/4/2018</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12,634</w:t>
            </w:r>
          </w:p>
          <w:p>
            <w:pPr>
              <w:pStyle w:val="TableContents"/>
              <w:bidi w:val="0"/>
              <w:spacing w:before="0" w:after="0"/>
              <w:jc w:val="center"/>
              <w:rPr>
                <w:sz w:val="9"/>
              </w:rPr>
            </w:pPr>
            <w:r>
              <w:rPr>
                <w:sz w:val="9"/>
              </w:rPr>
              <w:t>(2)</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0.42</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4/3/2028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3/22/2019</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12,634</w:t>
            </w:r>
          </w:p>
          <w:p>
            <w:pPr>
              <w:pStyle w:val="TableContents"/>
              <w:bidi w:val="0"/>
              <w:spacing w:before="0" w:after="0"/>
              <w:jc w:val="center"/>
              <w:rPr>
                <w:sz w:val="9"/>
              </w:rPr>
            </w:pPr>
            <w:r>
              <w:rPr>
                <w:sz w:val="9"/>
              </w:rPr>
              <w:t>(1)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12/31/2028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4/15/2020</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34,899</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477</w:t>
            </w:r>
          </w:p>
          <w:p>
            <w:pPr>
              <w:pStyle w:val="TableContents"/>
              <w:bidi w:val="0"/>
              <w:spacing w:before="0" w:after="0"/>
              <w:jc w:val="center"/>
              <w:rPr>
                <w:sz w:val="9"/>
              </w:rPr>
            </w:pPr>
            <w:r>
              <w:rPr>
                <w:sz w:val="9"/>
              </w:rPr>
              <w:t>(1)</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4/14/2030</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7,447</w:t>
            </w:r>
          </w:p>
          <w:p>
            <w:pPr>
              <w:pStyle w:val="TableContents"/>
              <w:bidi w:val="0"/>
              <w:spacing w:before="0" w:after="0"/>
              <w:jc w:val="center"/>
              <w:rPr>
                <w:sz w:val="9"/>
              </w:rPr>
            </w:pPr>
            <w:r>
              <w:rPr>
                <w:sz w:val="9"/>
              </w:rPr>
              <w:t>(6)</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11,394</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3/10/2022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6,162</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2.29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3/9/2032</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91,601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140,150</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3/1/2023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52,531</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2.00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2/28/2033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8,864</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438</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2,262</w:t>
            </w:r>
          </w:p>
          <w:p>
            <w:pPr>
              <w:pStyle w:val="TableContents"/>
              <w:bidi w:val="0"/>
              <w:spacing w:before="0" w:after="0"/>
              <w:jc w:val="center"/>
              <w:rPr>
                <w:sz w:val="9"/>
              </w:rPr>
            </w:pPr>
            <w:r>
              <w:rPr>
                <w:sz w:val="9"/>
              </w:rPr>
              <w:t>(8)</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29,508</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99,253</w:t>
            </w:r>
          </w:p>
          <w:p>
            <w:pPr>
              <w:pStyle w:val="TableContents"/>
              <w:bidi w:val="0"/>
              <w:spacing w:before="0" w:after="0"/>
              <w:jc w:val="center"/>
              <w:rPr>
                <w:sz w:val="9"/>
              </w:rPr>
            </w:pPr>
            <w:r>
              <w:rPr>
                <w:sz w:val="9"/>
              </w:rPr>
              <w:t>(9)</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1.99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2/7/2034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64,381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98,503</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center"/>
              <w:rPr/>
            </w:pPr>
            <w:r>
              <w:rPr/>
              <w:t>2/21/2024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35,307</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center"/>
              <w:rPr/>
            </w:pPr>
            <w:r>
              <w:rPr/>
              <w:t>1.46</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center"/>
              <w:rPr/>
            </w:pPr>
            <w:r>
              <w:rPr/>
              <w:t>2/20/2034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center"/>
              <w:rPr/>
            </w:pPr>
            <w:r>
              <w:rPr/>
              <w:t>–</w:t>
            </w:r>
          </w:p>
        </w:tc>
      </w:tr>
    </w:tbl>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(1)</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in a series of 60 successive, equal monthly installments measured from the vesting commencement date. </w:t>
            </w:r>
          </w:p>
        </w:tc>
      </w:tr>
    </w:tbl>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(3)</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RSUs vest in a series of four successive equal annual installments measured from the vesting commencement date, subject to the award recipient’s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(4)</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had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 </w:t>
            </w:r>
          </w:p>
        </w:tc>
      </w:tr>
    </w:tbl>
    <w:tbl>
      <w:tblPr>
        <w:tblW w:w="7210" w:type="dxa"/>
        <w:jc w:val="left"/>
        <w:tblInd w:w="0" w:type="dxa"/>
        <w:tblLayout w:type="fixed"/>
        <w:tblCellMar>
          <w:top w:w="0" w:type="dxa"/>
          <w:left w:w="0" w:type="dxa"/>
          <w:bottom w:w="0" w:type="dxa"/>
          <w:right w:w="0" w:type="dxa"/>
        </w:tblCellMar>
      </w:tblPr>
      <w:tblGrid>
        <w:gridCol w:w="75"/>
        <w:gridCol w:w="290"/>
        <w:gridCol w:w="68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options were bonus-to-options awards and were 100% vested at date of grant. </w:t>
            </w:r>
          </w:p>
        </w:tc>
      </w:tr>
    </w:tbl>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(6)</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RSUs vest in a series of 16 successive equal quarterly installments measured from the vesting commencement date, subject to the award recipient’s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(7)</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values reflected in this column are calculated based on $1.53 per share, the closing price of our Common Stock on December 31, 2024. </w:t>
            </w:r>
          </w:p>
        </w:tc>
      </w:tr>
    </w:tbl>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(8)</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options vest in a series of 31 successive equal monthly installments beginning on August 1, 2024 (the first day of the month following the first anniversary of the month of grant under the shareholder approved stock option exchange program pursuant to which these time-vested options were granted). The number of installments is equal to the number of months that were remaining the in the vesting schedule of the stock options that were tendered under the stock option exchange program as of immediately prior to the exchange. </w:t>
            </w:r>
          </w:p>
        </w:tc>
      </w:tr>
    </w:tbl>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(9)</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in a series of 48 successive, equal monthly installments measured from the vesting commencement date.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Policies and Practices Related to the Timing of Grants of Certain Equity Awards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and senior management monitor the Company’s equity grant practices to evaluate whether such policies comply with governing regulations and are consistent with good corporate practices. When making regular annual equity grants, the compensation committee’s practice is to approve them at its meeting in February of each year as part of the annual compensation review and after results for the preceding fiscal year become available. Because the compensation committee’s regular meeting schedule is determined in the prior fiscal year, the proximity of any awards to other significant corporate events is coincidental. In addition, the compensation committee may make grants at any time during the year it deems appropriate, including with respect to new hires or transitions. The Company does not schedule its equity grants in anticipation of the release of material non-public information nor does the Company time the release of material non-public information based on equity grant dates. </w:t>
      </w:r>
    </w:p>
    <w:p>
      <w:pPr>
        <w:pStyle w:val="TextBody"/>
        <w:bidi w:val="0"/>
        <w:spacing w:before="240" w:after="0"/>
        <w:jc w:val="left"/>
        <w:rPr>
          <w:rFonts w:ascii="Times New Roman" w:hAnsi="Times New Roman"/>
          <w:sz w:val="20"/>
        </w:rPr>
      </w:pPr>
      <w:r>
        <w:rPr>
          <w:rFonts w:ascii="Times New Roman" w:hAnsi="Times New Roman"/>
          <w:sz w:val="20"/>
        </w:rPr>
        <w:t xml:space="preserve">During 2024, no stock option grants were made to any of our named executive officers during any period beginning four business days before the filing or furnishing of a periodic report or current report and ending one business day after the filing or furnishing of any such report with the SEC.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305494"/>
          <w:sz w:val="28"/>
        </w:rPr>
      </w:pPr>
      <w:bookmarkStart w:id="30" w:name="toc921496_33"/>
      <w:bookmarkEnd w:id="30"/>
      <w:r>
        <w:rPr>
          <w:rFonts w:ascii="Times New Roman" w:hAnsi="Times New Roman"/>
          <w:b/>
          <w:color w:val="305494"/>
          <w:sz w:val="28"/>
        </w:rPr>
        <w:t xml:space="preserve">Additional Matters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Executive Severance and Change in Control Agreements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2024, the Company approved a form of Executive Severance and Change in Control Agreement. On April 23, 2024, each of Mr. Hutton, Ms. Harper Cowie and Mr. O’Kane entered into an Executive Severance and Change in Control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continuation for a period of nine months or, in the case of the chief executive officer, 12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only, a lump sum cash payment equal to 100% of his or her target annual cash incentive for the year in which the qualifying termination of employment occurs; and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premium payments for the executive and his or her covered dependents for up to 12 months.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then-current annual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target annual cash incentive for the year in which the qualifying termination of employment occurs;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12 months, or in the case of the chief executive officer, 18 months, of COBRA premium payments for the executive and his or her covered dependents;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equity awards which vest based solely on the executive’s continued service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and chief financial officer only, a lump sum cash payment of $15,000 to help defray legal fees, tax and accounting fees, executive outplacement services, and other costs associated with transitional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 of severance benefits under the Executive Severance and Change in Control Agreements is subject to a general release of claims by the executive in favor of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multiple employer tax-qualified 401(k) savings plan which allows participants to defer eligible compensation up to the maximum amount allowed under Internal Revenue Service (IRS) guidelines. The Company did not make any discretionary or employer matching contributions under the plan during 2024. </w:t>
      </w:r>
    </w:p>
    <w:p>
      <w:pPr>
        <w:pStyle w:val="TextBody"/>
        <w:bidi w:val="0"/>
        <w:spacing w:before="24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31" w:name="toc921496_34"/>
      <w:bookmarkEnd w:id="31"/>
      <w:r>
        <w:rPr>
          <w:rFonts w:ascii="Times New Roman" w:hAnsi="Times New Roman"/>
          <w:b/>
          <w:color w:val="305494"/>
          <w:sz w:val="32"/>
        </w:rPr>
        <w:t xml:space="preserve">STOCK OWNERSHIP </w:t>
      </w:r>
    </w:p>
    <w:p>
      <w:pPr>
        <w:pStyle w:val="TextBody"/>
        <w:bidi w:val="0"/>
        <w:spacing w:before="240" w:after="0"/>
        <w:jc w:val="left"/>
        <w:rPr>
          <w:rFonts w:ascii="Times New Roman" w:hAnsi="Times New Roman"/>
          <w:color w:val="305494"/>
          <w:sz w:val="28"/>
        </w:rPr>
      </w:pPr>
      <w:bookmarkStart w:id="32" w:name="toc921496_35"/>
      <w:bookmarkEnd w:id="32"/>
      <w:r>
        <w:rPr>
          <w:rFonts w:ascii="Times New Roman" w:hAnsi="Times New Roman"/>
          <w:color w:val="305494"/>
          <w:sz w:val="28"/>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March 3, 2025: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3, 2025 and RSUs representing the right to receive shares of Common Stock that were deferred under the Director Deferred Compensation Plan or that vest within 60 days of March 3, 2025,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percentage ownership of Common Stock on 146,443,291 shares of Common Stock outstanding as of March 3, 2025. Unless otherwise indicated, the address for each beneficial owner listed in the table below is c/o Biodesix, Inc., 919 West Dillon Rd., Louisville, CO 80027. </w:t>
      </w:r>
    </w:p>
    <w:p>
      <w:pPr>
        <w:pStyle w:val="TextBody"/>
        <w:bidi w:val="0"/>
        <w:spacing w:before="0" w:after="0"/>
        <w:jc w:val="left"/>
        <w:rPr/>
      </w:pPr>
      <w:r>
        <w:rPr/>
        <w:t> </w:t>
      </w:r>
    </w:p>
    <w:tbl>
      <w:tblPr>
        <w:tblW w:w="9180" w:type="dxa"/>
        <w:jc w:val="left"/>
        <w:tblInd w:w="0" w:type="dxa"/>
        <w:tblLayout w:type="fixed"/>
        <w:tblCellMar>
          <w:top w:w="0" w:type="dxa"/>
          <w:left w:w="0" w:type="dxa"/>
          <w:bottom w:w="0" w:type="dxa"/>
          <w:right w:w="0" w:type="dxa"/>
        </w:tblCellMar>
      </w:tblPr>
      <w:tblGrid>
        <w:gridCol w:w="6560"/>
        <w:gridCol w:w="120"/>
        <w:gridCol w:w="63"/>
        <w:gridCol w:w="1159"/>
        <w:gridCol w:w="63"/>
        <w:gridCol w:w="126"/>
        <w:gridCol w:w="95"/>
        <w:gridCol w:w="704"/>
        <w:gridCol w:w="290"/>
      </w:tblGrid>
      <w:tr>
        <w:trPr/>
        <w:tc>
          <w:tcPr>
            <w:tcW w:w="6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w:t>
              <w:br/>
              <w:t>Owned</w:t>
            </w:r>
          </w:p>
        </w:tc>
        <w:tc>
          <w:tcPr>
            <w:tcW w:w="29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Shares 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%  </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Stockholders: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Jack Schuler and entities affiliated with Jack Schuler(1)</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31,609,746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21.5</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Lawrence T. Kennedy, Jr. and entities affiliated with Lawrence T. Kennedy, Jr.(2)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25,847,401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17.6</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 and entities affiliated with John Patience(3)</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7,788,634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T. Kennedy, Jr.(4)</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25,847,401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17.6</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Patience(5)</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7,788,634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5.3</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Strobeck, Ph.D.(6)</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6,150,616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4.2</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Hutton(7)</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2,356,510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Faiz Kayyem, Ph.D.(8)</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641,030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Hany Massarany(9)</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667,494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Robin Harper Cowie(10)</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744,070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Jean Franchi(11)</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534,280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Kieran O’Kane(12)</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439,769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named executive officers as a group (11 persons)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45,657,411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30.1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4180" w:type="dxa"/>
        <w:jc w:val="left"/>
        <w:tblInd w:w="0" w:type="dxa"/>
        <w:tblLayout w:type="fixed"/>
        <w:tblCellMar>
          <w:top w:w="0" w:type="dxa"/>
          <w:left w:w="0" w:type="dxa"/>
          <w:bottom w:w="0" w:type="dxa"/>
          <w:right w:w="0" w:type="dxa"/>
        </w:tblCellMar>
      </w:tblPr>
      <w:tblGrid>
        <w:gridCol w:w="155"/>
        <w:gridCol w:w="4025"/>
      </w:tblGrid>
      <w:tr>
        <w:trPr/>
        <w:tc>
          <w:tcPr>
            <w:tcW w:w="15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83,152 shares of common stock issuable upon the exercise of options held by Jack Schuler that are vested and exercisable within 60 days of March 3, 2025, (b) RSUs held by Mr. Schuler representing the right to receive 331,659 shares of common stock that vest within 60 days of March 3, 2025 and be deferred under the Director Deferred Compensation Plan until separation from service to the Company, and (c) 31,194,935 shares of common stock held by Jack W. Schuler Living Trust. Mr. Schuler will transition to the role of emeritus director at the Annual Meeting.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10,411,024 shares of common stock held by Lawrence T. Kennedy, Jr. Revocable Trust UAD 6/19/01 and as amended from time to time, (b) 12,267,873 shares of common stock held by Lawrence T. Kennedy, Jr. Perpetuity Trust UAD 6/30/16, (c) 2,775,386 shares of common stock held by KFDI-B LLC, (d) RSUs held by Mr. Kennedy representing the right to receive 299,819 shares of common stock that will vest within 60 days of March 3, 2025 and be deferred under the Director Deferred Compensation Plan, and (e) 93,299 shares of common stock issuable upon the exercise of options held by Mr. Kennedy that are vested and exercisable within 60 days of March 3, 2025.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83,152 shares of common stock issuable upon the exercise of options held by Mr. Patience that are vested and exercisable within 60 days of March 3, 2025, (b) RSUs held by Mr. Patience representing the right to receive 46,686 shares of common stock that will vest within 60 days of March 3, 2025, (c) RSUs held by Mr. Patience representing the right to receive 284,973 shares of common stock that are deferred under the Director Deferred Compensation Plan until separation from service to the Company, and (d) 2,153,298 shares of common stock held by Patience Enterprises LP, (e) 4,829,611 shares of common stock held by John Patience Living Trust, dated July 23, 1993, (f) 52,988 shares of common stock held by Diane Patience, and (g) 337,926 shares of common stock held directly by John Patience.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(4)</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25,847,401 shares beneficially owned by Lawrence T. Kennedy, Jr. and entities affiliated with Mr. Kennedy, as set forth in footnote (2).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7,788,634 shares beneficially owned by John Patience and entities affiliated with Mr. Patience, as set forth in footnote (3).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48,767 shares of common stock issuable upon the exercise of options held by Dr. Matthew Strobeck that are vested and exercisable within 60 days of March 3, 2025, (b) RSUs held by Dr. Strobeck representing the right to receive 345,692 shares of common stock that vest within 60 days of March 3, 2025 and be deferred under the Director Deferred Compensation Plan until separation from service to the Company, (c) 2,542,928 shares of common stock held by Dr. Strobeck, (d) 2,606,879 shares of common stock held by Birchview Fund LLC, (e) 89,673 shares of common stock held by Birchview Capital Separately Managed Account, (f) 40,665 shares of common stock held by Clajer Capital LLC and (g) 119,003 shares of common stock held in each of four UTMA accounts for the benefit of the minor children of Dr. Strobeck (for an aggregate amount of 476,012 shares).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1,644,563 shares of Common Stock issuable upon the exercise of options held by Scott Hutton that are vested and exercisable within 60 days of March 3, 2025, and (b) 711,947 shares of Common Stock held by Mr. Hutton.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(8)</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97,667 shares of common stock issuable upon the exercise of options held by Dr. Jon Faiz Kayyem that are vested and exercisable within 60 days of March 3, 2025, (b) RSUs held by Dr. Kayyem representing the right to receive 185,826 shares of common stock that will vest within 60 days of March 3, 2025 and be deferred under the Director Deferred Compensation Plan until separation from service to the Company, (c) 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(9)</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97,996 shares of common stock issuable upon the exercise of options held by Hany Massarany that are vested and exercisable within 60 days of March 3, 2025, (b) RSUs held by Mr. Massarany representing the right to receive 206,877 shares of common stock vested but for which settlement has been deferred under the Director Deferred Compensation Plan until separation from service to the Company or that vest within 60 days of March 3, 2025, (c) RSUs held by Mr. Massarany representing the right to receive 25,490 shares of common stock which are vested and will generally settle in shares of common stock on the earlier of July 1, 2025 and separation from service to the Company, (d) 283,767 shares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of common stock held by Mr. Massarany, and (e) 53,364 shares of common stock held by the Massarany Family Trust 11/15/2012. </w:t>
            </w:r>
          </w:p>
        </w:tc>
      </w:tr>
    </w:tbl>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pPr>
            <w:r>
              <w:rPr/>
              <w:t>(10)</w:t>
            </w:r>
          </w:p>
        </w:tc>
        <w:tc>
          <w:tcPr>
            <w:tcW w:w="9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497,610 shares of Common Stock issuable upon the exercise of options held by Robin Harper Cowie that are vested and exercisable within 60 days of March 3, 2025, and (b) 246,460 shares of Common Stock held by Ms. Harper Cowie.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(11)</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66,413 shares of common stock issuable upon the exercise of options held by Jean Franchi that are vested and exercisable within 60 days of March 3, 2025, (b) RSUs held by Ms. Franchi representing the right to receive 359,727 shares of common stock that will vest within 60 days of March 3, 2025 and be deferred under the Director Deferred Compensation Plan until separation from service to the Company, (c) RSUs held by Ms. Franchi representing the right to receive 26,368 shares of common stock which are vested and will generally settle in shares of common stock on the earlier of April 1, 2025 and separation from service to the Company, and (d) 81,772 shares of common stock held by Ms. Franchi.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(12)</w:t>
            </w:r>
          </w:p>
        </w:tc>
        <w:tc>
          <w:tcPr>
            <w:tcW w:w="9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301,730 shares of Common Stock issuable upon the exercise of options held by Kieran O’Kane that are vested and exercisable within 60 days of March 3, 2025, and (b) 138,039 shares of Common Stock held by Mr. O’Kane. </w:t>
            </w:r>
          </w:p>
        </w:tc>
      </w:tr>
    </w:tbl>
    <w:p>
      <w:pPr>
        <w:pStyle w:val="TextBody"/>
        <w:bidi w:val="0"/>
        <w:spacing w:before="240" w:after="0"/>
        <w:jc w:val="left"/>
        <w:rPr>
          <w:rFonts w:ascii="Times New Roman" w:hAnsi="Times New Roman"/>
          <w:color w:val="305494"/>
          <w:sz w:val="28"/>
        </w:rPr>
      </w:pPr>
      <w:bookmarkStart w:id="33" w:name="toc921496_36"/>
      <w:bookmarkEnd w:id="33"/>
      <w:r>
        <w:rPr>
          <w:rFonts w:ascii="Times New Roman" w:hAnsi="Times New Roman"/>
          <w:color w:val="305494"/>
          <w:sz w:val="28"/>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 xml:space="preserve">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one transaction on one Form 4 by Scott Hutton, our Chief Executive Officer and one of our directors; one transaction on one Form 4 by Robin Harper Cowie, our Chief Financial Officer; one transaction on one Form 4 by Gary Pestano, our Chief Development Officer; one transaction on one Form 4 by Kieran O’Kane, our Chief Commercial Officer; and one transaction on one Form 4 by Christopher C. Vazquez, our Chief Accounting Officer.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34" w:name="toc921496_37"/>
      <w:bookmarkEnd w:id="34"/>
      <w:r>
        <w:rPr>
          <w:rFonts w:ascii="Times New Roman" w:hAnsi="Times New Roman"/>
          <w:b/>
          <w:color w:val="305494"/>
          <w:sz w:val="32"/>
        </w:rPr>
        <w:t xml:space="preserve">AUDIT MATTERS </w:t>
      </w:r>
    </w:p>
    <w:p>
      <w:pPr>
        <w:pStyle w:val="TextBody"/>
        <w:bidi w:val="0"/>
        <w:spacing w:before="240" w:after="0"/>
        <w:jc w:val="left"/>
        <w:rPr>
          <w:rFonts w:ascii="Times New Roman" w:hAnsi="Times New Roman"/>
          <w:color w:val="305494"/>
          <w:sz w:val="28"/>
        </w:rPr>
      </w:pPr>
      <w:bookmarkStart w:id="35" w:name="toc921496_38"/>
      <w:bookmarkEnd w:id="35"/>
      <w:r>
        <w:rPr>
          <w:rFonts w:ascii="Times New Roman" w:hAnsi="Times New Roman"/>
          <w:color w:val="305494"/>
          <w:sz w:val="28"/>
        </w:rPr>
        <w:t xml:space="preserve">Proposal Two: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KPMG LLP as our independent registered public accounting firm for the year ending December 31, 2025.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considers the appointment of KPMG LLP as our independent registered public accounting firm for 2025 to be in the best interests of the Company and our stockholders. We expect representatives of KPMG LLP to attend the Annual Meeting. They will have an opportunity to make a statement if they wish and will be available to respond to appropriate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KPMG LLP has served as our independent registered public accounting firm since 2016.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Principal Accountant Fees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fees and services provided by KPMG LLP to us for the years ended December 31, 2024 and 2023.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625"/>
        <w:gridCol w:w="120"/>
        <w:gridCol w:w="30"/>
        <w:gridCol w:w="30"/>
        <w:gridCol w:w="60"/>
        <w:gridCol w:w="60"/>
        <w:gridCol w:w="260"/>
        <w:gridCol w:w="1760"/>
        <w:gridCol w:w="60"/>
        <w:gridCol w:w="120"/>
        <w:gridCol w:w="30"/>
        <w:gridCol w:w="30"/>
        <w:gridCol w:w="60"/>
        <w:gridCol w:w="60"/>
        <w:gridCol w:w="260"/>
        <w:gridCol w:w="1760"/>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0" w:type="dxa"/>
            <w:gridSpan w:val="10"/>
            <w:tcBorders>
              <w:bottom w:val="single" w:sz="6"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2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2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Fees(1)</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664,408</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451,899</w:t>
            </w:r>
          </w:p>
        </w:tc>
        <w:tc>
          <w:tcPr>
            <w:tcW w:w="75" w:type="dxa"/>
            <w:tcBorders/>
            <w:shd w:fill="F2F2F2"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Audit-Related Fees</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Tax Fees</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p>
        </w:tc>
        <w:tc>
          <w:tcPr>
            <w:tcW w:w="176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p>
        </w:tc>
        <w:tc>
          <w:tcPr>
            <w:tcW w:w="1760" w:type="dxa"/>
            <w:tcBorders/>
            <w:shd w:fill="F2F2F2" w:val="clear"/>
            <w:vAlign w:val="center"/>
          </w:tcPr>
          <w:p>
            <w:pPr>
              <w:pStyle w:val="TableContents"/>
              <w:bidi w:val="0"/>
              <w:spacing w:before="0" w:after="283"/>
              <w:jc w:val="right"/>
              <w:rPr/>
            </w:pPr>
            <w:r>
              <w:rPr/>
              <w:t>-</w:t>
            </w:r>
          </w:p>
        </w:tc>
        <w:tc>
          <w:tcPr>
            <w:tcW w:w="75" w:type="dxa"/>
            <w:tcBorders/>
            <w:shd w:fill="F2F2F2"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Other Fees</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pBdr>
                <w:top w:val="single" w:sz="2" w:space="1" w:color="000000"/>
              </w:pBdr>
              <w:bidi w:val="0"/>
              <w:spacing w:before="0" w:after="0"/>
              <w:jc w:val="left"/>
              <w:rPr/>
            </w:pPr>
            <w:r>
              <w:rPr/>
              <w:t> </w:t>
            </w:r>
          </w:p>
        </w:tc>
        <w:tc>
          <w:tcPr>
            <w:tcW w:w="17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pBdr>
                <w:top w:val="single" w:sz="2" w:space="1" w:color="000000"/>
              </w:pBdr>
              <w:bidi w:val="0"/>
              <w:spacing w:before="0" w:after="0"/>
              <w:jc w:val="left"/>
              <w:rPr/>
            </w:pPr>
            <w:r>
              <w:rPr/>
              <w:t> </w:t>
            </w:r>
          </w:p>
        </w:tc>
        <w:tc>
          <w:tcPr>
            <w:tcW w:w="17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    </w:t>
            </w:r>
            <w:r>
              <w:rPr/>
              <w:t>664,408</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    </w:t>
            </w:r>
            <w:r>
              <w:rPr/>
              <w:t>451,899</w:t>
            </w:r>
          </w:p>
        </w:tc>
        <w:tc>
          <w:tcPr>
            <w:tcW w:w="75" w:type="dxa"/>
            <w:tcBorders/>
            <w:shd w:fill="F2F2F2" w:val="clear"/>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pBdr>
                <w:top w:val="double" w:sz="6" w:space="1" w:color="000000"/>
              </w:pBdr>
              <w:bidi w:val="0"/>
              <w:spacing w:before="0" w:after="0"/>
              <w:jc w:val="left"/>
              <w:rPr/>
            </w:pPr>
            <w:r>
              <w:rPr/>
              <w:t> </w:t>
            </w:r>
          </w:p>
        </w:tc>
        <w:tc>
          <w:tcPr>
            <w:tcW w:w="1760" w:type="dxa"/>
            <w:tcBorders/>
            <w:shd w:fill="F2F2F2" w:val="clear"/>
            <w:vAlign w:val="center"/>
          </w:tcPr>
          <w:p>
            <w:pPr>
              <w:pStyle w:val="TableContents"/>
              <w:pBdr>
                <w:top w:val="double" w:sz="6" w:space="1" w:color="000000"/>
              </w:pBdr>
              <w:bidi w:val="0"/>
              <w:spacing w:before="0" w:after="0"/>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pBdr>
                <w:top w:val="double" w:sz="6" w:space="1" w:color="000000"/>
              </w:pBdr>
              <w:bidi w:val="0"/>
              <w:spacing w:before="0" w:after="0"/>
              <w:jc w:val="left"/>
              <w:rPr/>
            </w:pPr>
            <w:r>
              <w:rPr/>
              <w:t> </w:t>
            </w:r>
          </w:p>
        </w:tc>
        <w:tc>
          <w:tcPr>
            <w:tcW w:w="1760" w:type="dxa"/>
            <w:tcBorders/>
            <w:shd w:fill="F2F2F2" w:val="clear"/>
            <w:vAlign w:val="center"/>
          </w:tcPr>
          <w:p>
            <w:pPr>
              <w:pStyle w:val="TableContents"/>
              <w:pBdr>
                <w:top w:val="double" w:sz="6" w:space="1" w:color="000000"/>
              </w:pBdr>
              <w:bidi w:val="0"/>
              <w:spacing w:before="0" w:after="0"/>
              <w:jc w:val="left"/>
              <w:rPr/>
            </w:pPr>
            <w:r>
              <w:rPr/>
              <w:t> </w:t>
            </w:r>
          </w:p>
        </w:tc>
        <w:tc>
          <w:tcPr>
            <w:tcW w:w="75" w:type="dxa"/>
            <w:tcBorders/>
            <w:shd w:fill="F2F2F2"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Audit Fees consist of professional services rendered by KPMG LLP for the audits of our annual financial statements and reviews of quarterly financial statements.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Pre-Approval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2024 and 2023. As part of this review, our audit committee considers whether the provision of any such non-audit or tax services by KPMG LLP is compatible with maintaining the independence of our independent registered public accounting firm.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audit committee may delegate authority to pre-approve services to one or more of its members, provided any decisions made by such member to grant pre-approvals must be presented to the full audit committee at its next scheduled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9"/>
        <w:gridCol w:w="120"/>
        <w:gridCol w:w="7916"/>
        <w:gridCol w:w="60"/>
        <w:gridCol w:w="470"/>
      </w:tblGrid>
      <w:tr>
        <w:trPr/>
        <w:tc>
          <w:tcPr>
            <w:tcW w:w="16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63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446" w:type="dxa"/>
            <w:gridSpan w:val="3"/>
            <w:tcBorders/>
            <w:vAlign w:val="center"/>
          </w:tcPr>
          <w:p>
            <w:pPr>
              <w:pStyle w:val="TableContents"/>
              <w:bidi w:val="0"/>
              <w:spacing w:before="0" w:after="283"/>
              <w:jc w:val="left"/>
              <w:rPr/>
            </w:pPr>
            <w:r>
              <w:rPr/>
              <w:t>Ratification of the appointment of KPMG LLP as our independent registered public accounting firm for 2025 requires the affirmative vote of a majority of the shares present or represented by proxy and entitled to vote on such matter at the Annual Meeting. Abstentions have the same impact as votes “Against” the proposal. Brokers have discretion to vote on this proposal.</w:t>
            </w:r>
          </w:p>
        </w:tc>
      </w:tr>
      <w:tr>
        <w:trPr/>
        <w:tc>
          <w:tcPr>
            <w:tcW w:w="1639" w:type="dxa"/>
            <w:tcBorders/>
            <w:vAlign w:val="center"/>
          </w:tcPr>
          <w:p>
            <w:pPr>
              <w:pStyle w:val="TableContents"/>
              <w:bidi w:val="0"/>
              <w:spacing w:before="0" w:after="283"/>
              <w:jc w:val="left"/>
              <w:rPr>
                <w:sz w:val="4"/>
                <w:szCs w:val="4"/>
              </w:rPr>
            </w:pPr>
            <w:r>
              <w:rPr>
                <w:sz w:val="4"/>
                <w:szCs w:val="4"/>
              </w:rPr>
            </w:r>
          </w:p>
        </w:tc>
        <w:tc>
          <w:tcPr>
            <w:tcW w:w="8036" w:type="dxa"/>
            <w:gridSpan w:val="2"/>
            <w:tcBorders/>
            <w:vAlign w:val="center"/>
          </w:tcPr>
          <w:p>
            <w:pPr>
              <w:pStyle w:val="TableContents"/>
              <w:bidi w:val="0"/>
              <w:spacing w:before="0" w:after="283"/>
              <w:jc w:val="left"/>
              <w:rPr>
                <w:sz w:val="4"/>
                <w:szCs w:val="4"/>
              </w:rPr>
            </w:pPr>
            <w:r>
              <w:rPr>
                <w:sz w:val="4"/>
                <w:szCs w:val="4"/>
              </w:rPr>
            </w:r>
          </w:p>
        </w:tc>
        <w:tc>
          <w:tcPr>
            <w:tcW w:w="530" w:type="dxa"/>
            <w:gridSpan w:val="2"/>
            <w:tcBorders/>
            <w:vAlign w:val="center"/>
          </w:tcPr>
          <w:p>
            <w:pPr>
              <w:pStyle w:val="TableContents"/>
              <w:bidi w:val="0"/>
              <w:spacing w:before="0" w:after="283"/>
              <w:jc w:val="left"/>
              <w:rPr>
                <w:sz w:val="4"/>
                <w:szCs w:val="4"/>
              </w:rPr>
            </w:pPr>
            <w:r>
              <w:rPr>
                <w:sz w:val="4"/>
                <w:szCs w:val="4"/>
              </w:rPr>
            </w:r>
          </w:p>
        </w:tc>
      </w:tr>
      <w:tr>
        <w:trPr/>
        <w:tc>
          <w:tcPr>
            <w:tcW w:w="163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 Recommendation:</w:t>
            </w:r>
          </w:p>
        </w:tc>
        <w:tc>
          <w:tcPr>
            <w:tcW w:w="120" w:type="dxa"/>
            <w:tcBorders/>
            <w:vAlign w:val="center"/>
          </w:tcPr>
          <w:p>
            <w:pPr>
              <w:pStyle w:val="TableContents"/>
              <w:bidi w:val="0"/>
              <w:spacing w:before="0" w:after="283"/>
              <w:jc w:val="left"/>
              <w:rPr/>
            </w:pPr>
            <w:r>
              <w:rPr/>
              <w:t>  </w:t>
            </w:r>
          </w:p>
        </w:tc>
        <w:tc>
          <w:tcPr>
            <w:tcW w:w="7916" w:type="dxa"/>
            <w:tcBorders/>
            <w:vAlign w:val="center"/>
          </w:tcPr>
          <w:p>
            <w:pPr>
              <w:pStyle w:val="TableContents"/>
              <w:bidi w:val="0"/>
              <w:spacing w:before="0" w:after="283"/>
              <w:jc w:val="left"/>
              <w:rPr>
                <w:b/>
                <w:color w:val="305494"/>
              </w:rPr>
            </w:pPr>
            <w:r>
              <w:rPr>
                <w:b/>
                <w:color w:val="305494"/>
              </w:rPr>
              <w:t xml:space="preserve">OUR BOARD OF DIRECTORS AND THE AUDIT COMMITTEE OF OUR BOARD OF DIRECTORS EACH UNANIMOUSLY RECOMMENDS A VOTE “FOR” THE RATIFICATION OF THE APPOINTMENT OF KPMG LLP AS OUR INDEPENDENT REGISTERED PUBLIC ACCOUNTING FIRM FOR 2025.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drawing>
                <wp:inline distT="0" distB="0" distL="0" distR="0">
                  <wp:extent cx="279400" cy="387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color w:val="305494"/>
          <w:sz w:val="28"/>
        </w:rPr>
      </w:pPr>
      <w:bookmarkStart w:id="36" w:name="toc921496_39"/>
      <w:bookmarkEnd w:id="36"/>
      <w:r>
        <w:rPr>
          <w:rFonts w:ascii="Times New Roman" w:hAnsi="Times New Roman"/>
          <w:color w:val="305494"/>
          <w:sz w:val="28"/>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our financial statements as of and for the year ended December 31, 2024 with management and KPMG LLP;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KPMG LLP the matters required to be discussed by the applicable requirements of the Public Company Accounting Oversight Board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KPMG LLP required by the applicable requirements of the Public Company Accounting Oversight Board; and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independence of KPMG LLP with that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our board of directors, and our board of directors approved, that the audited financial statements be included in the 2024 Annual Report on Form 10-K for filing with the SEC. The audit committee also appointed KPMG LLP as our independent registered public accounting firm for the fiscal year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Submitted by the audit committee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Jean Franchi, Chair </w:t>
      </w:r>
    </w:p>
    <w:p>
      <w:pPr>
        <w:pStyle w:val="TextBody"/>
        <w:bidi w:val="0"/>
        <w:spacing w:before="0" w:after="0"/>
        <w:jc w:val="left"/>
        <w:rPr>
          <w:rFonts w:ascii="Times New Roman" w:hAnsi="Times New Roman"/>
          <w:sz w:val="20"/>
        </w:rPr>
      </w:pPr>
      <w:r>
        <w:rPr>
          <w:rFonts w:ascii="Times New Roman" w:hAnsi="Times New Roman"/>
          <w:sz w:val="20"/>
        </w:rPr>
        <w:t xml:space="preserve">Lawrence T. Kennedy, Jr. </w:t>
      </w:r>
    </w:p>
    <w:p>
      <w:pPr>
        <w:pStyle w:val="TextBody"/>
        <w:bidi w:val="0"/>
        <w:spacing w:before="0" w:after="0"/>
        <w:jc w:val="left"/>
        <w:rPr>
          <w:rFonts w:ascii="Times New Roman" w:hAnsi="Times New Roman"/>
          <w:sz w:val="20"/>
        </w:rPr>
      </w:pPr>
      <w:r>
        <w:rPr>
          <w:rFonts w:ascii="Times New Roman" w:hAnsi="Times New Roman"/>
          <w:sz w:val="20"/>
        </w:rPr>
        <w:t xml:space="preserve">Hany Massarany </w:t>
      </w:r>
    </w:p>
    <w:p>
      <w:pPr>
        <w:pStyle w:val="TextBody"/>
        <w:bidi w:val="0"/>
        <w:spacing w:before="0" w:after="0"/>
        <w:jc w:val="left"/>
        <w:rPr>
          <w:rFonts w:ascii="Times New Roman" w:hAnsi="Times New Roman"/>
          <w:sz w:val="20"/>
        </w:rPr>
      </w:pPr>
      <w:r>
        <w:rPr>
          <w:rFonts w:ascii="Times New Roman" w:hAnsi="Times New Roman"/>
          <w:sz w:val="20"/>
        </w:rPr>
        <w:t xml:space="preserve">Matthew Strobeck, Ph.D.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37" w:name="toc921496_40"/>
      <w:bookmarkEnd w:id="37"/>
      <w:r>
        <w:rPr>
          <w:rFonts w:ascii="Times New Roman" w:hAnsi="Times New Roman"/>
          <w:b/>
          <w:color w:val="305494"/>
          <w:sz w:val="32"/>
        </w:rPr>
        <w:t xml:space="preserve">REVERSE STOCK SPLIT </w:t>
      </w:r>
    </w:p>
    <w:p>
      <w:pPr>
        <w:pStyle w:val="TextBody"/>
        <w:bidi w:val="0"/>
        <w:spacing w:before="240" w:after="0"/>
        <w:jc w:val="left"/>
        <w:rPr>
          <w:rFonts w:ascii="Times New Roman" w:hAnsi="Times New Roman"/>
          <w:color w:val="305494"/>
          <w:sz w:val="28"/>
        </w:rPr>
      </w:pPr>
      <w:bookmarkStart w:id="38" w:name="toc921496_41"/>
      <w:bookmarkEnd w:id="38"/>
      <w:r>
        <w:rPr>
          <w:rFonts w:ascii="Times New Roman" w:hAnsi="Times New Roman"/>
          <w:color w:val="305494"/>
          <w:sz w:val="28"/>
        </w:rPr>
        <w:t xml:space="preserve">Proposal Three: 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amendment proposal (the “Reverse Stock Split Proposal”), if approved, would not immediately cause a reverse stock split, but rather would grant authorization to our board of directors to determine whether or not to adopt an amendment to our amended and restated certificate of incorporation to effect a reverse stock split of our Common Stock (without reducing the number of authorized shares of our Common Stock) at a ratio ranging from any whole number between 1-for-2 and 1-for-20, inclusive (the “Split Ratio Range”), in the form set forth in Annex A to this Proxy Statement. Our board of directors has deemed advisable, approved and recommended that our stockholders adopt, and is hereby soliciting stockholder approval of, the proposed amendment to our amended and restated certificate of incorporation to effect a reverse stock split at a ratio within the Split Ratio Range, in the form set forth in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we receive the required stockholder approval of this proposal, our board of directors will have the sole authority to elect, at any time prior to the one year anniversary of the Annual Meeting, whether or not to effect a reverse stock split. Even with stockholder approval of the Reverse Stock Split Proposal, our board of directors will not be obligated to pursue the reverse stock split. Rather, our board of directors will have the flexibility to decide whether or not a reverse stock split (and at what ratio within the Split Ratio Range) is in the best interests of the Company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our stockholders and following such approval our board of directors determines that effecting a reverse stock split is in the best interests of the Company and our stockholders, the reverse stock split would become effective upon filing a certificate of amendment to our amended and restated certificate of incorporation with the Secretary of State of the State of Delaware. As filed, the certificate of amendment would state the number of outstanding shares to be combined into one share of our Common Stock, at the ratio approved by our board of directors within the Split Ratio Range. The amendment would not change the par value of our Common Stock and would not impact the total number of authorized shares of our Common Stock. Therefore, upon effectiveness of a reverse stock split, the number of shares of our Common Stock that are authorized and unissued will increase relative to the number of issued and outstanding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242(c) of the Delaware General Corporation Law, our board of directors has reserved the right, notwithstanding our stockholders’ approval of the proposed amendment of the amended and restated certificate of incorporation at the Annual Meeting, to abandon the proposed amendment at any time (without further action by our stockholders) before the certificate of amendment with respect thereto is filed with the Secretary of State of the State of Delaware. Our board of directors may consider a variety of factors in determining whether or not to proceed with the proposed amendment of the amended and restated certificate of incorporation and the appropriate range within the Split Ratio Range for any such amendment, including overall trends in the stock market, recent changes and anticipated trends in the per-share market price of our Common Stock, business developments and our actual and projected financial performance.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and Overview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Our primary objective in effectuating a reverse stock split would be to attempt to raise the per-share trading price of our Common Stock to continue our listing on The Nasdaq Global Market. To maintain listing, The Nasdaq Global Market requires, among other things, that our Common Stock maintain a minimum closing bid price of at least $1.00 per share. On April 25, 2025, the closing bid price for our Common Stock on The Nasdaq Global Market was $0.54 per share.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2025, we received a written deficiency notice from Nasdaq’s Listing Qualifications Staff notifying the Company that, for the last 30 consecutive trading days, beginning on February 7, 2025 and ending on March 21, 2025, the bid price for the Company’s Common Stock had closed below the $1.00 minimum bid price. In accordance with Nasdaq listing rules, we were provided an initial compliance period of 180 calendar days, or until September 22, 2025, for our Common Stock to regain compliance by having a closing price of at least $1.00 per share for at least ten consecutive trading days. If we do not regain compliance with the minimum bid price rule, Nasdaq will provide us written notice that our Common Stock may be transferred to The Nasdaq Capital Market, or ultimately delisted. Following a transfer to The Nasdaq Capital Market, we may be afforded a second compliance period, unless it does not appear to Nasdaq that it is possible for us to cure the deficiency. We may also request a hearing to remain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seeking stockholder approval for the authority to effectuate the reverse stock split as a means of increasing the share price of our Common Stock at or above $1.00 per share in order to avoid further action by Nasdaq, in the event we are not able to satisfy the minimum bid price requirement prior to the expiration of the 180-day compliance period, or any additional time we may become eligible for. We expect that the reverse stock split would increase the bid price per share of our Common Stock above the $1.00 per share minimum bid price, thereby satisfying this listing requirement. However, there can be no assurance that the reverse stock split would have that effect, initially or in the future, or that it would enable us to maintain the listing of our Common Stock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also believe that a higher stock price could help us attract and retain employees and other service providers. We believe that some potential employees and service providers are less likely to work for or provide services to a company with a low stock price, regardless of the size of the Company’s market capitalization. If the reverse stock split successfully increases the per-share price of our Common Stock, we believe this increase would enhance our ability to attract and retain employees and service providers. Further, the reverse stock split will result in additional authorized and unissued shares becoming available for general corporate purposes as the board of directors may determine from time to time, including for use under its equity compensation plans. </w:t>
      </w:r>
    </w:p>
    <w:p>
      <w:pPr>
        <w:pStyle w:val="TextBody"/>
        <w:bidi w:val="0"/>
        <w:spacing w:before="240" w:after="0"/>
        <w:jc w:val="left"/>
        <w:rPr>
          <w:rFonts w:ascii="Times New Roman" w:hAnsi="Times New Roman"/>
          <w:sz w:val="20"/>
        </w:rPr>
      </w:pPr>
      <w:r>
        <w:rPr>
          <w:rFonts w:ascii="Times New Roman" w:hAnsi="Times New Roman"/>
          <w:sz w:val="20"/>
        </w:rPr>
        <w:t xml:space="preserve">We further believe that a higher stock price could help us improve relations with existing and potential new customers. We believe that some prospective customers may take a more cautious view of a company with a low stock price, regardless of the size of the Company’s market capitalization, and may be less likely to use a </w:t>
      </w:r>
    </w:p>
    <w:p>
      <w:pPr>
        <w:pStyle w:val="TextBody"/>
        <w:bidi w:val="0"/>
        <w:spacing w:before="0" w:after="0"/>
        <w:jc w:val="left"/>
        <w:rPr>
          <w:rFonts w:ascii="Times New Roman" w:hAnsi="Times New Roman"/>
          <w:sz w:val="20"/>
        </w:rPr>
      </w:pPr>
      <w:r>
        <w:rPr>
          <w:rFonts w:ascii="Times New Roman" w:hAnsi="Times New Roman"/>
          <w:sz w:val="20"/>
        </w:rPr>
        <w:t xml:space="preserve">product or service from such a company. If the reverse stock split successfully increases the per-share price of our Common Stock, we believe this increase would reduce the likelihood of a potential negative sentiment from both existing and potential customers.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the decrease in the number of shares of our outstanding Common Stock because of the reverse stock split, and the anticipated increase in the price per share, would possibly promote greater liquidity for our stockholders with respect to their shares. However, liquidity may be adversely affected by the reduced number of shares that would be outstanding if the reverse stock split is effected, particularly if the price per share of our Common Stock begins a declining trend after the reverse stock split is effectuated. The proposed reverse stock split is not intended to be an anti-takeover device.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would achieve any of the desired results. There also can be no assurance that the price per share of our Common Stock immediately after the reverse stock split would increase proportionately with the reverse stock split, or that any increase would be sustained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do not approve the Reverse Stock Split Proposal and the price of our Common Stock does not otherwise close at $1.00 per share or more for at least ten consecutive trading days before September 22, 2025, it is possible that we would be subject to a delisting action by Nasdaq. We believe a reverse stock split is the most likely way for our Common Stock to reach the minimum bid price requirement of The Nasdaq Global Market, although effectuating the reverse stock split cannot guarantee that we would be in compliance with the minimum bid price requirement for even the minimum ten-day trading period required by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If our Common Stock were delisted from The Nasdaq Global Market, trading of our Common Stock would thereafter be conducted on the OTC Bulletin Board or the “pink sheets,” which are generally considered to be less efficient markets. As a result, investors may find it more difficult to dispose of, or to obtain accurate quotations as to the price of, our Common Stock. Many investors would likely not buy or sell our Common Stock due to difficulty in accessing OTC markets or policies preventing them from trading in securities not listed on a national exchange. To relist shares of our Common Stock on any one of Nasdaq’s three market tiers, we would be required to meet Nasdaq’s initial listing requirements, which are more stringent than the maintenance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our Common Stock was delisted from The Nasdaq Global Market (or The Nasdaq Capital Market if we transferred tiers following an unsuccessful attempt to satisfy the minimum bid price requirement prior to the expiration of the initial 180-day compliance period) and the market price of our Common Stock was below $5.00 at such time, such stock would come within the definition of “penny stock” as defined in the Exchange Act and would be covered by Rule 15g-9 of the Exchange Act. Rule 15g-9 imposes additional sales practice requirements on broker-dealers who sell such securities that would make trading in our Common Stock more difficult and the market less efficient. </w:t>
      </w:r>
    </w:p>
    <w:p>
      <w:pPr>
        <w:pStyle w:val="TextBody"/>
        <w:bidi w:val="0"/>
        <w:spacing w:before="240" w:after="0"/>
        <w:jc w:val="left"/>
        <w:rPr>
          <w:rFonts w:ascii="Times New Roman" w:hAnsi="Times New Roman"/>
          <w:sz w:val="20"/>
        </w:rPr>
      </w:pPr>
      <w:r>
        <w:rPr>
          <w:rFonts w:ascii="Times New Roman" w:hAnsi="Times New Roman"/>
          <w:sz w:val="20"/>
        </w:rPr>
        <w:t xml:space="preserve">In evaluating whether to seek stockholder approval of the Reverse Stock Split Proposal, our board of directors took into consideration negative factors associated with reverse stock splits. These factors include: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Even if our stockholders approve the Reverse Stock Split Proposal, our board of directors reserves the right not to effect the proposed amendment in its entirety if in our board of directors opinion it would not be in the best interests of the Company or our stockholders to effect a reverse stock split.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whether the reverse stock split, if completed, will increase the market price for our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our Common Stock after the reverse stock split would rise in proportion to the reduction in the number of shares outstanding before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result in a per-share price that would attract brokers and investors who do not trade in lower-priced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result in a per-share price that would increase our ability to attract and retain employees and other service providers; or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promote greater liquidity for our stockholders with respect to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reverse stock split would reduce the number of outstanding shares of our Common Stock without reducing the number of shares of available but unissued Common Stock, increasing the number of authorized but unissued shares of Common Stock. Therefore, the number of shares of our Common Stock that are authorized and unissued will increase relative to the number of issued and outstanding shares of our Common Stock following the reverse stock split. The board of directors may authorize the issuance of the remaining authorized and unissued shares without further stockholder action for a variety of purposes, except as such stockholder approval may be required in particular cases by our amended and restated certificate of incorporation, applicable law or the rules of any stock exchange on which our securities may then be listed. The issuance of additional shares would be dilutive to our existing stockholders and may cause a decline in the trading price of our Common Stock. 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 of directors’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is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the Market for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April 25, 2025, the closing bid price for our Common Stock on The Nasdaq Global Market was $0.54 per share. By decreasing the number of shares of our Common Stock outstanding without altering the aggregate economic interest represented by the shares, we believe the market price would be increased. However, there can be no assurance that the market price of the Common Stock would rise to or maintain any particular level. In addition, the fewer number of shares of Common Stock that will be available to trade will possibly cause the trading market of our Common Stock to become less liquid, which could have an adverse effect on the price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Our Common Stock; 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approve the Reverse Stock Split Proposal, and if our board of directors decides to effectuate a proposed amendment to effect a reverse stock split, the principal effect of the amendment would be to reduce the number of issued and outstanding shares of our Common Stock, depending on the Split Ratio Range set forth in such amendment, from 146,443,291 shares as of the Record Date to between approximately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73,221,645 shares and approximately 7,322,164 shares. If the reverse stock split is effectuated, the total number of shares of our Common Stock each stockholder holds would be reclassified automatically into the number of shares of our Common Stock equal to the number of shares of our Common Stock each stockholder held immediately prior to the reverse stock split divided by the ratio approved by the board of directors within the Split Ratio Range and set forth in the applicable amendment. </w:t>
      </w:r>
    </w:p>
    <w:p>
      <w:pPr>
        <w:pStyle w:val="TextBody"/>
        <w:bidi w:val="0"/>
        <w:spacing w:before="240" w:after="0"/>
        <w:jc w:val="left"/>
        <w:rPr>
          <w:rFonts w:ascii="Times New Roman" w:hAnsi="Times New Roman"/>
          <w:sz w:val="20"/>
        </w:rPr>
      </w:pPr>
      <w:r>
        <w:rPr>
          <w:rFonts w:ascii="Times New Roman" w:hAnsi="Times New Roman"/>
          <w:sz w:val="20"/>
        </w:rPr>
        <w:t xml:space="preserve">Effecting the reverse stock split will not change the total authorized number of shares of our Common Stock. However, the reduction in the issued and outstanding shares would provide more authorized shares available for future issuance. Other than the shares available for future issuance under our 2006 Incentive Plan, 2016 Incentive Plan, 2020 Incentive Plan, ESPP, 2011 Second Amended and Restated Bonus-to-Options Program, and 2015 Third Amended and Restated Bonus-to-Options Program (collectively, the “Plans”), we have no specific plan, commitment, arrangement, understanding or agreement, either oral or written, regarding the issuance of Common Stock subsequent to this proposed reverse stock split at this time. However, we have in the past conducted certain public and private offerings of our securities, and we may continue to require additional capital in the future to fund our operations. As a result, it is possible that we will seek to issue such additional shares of Common Stock in connection with any such capital raising activities, or any of the other activities described above. The board of directors does not intend to issue any Common Stock or securities convertible into Common Stock except on terms that the board of directors deems to be in the best interests of us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would affect all holders of our Common Stock uniformly and would not affect any stockholder’s percentage ownership interests, except to the extent that the reverse stock split results in such stockholder owning a fractional share. No fractional shares will be issued in connection with the reverse stock split. Stockholders who otherwise would be entitled to receive fractional shares because they hold a number of pre-split shares not evenly divisible by the number of pre-split shares for which each post-split share is to be exchanged, will be entitled to a cash payment in lieu thereof at a price equal to the fraction to which the stockholder would otherwise be entitled multiplied by the closing price of the Common Stock, as reported by Nasdaq, on the last trading day prior to the effective date of the split. The proceeds would be subject to certain taxes as discussed below. In addition, stockholders would not be entitled to receive interest for the period of time between the filing of the certificate of amendment to the amended and restated certificate of incorporation and the date a stockholder receives payment for the cashed-out fractional shares. The payment amount would be paid to the stockholder in accordance with the procedures outlined below. </w:t>
      </w:r>
    </w:p>
    <w:p>
      <w:pPr>
        <w:pStyle w:val="TextBody"/>
        <w:bidi w:val="0"/>
        <w:spacing w:before="240" w:after="0"/>
        <w:jc w:val="left"/>
        <w:rPr>
          <w:rFonts w:ascii="Times New Roman" w:hAnsi="Times New Roman"/>
          <w:sz w:val="20"/>
        </w:rPr>
      </w:pPr>
      <w:r>
        <w:rPr>
          <w:rFonts w:ascii="Times New Roman" w:hAnsi="Times New Roman"/>
          <w:sz w:val="20"/>
        </w:rPr>
        <w:t xml:space="preserve">After the reverse stock split, a stockholder would have no further interest in the Company with respect to such stockholder’s cashed-out fractional shares. A person otherwise entitled to a fractional interest would not have any voting, dividend or other rights except to receive payment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Common Stock. Odd lot shares may be more difficult to sell, and brokerage commissions and other costs of transactions in odd lots may be higher than the costs of transactions in “round lots” of even multiples of 100 shares.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date, our Common Stock would have a new CUSIP number, which is a number used to identify our equity securities. Stock certificates issued before the reverse stock split will reflect the older CUSIP number and should be returned to our transfer agent by following the procedures described below under “Effect on Registered Certificated Shares.”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Outstanding Equity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we had outstanding (a) options to purchase an aggregate of 8,612,580 shares of our Common Stock with exercise prices ranging from $0.4155 to $20.67 per share, (b) warrants to purchase an aggregate of 5,603,324 shares of our Common Stock with exercise prices ranging from $0.793 to $4.452 per share, and (c) 4,073,180 RSUs outstanding.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Plans, the compensation committee will have discretion to determine the appropriate adjustment to the awards granted under our Plans in the event of a reverse stock split. Accordingly, if the reverse stock split is effected, the number of shares available for issuance under the Plans, as well as the number of shares subject to any outstanding award under the Plans, and the exercise price, grant price or purchase price relating to any such award under our Plans, will be proportionately adjusted by the compensation committee, as applicable, to reflect the reverse stock split. The compensation committee will also determine the treatment of fractional shares subject to outstanding awards under the Plans. Accordingly, pursuant to the authority as provided under each of the Plans, the compensation committee is expected to authorize the Company to effect any other changes necessary, desirable or appropriate to give effect to the reverse stock split, including any applicable technical, conforming changes to our Plans-based awards, which would also be proportionally adjusted by the ratio approved by the board of directors within the Split Ratio Range. Under the terms of the warrants, the number of warrant shares issuable upon exercise of the warrant shall be proportionally adjusted by the ratio approved by the board of directors within the Split Range Ratio, effective the date of the reverse stock split.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Legal Ability to Pay 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nor do we have any plans to declare in the foreseeable future any distributions of cash or other property to holders of Common Stock, and we are not in arrears on any dividends. Therefore, we do not believe that the reverse stock split would have any effect with respect to future distributions, if any, to holders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Accounting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would not affect the par value of our Common Stock, which would remain unchanged at $0.001 per share. As a result, on the effective date, the present value of the stated capital on the Company’s balance sheet attributable to the Common Stock will be reduced based on the designated reverse stock split ratio, and the additional paid-in capital account will be increased with the amount by which the stated capital is reduced. The per share net loss and net book value of the Common Stock will be retroactively increased for each period because there will be fewer shares of Common Stock outstanding. </w:t>
      </w:r>
    </w:p>
    <w:p>
      <w:pPr>
        <w:pStyle w:val="TextBody"/>
        <w:bidi w:val="0"/>
        <w:spacing w:before="240" w:after="0"/>
        <w:jc w:val="left"/>
        <w:rPr>
          <w:rFonts w:ascii="Times New Roman" w:hAnsi="Times New Roman"/>
          <w:b/>
          <w:sz w:val="20"/>
        </w:rPr>
      </w:pPr>
      <w:r>
        <w:rPr>
          <w:rFonts w:ascii="Times New Roman" w:hAnsi="Times New Roman"/>
          <w:b/>
          <w:sz w:val="20"/>
        </w:rPr>
        <w:t xml:space="preserve">Beneficial Holders of Our Common Stock (Stockholders Who Hold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reverse stock split, we intend to treat shares held by stockholders in “street name,” through a broker, in the same manner as registered stockholders whose shares are registered in their names. Brokers would be instructed to effect the reverse stock split for their beneficial holders holding our Common Stock in “street name.” However, brokers may have different procedures than registered stockholders for processing the reverse stock split and making payment for fractional shares. Stockholders holding shares of our Common Stock with a broker and having any questions in this regard should contact their broker. </w:t>
      </w:r>
    </w:p>
    <w:p>
      <w:pPr>
        <w:pStyle w:val="TextBody"/>
        <w:bidi w:val="0"/>
        <w:spacing w:before="240" w:after="0"/>
        <w:jc w:val="left"/>
        <w:rPr>
          <w:rFonts w:ascii="Times New Roman" w:hAnsi="Times New Roman"/>
          <w:b/>
          <w:sz w:val="20"/>
        </w:rPr>
      </w:pPr>
      <w:r>
        <w:rPr>
          <w:rFonts w:ascii="Times New Roman" w:hAnsi="Times New Roman"/>
          <w:b/>
          <w:sz w:val="20"/>
        </w:rPr>
        <w:t xml:space="preserve">Effect on Registered “Book-Entry”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a stockholder holds registered shares in book-entry form with the transfer agent, no action needs to be taken to receive post- split shares or cash payment in lieu of any fractional share interest, if applicable. If such a stockholder is entitled to post-split shares, a transaction statement would automatically be sent to such stockholder’s address of record indicating the number of shares of our Common Stock held following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such a stockholder is entitled to a payment in lieu of any fractional share interest, a check would be mailed to the stockholder’s registered address as soon as practicable after the effective time of the reverse stock split. By signing and cashing the check, stockholders would warrant that they owned the shares of our Common Stock for which they received a cash payment. The cash payment is subject to applicable federal and state income tax and state abandoned property laws. No stockholders would be entitled to receive interest for the period of time between the effective time of the reverse stock split and the date payment is received.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on Registered Certificated Shares </w:t>
      </w:r>
    </w:p>
    <w:p>
      <w:pPr>
        <w:pStyle w:val="TextBody"/>
        <w:bidi w:val="0"/>
        <w:spacing w:before="120" w:after="0"/>
        <w:jc w:val="left"/>
        <w:rPr>
          <w:rFonts w:ascii="Times New Roman" w:hAnsi="Times New Roman"/>
          <w:sz w:val="20"/>
        </w:rPr>
      </w:pPr>
      <w:r>
        <w:rPr>
          <w:rFonts w:ascii="Times New Roman" w:hAnsi="Times New Roman"/>
          <w:sz w:val="20"/>
        </w:rPr>
        <w:t xml:space="preserve">Some stockholders hold their shares in certificated form or a combination of certificated and book-entry form. If any of a stockholder’s shares are held in certificated form, they will receive a letter of transmittal from Computershare as soon as practicable after the effective time of the reverse stock split. The letter of transmittal will be accompanied by instructions specifying how stockholders can exchange their certificate representing the pre-split shares for a statement of holding for their post-split shares. Please note, when sending Computershare their completed letter of transmittal, stockholders should ensure they enclose all of their original physical stock certificates with their letter of transmittal. It is recommended that stockholders send this presentation to Computershare by trackable mail, return receipt requested. After a stockholder submits their certificate representing the pre-split shares, together with a duly completed letter of transmittal, their post-split shares will be issued to them electronically in book-entry form. This means that, instead of receiving a new stock certificate, such stockholders will receive a statement of holding that indicates the number of post-split shares they own in book-entry form. We will no longer issue physical stock certificates unless a stockholder makes a specific request for a physical stock certificate representing the stockholder’s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Beginning on the effective date of the reverse stock split, each certificate representing pre-split shares will be deemed for all corporate purposes to evidence ownership of post-split shares. Stockholders will need to exchange their old certificates in order to effect transfers of shares on The Nasdaq Global Market. If a stockholder is entitled to a payment in lieu of any fractional shares, payment will be made as described above under “Principal Effects of the Reverse Stock Split on Our Common Stock; No Fractional Shares.”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NOT DESTROY ANY SHARE CERTIFICATE(S) AND SHOULD NOT SUBMIT ANY CERTIFICATE(S) UNTIL REQUESTED TO DO SO. </w:t>
      </w:r>
    </w:p>
    <w:p>
      <w:pPr>
        <w:pStyle w:val="TextBody"/>
        <w:bidi w:val="0"/>
        <w:spacing w:before="240" w:after="0"/>
        <w:jc w:val="left"/>
        <w:rPr>
          <w:rFonts w:ascii="Times New Roman" w:hAnsi="Times New Roman"/>
          <w:sz w:val="20"/>
        </w:rPr>
      </w:pPr>
      <w:r>
        <w:rPr>
          <w:rFonts w:ascii="Times New Roman" w:hAnsi="Times New Roman"/>
          <w:sz w:val="20"/>
        </w:rPr>
        <w:t xml:space="preserve">As applicable, new share certificates evidencing post-split shares that are issued in exchange for pre-split shares representing restricted shares will contain the same restrictive legend as on the old certificates. For purposes of determining the term of the restrictive period applicable to the post-split shares, the time period during which a stockholder has held their existing pre-split shares will be included in the total holding period. </w:t>
      </w:r>
    </w:p>
    <w:p>
      <w:pPr>
        <w:pStyle w:val="TextBody"/>
        <w:bidi w:val="0"/>
        <w:spacing w:before="240" w:after="0"/>
        <w:jc w:val="left"/>
        <w:rPr>
          <w:rFonts w:ascii="Times New Roman" w:hAnsi="Times New Roman"/>
          <w:b/>
          <w:sz w:val="20"/>
        </w:rPr>
      </w:pPr>
      <w:r>
        <w:rPr>
          <w:rFonts w:ascii="Times New Roman" w:hAnsi="Times New Roman"/>
          <w:b/>
          <w:sz w:val="20"/>
        </w:rPr>
        <w:t xml:space="preserve">No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stockholders are not entitled to dissenters’ rights with respect to the reverse stock split.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summary of certain material U.S. federal income tax consequences of the reverse stock split to stockholders that hold their shares of Common Stock as capital assets for U.S. federal income tax purposes (generally, property held for investment). This summary is based upon the provisions of the U.S. Internal Revenue Code of 1986 (the “Code”) Treasury regulations promulgated thereunder, administrative rulings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for general information purposes only and does not address all aspects of U.S. federal income taxation that may be relevant to stockholders in light of their particular circumstances, including the impact of the alternative minimum tax, the Medicare surtax on net investment income or the special tax accounting rules under Section 451(b) of the Code, or to stockholders that may be subject to special tax rules, including, without limitation: (i) banks, insurance companies, or other financial institutions; (ii) tax-exempt organizations; (iii) dealers in securities or commodities; (iv) regulated investment companies or real estate investment trusts; (v) partnerships (including entities or arrangements treated as partnerships for U.S. federal income tax purposes and their partners or members); (vi) traders in securities that elect to use the mark-to-market method of accounting; (vii) persons whose “functional currency” is not the U.S. dollar; (viii) persons holding our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in a hedging transaction, “straddle,” “conversion transaction” or other risk reduction transaction; (ix) persons who acquired our Common Stock in connection with employment or the performance of services; (x) retirement plans; (xi) persons holding our Common Stock as “qualified small business stock” under Section 1202 of the Code; (xii) persons who are not U.S. Holders (as defined below); or (xiii) certain former citizens or long-term residents of the United States. In addition, this summary of certain material U.S. federal income tax consequences does not address the tax consequences arising under the laws of any foreign, state or local jurisdiction or any U.S. federal tax consequences other than U.S. federal income taxation (such as U.S. federal estate and gift tax consequences). 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in such partnerships should consult their tax advisors regarding the tax consequences to them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have not sought, and will not seek, an opinion of counsel or a ruling from the IRS regarding the U.S. federal income tax consequences of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b/>
          <w:sz w:val="20"/>
        </w:rPr>
      </w:pPr>
      <w:r>
        <w:rPr>
          <w:rFonts w:ascii="Times New Roman" w:hAnsi="Times New Roman"/>
          <w:b/>
          <w:sz w:val="20"/>
        </w:rPr>
        <w:t xml:space="preserve">EACH STOCKHOLDER SHOULD CONSULT ITS TAX ADVISORS WITH RESPECT TO THE PARTICULAR TAX CONSEQUENCES OF THE REVERSE STOCK SPLIT TO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summary addresses only stockholders that are U.S. Holders. For purposes of this discussion, a “U.S. Holder” is any beneficial owner of our Common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reverse stock split should constitute a “recapitalization” for U.S. federal income tax purposes. Assuming the reverse stock split qualifies as a “recapitalization” for U.S. federal income tax purposes, then, except as described below with respect to cash received in lieu of fractional shares, a stockholder should not recognize gain or loss as a result of the reverse stock split. A stockholder’s aggregate tax basis in the shares of the Common Stock received pursuant to the reverse stock split should equal the stockholder’s aggregate tax basis in the shares of the Common Stock surrendered (excluding any portion of such basis that is allocated to any fractional share of our Common Stock), and such stockholder’s holding period in the shares of the Common Stock received should include the holding period of the shares of the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Stockholders holding shares of Common Stock that were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receives cash in lieu of a fractional share of Common Stock should be treated as first receiving such fractional share and then receiving cash in redemption of such fractional share. A stockholder who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receives cash in lieu of a fractional share in the reverse stock split should recognize capital gain or loss equal to the difference between the amount of the cash received in lieu of the fractional share and the portion of the stockholder’s adjusted tax basis allocable to the fractional share. Stockholders should consult their tax advisors regarding the tax effects to them of receiving cash in lieu of fractional shares based on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may be subject to information reporting with respect to any cash received in exchange for a fractional share interest in a new share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5"/>
        <w:gridCol w:w="120"/>
        <w:gridCol w:w="7923"/>
        <w:gridCol w:w="65"/>
        <w:gridCol w:w="512"/>
      </w:tblGrid>
      <w:tr>
        <w:trPr/>
        <w:tc>
          <w:tcPr>
            <w:tcW w:w="1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5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500" w:type="dxa"/>
            <w:gridSpan w:val="3"/>
            <w:tcBorders/>
            <w:vAlign w:val="center"/>
          </w:tcPr>
          <w:p>
            <w:pPr>
              <w:pStyle w:val="TableContents"/>
              <w:bidi w:val="0"/>
              <w:spacing w:before="0" w:after="283"/>
              <w:jc w:val="left"/>
              <w:rPr/>
            </w:pPr>
            <w:r>
              <w:rPr/>
              <w:t>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requires the affirmative vote of a majority of the shares present or represented by proxy and entitled to vote on such matter at the Annual Meeting. Abstentions have the same impact as votes “Against” the proposal. Brokers have discretion to vote on this proposal.</w:t>
            </w:r>
          </w:p>
        </w:tc>
      </w:tr>
      <w:tr>
        <w:trPr/>
        <w:tc>
          <w:tcPr>
            <w:tcW w:w="1585"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577" w:type="dxa"/>
            <w:gridSpan w:val="2"/>
            <w:tcBorders/>
            <w:vAlign w:val="center"/>
          </w:tcPr>
          <w:p>
            <w:pPr>
              <w:pStyle w:val="TableContents"/>
              <w:bidi w:val="0"/>
              <w:spacing w:before="0" w:after="283"/>
              <w:jc w:val="left"/>
              <w:rPr>
                <w:sz w:val="4"/>
                <w:szCs w:val="4"/>
              </w:rPr>
            </w:pPr>
            <w:r>
              <w:rPr>
                <w:sz w:val="4"/>
                <w:szCs w:val="4"/>
              </w:rPr>
            </w:r>
          </w:p>
        </w:tc>
      </w:tr>
      <w:tr>
        <w:trPr/>
        <w:tc>
          <w:tcPr>
            <w:tcW w:w="15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 Recommendation:</w:t>
            </w:r>
          </w:p>
        </w:tc>
        <w:tc>
          <w:tcPr>
            <w:tcW w:w="120" w:type="dxa"/>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left"/>
              <w:rPr>
                <w:b/>
                <w:color w:val="305494"/>
              </w:rPr>
            </w:pPr>
            <w:r>
              <w:rPr>
                <w:b/>
                <w:color w:val="305494"/>
              </w:rPr>
              <w:t>OUR BOARD OF DIRECTORS UNANIMOUSLY RECOMMENDS A VOTE “FOR” AN AMENDMENT TO THE COMPANY’S AMENDED AND RESTATED CERTIFICATE OF INCORPORATION TO EFFECT A REVERSE STOCK SPLIT OF THE COMPANY’S COMMON STOCK.</w:t>
            </w:r>
          </w:p>
        </w:tc>
        <w:tc>
          <w:tcPr>
            <w:tcW w:w="6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drawing>
                <wp:inline distT="0" distB="0" distL="0" distR="0">
                  <wp:extent cx="279400" cy="387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39" w:name="toc921496_42"/>
      <w:bookmarkEnd w:id="39"/>
      <w:r>
        <w:rPr>
          <w:rFonts w:ascii="Times New Roman" w:hAnsi="Times New Roman"/>
          <w:b/>
          <w:color w:val="305494"/>
          <w:sz w:val="32"/>
        </w:rPr>
        <w:t xml:space="preserve">APPROVAL OF THE COMPANY’S AMENDED AND RESTATED EMPLOYEE STOCK PURCHASE PLAN </w:t>
      </w:r>
    </w:p>
    <w:p>
      <w:pPr>
        <w:pStyle w:val="TextBody"/>
        <w:bidi w:val="0"/>
        <w:spacing w:before="240" w:after="0"/>
        <w:jc w:val="left"/>
        <w:rPr>
          <w:rFonts w:ascii="Times New Roman" w:hAnsi="Times New Roman"/>
          <w:color w:val="305494"/>
          <w:sz w:val="28"/>
        </w:rPr>
      </w:pPr>
      <w:bookmarkStart w:id="40" w:name="toc921496_43"/>
      <w:bookmarkEnd w:id="40"/>
      <w:r>
        <w:rPr>
          <w:rFonts w:ascii="Times New Roman" w:hAnsi="Times New Roman"/>
          <w:color w:val="305494"/>
          <w:sz w:val="28"/>
        </w:rPr>
        <w:t xml:space="preserve">Proposal Four: Approval of the Company’s Amended and Restated ESPP to increase the available shares of the Company’s Common Stock under the plan by 1,451,500 and to increase the maximum number of shares of the Company’s Common Stock that may be provided as the result of the plan’s annual automatic increase to 3,000,000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Effective with our IPO in October 2020, the Company’s board of directors and its stockholders approved the Company’s Employee Stock Purchase Plan (the “ESPP”). The ESPP allows the Company’s employees to purchase shares of the Company’s Common Stock at a discount through payroll deductions. We are asking our stockholders to approve an amendment and restatement of the ESPP to increase the number of shares of Common Stock authorized for issuance under the ESPP by 1,451,500 and to provide that the maximum number of shares available under the ESPP automatically increases on the first trading day of each calendar year by an amount equal to the lesser of (i) 1% of the shares of Common Stock issued and outstanding on December 31st of the immediately preceding calendar year, (ii) (x) beginning with the fiscal year ending December 31, 2022, and continuing until (and including) the fiscal year ending December 31, 2025, 338,106 Shares and (y) beginning with the fiscal year ending December 31, 2026, and continuing until (and including) the fiscal year ending December 31, 2030, 3,000,000, and (iii) an amount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initially reserved 338,106 shares of Common Stock for issuance under the ESPP. In addition, pursuant to its terms, the number of shares of Common Stock available for issuance automatically increases on the first day of each fiscal year, beginning with the fiscal year ending December 31, 2022 and continuing until (and including) the fiscal year ending December 31, 2030, with the annual increase equal to the lesser of (i) 1% of the shares of Common Stock issued and outstanding on December 31st of the immediately preceding calendar year, (ii) 338,106, and (iii) an amount determined by the board of directors. As a result of the annual automatic increase, the number of shares of Common Stock available for issuance increased by 307,896 for the fiscal year ending December 31, 2022 and by 338,106 beginning with the fiscal year ending December 31, 2023 and continuing until (and including) the fiscal year ending December 31, 2025. As of March 1, 2025, 48,500 shares of Common Stock remained available for issuance under the ESPP. If this proposal is approved by our stockholders, the total shares available for issuance under the ESPP would increase by 1,451,500 and the maximum annual increase would increase from 338,106 to 3,000,000. </w:t>
      </w:r>
    </w:p>
    <w:p>
      <w:pPr>
        <w:pStyle w:val="TextBody"/>
        <w:bidi w:val="0"/>
        <w:spacing w:before="240" w:after="0"/>
        <w:jc w:val="left"/>
        <w:rPr>
          <w:rFonts w:ascii="Times New Roman" w:hAnsi="Times New Roman"/>
          <w:b/>
          <w:sz w:val="20"/>
        </w:rPr>
      </w:pPr>
      <w:r>
        <w:rPr>
          <w:rFonts w:ascii="Times New Roman" w:hAnsi="Times New Roman"/>
          <w:b/>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Company views the ESPP as an integral tool for attracting, retaining, and motivating employees. The ESPP promotes stock ownership by employees, thereby aligning their interests with those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March 1, 2025, there were 48,500 shares of Common Stock available for issuance under the ESPP. Our board of directors believes the currently available shares are insufficient to meet the Company’s needs with respect to competing for qualified personnel in the competitive market in which it operates.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or about April 15, 2025 our board of directors approved the Company’s Amended and Restated ESPP, which will increase the available shares under the ESPP by 1,451,500, subject to shareholder approval at the Annual Meeting, and change the automatic increase provisions under our ESPP to provide that the annual increase will be the lesser of (i) 1% of the shares of Common Stock issued and outstanding on December 31st of the immediately preceding calendar year, (ii) (x) beginning with the fiscal year ending December 31, 2022, and continuing until (and including) the fiscal year ending December 31, 2025, 338,106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and (y) beginning with the fiscal year ending December 31, 2026, and continuing until (and including) the fiscal year ending December 31, 2030, 3,000,000, and (iii) an amount determined by the board of directors. Our board of directors believes that if this proposal is not approved, we may be at a disadvantage against our competitors when competing for qualified personnel, which could result in the need to increase cash compensation, thereby reducing resources available to meet our business needs.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the Company’s Amended and Restated ESPP, as required by the Internal Revenue Code. </w:t>
      </w:r>
    </w:p>
    <w:p>
      <w:pPr>
        <w:pStyle w:val="TextBody"/>
        <w:bidi w:val="0"/>
        <w:spacing w:before="24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ESPP is to assist eligible employees of the Company and its designated affiliates in acquiring stock ownership interest in the Company. The following is a summary of the material terms of the ESPP, which is qualified by reference to the complete text of the ESPP, as amended and restated, a copy of which is attached as Annex B to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employees of the Company who meet certain service requirements are eligible to participate in the ESPP. However, employees who own 5% or more of the total combined voting power or value of the Company’s stock are not eligible to participate. As of April 25, 2025, approximately 285 employees are eligible to participate in the ESPP.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includes two components: (a) a component intended to qualify as an “employee stock purchase plan” under Section 423 of the Internal Revenue Code of 1986, as amended (Code) (423 Component) and (b) a component that does not qualify as an “employee stock purchase plan” under Section 423 of the Code (Non-423 Component), under which options shall be granted in ways designed by the compensation committee to achieve desirable tax outcomes or other objectives for plan participants and the Company. Except as otherwise provided in the ESPP, both components will operate and be administered in the same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operates with successive six-month offering periods. Unless otherwise specified by the compensation committee, these offering periods begin on September 1st and March 1st of each year (or if such dates are not trading days, then the first trading day immediately following such dates). During these offering periods, participants can elect to purchase shares of the Company’s Common Stock through payroll deductions.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Participants may contribute up to 15% of their earnings towards the purchase of Common Stock. These contributions are made through payroll deductions, which accumulate during the offering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for shares under the ESPP is generally set at 85% of the fair market value of the Company’s Common Stock on either the first or last day of the offering period, whichever is lower. However, the compensation committee may, at is discretion, choose a higher per share purchase price, so long as that price is communicated to plan participants prior to the beginning of the offering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amended, an additional 1,451,000 shares of Common Stock will be reserved for issuance under the ESPP. The maximum number of shares available under the ESPP will automatically increase on the first trading day of each calendar year by an amount equal to the lesser of (i) 1% of the shares of Common Stock issued and outstanding on December 31st of the immediately preceding calendar year, (ii) 3,000,000, and (iii) an amount determined by the board of directors. As of April 25, 2025, the closing sales price per share of the Company’s Common Stock was $0.54.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Rights granted under the ESPP are not transferable by the participant other than by will or the laws of descent and distribution. During the participant’s lifetime, the rights are exercisable only by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will be administered by the compensation committee or a designee of the compensation committee. The ESPP may be amended by the Company’s board of directors or compensation committee but may not be amended without prior stockholder approval to the extent required by Section 423 of the Code.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shall continue in effect until the earlier of (i) the termination of the ESPP by the Company’s board of directors or the compensation committee pursuant to the terms of the ESPP and (ii) the ten-year anniversary of the effective date of the amended and restated ESPP, with no new offering periods commencing on or after such ten-year anniversary.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United States federal income tax consequences generally arising with respect to the ESPP. This discussion does not address all aspects of the United States federal income tax consequences of participating in the ESPP that may be relevant to participants in light of their personal investment or tax circumstances and does not discuss any state, local or non-United States tax consequences of participating in the ESPP. Each participant is advised to consult his or her personal tax advisor concerning the application of the United States federal income tax laws to such participant’s particular situation, as well as the applicability and effect of any state, local or non-United States tax laws before taking any actions with respect to the ESPP.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423 Component Offerings </w:t>
      </w:r>
    </w:p>
    <w:p>
      <w:pPr>
        <w:pStyle w:val="TextBody"/>
        <w:bidi w:val="0"/>
        <w:spacing w:before="120" w:after="0"/>
        <w:jc w:val="left"/>
        <w:rPr>
          <w:rFonts w:ascii="Times New Roman" w:hAnsi="Times New Roman"/>
          <w:sz w:val="20"/>
        </w:rPr>
      </w:pPr>
      <w:r>
        <w:rPr>
          <w:rFonts w:ascii="Times New Roman" w:hAnsi="Times New Roman"/>
          <w:sz w:val="20"/>
        </w:rPr>
        <w:t xml:space="preserve">Under the 423 Component of the ESPP, no taxable income will be recognized by a participant, and no deductions will be allowable to the Company (or, if applicable, the affiliate employer), upon either the grant or the exercise of the purchase rights. Taxable income will not be recognized until there is a sale or other disposition of the shares acquired under the ESPP or in the event the participant should die while still owning the purchased shares.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purchased shares within two years after the start date of the option period in which the shares were acquired or within one year after the actual purchase date of those shares, whichever is later, then the participant will recognize ordinary income, in the year of sale or disposition, equal to the amount by which the fair market value of the shares on the purchase date exceeded the purchase price paid for those shares, and the Company (or, if appliable, the affiliate employer) will be entitled to an income tax deduction (subject to applicable limits under the Code, including, if applicable, those imposed by Section 162(m) of the Code), for the taxable year equal to the amount recognized as ordinary income by the participant. The amount of this ordinary income will be added to the participant’s basis in the shares and any resulting gain or loss recognized upon the sale or disposition will be a capital gain or loss. If the shares have been held for more than one year since the date of purchase, the gain or loss will be long-term.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disposes of the purchased shares more than two years after the start date of the option period in which the shares were acquired and more than one year after the actual purchase date of those shares (a “qualifying disposition”), then the participant will recognize ordinary income in the year of sale or disposition equal to the lesser of (a) the amount by which the fair market value of the shares on the sale or disposition date exceeded the purchase price paid for those shares or (b) the applicable purchase price discount on the purchased shares, measured against the fair market value of the shares on the first day of that option period. Any additional gain upon the disposition will be taxed as a long-term capital gain. Alternatively, if the fair market value of the shares on the date of the sale or disposition is less than the purchase price, there will be no ordinary income and any loss recognized will be a long-term capital loss. The Company (or, if applicable, the affiliate employer) will not be entitled to an income tax deduction with respect to a qualifying disposition.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still owns the purchased shares at the time of death, the lesser of (i) the amount by which the fair market value of the shares on the date of death exceeds the purchase price or (ii) the applicable purchase price discount on the purchased shares, measured against the fair market value of the shares on the first day of the option period in which those shares were acquired will constitute ordinary income in the year of death. The Company (or, if applicable, the affiliate employer) will not be entitled to an income tax deduction with respect to a qualifying disposition.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Non-423 Component Offerings </w:t>
      </w:r>
    </w:p>
    <w:p>
      <w:pPr>
        <w:pStyle w:val="TextBody"/>
        <w:bidi w:val="0"/>
        <w:spacing w:before="120" w:after="0"/>
        <w:jc w:val="left"/>
        <w:rPr>
          <w:rFonts w:ascii="Times New Roman" w:hAnsi="Times New Roman"/>
          <w:sz w:val="20"/>
        </w:rPr>
      </w:pPr>
      <w:r>
        <w:rPr>
          <w:rFonts w:ascii="Times New Roman" w:hAnsi="Times New Roman"/>
          <w:sz w:val="20"/>
        </w:rPr>
        <w:t xml:space="preserve">If a purchase right is granted under the Non-423 Component of the ESPP, then to the extent a participant is subject to U.S. federal income tax, the participant will recognize ordinary income, in the year of purchase, in an amount equal to the excess of the fair market value of the shares on the purchase date over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 The Company (or, if applicable, the affiliate employer) may be entitled to a deduction in the year of purchase equal to the amount of ordinary income realized by the participant (subject to applicable limits under the Code, including, if applicable, those imposed by Section 162(m)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of the U.S. federal income taxation of participants and the Company as to the participation in the ESPP. This discussion is not intended to be exhaustive and does not provide tax guidance to participants in the ESPP, as the consequences may vary. The summary does not address the effects of other federal taxes (including employment taxes or excise taxes, or taxability under Section 409A of the Code) or taxes imposed under state, local, or non-U.S. tax laws. The summary is not intended or written to be used, and cannot be used, for the purposes of avoiding tax penalties. </w:t>
      </w:r>
    </w:p>
    <w:p>
      <w:pPr>
        <w:pStyle w:val="TextBody"/>
        <w:bidi w:val="0"/>
        <w:spacing w:before="24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approve this proposal, we will file with the SEC, as soon as reasonably practicable after such approval, a registration statement of Form S-8 relating to the additional shares available for issuance under the amended and restated ESPP. </w:t>
      </w:r>
    </w:p>
    <w:p>
      <w:pPr>
        <w:pStyle w:val="TextBody"/>
        <w:bidi w:val="0"/>
        <w:spacing w:before="240" w:after="0"/>
        <w:jc w:val="left"/>
        <w:rPr>
          <w:rFonts w:ascii="Times New Roman" w:hAnsi="Times New Roman"/>
          <w:b/>
          <w:sz w:val="20"/>
        </w:rPr>
      </w:pPr>
      <w:r>
        <w:rPr>
          <w:rFonts w:ascii="Times New Roman" w:hAnsi="Times New Roman"/>
          <w:b/>
          <w:sz w:val="20"/>
        </w:rPr>
        <w:t xml:space="preserve">Plan Benefits </w:t>
      </w:r>
    </w:p>
    <w:p>
      <w:pPr>
        <w:pStyle w:val="TextBody"/>
        <w:bidi w:val="0"/>
        <w:spacing w:before="120" w:after="0"/>
        <w:jc w:val="left"/>
        <w:rPr>
          <w:rFonts w:ascii="Times New Roman" w:hAnsi="Times New Roman"/>
          <w:sz w:val="20"/>
        </w:rPr>
      </w:pPr>
      <w:r>
        <w:rPr>
          <w:rFonts w:ascii="Times New Roman" w:hAnsi="Times New Roman"/>
          <w:sz w:val="20"/>
        </w:rPr>
        <w:t xml:space="preserve">It is not possible to determine how many eligible employees will participate in the ESPP in the future or their level of participation. Therefore, it is not possible to determine with certainty the dollar value or number of shares of Company Common Stock that will be distributed under the ESPP. Our non-employee directors do not participate in the ESPP. During 2024, Mr. Hutton, Ms. Harper Cowie and Mr. O’Kane purchased 16,139, 10,000 and 13,231 shares of Company Common Stock, respectively, under the ESPP. During 2024, our executive officers as a group purchased 39,370 shares of Company Common Stock under the ESPP, and our employees as a group (other than executive officers) purchased 432,473 shares of Company Common Stock under the ESPP.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120"/>
        <w:gridCol w:w="7934"/>
        <w:gridCol w:w="60"/>
        <w:gridCol w:w="466"/>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460" w:type="dxa"/>
            <w:gridSpan w:val="3"/>
            <w:tcBorders/>
            <w:vAlign w:val="center"/>
          </w:tcPr>
          <w:p>
            <w:pPr>
              <w:pStyle w:val="TableContents"/>
              <w:bidi w:val="0"/>
              <w:spacing w:before="0" w:after="283"/>
              <w:jc w:val="left"/>
              <w:rPr/>
            </w:pPr>
            <w:r>
              <w:rPr/>
              <w:t>Approval of the amendment and restatement of the ESPP requires the affirmative vote of a majority of the shares present or represented by proxy and entitled to vote on such matter at the Annual Meeting. Abstentions have the same impact as votes “Against” the proposal. Brokers do not have discretion to vote on this proposal.</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8054" w:type="dxa"/>
            <w:gridSpan w:val="2"/>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 Recommendation:</w:t>
            </w:r>
          </w:p>
        </w:tc>
        <w:tc>
          <w:tcPr>
            <w:tcW w:w="12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b/>
                <w:color w:val="305494"/>
              </w:rPr>
            </w:pPr>
            <w:r>
              <w:rPr>
                <w:b/>
                <w:color w:val="305494"/>
              </w:rPr>
              <w:t xml:space="preserve">OUR BOARD OF DIRECTORS UNANIMOUSLY RECOMMENDS A VOTE “FOR” THE APPROVAL OF THE COMPANY’S AMENDED AND RESTATED ESPP TO INCREASE THE NUMBER OF SHARES RESERVED FOR ISSUANCE AND PROVIDED BY THE AUTOMATIC INCREASE THAT OCCURS ANNUALLY UNDER THE COMPANY’S ESPP.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drawing>
                <wp:inline distT="0" distB="0" distL="0" distR="0">
                  <wp:extent cx="279400" cy="387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305494"/>
          <w:sz w:val="32"/>
        </w:rPr>
      </w:pPr>
      <w:bookmarkStart w:id="41" w:name="toc921496_44"/>
      <w:bookmarkEnd w:id="41"/>
      <w:r>
        <w:rPr>
          <w:rFonts w:ascii="Times New Roman" w:hAnsi="Times New Roman"/>
          <w:b/>
          <w:color w:val="305494"/>
          <w:sz w:val="32"/>
        </w:rPr>
        <w:t xml:space="preserve">ADDITIONAL INFORMATION </w:t>
      </w:r>
    </w:p>
    <w:p>
      <w:pPr>
        <w:pStyle w:val="TextBody"/>
        <w:bidi w:val="0"/>
        <w:spacing w:before="240" w:after="0"/>
        <w:jc w:val="left"/>
        <w:rPr>
          <w:rFonts w:ascii="Times New Roman" w:hAnsi="Times New Roman"/>
          <w:color w:val="305494"/>
          <w:sz w:val="28"/>
        </w:rPr>
      </w:pPr>
      <w:bookmarkStart w:id="42" w:name="toc921496_45"/>
      <w:bookmarkEnd w:id="42"/>
      <w:r>
        <w:rPr>
          <w:rFonts w:ascii="Times New Roman" w:hAnsi="Times New Roman"/>
          <w:color w:val="305494"/>
          <w:sz w:val="28"/>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bidi w:val="0"/>
        <w:spacing w:before="240" w:after="0"/>
        <w:jc w:val="left"/>
        <w:rPr>
          <w:rFonts w:ascii="Times New Roman" w:hAnsi="Times New Roman"/>
          <w:color w:val="305494"/>
          <w:sz w:val="28"/>
        </w:rPr>
      </w:pPr>
      <w:bookmarkStart w:id="43" w:name="toc921496_46"/>
      <w:bookmarkEnd w:id="43"/>
      <w:r>
        <w:rPr>
          <w:rFonts w:ascii="Times New Roman" w:hAnsi="Times New Roman"/>
          <w:color w:val="305494"/>
          <w:sz w:val="28"/>
        </w:rPr>
        <w:t xml:space="preserve">Stockholder Proposals and Nominations for Next Year’s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considered for inclusion in the proxy materials for our 2026 annual meeting of stockholders, proposals submitted by stockholders pursuant to Rule 14a-8 under the Exchange Act must be received by our Corporate Secretary at Biodesix, Inc., 919 West Dillon Rd., Louisville, CO 80027 on or before December 11, 2025, and also must otherwise comply with the procedures and requirements set forth in Rule 14a-8. </w:t>
      </w:r>
    </w:p>
    <w:p>
      <w:pPr>
        <w:pStyle w:val="TextBody"/>
        <w:bidi w:val="0"/>
        <w:spacing w:before="240" w:after="0"/>
        <w:jc w:val="left"/>
        <w:rPr>
          <w:rFonts w:ascii="Times New Roman" w:hAnsi="Times New Roman"/>
          <w:sz w:val="20"/>
        </w:rPr>
      </w:pPr>
      <w:r>
        <w:rPr>
          <w:rFonts w:ascii="Times New Roman" w:hAnsi="Times New Roman"/>
          <w:sz w:val="20"/>
        </w:rPr>
        <w:t xml:space="preserve">Alternatively, stockholders intending to present a proposal (outside of the process established in Rule 14a-8) or nominate a director for election at our 2025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120th day, and no later than the close of business on the 90th day, prior to the first anniversary of the preceding year’s annual meeting of stockholders. Accordingly, for our 2026 annual meeting of stockholders, our Corporate Secretary must receive the proposal or nomination no earlier than January 20, 2026 and no later than the close of business on February 19, 2026. The proposal or nomination must contain the information required by our bylaws and otherwise comply with the requirements set forth in our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21, 2026. </w:t>
      </w:r>
    </w:p>
    <w:p>
      <w:pPr>
        <w:pStyle w:val="TextBody"/>
        <w:bidi w:val="0"/>
        <w:spacing w:before="240" w:after="0"/>
        <w:jc w:val="left"/>
        <w:rPr>
          <w:rFonts w:ascii="Times New Roman" w:hAnsi="Times New Roman"/>
          <w:color w:val="305494"/>
          <w:sz w:val="28"/>
        </w:rPr>
      </w:pPr>
      <w:bookmarkStart w:id="44" w:name="toc921496_47"/>
      <w:bookmarkEnd w:id="44"/>
      <w:r>
        <w:rPr>
          <w:rFonts w:ascii="Times New Roman" w:hAnsi="Times New Roman"/>
          <w:color w:val="305494"/>
          <w:sz w:val="28"/>
        </w:rPr>
        <w:t xml:space="preserve">Availability of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A copy the 2024 Annual Report on Form 10-K as filed with the SEC is available free of charge on our website at www.biodesix.com or on the SEC’s website at www.sec.gov. Stockholders may also obtain a copy of our 2024 Annual Report on Form 10-K, including financial statements but excluding exhibits, without charge by sending a written request to: Biodesix, Inc., Attention: Corporate Secretary, 919 West Dillon Rd., Louisville, CO 80027.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45" w:name="toc921496_48"/>
      <w:bookmarkEnd w:id="45"/>
      <w:r>
        <w:rPr>
          <w:rFonts w:ascii="Times New Roman" w:hAnsi="Times New Roman"/>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BIODESIX, INC. </w:t>
      </w:r>
    </w:p>
    <w:p>
      <w:pPr>
        <w:pStyle w:val="TextBody"/>
        <w:bidi w:val="0"/>
        <w:spacing w:before="240" w:after="0"/>
        <w:jc w:val="left"/>
        <w:rPr>
          <w:rFonts w:ascii="Times New Roman" w:hAnsi="Times New Roman"/>
          <w:sz w:val="20"/>
        </w:rPr>
      </w:pPr>
      <w:r>
        <w:rPr>
          <w:rFonts w:ascii="Times New Roman" w:hAnsi="Times New Roman"/>
          <w:sz w:val="20"/>
        </w:rPr>
        <w:t xml:space="preserve">Biodesix,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b/>
          <w:sz w:val="20"/>
        </w:rPr>
        <w:t>FIRST: </w:t>
      </w:r>
      <w:r>
        <w:rPr>
          <w:rFonts w:ascii="Times New Roman" w:hAnsi="Times New Roman"/>
          <w:sz w:val="20"/>
        </w:rPr>
        <w:t xml:space="preserve">The name of the Corporation is Biodesix, Inc. The Corporation was originally incorporated under the name Elston Technologies, Inc. The Corporation’s original certificate of incorporation was filed with the office of the Secretary of State of the State of Delaware on December 23, 2005, and amended on October 30, 2020 (as amended,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SECOND: </w:t>
      </w:r>
      <w:r>
        <w:rPr>
          <w:rFonts w:ascii="Times New Roman" w:hAnsi="Times New Roman"/>
          <w:sz w:val="20"/>
        </w:rPr>
        <w:t xml:space="preserve">This amendment to the Certificate of Incorporation has been duly authorized by the directors and the requisite stockholders of the Corporation in accordance with the provisions of Sections 228 and 242 of the Delaware General Corporation Law. </w:t>
      </w:r>
    </w:p>
    <w:p>
      <w:pPr>
        <w:pStyle w:val="TextBody"/>
        <w:bidi w:val="0"/>
        <w:spacing w:before="240" w:after="0"/>
        <w:jc w:val="left"/>
        <w:rPr>
          <w:rFonts w:ascii="Times New Roman" w:hAnsi="Times New Roman"/>
          <w:sz w:val="20"/>
        </w:rPr>
      </w:pPr>
      <w:r>
        <w:rPr>
          <w:rFonts w:ascii="Times New Roman" w:hAnsi="Times New Roman"/>
          <w:b/>
          <w:sz w:val="20"/>
        </w:rPr>
        <w:t>THIRD: </w:t>
      </w:r>
      <w:r>
        <w:rPr>
          <w:rFonts w:ascii="Times New Roman" w:hAnsi="Times New Roman"/>
          <w:sz w:val="20"/>
        </w:rPr>
        <w:t xml:space="preserve">The Certificate of Incorporation is hereby amended in the form set forth in the following resolution: </w:t>
      </w:r>
    </w:p>
    <w:p>
      <w:pPr>
        <w:pStyle w:val="TextBody"/>
        <w:bidi w:val="0"/>
        <w:spacing w:before="240" w:after="0"/>
        <w:jc w:val="left"/>
        <w:rPr>
          <w:rFonts w:ascii="Times New Roman" w:hAnsi="Times New Roman"/>
          <w:sz w:val="20"/>
        </w:rPr>
      </w:pPr>
      <w:r>
        <w:rPr>
          <w:rFonts w:ascii="Times New Roman" w:hAnsi="Times New Roman"/>
          <w:sz w:val="20"/>
        </w:rPr>
        <w:t xml:space="preserve">RESOLVED: The Certificate of Incorporation is hereby amended to include a new Section 4.5 in Article IV as follows: </w:t>
      </w:r>
    </w:p>
    <w:p>
      <w:pPr>
        <w:pStyle w:val="TextBody"/>
        <w:bidi w:val="0"/>
        <w:spacing w:before="120" w:after="0"/>
        <w:jc w:val="left"/>
        <w:rPr>
          <w:rFonts w:ascii="Times New Roman" w:hAnsi="Times New Roman"/>
          <w:sz w:val="20"/>
        </w:rPr>
      </w:pPr>
      <w:r>
        <w:rPr>
          <w:rFonts w:ascii="Times New Roman" w:hAnsi="Times New Roman"/>
          <w:sz w:val="20"/>
        </w:rPr>
        <w:t xml:space="preserve">4.5 Reverse Stock Split. Upon the filing and effectiveness of this Certificate of Amendment of the Certificate of Incorporation with the Secretary of State of the State of Delaware, each [ ]2 shares of Common Stock either issued and outstanding or held by the Corporation in treasury stock immediately prior to the Effective Time (as defined below) shall, automatically and without any action on the part of the respective holders thereof, be combined and converted into one (1) share of Common Stock without increasing or decreasing the par value of each share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No fractional interest in a share of Common Stock shall be deliverable upon the Reverse Stock Split. All shares of Common Stock (including fractions thereof) issuable upon the Reverse Stock Split held by a holder prior to the Reverse Stock Split shall be aggregated for purposes of determining whether the Reverse Stock Split would result in the issuance of any fractional share. Any fractional share resulting from such aggregation upon the Reverse Stock Split shall be rounded down to the nearest whole number. Each holder who would otherwise be entitled to a fraction of a share of Common Stock upon the Reverse Stock Split (after aggregating all fractions of a share to which such stockholder would otherwise be entitled) shall, in lieu thereof, be entitled to receive a cash payment (without interest) in an amount equal to the fraction to which the stockholder would otherwise be entitled multiplied by the closing price of the Corporation’s Common Stock as reported by The Nasdaq Stock Market LLC on the last trading day prior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approves the combination of not less than 2 nor more than 20 shares of the Corporation’s Common Stock into one share of the Corporation’s Common Stock, with the specific ratio and the implementation and timing of such Reverse Stock Split to be determined in the discretion of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stakeholders.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 </w:t>
            </w:r>
          </w:p>
        </w:tc>
      </w:tr>
    </w:tbl>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A-1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effective date of the Reverse Stock Split (as adjusted to give effect to the Reverse Stock Split). The Corporation shall not be obliged to issue certificates evidencing the shares of Common Stock outstanding as a result of the Reverse Stock Split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w:t>
      </w:r>
    </w:p>
    <w:p>
      <w:pPr>
        <w:pStyle w:val="TextBody"/>
        <w:bidi w:val="0"/>
        <w:spacing w:before="240" w:after="0"/>
        <w:jc w:val="left"/>
        <w:rPr>
          <w:rFonts w:ascii="Times New Roman" w:hAnsi="Times New Roman"/>
          <w:sz w:val="20"/>
        </w:rPr>
      </w:pPr>
      <w:r>
        <w:rPr>
          <w:rFonts w:ascii="Times New Roman" w:hAnsi="Times New Roman"/>
          <w:b/>
          <w:sz w:val="20"/>
        </w:rPr>
        <w:t>FOURTH: </w:t>
      </w:r>
      <w:r>
        <w:rPr>
          <w:rFonts w:ascii="Times New Roman" w:hAnsi="Times New Roman"/>
          <w:sz w:val="20"/>
        </w:rPr>
        <w:t xml:space="preserve">The Certificate of Amendment of the Certificate of Incorporation so adopted reads in full as set forth above and is hereby incorporated herein by this reference. All other provisions of the Certificate of Incorporation remain in full force and effect. </w:t>
      </w:r>
    </w:p>
    <w:p>
      <w:pPr>
        <w:pStyle w:val="TextBody"/>
        <w:bidi w:val="0"/>
        <w:spacing w:before="240" w:after="0"/>
        <w:jc w:val="left"/>
        <w:rPr>
          <w:rFonts w:ascii="Times New Roman" w:hAnsi="Times New Roman"/>
          <w:sz w:val="20"/>
        </w:rPr>
      </w:pPr>
      <w:r>
        <w:rPr>
          <w:rFonts w:ascii="Times New Roman" w:hAnsi="Times New Roman"/>
          <w:b/>
          <w:sz w:val="20"/>
        </w:rPr>
        <w:t>FIFTH: </w:t>
      </w:r>
      <w:r>
        <w:rPr>
          <w:rFonts w:ascii="Times New Roman" w:hAnsi="Times New Roman"/>
          <w:sz w:val="20"/>
        </w:rPr>
        <w:t xml:space="preserve">The foregoing amendment shall be effective as of 12:01 a.m., Eastern Time, on [DATE], 202[5]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Corporation has caused this Certificate of Amendment to be signed on </w:t>
      </w:r>
      <w:r>
        <w:rPr>
          <w:rFonts w:ascii="Times New Roman" w:hAnsi="Times New Roman"/>
          <w:sz w:val="20"/>
          <w:u w:val="single"/>
        </w:rPr>
        <w:t>    </w:t>
      </w:r>
      <w:r>
        <w:rPr>
          <w:rFonts w:ascii="Times New Roman" w:hAnsi="Times New Roman"/>
          <w:sz w:val="20"/>
        </w:rPr>
        <w:t xml:space="preserve">, 202[5].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560"/>
        <w:gridCol w:w="60"/>
        <w:gridCol w:w="222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b/>
              </w:rPr>
            </w:pPr>
            <w:r>
              <w:rPr>
                <w:b/>
              </w:rPr>
              <w:t>BIODESIX,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2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Robin Harper Cowie</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A-2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46" w:name="toc921496_49"/>
      <w:bookmarkEnd w:id="46"/>
      <w:r>
        <w:rPr>
          <w:rFonts w:ascii="Times New Roman" w:hAnsi="Times New Roman"/>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B</w:t>
      </w:r>
      <w:r>
        <w:rPr>
          <w:rFonts w:ascii="Times New Roman" w:hAnsi="Times New Roman"/>
          <w:b/>
          <w:sz w:val="20"/>
          <w:u w:val="single"/>
        </w:rPr>
        <w:t>IODESIX</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E</w:t>
      </w:r>
      <w:r>
        <w:rPr>
          <w:rFonts w:ascii="Times New Roman" w:hAnsi="Times New Roman"/>
          <w:b/>
          <w:sz w:val="20"/>
          <w:u w:val="single"/>
        </w:rPr>
        <w:t>MPLOYEE</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ESTATED</w:t>
      </w:r>
      <w:r>
        <w:rPr>
          <w:rFonts w:ascii="Times New Roman" w:hAnsi="Times New Roman"/>
          <w:b/>
          <w:sz w:val="20"/>
        </w:rPr>
        <w:t xml:space="preserve"> E</w:t>
      </w:r>
      <w:r>
        <w:rPr>
          <w:rFonts w:ascii="Times New Roman" w:hAnsi="Times New Roman"/>
          <w:b/>
          <w:sz w:val="20"/>
          <w:u w:val="single"/>
        </w:rPr>
        <w:t>FFECTIVE</w:t>
      </w:r>
      <w:r>
        <w:rPr>
          <w:rFonts w:ascii="Times New Roman" w:hAnsi="Times New Roman"/>
          <w:b/>
          <w:sz w:val="20"/>
        </w:rPr>
        <w:t xml:space="preserve"> A</w:t>
      </w:r>
      <w:r>
        <w:rPr>
          <w:rFonts w:ascii="Times New Roman" w:hAnsi="Times New Roman"/>
          <w:b/>
          <w:sz w:val="20"/>
          <w:u w:val="single"/>
        </w:rPr>
        <w:t>PRIL</w:t>
      </w:r>
      <w:r>
        <w:rPr>
          <w:rFonts w:ascii="Times New Roman" w:hAnsi="Times New Roman"/>
          <w:b/>
          <w:sz w:val="20"/>
        </w:rPr>
        <w:t xml:space="preserve"> 15, 2025)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P</w:t>
      </w:r>
      <w:r>
        <w:rPr>
          <w:rFonts w:ascii="Times New Roman" w:hAnsi="Times New Roman"/>
          <w:b/>
          <w:sz w:val="20"/>
          <w:u w:val="single"/>
        </w:rPr>
        <w:t>URPOSE</w:t>
      </w:r>
      <w:r>
        <w:rPr>
          <w:rFonts w:ascii="Times New Roman" w:hAnsi="Times New Roman"/>
          <w:b/>
          <w:sz w:val="20"/>
        </w:rPr>
        <w:t>.</w:t>
      </w:r>
      <w:r>
        <w:rPr>
          <w:rFonts w:ascii="Times New Roman" w:hAnsi="Times New Roman"/>
          <w:sz w:val="20"/>
        </w:rPr>
        <w:t xml:space="preserve"> The purpose of the Biodesix, Inc. Employee Share Purchase Plan (this “</w:t>
      </w:r>
      <w:r>
        <w:rPr>
          <w:rFonts w:ascii="Times New Roman" w:hAnsi="Times New Roman"/>
          <w:b/>
          <w:i/>
          <w:sz w:val="20"/>
        </w:rPr>
        <w:t>Plan</w:t>
      </w:r>
      <w:r>
        <w:rPr>
          <w:rFonts w:ascii="Times New Roman" w:hAnsi="Times New Roman"/>
          <w:sz w:val="20"/>
        </w:rPr>
        <w:t xml:space="preserve">”)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 This Plan is amended and restated as set forth herein and such amendment and restatement shall apply to Offering Periods beginning on or after March 1, 2025. </w:t>
      </w:r>
    </w:p>
    <w:p>
      <w:pPr>
        <w:pStyle w:val="TextBody"/>
        <w:bidi w:val="0"/>
        <w:spacing w:before="240" w:after="0"/>
        <w:jc w:val="left"/>
        <w:rPr>
          <w:rFonts w:ascii="Times New Roman" w:hAnsi="Times New Roman"/>
          <w:sz w:val="20"/>
        </w:rPr>
      </w:pPr>
      <w:r>
        <w:rPr>
          <w:rFonts w:ascii="Times New Roman" w:hAnsi="Times New Roman"/>
          <w:sz w:val="20"/>
        </w:rPr>
        <w:t>This Plan includes two components: (a) a component intended to qualify as an “employee stock purchase plan” under Section 423 of the Code (the “</w:t>
      </w:r>
      <w:r>
        <w:rPr>
          <w:rFonts w:ascii="Times New Roman" w:hAnsi="Times New Roman"/>
          <w:b/>
          <w:i/>
          <w:sz w:val="20"/>
        </w:rPr>
        <w:t>423 Component</w:t>
      </w:r>
      <w:r>
        <w:rPr>
          <w:rFonts w:ascii="Times New Roman" w:hAnsi="Times New Roman"/>
          <w:sz w:val="20"/>
        </w:rPr>
        <w: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w:t>
      </w:r>
      <w:r>
        <w:rPr>
          <w:rFonts w:ascii="Times New Roman" w:hAnsi="Times New Roman"/>
          <w:b/>
          <w:i/>
          <w:sz w:val="20"/>
        </w:rPr>
        <w:t>Non-423 Component</w:t>
      </w:r>
      <w:r>
        <w:rPr>
          <w:rFonts w:ascii="Times New Roman" w:hAnsi="Times New Roman"/>
          <w:sz w:val="20"/>
        </w:rPr>
        <w:t xml:space="preserve">”),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w:t>
      </w:r>
      <w:r>
        <w:rPr>
          <w:rFonts w:ascii="Times New Roman" w:hAnsi="Times New Roman"/>
          <w:sz w:val="20"/>
        </w:rPr>
        <w:t xml:space="preserve"> As used herein, the terms set forth below have the meanings assigned to them in this Section 2 and shall include the plural as well as the singular, as appropriate. </w:t>
      </w:r>
    </w:p>
    <w:p>
      <w:pPr>
        <w:pStyle w:val="TextBody"/>
        <w:bidi w:val="0"/>
        <w:spacing w:before="240" w:after="0"/>
        <w:jc w:val="left"/>
        <w:rPr/>
      </w:pPr>
      <w:r>
        <w:rPr/>
        <w:t>“</w:t>
      </w:r>
      <w:r>
        <w:rPr>
          <w:rFonts w:ascii="Times New Roman" w:hAnsi="Times New Roman"/>
          <w:b/>
          <w:i/>
          <w:sz w:val="20"/>
        </w:rPr>
        <w:t>1933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1934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Board</w:t>
      </w:r>
      <w:r>
        <w:rPr>
          <w:rFonts w:ascii="Times New Roman" w:hAnsi="Times New Roman"/>
          <w:sz w:val="20"/>
        </w:rPr>
        <w:t xml:space="preserve">” means the Board of Directors of Biodesix, Inc.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shall mean a day on which NASDAQ is open for trading. </w:t>
      </w:r>
    </w:p>
    <w:p>
      <w:pPr>
        <w:pStyle w:val="TextBody"/>
        <w:bidi w:val="0"/>
        <w:spacing w:before="240" w:after="0"/>
        <w:jc w:val="left"/>
        <w:rPr/>
      </w:pPr>
      <w:r>
        <w:rPr/>
        <w:t>“</w:t>
      </w:r>
      <w:r>
        <w:rPr>
          <w:rFonts w:ascii="Times New Roman" w:hAnsi="Times New Roman"/>
          <w:b/>
          <w:i/>
          <w:sz w:val="20"/>
        </w:rPr>
        <w:t>Brokerage Account</w:t>
      </w:r>
      <w:r>
        <w:rPr>
          <w:rFonts w:ascii="Times New Roman" w:hAnsi="Times New Roman"/>
          <w:sz w:val="20"/>
        </w:rPr>
        <w:t xml:space="preserve">” means the account in which the Purchased Shares may be held.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i/>
          <w:sz w:val="20"/>
        </w:rPr>
        <w:t>Committee</w:t>
      </w:r>
      <w:r>
        <w:rPr>
          <w:rFonts w:ascii="Times New Roman" w:hAnsi="Times New Roman"/>
          <w:sz w:val="20"/>
        </w:rPr>
        <w:t xml:space="preserve">” means the Compensation Committee of the Board, or the designee of the Compensation Committee.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Biodesix, Inc., a Delaware corporation, or any successor thereto. </w:t>
      </w:r>
    </w:p>
    <w:p>
      <w:pPr>
        <w:pStyle w:val="TextBody"/>
        <w:bidi w:val="0"/>
        <w:spacing w:before="240" w:after="0"/>
        <w:jc w:val="left"/>
        <w:rPr/>
      </w:pPr>
      <w:r>
        <w:rPr/>
        <w:t>“</w:t>
      </w:r>
      <w:r>
        <w:rPr>
          <w:rFonts w:ascii="Times New Roman" w:hAnsi="Times New Roman"/>
          <w:b/>
          <w:i/>
          <w:sz w:val="20"/>
        </w:rPr>
        <w:t>Compensation</w:t>
      </w:r>
      <w:r>
        <w:rPr>
          <w:rFonts w:ascii="Times New Roman" w:hAnsi="Times New Roman"/>
          <w:sz w:val="20"/>
        </w:rPr>
        <w:t xml:space="preserve">” means base pay, commissions, overtime, and vacation, holiday and sick pay. Compensation does not include: (1) income related to stock option awards, stock grants and 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 </w:t>
      </w:r>
    </w:p>
    <w:p>
      <w:pPr>
        <w:pStyle w:val="TextBody"/>
        <w:bidi w:val="0"/>
        <w:spacing w:before="240" w:after="0"/>
        <w:jc w:val="left"/>
        <w:rPr/>
      </w:pPr>
      <w:r>
        <w:rPr/>
        <w:t>“</w:t>
      </w:r>
      <w:r>
        <w:rPr>
          <w:rFonts w:ascii="Times New Roman" w:hAnsi="Times New Roman"/>
          <w:b/>
          <w:i/>
          <w:sz w:val="20"/>
        </w:rPr>
        <w:t>Employee</w:t>
      </w:r>
      <w:r>
        <w:rPr>
          <w:rFonts w:ascii="Times New Roman" w:hAnsi="Times New Roman"/>
          <w:sz w:val="20"/>
        </w:rPr>
        <w:t xml:space="preserve">” means any individual who is a common law employee of the Company or any other Participating Subsidiary. For purposes of the Plan, the employment relationship shall be treated as continuing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 </w:t>
      </w:r>
    </w:p>
    <w:p>
      <w:pPr>
        <w:pStyle w:val="TextBody"/>
        <w:bidi w:val="0"/>
        <w:spacing w:before="240" w:after="0"/>
        <w:jc w:val="left"/>
        <w:rPr/>
      </w:pPr>
      <w:r>
        <w:rPr/>
        <w:t>“</w:t>
      </w:r>
      <w:r>
        <w:rPr>
          <w:rFonts w:ascii="Times New Roman" w:hAnsi="Times New Roman"/>
          <w:b/>
          <w:i/>
          <w:sz w:val="20"/>
        </w:rPr>
        <w:t>Enrollment Date</w:t>
      </w:r>
      <w:r>
        <w:rPr>
          <w:rFonts w:ascii="Times New Roman" w:hAnsi="Times New Roman"/>
          <w:sz w:val="20"/>
        </w:rPr>
        <w:t xml:space="preserve">” means the first Business Day of each Offering Period. </w:t>
      </w:r>
    </w:p>
    <w:p>
      <w:pPr>
        <w:pStyle w:val="TextBody"/>
        <w:bidi w:val="0"/>
        <w:spacing w:before="240" w:after="0"/>
        <w:jc w:val="left"/>
        <w:rPr/>
      </w:pPr>
      <w:r>
        <w:rPr/>
        <w:t>“</w:t>
      </w:r>
      <w:r>
        <w:rPr>
          <w:rFonts w:ascii="Times New Roman" w:hAnsi="Times New Roman"/>
          <w:b/>
          <w:i/>
          <w:sz w:val="20"/>
        </w:rPr>
        <w:t>Exercise Date</w:t>
      </w:r>
      <w:r>
        <w:rPr>
          <w:rFonts w:ascii="Times New Roman" w:hAnsi="Times New Roman"/>
          <w:sz w:val="20"/>
        </w:rPr>
        <w:t xml:space="preserve">” means the last Business Day of each Offering Period (or, if determined by the Committee, the Purchase Period if different from the Offering Period). </w:t>
      </w:r>
    </w:p>
    <w:p>
      <w:pPr>
        <w:pStyle w:val="TextBody"/>
        <w:bidi w:val="0"/>
        <w:spacing w:before="240" w:after="0"/>
        <w:jc w:val="left"/>
        <w:rPr/>
      </w:pPr>
      <w:r>
        <w:rPr/>
        <w:t>“</w:t>
      </w:r>
      <w:r>
        <w:rPr>
          <w:rFonts w:ascii="Times New Roman" w:hAnsi="Times New Roman"/>
          <w:b/>
          <w:i/>
          <w:sz w:val="20"/>
        </w:rPr>
        <w:t>Fair Market Value</w:t>
      </w:r>
      <w:r>
        <w:rPr>
          <w:rFonts w:ascii="Times New Roman" w:hAnsi="Times New Roman"/>
          <w:sz w:val="20"/>
        </w:rPr>
        <w:t xml:space="preserve">” means the closing transaction price for a Share as reported on NASDAQ on the date as of which such value is being determined or, if the Common Stock is not listed on NASDAQ, the closing transaction price for a Share on the principal national stock exchange on which the Shares are traded on the date as of which such value is being determined or, if there shall be no reported transactions for such date, on the next preceding date for which transactions were reported.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 </w:t>
      </w:r>
    </w:p>
    <w:p>
      <w:pPr>
        <w:pStyle w:val="TextBody"/>
        <w:bidi w:val="0"/>
        <w:spacing w:before="240" w:after="0"/>
        <w:jc w:val="left"/>
        <w:rPr/>
      </w:pPr>
      <w:r>
        <w:rPr/>
        <w:t>“</w:t>
      </w:r>
      <w:r>
        <w:rPr>
          <w:rFonts w:ascii="Times New Roman" w:hAnsi="Times New Roman"/>
          <w:b/>
          <w:i/>
          <w:sz w:val="20"/>
        </w:rPr>
        <w:t>Offering Period</w:t>
      </w:r>
      <w:r>
        <w:rPr>
          <w:rFonts w:ascii="Times New Roman" w:hAnsi="Times New Roman"/>
          <w:sz w:val="20"/>
        </w:rPr>
        <w:t xml:space="preserve">” means every six-month period beginning the first Business Day of March and the first Business Day of September or such other period designated by the Committee; provided that in no event shall an Offering Period exceed 27 months, with the commencement of the first Offering Period to be determined by the Board or the Committee, as determined by the Board. Notwithstanding anything herein to the contrary, the Committee may establish an Offering Period with multiple Purchase Periods within such Offering Period. </w:t>
      </w:r>
    </w:p>
    <w:p>
      <w:pPr>
        <w:pStyle w:val="TextBody"/>
        <w:bidi w:val="0"/>
        <w:spacing w:before="240" w:after="0"/>
        <w:jc w:val="left"/>
        <w:rPr/>
      </w:pPr>
      <w:r>
        <w:rPr/>
        <w:t>“</w:t>
      </w:r>
      <w:r>
        <w:rPr>
          <w:rFonts w:ascii="Times New Roman" w:hAnsi="Times New Roman"/>
          <w:b/>
          <w:i/>
          <w:sz w:val="20"/>
        </w:rPr>
        <w:t>Option</w:t>
      </w:r>
      <w:r>
        <w:rPr>
          <w:rFonts w:ascii="Times New Roman" w:hAnsi="Times New Roman"/>
          <w:sz w:val="20"/>
        </w:rPr>
        <w:t xml:space="preserve">” means an option granted under this Plan that entitles a Participant to purchase Shares. </w:t>
      </w:r>
    </w:p>
    <w:p>
      <w:pPr>
        <w:pStyle w:val="TextBody"/>
        <w:bidi w:val="0"/>
        <w:spacing w:before="240" w:after="0"/>
        <w:jc w:val="left"/>
        <w:rPr/>
      </w:pPr>
      <w:r>
        <w:rPr/>
        <w:t>“</w:t>
      </w:r>
      <w:r>
        <w:rPr>
          <w:rFonts w:ascii="Times New Roman" w:hAnsi="Times New Roman"/>
          <w:b/>
          <w:i/>
          <w:sz w:val="20"/>
        </w:rPr>
        <w:t>Participant</w:t>
      </w:r>
      <w:r>
        <w:rPr>
          <w:rFonts w:ascii="Times New Roman" w:hAnsi="Times New Roman"/>
          <w:sz w:val="20"/>
        </w:rPr>
        <w:t xml:space="preserve">” means an Employee who satisfies the requirements of Sections 3 and 5 of the Plan. </w:t>
      </w:r>
    </w:p>
    <w:p>
      <w:pPr>
        <w:pStyle w:val="TextBody"/>
        <w:bidi w:val="0"/>
        <w:spacing w:before="240" w:after="0"/>
        <w:jc w:val="left"/>
        <w:rPr/>
      </w:pPr>
      <w:r>
        <w:rPr/>
        <w:t>“</w:t>
      </w:r>
      <w:r>
        <w:rPr>
          <w:rFonts w:ascii="Times New Roman" w:hAnsi="Times New Roman"/>
          <w:b/>
          <w:i/>
          <w:sz w:val="20"/>
        </w:rPr>
        <w:t>Participating Subsidiary</w:t>
      </w:r>
      <w:r>
        <w:rPr>
          <w:rFonts w:ascii="Times New Roman" w:hAnsi="Times New Roman"/>
          <w:sz w:val="20"/>
        </w:rPr>
        <w:t xml:space="preserve">” means each Subsidiary other than those that the Committee or the Board has excluded from participation in the Plan. </w:t>
      </w:r>
    </w:p>
    <w:p>
      <w:pPr>
        <w:pStyle w:val="TextBody"/>
        <w:bidi w:val="0"/>
        <w:spacing w:before="240" w:after="0"/>
        <w:jc w:val="left"/>
        <w:rPr/>
      </w:pPr>
      <w:r>
        <w:rPr/>
        <w:t>“</w:t>
      </w:r>
      <w:r>
        <w:rPr>
          <w:rFonts w:ascii="Times New Roman" w:hAnsi="Times New Roman"/>
          <w:b/>
          <w:i/>
          <w:sz w:val="20"/>
        </w:rPr>
        <w:t>Plan</w:t>
      </w:r>
      <w:r>
        <w:rPr>
          <w:rFonts w:ascii="Times New Roman" w:hAnsi="Times New Roman"/>
          <w:sz w:val="20"/>
        </w:rPr>
        <w:t xml:space="preserve">” means this Biodesix, Inc. Employee Stock Purchase Plan, as amended from time to time. </w:t>
      </w:r>
    </w:p>
    <w:p>
      <w:pPr>
        <w:pStyle w:val="TextBody"/>
        <w:bidi w:val="0"/>
        <w:spacing w:before="240" w:after="0"/>
        <w:jc w:val="left"/>
        <w:rPr/>
      </w:pPr>
      <w:r>
        <w:rPr/>
        <w:t>“</w:t>
      </w:r>
      <w:r>
        <w:rPr>
          <w:rFonts w:ascii="Times New Roman" w:hAnsi="Times New Roman"/>
          <w:b/>
          <w:i/>
          <w:sz w:val="20"/>
        </w:rPr>
        <w:t>Purchase Account</w:t>
      </w:r>
      <w:r>
        <w:rPr>
          <w:rFonts w:ascii="Times New Roman" w:hAnsi="Times New Roman"/>
          <w:sz w:val="20"/>
        </w:rPr>
        <w:t xml:space="preserve">” means the account used to purchase Shares through the exercise of Options under the Plan. </w:t>
      </w:r>
    </w:p>
    <w:p>
      <w:pPr>
        <w:pStyle w:val="TextBody"/>
        <w:bidi w:val="0"/>
        <w:spacing w:before="240" w:after="0"/>
        <w:jc w:val="left"/>
        <w:rPr/>
      </w:pPr>
      <w:r>
        <w:rPr/>
        <w:t>“</w:t>
      </w:r>
      <w:r>
        <w:rPr>
          <w:rFonts w:ascii="Times New Roman" w:hAnsi="Times New Roman"/>
          <w:b/>
          <w:i/>
          <w:sz w:val="20"/>
        </w:rPr>
        <w:t>Purchase Period</w:t>
      </w:r>
      <w:r>
        <w:rPr>
          <w:rFonts w:ascii="Times New Roman" w:hAnsi="Times New Roman"/>
          <w:sz w:val="20"/>
        </w:rPr>
        <w:t xml:space="preserve">” means the period designated by the Committee during which payroll deductions or other contributions of the Participants are accumulated under the Plan. A Purchase Period may coincide with an entire Offering Period or there may be multiple Purchase Periods within an Offering Period, as determined by the Committee prior to the commencement of the applicable Offering Period. </w:t>
      </w:r>
    </w:p>
    <w:p>
      <w:pPr>
        <w:pStyle w:val="TextBody"/>
        <w:bidi w:val="0"/>
        <w:spacing w:before="240" w:after="0"/>
        <w:jc w:val="left"/>
        <w:rPr/>
      </w:pPr>
      <w:r>
        <w:rPr/>
        <w:t>“</w:t>
      </w:r>
      <w:r>
        <w:rPr>
          <w:rFonts w:ascii="Times New Roman" w:hAnsi="Times New Roman"/>
          <w:b/>
          <w:i/>
          <w:sz w:val="20"/>
        </w:rPr>
        <w:t>Purchase Price</w:t>
      </w:r>
      <w:r>
        <w:rPr>
          <w:rFonts w:ascii="Times New Roman" w:hAnsi="Times New Roman"/>
          <w:sz w:val="20"/>
        </w:rPr>
        <w:t xml:space="preserve">” shall be the lesser of: (i) 85% percent of the Fair Market Value of a Share on the applicable Enrollment Date for an Offering Period and (ii) 85% percent of the Fair Market Value of a Share on the applicable Exercise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Purchased Shares</w:t>
      </w:r>
      <w:r>
        <w:rPr>
          <w:rFonts w:ascii="Times New Roman" w:hAnsi="Times New Roman"/>
          <w:sz w:val="20"/>
        </w:rPr>
        <w:t xml:space="preserve">” means the full Shares issued or delivered pursuant to the exercise of Options under the Plan. </w:t>
      </w:r>
    </w:p>
    <w:p>
      <w:pPr>
        <w:pStyle w:val="TextBody"/>
        <w:bidi w:val="0"/>
        <w:spacing w:before="240" w:after="0"/>
        <w:jc w:val="left"/>
        <w:rPr/>
      </w:pPr>
      <w:r>
        <w:rPr/>
        <w:t>“</w:t>
      </w:r>
      <w:r>
        <w:rPr>
          <w:rFonts w:ascii="Times New Roman" w:hAnsi="Times New Roman"/>
          <w:b/>
          <w:i/>
          <w:sz w:val="20"/>
        </w:rPr>
        <w:t>Registration Statement</w:t>
      </w:r>
      <w:r>
        <w:rPr>
          <w:rFonts w:ascii="Times New Roman" w:hAnsi="Times New Roman"/>
          <w:sz w:val="20"/>
        </w:rPr>
        <w:t xml:space="preserve">” means the registration statement on Form S-1 filed with the Securities and Exchange Commission for the initial public offering of the Common Stock. </w:t>
      </w:r>
    </w:p>
    <w:p>
      <w:pPr>
        <w:pStyle w:val="TextBody"/>
        <w:bidi w:val="0"/>
        <w:spacing w:before="240" w:after="0"/>
        <w:jc w:val="left"/>
        <w:rPr/>
      </w:pPr>
      <w:r>
        <w:rPr/>
        <w:t>“</w:t>
      </w:r>
      <w:r>
        <w:rPr>
          <w:rFonts w:ascii="Times New Roman" w:hAnsi="Times New Roman"/>
          <w:b/>
          <w:i/>
          <w:sz w:val="20"/>
        </w:rPr>
        <w:t>Shares</w:t>
      </w:r>
      <w:r>
        <w:rPr>
          <w:rFonts w:ascii="Times New Roman" w:hAnsi="Times New Roman"/>
          <w:sz w:val="20"/>
        </w:rPr>
        <w:t xml:space="preserve">” means shares of the common stock of the Company.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an entity, domestic or foreign, of which not less than 50% of the voting equity is held by the Company or a Subsidiary, whether or not such entity now exists or is hereafter organized or acquired by the Company or a Subsidiary; provided such entity is also a “subsidiary” within the meaning of Section 424 of the Code. </w:t>
      </w:r>
    </w:p>
    <w:p>
      <w:pPr>
        <w:pStyle w:val="TextBody"/>
        <w:bidi w:val="0"/>
        <w:spacing w:before="240" w:after="0"/>
        <w:jc w:val="left"/>
        <w:rPr/>
      </w:pPr>
      <w:r>
        <w:rPr/>
        <w:t>“</w:t>
      </w:r>
      <w:r>
        <w:rPr>
          <w:rFonts w:ascii="Times New Roman" w:hAnsi="Times New Roman"/>
          <w:b/>
          <w:i/>
          <w:sz w:val="20"/>
        </w:rPr>
        <w:t>Termination Date</w:t>
      </w:r>
      <w:r>
        <w:rPr>
          <w:rFonts w:ascii="Times New Roman" w:hAnsi="Times New Roman"/>
          <w:sz w:val="20"/>
        </w:rPr>
        <w:t xml:space="preserve">” means (i) the date on which a Participant terminates employment or on which the Participant ceases 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 </w:t>
      </w:r>
    </w:p>
    <w:p>
      <w:pPr>
        <w:pStyle w:val="TextBody"/>
        <w:bidi w:val="0"/>
        <w:spacing w:before="240" w:after="0"/>
        <w:jc w:val="left"/>
        <w:rPr>
          <w:rFonts w:ascii="Times New Roman" w:hAnsi="Times New Roman"/>
          <w:b/>
          <w:sz w:val="20"/>
        </w:rPr>
      </w:pPr>
      <w:r>
        <w:rPr>
          <w:rFonts w:ascii="Times New Roman" w:hAnsi="Times New Roman"/>
          <w:b/>
          <w:sz w:val="20"/>
        </w:rPr>
        <w:t>3.   E</w:t>
      </w:r>
      <w:r>
        <w:rPr>
          <w:rFonts w:ascii="Times New Roman" w:hAnsi="Times New Roman"/>
          <w:b/>
          <w:sz w:val="20"/>
          <w:u w:val="single"/>
        </w:rPr>
        <w:t>LIGIBILITY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Employees of the Company or a Participating Subsidiary shall be eligible to be granted Options under the Plan and, in no event may a Participant be granted an Option under the Plan following his or her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10,000 Shares during any Offering Period.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E</w:t>
      </w:r>
      <w:r>
        <w:rPr>
          <w:rFonts w:ascii="Times New Roman" w:hAnsi="Times New Roman"/>
          <w:b/>
          <w:sz w:val="20"/>
          <w:u w:val="single"/>
        </w:rPr>
        <w:t>XERCISE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AN</w:t>
      </w:r>
      <w:r>
        <w:rPr>
          <w:rFonts w:ascii="Times New Roman" w:hAnsi="Times New Roman"/>
          <w:b/>
          <w:sz w:val="20"/>
        </w:rPr>
        <w:t xml:space="preserve"> O</w:t>
      </w:r>
      <w:r>
        <w:rPr>
          <w:rFonts w:ascii="Times New Roman" w:hAnsi="Times New Roman"/>
          <w:b/>
          <w:sz w:val="20"/>
          <w:u w:val="single"/>
        </w:rPr>
        <w:t>PTION</w:t>
      </w:r>
      <w:r>
        <w:rPr>
          <w:rFonts w:ascii="Times New Roman" w:hAnsi="Times New Roman"/>
          <w:b/>
          <w:sz w:val="20"/>
        </w:rPr>
        <w:t>.</w:t>
      </w:r>
      <w:r>
        <w:rPr>
          <w:rFonts w:ascii="Times New Roman" w:hAnsi="Times New Roman"/>
          <w:sz w:val="20"/>
        </w:rPr>
        <w:t xml:space="preserve"> Options shall be exercised on behalf of Participants in the Plan every Exercise Date, using payroll deductions that have accumulated in the Participants’ Purchase Accounts during the immediately preceding Purchase Period or that have been retained from a prior Purchase Period pursuant to Section 8 hereof. </w:t>
      </w:r>
    </w:p>
    <w:p>
      <w:pPr>
        <w:pStyle w:val="TextBody"/>
        <w:bidi w:val="0"/>
        <w:spacing w:before="240" w:after="0"/>
        <w:jc w:val="left"/>
        <w:rPr>
          <w:rFonts w:ascii="Times New Roman" w:hAnsi="Times New Roman"/>
          <w:b/>
          <w:sz w:val="20"/>
        </w:rPr>
      </w:pPr>
      <w:r>
        <w:rPr>
          <w:rFonts w:ascii="Times New Roman" w:hAnsi="Times New Roman"/>
          <w:b/>
          <w:sz w:val="20"/>
        </w:rPr>
        <w:t>5.   P</w:t>
      </w:r>
      <w:r>
        <w:rPr>
          <w:rFonts w:ascii="Times New Roman" w:hAnsi="Times New Roman"/>
          <w:b/>
          <w:sz w:val="20"/>
          <w:u w:val="single"/>
        </w:rPr>
        <w:t>ARTICIPATION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 Employee who does not become a Participant on the first Enrollment Date on which he or she is eligible may thereafter become a Participant on any subsequent Enrollment Date by properly completing and submitting an election form by the deadline prescribed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 </w:t>
      </w:r>
    </w:p>
    <w:p>
      <w:pPr>
        <w:pStyle w:val="TextBody"/>
        <w:bidi w:val="0"/>
        <w:spacing w:before="240" w:after="0"/>
        <w:jc w:val="left"/>
        <w:rPr>
          <w:rFonts w:ascii="Times New Roman" w:hAnsi="Times New Roman"/>
          <w:b/>
          <w:sz w:val="20"/>
        </w:rPr>
      </w:pPr>
      <w:r>
        <w:rPr>
          <w:rFonts w:ascii="Times New Roman" w:hAnsi="Times New Roman"/>
          <w:b/>
          <w:sz w:val="20"/>
        </w:rPr>
        <w:t>6.   P</w:t>
      </w:r>
      <w:r>
        <w:rPr>
          <w:rFonts w:ascii="Times New Roman" w:hAnsi="Times New Roman"/>
          <w:b/>
          <w:sz w:val="20"/>
          <w:u w:val="single"/>
        </w:rPr>
        <w:t>AYROLL</w:t>
      </w:r>
      <w:r>
        <w:rPr>
          <w:rFonts w:ascii="Times New Roman" w:hAnsi="Times New Roman"/>
          <w:b/>
          <w:sz w:val="20"/>
        </w:rPr>
        <w:t xml:space="preserve"> D</w:t>
      </w:r>
      <w:r>
        <w:rPr>
          <w:rFonts w:ascii="Times New Roman" w:hAnsi="Times New Roman"/>
          <w:b/>
          <w:sz w:val="20"/>
          <w:u w:val="single"/>
        </w:rPr>
        <w:t>EDUCTIONS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A Participant may not make any additional payments into his or her Purchase Account. Notwithstanding the foregoing or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if the Committee determines that such other contributions are permissible under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determined by the Committee prior to the commencement of an Offering Period, a Participant may not increase the rate of payroll deductions during an Offering Period. A Participant may decrease the rate of payroll deductions during an Offering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an Offering Period, but not more than one (1) change may be made effective during any Offering Period, except that a Participant may elect at any time during an Offering Period, regardless of whether the Participant previously decreased his or her contribution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A Participant may change his or her payroll deduction percentage under subsection (a) above for any subsequent Offering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will automatically apply to the next Offering Period, unless otherwise cancelled or changed by the Participant prior to the commencement of such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to the extent necessary to comply with Section 423(b)(8) of the Code and Section 3(b) hereof, a Participant’s payroll deductions may be decreased to 0% at any time during an Offering Period. Payroll deductions shall recommence at the rate provided in such Participant’s election form at the beginning of the first Offering Period which is scheduled to end in the following calendar year, unless terminated by the Participant as provided in Section 12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G</w:t>
      </w:r>
      <w:r>
        <w:rPr>
          <w:rFonts w:ascii="Times New Roman" w:hAnsi="Times New Roman"/>
          <w:b/>
          <w:sz w:val="20"/>
          <w:u w:val="single"/>
        </w:rPr>
        <w:t>RANT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O</w:t>
      </w:r>
      <w:r>
        <w:rPr>
          <w:rFonts w:ascii="Times New Roman" w:hAnsi="Times New Roman"/>
          <w:b/>
          <w:sz w:val="20"/>
          <w:u w:val="single"/>
        </w:rPr>
        <w:t>PTION</w:t>
      </w:r>
      <w:r>
        <w:rPr>
          <w:rFonts w:ascii="Times New Roman" w:hAnsi="Times New Roman"/>
          <w:b/>
          <w:sz w:val="20"/>
        </w:rPr>
        <w:t>.</w:t>
      </w:r>
      <w:r>
        <w:rPr>
          <w:rFonts w:ascii="Times New Roman" w:hAnsi="Times New Roman"/>
          <w:sz w:val="20"/>
        </w:rPr>
        <w:t xml:space="preserve"> On the applicable Enrollment Date, each Participant in an Offering Period shall be granted an Option to purchase on the applicable Exercise Date a number of full Shares determined by dividing such Participant’s payroll deductions accumulated prior to such Exercise Date and retained in the Participant’s Purchase Account as of the applicable Exercise Date by the applicable Purchase Price.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E</w:t>
      </w:r>
      <w:r>
        <w:rPr>
          <w:rFonts w:ascii="Times New Roman" w:hAnsi="Times New Roman"/>
          <w:b/>
          <w:sz w:val="20"/>
          <w:u w:val="single"/>
        </w:rPr>
        <w:t>XERCISE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O</w:t>
      </w:r>
      <w:r>
        <w:rPr>
          <w:rFonts w:ascii="Times New Roman" w:hAnsi="Times New Roman"/>
          <w:b/>
          <w:sz w:val="20"/>
          <w:u w:val="single"/>
        </w:rPr>
        <w:t>PTION</w:t>
      </w:r>
      <w:r>
        <w:rPr>
          <w:rFonts w:ascii="Times New Roman" w:hAnsi="Times New Roman"/>
          <w:b/>
          <w:sz w:val="20"/>
        </w:rPr>
        <w:t>.</w:t>
      </w:r>
      <w:r>
        <w:rPr>
          <w:rFonts w:ascii="Times New Roman" w:hAnsi="Times New Roman"/>
          <w:sz w:val="20"/>
        </w:rPr>
        <w:t xml:space="preserve"> A Participant’s Option for the purchase of Shares shall be exercised automatically on the Exercise Date, and the maximum number of Shares subject to the Option shall be purchased for such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at the applicable Purchase Price with the accumulated payroll deductions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purchased; any payroll deductions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I</w:t>
      </w:r>
      <w:r>
        <w:rPr>
          <w:rFonts w:ascii="Times New Roman" w:hAnsi="Times New Roman"/>
          <w:b/>
          <w:sz w:val="20"/>
          <w:u w:val="single"/>
        </w:rPr>
        <w:t>SSUANCE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w:t>
      </w:r>
      <w:r>
        <w:rPr>
          <w:rFonts w:ascii="Times New Roman" w:hAnsi="Times New Roman"/>
          <w:sz w:val="20"/>
        </w:rPr>
        <w:t xml:space="preserve"> The Shares purchased by each Participant shall be issued in book entry form and shall be considered to be 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w:t>
      </w:r>
      <w:r>
        <w:rPr>
          <w:rFonts w:ascii="Times New Roman" w:hAnsi="Times New Roman"/>
          <w:b/>
          <w:sz w:val="20"/>
        </w:rPr>
        <w:t>A</w:t>
      </w:r>
      <w:r>
        <w:rPr>
          <w:rFonts w:ascii="Times New Roman" w:hAnsi="Times New Roman"/>
          <w:b/>
          <w:sz w:val="20"/>
          <w:u w:val="single"/>
        </w:rPr>
        <w:t>PPROVAL</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w:t>
      </w:r>
      <w:r>
        <w:rPr>
          <w:rFonts w:ascii="Times New Roman" w:hAnsi="Times New Roman"/>
          <w:sz w:val="20"/>
        </w:rPr>
        <w:t xml:space="preserve"> Notwithstanding the above, the Plan is expressly made subject to the approval of the 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 </w:t>
      </w:r>
    </w:p>
    <w:p>
      <w:pPr>
        <w:pStyle w:val="TextBody"/>
        <w:bidi w:val="0"/>
        <w:spacing w:before="240" w:after="0"/>
        <w:jc w:val="left"/>
        <w:rPr>
          <w:rFonts w:ascii="Times New Roman" w:hAnsi="Times New Roman"/>
          <w:b/>
          <w:sz w:val="20"/>
        </w:rPr>
      </w:pPr>
      <w:r>
        <w:rPr>
          <w:rFonts w:ascii="Times New Roman" w:hAnsi="Times New Roman"/>
          <w:b/>
          <w:sz w:val="20"/>
        </w:rPr>
        <w:t>11.   A</w:t>
      </w:r>
      <w:r>
        <w:rPr>
          <w:rFonts w:ascii="Times New Roman" w:hAnsi="Times New Roman"/>
          <w:b/>
          <w:sz w:val="20"/>
          <w:u w:val="single"/>
        </w:rPr>
        <w:t>DMINISTRATION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Powers and Duties of the Committee</w:t>
      </w:r>
      <w:r>
        <w:rPr>
          <w:rFonts w:ascii="Times New Roman" w:hAnsi="Times New Roman"/>
          <w:sz w:val="20"/>
        </w:rPr>
        <w:t xml:space="preserve">.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Administrator</w:t>
      </w:r>
      <w:r>
        <w:rPr>
          <w:rFonts w:ascii="Times New Roman" w:hAnsi="Times New Roman"/>
          <w:sz w:val="20"/>
        </w:rPr>
        <w:t xml:space="preserve">. The Company, Board or the Committee may engage the services of a brokerage firm or financial institution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Indemnification</w:t>
      </w:r>
      <w:r>
        <w:rPr>
          <w:rFonts w:ascii="Times New Roman" w:hAnsi="Times New Roman"/>
          <w:sz w:val="20"/>
        </w:rPr>
        <w:t xml:space="preserve">. Each person who is or shall have been (i) a member of the Board, (ii) a member of the Committee, or (iii)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w:t>
      </w:r>
      <w:r>
        <w:rPr>
          <w:rFonts w:ascii="Times New Roman" w:hAnsi="Times New Roman"/>
          <w:b/>
          <w:sz w:val="20"/>
        </w:rPr>
        <w:t>W</w:t>
      </w:r>
      <w:r>
        <w:rPr>
          <w:rFonts w:ascii="Times New Roman" w:hAnsi="Times New Roman"/>
          <w:b/>
          <w:sz w:val="20"/>
          <w:u w:val="single"/>
        </w:rPr>
        <w:t>ITHDRAWAL</w:t>
      </w:r>
      <w:r>
        <w:rPr>
          <w:rFonts w:ascii="Times New Roman" w:hAnsi="Times New Roman"/>
          <w:b/>
          <w:sz w:val="20"/>
        </w:rPr>
        <w:t>.</w:t>
      </w:r>
      <w:r>
        <w:rPr>
          <w:rFonts w:ascii="Times New Roman" w:hAnsi="Times New Roman"/>
          <w:sz w:val="20"/>
        </w:rPr>
        <w:t xml:space="preserve"> A Participant may withdraw from the Plan by properly completing and submitting to the Company a 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an election form, by the deadline prescribed by the Company in respect of such Offering Period. A Participant’s withdrawal from an offering will not have any effect upon his or her eligibility to participate in the Plan or in any similar plan that may hereafter be adopted by the Company.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w:t>
      </w:r>
      <w:r>
        <w:rPr>
          <w:rFonts w:ascii="Times New Roman" w:hAnsi="Times New Roman"/>
          <w:b/>
          <w:sz w:val="20"/>
        </w:rPr>
        <w:t>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E</w:t>
      </w:r>
      <w:r>
        <w:rPr>
          <w:rFonts w:ascii="Times New Roman" w:hAnsi="Times New Roman"/>
          <w:b/>
          <w:sz w:val="20"/>
          <w:u w:val="single"/>
        </w:rPr>
        <w:t>MPLOYMENT</w:t>
      </w:r>
      <w:r>
        <w:rPr>
          <w:rFonts w:ascii="Times New Roman" w:hAnsi="Times New Roman"/>
          <w:b/>
          <w:sz w:val="20"/>
        </w:rPr>
        <w:t>.</w:t>
      </w:r>
      <w:r>
        <w:rPr>
          <w:rFonts w:ascii="Times New Roman" w:hAnsi="Times New Roman"/>
          <w:sz w:val="20"/>
        </w:rPr>
        <w:t xml:space="preserve"> On the Termination Date of a Participant for any reason prior to the applicable Exercise 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w:t>
      </w:r>
      <w:r>
        <w:rPr>
          <w:rFonts w:ascii="Times New Roman" w:hAnsi="Times New Roman"/>
          <w:b/>
          <w:sz w:val="20"/>
        </w:rPr>
        <w:t>I</w:t>
      </w:r>
      <w:r>
        <w:rPr>
          <w:rFonts w:ascii="Times New Roman" w:hAnsi="Times New Roman"/>
          <w:b/>
          <w:sz w:val="20"/>
          <w:u w:val="single"/>
        </w:rPr>
        <w:t>NTEREST</w:t>
      </w:r>
      <w:r>
        <w:rPr>
          <w:rFonts w:ascii="Times New Roman" w:hAnsi="Times New Roman"/>
          <w:b/>
          <w:sz w:val="20"/>
        </w:rPr>
        <w:t>.</w:t>
      </w:r>
      <w:r>
        <w:rPr>
          <w:rFonts w:ascii="Times New Roman" w:hAnsi="Times New Roman"/>
          <w:sz w:val="20"/>
        </w:rPr>
        <w:t xml:space="preserve"> No interest shall accrue on the payroll deductions of a Participant in the Plan. </w:t>
      </w:r>
    </w:p>
    <w:p>
      <w:pPr>
        <w:pStyle w:val="TextBody"/>
        <w:bidi w:val="0"/>
        <w:spacing w:before="240" w:after="0"/>
        <w:jc w:val="left"/>
        <w:rPr>
          <w:rFonts w:ascii="Times New Roman" w:hAnsi="Times New Roman"/>
          <w:b/>
          <w:sz w:val="20"/>
        </w:rPr>
      </w:pPr>
      <w:r>
        <w:rPr>
          <w:rFonts w:ascii="Times New Roman" w:hAnsi="Times New Roman"/>
          <w:b/>
          <w:sz w:val="20"/>
        </w:rPr>
        <w:t>15.   S</w:t>
      </w:r>
      <w:r>
        <w:rPr>
          <w:rFonts w:ascii="Times New Roman" w:hAnsi="Times New Roman"/>
          <w:b/>
          <w:sz w:val="20"/>
          <w:u w:val="single"/>
        </w:rPr>
        <w:t>TOCK</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stock subject to Options shall be common stock of the Company as traded on NASDAQ or on such other exchange as the Shares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(b)  Subject to adjustment upon changes in capitalization of the Company as provided in Section 18 hereof, the maximum number of Shares which shall be initially made available for sale under the Plan shall be 1,789,606 Shares. In addition, subject to adjustments upon changes in capitalization of the Company as provided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Section 18 hereof, the maximum number of Shares which shall be made available for sale under the Plan shall automatically increase on the first day of each fiscal year, beginning with the fiscal year ending December 31, 2022, and continuing until (and including) the fiscal year ending December 31, 2030, with such annual increase equal to the lesser of (i) (x) beginning with the fiscal year ending December 31, 2022, and continuing until (and including) the fiscal year ending December 31, 2025, 338,106 Shares and (y) beginning with the fiscal year ending December 31, 2026, and continuing until (and including) the fiscal year ending December 31, 2030, 3,000,000, (ii) 1% of the number of Shares issued and outstanding on December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 </w:t>
      </w:r>
    </w:p>
    <w:p>
      <w:pPr>
        <w:pStyle w:val="TextBody"/>
        <w:bidi w:val="0"/>
        <w:spacing w:before="240" w:after="0"/>
        <w:jc w:val="left"/>
        <w:rPr>
          <w:rFonts w:ascii="Times New Roman" w:hAnsi="Times New Roman"/>
          <w:sz w:val="20"/>
        </w:rPr>
      </w:pPr>
      <w:r>
        <w:rPr>
          <w:rFonts w:ascii="Times New Roman" w:hAnsi="Times New Roman"/>
          <w:sz w:val="20"/>
        </w:rPr>
        <w:t xml:space="preserve">(c)  A Participant shall have no interest or voting right in Shares covered by his or her Option until such Option has been exercised and the Participant has become a holder of record of Shares acquired pursuant to such exercise.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w:t>
      </w:r>
      <w:r>
        <w:rPr>
          <w:rFonts w:ascii="Times New Roman" w:hAnsi="Times New Roman"/>
          <w:b/>
          <w:sz w:val="20"/>
        </w:rPr>
        <w:t>D</w:t>
      </w:r>
      <w:r>
        <w:rPr>
          <w:rFonts w:ascii="Times New Roman" w:hAnsi="Times New Roman"/>
          <w:b/>
          <w:sz w:val="20"/>
          <w:u w:val="single"/>
        </w:rPr>
        <w:t>ESIGNATION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B</w:t>
      </w:r>
      <w:r>
        <w:rPr>
          <w:rFonts w:ascii="Times New Roman" w:hAnsi="Times New Roman"/>
          <w:b/>
          <w:sz w:val="20"/>
          <w:u w:val="single"/>
        </w:rPr>
        <w:t>ENEFICIARY</w:t>
      </w:r>
      <w:r>
        <w:rPr>
          <w:rFonts w:ascii="Times New Roman" w:hAnsi="Times New Roman"/>
          <w:b/>
          <w:sz w:val="20"/>
        </w:rPr>
        <w:t>.</w:t>
      </w:r>
      <w:r>
        <w:rPr>
          <w:rFonts w:ascii="Times New Roman" w:hAnsi="Times New Roman"/>
          <w:sz w:val="20"/>
        </w:rPr>
        <w:t xml:space="preserve"> The Committee may permit Participants to designate beneficiaries to receive any Purchased 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w:t>
      </w:r>
      <w:r>
        <w:rPr>
          <w:rFonts w:ascii="Times New Roman" w:hAnsi="Times New Roman"/>
          <w:b/>
          <w:sz w:val="20"/>
        </w:rPr>
        <w:t>A</w:t>
      </w:r>
      <w:r>
        <w:rPr>
          <w:rFonts w:ascii="Times New Roman" w:hAnsi="Times New Roman"/>
          <w:b/>
          <w:sz w:val="20"/>
          <w:u w:val="single"/>
        </w:rPr>
        <w:t>SSIGNABILITY</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sz w:val="20"/>
        </w:rPr>
        <w:t xml:space="preserve">Neither payroll deductions credited to a Participant’s Purchase Account nor any rights with regard to the exercise of an Option or to 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from an Offering Period in accordance with Section 12 hereof. </w:t>
      </w:r>
    </w:p>
    <w:p>
      <w:pPr>
        <w:pStyle w:val="TextBody"/>
        <w:bidi w:val="0"/>
        <w:spacing w:before="240" w:after="0"/>
        <w:jc w:val="left"/>
        <w:rPr>
          <w:rFonts w:ascii="Times New Roman" w:hAnsi="Times New Roman"/>
          <w:b/>
          <w:sz w:val="20"/>
        </w:rPr>
      </w:pPr>
      <w:r>
        <w:rPr>
          <w:rFonts w:ascii="Times New Roman" w:hAnsi="Times New Roman"/>
          <w:b/>
          <w:sz w:val="20"/>
        </w:rPr>
        <w:t>18.   A</w:t>
      </w:r>
      <w:r>
        <w:rPr>
          <w:rFonts w:ascii="Times New Roman" w:hAnsi="Times New Roman"/>
          <w:b/>
          <w:sz w:val="20"/>
          <w:u w:val="single"/>
        </w:rPr>
        <w:t>DJUSTMENT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N</w:t>
      </w:r>
      <w:r>
        <w:rPr>
          <w:rFonts w:ascii="Times New Roman" w:hAnsi="Times New Roman"/>
          <w:b/>
          <w:sz w:val="20"/>
          <w:u w:val="single"/>
        </w:rPr>
        <w:t>UMBER</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Adjustment</w:t>
      </w:r>
      <w:r>
        <w:rPr>
          <w:rFonts w:ascii="Times New Roman" w:hAnsi="Times New Roman"/>
          <w:sz w:val="20"/>
        </w:rPr>
        <w:t xml:space="preserve">.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Dissolution or Liquidation</w:t>
      </w:r>
      <w:r>
        <w:rPr>
          <w:rFonts w:ascii="Times New Roman" w:hAnsi="Times New Roman"/>
          <w:sz w:val="20"/>
        </w:rPr>
        <w:t xml:space="preserve">.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Merger or Asset Sale</w:t>
      </w:r>
      <w:r>
        <w:rPr>
          <w:rFonts w:ascii="Times New Roman" w:hAnsi="Times New Roman"/>
          <w:sz w:val="20"/>
        </w:rPr>
        <w:t xml:space="preserv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 </w:t>
      </w:r>
    </w:p>
    <w:p>
      <w:pPr>
        <w:pStyle w:val="TextBody"/>
        <w:bidi w:val="0"/>
        <w:spacing w:before="240" w:after="0"/>
        <w:jc w:val="left"/>
        <w:rPr>
          <w:rFonts w:ascii="Times New Roman" w:hAnsi="Times New Roman"/>
          <w:b/>
          <w:sz w:val="20"/>
        </w:rPr>
      </w:pPr>
      <w:r>
        <w:rPr>
          <w:rFonts w:ascii="Times New Roman" w:hAnsi="Times New Roman"/>
          <w:b/>
          <w:sz w:val="20"/>
        </w:rPr>
        <w:t>19.   A</w:t>
      </w:r>
      <w:r>
        <w:rPr>
          <w:rFonts w:ascii="Times New Roman" w:hAnsi="Times New Roman"/>
          <w:b/>
          <w:sz w:val="20"/>
          <w:u w:val="single"/>
        </w:rPr>
        <w:t>MENDMENTS</w:t>
      </w:r>
      <w:r>
        <w:rPr>
          <w:rFonts w:ascii="Times New Roman" w:hAnsi="Times New Roman"/>
          <w:b/>
          <w:sz w:val="20"/>
        </w:rPr>
        <w:t xml:space="preserve"> </w:t>
      </w:r>
      <w:r>
        <w:rPr>
          <w:rFonts w:ascii="Times New Roman" w:hAnsi="Times New Roman"/>
          <w:b/>
          <w:sz w:val="20"/>
          <w:u w:val="single"/>
        </w:rPr>
        <w:t>OR</w:t>
      </w:r>
      <w:r>
        <w:rPr>
          <w:rFonts w:ascii="Times New Roman" w:hAnsi="Times New Roman"/>
          <w:b/>
          <w:sz w:val="20"/>
        </w:rPr>
        <w:t xml:space="preserve"> 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w:t>
      </w:r>
      <w:r>
        <w:rPr>
          <w:rFonts w:ascii="Times New Roman" w:hAnsi="Times New Roman"/>
          <w:b/>
          <w:sz w:val="20"/>
        </w:rPr>
        <w:t>N</w:t>
      </w:r>
      <w:r>
        <w:rPr>
          <w:rFonts w:ascii="Times New Roman" w:hAnsi="Times New Roman"/>
          <w:b/>
          <w:sz w:val="20"/>
          <w:u w:val="single"/>
        </w:rPr>
        <w:t>O</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O</w:t>
      </w:r>
      <w:r>
        <w:rPr>
          <w:rFonts w:ascii="Times New Roman" w:hAnsi="Times New Roman"/>
          <w:b/>
          <w:sz w:val="20"/>
          <w:u w:val="single"/>
        </w:rPr>
        <w:t>BLIGATIONS</w:t>
      </w:r>
      <w:r>
        <w:rPr>
          <w:rFonts w:ascii="Times New Roman" w:hAnsi="Times New Roman"/>
          <w:b/>
          <w:sz w:val="20"/>
        </w:rPr>
        <w:t>.</w:t>
      </w:r>
      <w:r>
        <w:rPr>
          <w:rFonts w:ascii="Times New Roman" w:hAnsi="Times New Roman"/>
          <w:sz w:val="20"/>
        </w:rPr>
        <w:t xml:space="preserve"> The receipt of an Option pursuant to the Plan shall impose no obligation upon the Participant to purchase any Shares covered by such Option. Nor shall the granting of an Option pursuant to the Plan constitute an agreement or an understanding, express or implied, on the part of the Company to employ the Participant for any specified period.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w:t>
      </w:r>
      <w:r>
        <w:rPr>
          <w:rFonts w:ascii="Times New Roman" w:hAnsi="Times New Roman"/>
          <w:b/>
          <w:sz w:val="20"/>
        </w:rPr>
        <w:t>N</w:t>
      </w:r>
      <w:r>
        <w:rPr>
          <w:rFonts w:ascii="Times New Roman" w:hAnsi="Times New Roman"/>
          <w:b/>
          <w:sz w:val="20"/>
          <w:u w:val="single"/>
        </w:rPr>
        <w:t>OTICES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C</w:t>
      </w:r>
      <w:r>
        <w:rPr>
          <w:rFonts w:ascii="Times New Roman" w:hAnsi="Times New Roman"/>
          <w:b/>
          <w:sz w:val="20"/>
          <w:u w:val="single"/>
        </w:rPr>
        <w:t>OMMUNICATION</w:t>
      </w:r>
      <w:r>
        <w:rPr>
          <w:rFonts w:ascii="Times New Roman" w:hAnsi="Times New Roman"/>
          <w:b/>
          <w:sz w:val="20"/>
        </w:rPr>
        <w:t>.</w:t>
      </w:r>
      <w:r>
        <w:rPr>
          <w:rFonts w:ascii="Times New Roman" w:hAnsi="Times New Roman"/>
          <w:sz w:val="20"/>
        </w:rPr>
        <w:t xml:space="preserve"> Any notice or other form of communication which the Company or a Participant may be required or permitted to give to the other shall be provided through such means as designated by the Committee, including but not limited to any paper or electronic method. </w:t>
      </w:r>
    </w:p>
    <w:p>
      <w:pPr>
        <w:pStyle w:val="TextBody"/>
        <w:bidi w:val="0"/>
        <w:spacing w:before="240" w:after="0"/>
        <w:jc w:val="left"/>
        <w:rPr>
          <w:rFonts w:ascii="Times New Roman" w:hAnsi="Times New Roman"/>
          <w:b/>
          <w:sz w:val="20"/>
        </w:rPr>
      </w:pPr>
      <w:r>
        <w:rPr>
          <w:rFonts w:ascii="Times New Roman" w:hAnsi="Times New Roman"/>
          <w:b/>
          <w:sz w:val="20"/>
        </w:rPr>
        <w:t>22.   C</w:t>
      </w:r>
      <w:r>
        <w:rPr>
          <w:rFonts w:ascii="Times New Roman" w:hAnsi="Times New Roman"/>
          <w:b/>
          <w:sz w:val="20"/>
          <w:u w:val="single"/>
        </w:rPr>
        <w:t>ONDITION</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I</w:t>
      </w:r>
      <w:r>
        <w:rPr>
          <w:rFonts w:ascii="Times New Roman" w:hAnsi="Times New Roman"/>
          <w:b/>
          <w:sz w:val="20"/>
          <w:u w:val="single"/>
        </w:rPr>
        <w:t>SSUANCE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HARES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23.</w:t>
      </w:r>
      <w:r>
        <w:rPr>
          <w:rFonts w:ascii="Times New Roman" w:hAnsi="Times New Roman"/>
          <w:sz w:val="20"/>
        </w:rPr>
        <w:t>   </w:t>
      </w:r>
      <w:r>
        <w:rPr>
          <w:rFonts w:ascii="Times New Roman" w:hAnsi="Times New Roman"/>
          <w:b/>
          <w:sz w:val="20"/>
        </w:rPr>
        <w:t>G</w:t>
      </w:r>
      <w:r>
        <w:rPr>
          <w:rFonts w:ascii="Times New Roman" w:hAnsi="Times New Roman"/>
          <w:b/>
          <w:sz w:val="20"/>
          <w:u w:val="single"/>
        </w:rPr>
        <w:t>ENERAL</w:t>
      </w:r>
      <w:r>
        <w:rPr>
          <w:rFonts w:ascii="Times New Roman" w:hAnsi="Times New Roman"/>
          <w:b/>
          <w:sz w:val="20"/>
        </w:rPr>
        <w:t xml:space="preserve"> C</w:t>
      </w:r>
      <w:r>
        <w:rPr>
          <w:rFonts w:ascii="Times New Roman" w:hAnsi="Times New Roman"/>
          <w:b/>
          <w:sz w:val="20"/>
          <w:u w:val="single"/>
        </w:rPr>
        <w:t>OMPLIANCE</w:t>
      </w:r>
      <w:r>
        <w:rPr>
          <w:rFonts w:ascii="Times New Roman" w:hAnsi="Times New Roman"/>
          <w:b/>
          <w:sz w:val="20"/>
        </w:rPr>
        <w:t>.</w:t>
      </w:r>
      <w:r>
        <w:rPr>
          <w:rFonts w:ascii="Times New Roman" w:hAnsi="Times New Roman"/>
          <w:sz w:val="20"/>
        </w:rPr>
        <w:t xml:space="preserve"> The Plan will be administered and Options will be exercised in compliance with the 1933 Act, the 1934 Act and all other applicable securities laws and Company policies, including without limitation, any insider trading policy of the Company.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w:t>
      </w:r>
      <w:r>
        <w:rPr>
          <w:rFonts w:ascii="Times New Roman" w:hAnsi="Times New Roman"/>
          <w:b/>
          <w:sz w:val="20"/>
        </w:rPr>
        <w:t>T</w:t>
      </w:r>
      <w:r>
        <w:rPr>
          <w:rFonts w:ascii="Times New Roman" w:hAnsi="Times New Roman"/>
          <w:b/>
          <w:sz w:val="20"/>
          <w:u w:val="single"/>
        </w:rPr>
        <w:t>ERM</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w:t>
      </w:r>
      <w:r>
        <w:rPr>
          <w:rFonts w:ascii="Times New Roman" w:hAnsi="Times New Roman"/>
          <w:sz w:val="20"/>
        </w:rPr>
        <w:t xml:space="preserve"> The Plan shall become effective upon the earlier to occur of (i) its adoption by the Board and (ii) its 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w:t>
      </w:r>
      <w:r>
        <w:rPr>
          <w:rFonts w:ascii="Times New Roman" w:hAnsi="Times New Roman"/>
          <w:b/>
          <w:sz w:val="20"/>
        </w:rPr>
        <w:t>G</w:t>
      </w:r>
      <w:r>
        <w:rPr>
          <w:rFonts w:ascii="Times New Roman" w:hAnsi="Times New Roman"/>
          <w:b/>
          <w:sz w:val="20"/>
          <w:u w:val="single"/>
        </w:rPr>
        <w:t>OVERNING</w:t>
      </w:r>
      <w:r>
        <w:rPr>
          <w:rFonts w:ascii="Times New Roman" w:hAnsi="Times New Roman"/>
          <w:b/>
          <w:sz w:val="20"/>
        </w:rPr>
        <w:t xml:space="preserve"> L</w:t>
      </w:r>
      <w:r>
        <w:rPr>
          <w:rFonts w:ascii="Times New Roman" w:hAnsi="Times New Roman"/>
          <w:b/>
          <w:sz w:val="20"/>
          <w:u w:val="single"/>
        </w:rPr>
        <w:t>AW</w:t>
      </w:r>
      <w:r>
        <w:rPr>
          <w:rFonts w:ascii="Times New Roman" w:hAnsi="Times New Roman"/>
          <w:b/>
          <w:sz w:val="20"/>
        </w:rPr>
        <w:t>.</w:t>
      </w:r>
      <w:r>
        <w:rPr>
          <w:rFonts w:ascii="Times New Roman" w:hAnsi="Times New Roman"/>
          <w:sz w:val="20"/>
        </w:rPr>
        <w:t xml:space="preserve"> The Plan and all Options granted hereunder shall be construed in accordance with and governed by the laws of the State of Delaware without reference to choice of law principles and subject in all cases to the Code and the regulations thereunder.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w:t>
      </w:r>
      <w:r>
        <w:rPr>
          <w:rFonts w:ascii="Times New Roman" w:hAnsi="Times New Roman"/>
          <w:b/>
          <w:sz w:val="20"/>
        </w:rPr>
        <w:t>N</w:t>
      </w:r>
      <w:r>
        <w:rPr>
          <w:rFonts w:ascii="Times New Roman" w:hAnsi="Times New Roman"/>
          <w:b/>
          <w:sz w:val="20"/>
          <w:u w:val="single"/>
        </w:rPr>
        <w:t>ON</w:t>
      </w:r>
      <w:r>
        <w:rPr>
          <w:rFonts w:ascii="Times New Roman" w:hAnsi="Times New Roman"/>
          <w:b/>
          <w:sz w:val="20"/>
        </w:rPr>
        <w:t>-U.S. P</w:t>
      </w:r>
      <w:r>
        <w:rPr>
          <w:rFonts w:ascii="Times New Roman" w:hAnsi="Times New Roman"/>
          <w:b/>
          <w:sz w:val="20"/>
          <w:u w:val="single"/>
        </w:rPr>
        <w:t>ARTICIPANTS</w:t>
      </w:r>
      <w:r>
        <w:rPr>
          <w:rFonts w:ascii="Times New Roman" w:hAnsi="Times New Roman"/>
          <w:b/>
          <w:sz w:val="20"/>
        </w:rPr>
        <w:t>.</w:t>
      </w:r>
      <w:r>
        <w:rPr>
          <w:rFonts w:ascii="Times New Roman" w:hAnsi="Times New Roman"/>
          <w:sz w:val="20"/>
        </w:rPr>
        <w:t xml:space="preserve"> To the extent permitted under Section 423 of the Code, without the amendment of the Plan, the 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w:t>
      </w:r>
      <w:r>
        <w:rPr>
          <w:rFonts w:ascii="Times New Roman" w:hAnsi="Times New Roman"/>
          <w:b/>
          <w:sz w:val="20"/>
        </w:rPr>
        <w:t>S</w:t>
      </w:r>
      <w:r>
        <w:rPr>
          <w:rFonts w:ascii="Times New Roman" w:hAnsi="Times New Roman"/>
          <w:b/>
          <w:sz w:val="20"/>
          <w:u w:val="single"/>
        </w:rPr>
        <w:t>ECTION</w:t>
      </w:r>
      <w:r>
        <w:rPr>
          <w:rFonts w:ascii="Times New Roman" w:hAnsi="Times New Roman"/>
          <w:b/>
          <w:sz w:val="20"/>
        </w:rPr>
        <w:t xml:space="preserve"> 409A.</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matters! Have your ballot ready and please use one of the methods below for easy voting: Your control number Have the 12 digit control number located in the box above available when you access the website and follow the instructions. Biodesix, Inc. Internet: www.proxypush.com/BDSX Cast your vote online Annual Meeting of Stockholders Have your Proxy Card ready Follow the simple instructions to record your vote For Stockholders of record as of March 24, 2025 Phone: Tuesday, May 20, 2025 1:00 PM, Mountain Time 1-866-291-6774 Annual meeting to be held virtually via the internet- please visit Use any touch-tone telephone Have your Proxy Card ready www.proxydocs.com/BDSX for more details. Follow the simple recorded instructions Mail: Mark, sign and date your Proxy Card Fold and return your Proxy Card in the postage-paid YOUR VOTE IS IMPORTANT! envelope provided PLEASE VOTE BY: 1:00 PM, Mountain Time, May 20, 2025. Virtual: You must register to attend the meeting online and/or participate at www.proxydocs.com/BDSX This proxy is being solicited on behalf of the Board of Directors The undersigned stockholder of Biodesix, Inc. hereby appoints Robin Harper Cowie and Chris Vazquez, and each or either of them, as the true and lawful attorneys of the undersigned, with full power of substitution and revocation, and authorizes them, and each of them, to vote all the shares of capital stock of Biodesix,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2025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Biodesix, Inc. Annual Meeting of Stockholders Please make your marks like this: THE BOARD OF DIRECTORS RECOMMENDS A VOTE:FOR ALL OF THE LISTED NOMINEES AND ON PROPOSALS 2, 3 &amp; 4 BOARD OF DIRECTORS PROPOSAL YOUR VOTE RECOMMENDS 1. To elect the two Class II directors named in this proxy statement to hold office until the 2028 annual meeting of stockholders; FOR WITHHOLD 1.01 Lawrence T. Kennedy, Jr. Fatthew Strobeck, Ph.D. FOR FOR AGAINST ABSTAIN 2. To ratify the appointment of KPMG LLP as our independent registered public accounting firm for FOR the year ending December 31, 2025; approve an amendment to the Company’s amended and restated certificate of incorporation to FOR effect a reverse stock split of the Company’s Common Stock at a ratio ranging from any whole number between 1-for-2 and 1-for-20 inclusive, as determined by our board of directors in its discretion, subject to our board of directors’ authority to abandon such amendments; 4. To approve the Company’s Amended and Restated Employee Stock Purchase Plan to increase FOR the available shares of the Company’s Common Stock under the plan by 1,451,500 and to # increase the maximum number of shares of the Company’s Common Stock that may be provided as the result of the plan’s annual automatic increase to 3,000,000; and 5. To conduct any other business properly brought before the meeting, or any adjournment or postponement thereof. You must register to attend the meeting online and/or participate at www.proxydocs.com/BDSX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37761</Words>
  <Characters>199101</Characters>
  <CharactersWithSpaces>238055</CharactersWithSpaces>
  <Paragraphs>3620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