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Hutton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WEST DILLON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BIODESIX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BDSX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387,500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0.9209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0.9209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02/20/2025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425,929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425,929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425,929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(the 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RSUs vest in a series of four successive equal annual installments measured from February 20, 2025, generally subject to the Reporting Person's continued service with the Issuer,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vests in a series of forty-eight successive equal monthly installments measured from February 20, 2025, generally subject to the Reporting Person's continuous service through each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vested in full on February 20, 2025. Under the Issuer's 2024 Bonus-to-Options Program, the Reporting Person elected to receive a portion of the annual cash bonus earned during 2024 in the form of a fully-vested option.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Robin H. Cowie as Attorney-in-Fact for Scott Hutton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361" TargetMode="External"/><Relationship Id="rId5" Type="http://schemas.openxmlformats.org/officeDocument/2006/relationships/hyperlink" Target="http://www.sec.gov/cgi-bin/browse-edgar?action=getcompany&amp;CIK=0001439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727</Words>
  <Characters>3930</Characters>
  <CharactersWithSpaces>4574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