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27839ds1.htm"/>
        <w:bookmarkStart w:id="1" w:name="ksd827839ds1"/>
        <w:bookmarkEnd w:id="0"/>
        <w:bookmarkEnd w:id="1"/>
        <w:r>
          <w:rPr>
            <w:rStyle w:val="InternetLink"/>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April 23, 2024.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34"/>
        </w:rPr>
      </w:pPr>
      <w:r>
        <w:rPr>
          <w:rFonts w:ascii="Times New Roman" w:hAnsi="Times New Roman"/>
          <w:b/>
          <w:sz w:val="34"/>
        </w:rPr>
        <w:t xml:space="preserve">FORM S-1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BIODESIX,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8071</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20-3986492</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Biodesix, Inc. </w:t>
      </w:r>
    </w:p>
    <w:p>
      <w:pPr>
        <w:pStyle w:val="TextBody"/>
        <w:bidi w:val="0"/>
        <w:spacing w:before="0" w:after="0"/>
        <w:jc w:val="center"/>
        <w:rPr>
          <w:rFonts w:ascii="Times New Roman" w:hAnsi="Times New Roman"/>
          <w:b/>
          <w:sz w:val="18"/>
        </w:rPr>
      </w:pPr>
      <w:r>
        <w:rPr>
          <w:rFonts w:ascii="Times New Roman" w:hAnsi="Times New Roman"/>
          <w:b/>
          <w:sz w:val="18"/>
        </w:rPr>
        <w:t xml:space="preserve">919 West Dillon Rd. </w:t>
      </w:r>
    </w:p>
    <w:p>
      <w:pPr>
        <w:pStyle w:val="TextBody"/>
        <w:bidi w:val="0"/>
        <w:spacing w:before="0" w:after="0"/>
        <w:jc w:val="center"/>
        <w:rPr>
          <w:rFonts w:ascii="Times New Roman" w:hAnsi="Times New Roman"/>
          <w:b/>
          <w:sz w:val="18"/>
        </w:rPr>
      </w:pPr>
      <w:r>
        <w:rPr>
          <w:rFonts w:ascii="Times New Roman" w:hAnsi="Times New Roman"/>
          <w:b/>
          <w:sz w:val="18"/>
        </w:rPr>
        <w:t xml:space="preserve">Louisville, Colorado 80027 </w:t>
      </w:r>
    </w:p>
    <w:p>
      <w:pPr>
        <w:pStyle w:val="TextBody"/>
        <w:bidi w:val="0"/>
        <w:spacing w:before="0" w:after="0"/>
        <w:jc w:val="center"/>
        <w:rPr>
          <w:rFonts w:ascii="Times New Roman" w:hAnsi="Times New Roman"/>
          <w:b/>
          <w:sz w:val="18"/>
        </w:rPr>
      </w:pPr>
      <w:r>
        <w:rPr>
          <w:rFonts w:ascii="Times New Roman" w:hAnsi="Times New Roman"/>
          <w:b/>
          <w:sz w:val="18"/>
        </w:rPr>
        <w:t xml:space="preserve">(303) 417-0500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Scott Hutton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and 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Biodesix, Inc. </w:t>
      </w:r>
    </w:p>
    <w:p>
      <w:pPr>
        <w:pStyle w:val="TextBody"/>
        <w:bidi w:val="0"/>
        <w:spacing w:before="0" w:after="0"/>
        <w:jc w:val="center"/>
        <w:rPr>
          <w:rFonts w:ascii="Times New Roman" w:hAnsi="Times New Roman"/>
          <w:b/>
          <w:sz w:val="18"/>
        </w:rPr>
      </w:pPr>
      <w:r>
        <w:rPr>
          <w:rFonts w:ascii="Times New Roman" w:hAnsi="Times New Roman"/>
          <w:b/>
          <w:sz w:val="18"/>
        </w:rPr>
        <w:t xml:space="preserve">919 West Dillon Rd. </w:t>
      </w:r>
    </w:p>
    <w:p>
      <w:pPr>
        <w:pStyle w:val="TextBody"/>
        <w:bidi w:val="0"/>
        <w:spacing w:before="0" w:after="0"/>
        <w:jc w:val="center"/>
        <w:rPr>
          <w:rFonts w:ascii="Times New Roman" w:hAnsi="Times New Roman"/>
          <w:b/>
          <w:sz w:val="18"/>
        </w:rPr>
      </w:pPr>
      <w:r>
        <w:rPr>
          <w:rFonts w:ascii="Times New Roman" w:hAnsi="Times New Roman"/>
          <w:b/>
          <w:sz w:val="18"/>
        </w:rPr>
        <w:t xml:space="preserve">Louisville, Colorado 80027 </w:t>
      </w:r>
    </w:p>
    <w:p>
      <w:pPr>
        <w:pStyle w:val="TextBody"/>
        <w:bidi w:val="0"/>
        <w:spacing w:before="0" w:after="0"/>
        <w:jc w:val="center"/>
        <w:rPr>
          <w:rFonts w:ascii="Times New Roman" w:hAnsi="Times New Roman"/>
          <w:b/>
          <w:sz w:val="18"/>
        </w:rPr>
      </w:pPr>
      <w:r>
        <w:rPr>
          <w:rFonts w:ascii="Times New Roman" w:hAnsi="Times New Roman"/>
          <w:b/>
          <w:sz w:val="18"/>
        </w:rPr>
        <w:t xml:space="preserve">(303) 417-0500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60" w:after="0"/>
        <w:jc w:val="center"/>
        <w:rPr>
          <w:rFonts w:ascii="Times New Roman" w:hAnsi="Times New Roman"/>
          <w:b/>
          <w:sz w:val="18"/>
        </w:rPr>
      </w:pPr>
      <w:r>
        <w:rPr>
          <w:rFonts w:ascii="Times New Roman" w:hAnsi="Times New Roman"/>
          <w:b/>
          <w:sz w:val="18"/>
        </w:rPr>
        <w:t xml:space="preserve">Frank F. Rahmani, Esq. </w:t>
      </w:r>
    </w:p>
    <w:p>
      <w:pPr>
        <w:pStyle w:val="TextBody"/>
        <w:bidi w:val="0"/>
        <w:spacing w:before="0" w:after="0"/>
        <w:jc w:val="center"/>
        <w:rPr>
          <w:rFonts w:ascii="Times New Roman" w:hAnsi="Times New Roman"/>
          <w:b/>
          <w:sz w:val="18"/>
        </w:rPr>
      </w:pPr>
      <w:r>
        <w:rPr>
          <w:rFonts w:ascii="Times New Roman" w:hAnsi="Times New Roman"/>
          <w:b/>
          <w:sz w:val="18"/>
        </w:rPr>
        <w:t xml:space="preserve">Samir A. Gandhi, Esq. </w:t>
      </w:r>
    </w:p>
    <w:p>
      <w:pPr>
        <w:pStyle w:val="TextBody"/>
        <w:bidi w:val="0"/>
        <w:spacing w:before="0" w:after="0"/>
        <w:jc w:val="center"/>
        <w:rPr>
          <w:rFonts w:ascii="Times New Roman" w:hAnsi="Times New Roman"/>
          <w:b/>
          <w:sz w:val="18"/>
        </w:rPr>
      </w:pPr>
      <w:r>
        <w:rPr>
          <w:rFonts w:ascii="Times New Roman" w:hAnsi="Times New Roman"/>
          <w:b/>
          <w:sz w:val="18"/>
        </w:rPr>
        <w:t xml:space="preserve">Sidley Austin LLP </w:t>
      </w:r>
    </w:p>
    <w:p>
      <w:pPr>
        <w:pStyle w:val="TextBody"/>
        <w:bidi w:val="0"/>
        <w:spacing w:before="0" w:after="0"/>
        <w:jc w:val="center"/>
        <w:rPr>
          <w:rFonts w:ascii="Times New Roman" w:hAnsi="Times New Roman"/>
          <w:b/>
          <w:sz w:val="18"/>
        </w:rPr>
      </w:pPr>
      <w:r>
        <w:rPr>
          <w:rFonts w:ascii="Times New Roman" w:hAnsi="Times New Roman"/>
          <w:b/>
          <w:sz w:val="18"/>
        </w:rPr>
        <w:t xml:space="preserve">555 California Street, Suite 2000 </w:t>
      </w:r>
    </w:p>
    <w:p>
      <w:pPr>
        <w:pStyle w:val="TextBody"/>
        <w:bidi w:val="0"/>
        <w:spacing w:before="0" w:after="0"/>
        <w:jc w:val="center"/>
        <w:rPr>
          <w:rFonts w:ascii="Times New Roman" w:hAnsi="Times New Roman"/>
          <w:b/>
          <w:sz w:val="18"/>
        </w:rPr>
      </w:pPr>
      <w:r>
        <w:rPr>
          <w:rFonts w:ascii="Times New Roman" w:hAnsi="Times New Roman"/>
          <w:b/>
          <w:sz w:val="18"/>
        </w:rPr>
        <w:t xml:space="preserve">San Francisco, California 94104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(415) 772-1200 </w:t>
      </w:r>
    </w:p>
    <w:p>
      <w:pPr>
        <w:pStyle w:val="TextBody"/>
        <w:bidi w:val="0"/>
        <w:spacing w:before="0" w:after="0"/>
        <w:jc w:val="center"/>
        <w:rPr>
          <w:rFonts w:ascii="Times New Roman" w:hAnsi="Times New Roman"/>
          <w:b/>
          <w:sz w:val="18"/>
        </w:rPr>
      </w:pPr>
      <w:r>
        <w:rPr>
          <w:rFonts w:ascii="Times New Roman" w:hAnsi="Times New Roman"/>
          <w:b/>
          <w:sz w:val="18"/>
        </w:rPr>
        <w:t xml:space="preserve">Facsimile: (415) 772-7400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this registration statement becomes effective. </w:t>
      </w:r>
    </w:p>
    <w:p>
      <w:pPr>
        <w:pStyle w:val="TextBody"/>
        <w:bidi w:val="0"/>
        <w:spacing w:before="6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registration statement pursuant to Rule 462(d)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 selling stockholders may not sell these securities or accept an offer to buy these securities until the registration statement filed with the Securities and Exchange Commission is effective. This prospectus is not an offer to sell these securities, and it is not soliciting </w:t>
      </w:r>
      <w:r>
        <w:rPr>
          <w:rFonts w:ascii="Arial Narrow" w:hAnsi="Arial Narrow"/>
          <w:b/>
          <w:color w:val="FF4338"/>
          <w:sz w:val="20"/>
          <w:u w:val="single"/>
        </w:rPr>
        <w:t>offers</w:t>
      </w:r>
      <w:r>
        <w:rPr>
          <w:rFonts w:ascii="Arial Narrow" w:hAnsi="Arial Narrow"/>
          <w:b/>
          <w:color w:val="FF4338"/>
          <w:sz w:val="20"/>
        </w:rPr>
        <w:t xml:space="preserve"> to buy these securities in any state or jurisdiction where such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23, 2024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805" cy="41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805" cy="4127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48"/>
        </w:rPr>
      </w:pPr>
      <w:r>
        <w:rPr>
          <w:rFonts w:ascii="Times New Roman" w:hAnsi="Times New Roman"/>
          <w:b/>
          <w:sz w:val="48"/>
        </w:rPr>
        <w:t xml:space="preserve">BIODESIX, INC. </w:t>
      </w:r>
    </w:p>
    <w:p>
      <w:pPr>
        <w:pStyle w:val="TextBody"/>
        <w:bidi w:val="0"/>
        <w:spacing w:before="120" w:after="0"/>
        <w:jc w:val="center"/>
        <w:rPr>
          <w:rFonts w:ascii="Times New Roman" w:hAnsi="Times New Roman"/>
          <w:b/>
          <w:sz w:val="28"/>
        </w:rPr>
      </w:pPr>
      <w:r>
        <w:rPr>
          <w:rFonts w:ascii="Times New Roman" w:hAnsi="Times New Roman"/>
          <w:b/>
          <w:sz w:val="28"/>
        </w:rPr>
        <w:t xml:space="preserve">30,434,280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Offered by the Selling Stockholders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the proposed resale or other disposition by the selling stockholders identified in this prospectus of up to 30,434,280 shares of Common Stock (the Private Placement Conversion Shares) issuable upon the conversion of 760,857 shares (the Private Placement Preferred Shares) of Series A Non-Voting Convertible Preferred Stock, par value $0.001 (the Series A Preferred Stock). Subject to receiving the requisite stockholder approval and certain beneficial ownership limitations set by each preferred stockholder, each share of Series A Preferred Stock will automatically convert following the requisite stockholder approval into an aggregate of 40 shares of Common Stock. The shares of Common Stock registered by this prospectus are referred to herein as the Resale Shares. </w:t>
      </w:r>
    </w:p>
    <w:p>
      <w:pPr>
        <w:pStyle w:val="TextBody"/>
        <w:bidi w:val="0"/>
        <w:spacing w:before="120" w:after="0"/>
        <w:jc w:val="left"/>
        <w:rPr>
          <w:rFonts w:ascii="Times New Roman" w:hAnsi="Times New Roman"/>
          <w:sz w:val="20"/>
        </w:rPr>
      </w:pPr>
      <w:r>
        <w:rPr>
          <w:rFonts w:ascii="Times New Roman" w:hAnsi="Times New Roman"/>
          <w:sz w:val="20"/>
        </w:rPr>
        <w:t xml:space="preserve">The Private Placement Preferred Shares were issued and sold to various investors, including certain members of management, certain of our directors and funds affiliated with these directors in a private placement (the Concurrent Private Placement), which closed on April 9, 2024. We are not selling any Resale Shares under this prospectus and will not receive any of the proceeds from the sale or other disposition of Resale Shares by the participants in the Concurrent Private Placement (the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BDSX. On April 22, 2024, the last reported sale price of our Common Stock was $1.29.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pPr>
      <w:r>
        <w:rPr>
          <w:rFonts w:ascii="Times New Roman" w:hAnsi="Times New Roman"/>
          <w:b/>
          <w:sz w:val="24"/>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hyperlink w:anchor="toc827839_6">
        <w:r>
          <w:rPr>
            <w:rStyle w:val="InternetLink"/>
            <w:rFonts w:ascii="Times New Roman" w:hAnsi="Times New Roman"/>
            <w:b/>
            <w:sz w:val="24"/>
          </w:rPr>
          <w:t>Risk Factors</w:t>
        </w:r>
      </w:hyperlink>
      <w:r>
        <w:rPr>
          <w:rFonts w:ascii="Times New Roman" w:hAnsi="Times New Roman"/>
          <w:b/>
          <w:sz w:val="24"/>
        </w:rPr>
        <w:t> on page 10 of this prospectus</w:t>
      </w:r>
      <w:r>
        <w:rPr>
          <w:rFonts w:ascii="Times New Roman" w:hAnsi="Times New Roman"/>
          <w:b/>
          <w:i/>
          <w:sz w:val="24"/>
        </w:rPr>
        <w:t>.</w:t>
      </w:r>
      <w:r>
        <w:rPr>
          <w:rFonts w:ascii="Times New Roman" w:hAnsi="Times New Roman"/>
          <w:sz w:val="24"/>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vAlign w:val="bottom"/>
          </w:tcPr>
          <w:p>
            <w:pPr>
              <w:pStyle w:val="TableContents"/>
              <w:bidi w:val="0"/>
              <w:spacing w:before="0" w:after="0"/>
              <w:jc w:val="left"/>
              <w:rPr/>
            </w:pPr>
            <w:hyperlink w:anchor="toc827839_1">
              <w:r>
                <w:rPr>
                  <w:rStyle w:val="InternetLink"/>
                  <w:rFonts w:ascii="Times New Roman" w:hAnsi="Times New Roman"/>
                  <w:sz w:val="20"/>
                </w:rPr>
                <w:t>ABOUT THIS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2">
              <w:r>
                <w:rPr>
                  <w:rStyle w:val="InternetLink"/>
                  <w:rFonts w:ascii="Times New Roman" w:hAnsi="Times New Roman"/>
                  <w:sz w:val="20"/>
                </w:rPr>
                <w:t>SPECIAL NOTE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3">
              <w:r>
                <w:rPr>
                  <w:rStyle w:val="InternetLink"/>
                  <w:rFonts w:ascii="Times New Roman" w:hAnsi="Times New Roman"/>
                  <w:sz w:val="20"/>
                </w:rPr>
                <w:t>PROSPECTUS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4">
              <w:r>
                <w:rPr>
                  <w:rStyle w:val="InternetLink"/>
                  <w:rFonts w:ascii="Times New Roman" w:hAnsi="Times New Roman"/>
                  <w:sz w:val="20"/>
                </w:rPr>
                <w:t>THE OFFERING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5">
              <w:r>
                <w:rPr>
                  <w:rStyle w:val="InternetLink"/>
                  <w:rFonts w:ascii="Times New Roman" w:hAnsi="Times New Roman"/>
                  <w:sz w:val="20"/>
                </w:rPr>
                <w:t>RISK FACTOR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6">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7">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8">
              <w:r>
                <w:rPr>
                  <w:rStyle w:val="InternetLink"/>
                  <w:rFonts w:ascii="Times New Roman" w:hAnsi="Times New Roman"/>
                  <w:sz w:val="20"/>
                </w:rPr>
                <w:t>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9">
              <w:r>
                <w:rPr>
                  <w:rStyle w:val="InternetLink"/>
                  <w:rFonts w:ascii="Times New Roman" w:hAnsi="Times New Roman"/>
                  <w:sz w:val="20"/>
                </w:rPr>
                <w:t xml:space="preserve">CHANGES IN AND DISAGREEMENTS WITH ACCOUNTANTS ON ACCOUNTING AND FINANCIAL DISCLOSURE </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0">
              <w:r>
                <w:rPr>
                  <w:rStyle w:val="InternetLink"/>
                  <w:rFonts w:ascii="Times New Roman" w:hAnsi="Times New Roman"/>
                  <w:sz w:val="20"/>
                </w:rPr>
                <w:t>QUANTITATIVE AND QUALITATIVE DISCLOSURES ABOUT MARKET RISK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1">
              <w:r>
                <w:rPr>
                  <w:rStyle w:val="InternetLink"/>
                  <w:rFonts w:ascii="Times New Roman" w:hAnsi="Times New Roman"/>
                  <w:sz w:val="20"/>
                </w:rPr>
                <w:t>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2">
              <w:r>
                <w:rPr>
                  <w:rStyle w:val="InternetLink"/>
                  <w:rFonts w:ascii="Times New Roman" w:hAnsi="Times New Roman"/>
                  <w:sz w:val="20"/>
                </w:rPr>
                <w:t>MANAGEMENT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3">
              <w:r>
                <w:rPr>
                  <w:rStyle w:val="InternetLink"/>
                  <w:rFonts w:ascii="Times New Roman" w:hAnsi="Times New Roman"/>
                  <w:sz w:val="20"/>
                </w:rPr>
                <w:t>EXECUTIVE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4">
              <w:r>
                <w:rPr>
                  <w:rStyle w:val="InternetLink"/>
                  <w:rFonts w:ascii="Times New Roman" w:hAnsi="Times New Roman"/>
                  <w:sz w:val="20"/>
                </w:rPr>
                <w:t>SECURITY OWNERSHIP OF CERTAIN BENEFICIAL OWNERS AND MANAGEMENT AND RELATED STOCKHOLDER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5">
              <w:r>
                <w:rPr>
                  <w:rStyle w:val="InternetLink"/>
                  <w:rFonts w:ascii="Times New Roman" w:hAnsi="Times New Roman"/>
                  <w:sz w:val="20"/>
                </w:rPr>
                <w:t>CERTAIN RELATIONSHIPS AND RELATED PARTY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6">
              <w:r>
                <w:rPr>
                  <w:rStyle w:val="InternetLink"/>
                  <w:rFonts w:ascii="Times New Roman" w:hAnsi="Times New Roman"/>
                  <w:sz w:val="20"/>
                </w:rPr>
                <w:t>SELLING STOCKHOLDERS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7">
              <w:r>
                <w:rPr>
                  <w:rStyle w:val="InternetLink"/>
                  <w:rFonts w:ascii="Times New Roman" w:hAnsi="Times New Roman"/>
                  <w:sz w:val="20"/>
                </w:rPr>
                <w:t>PLAN OF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8">
              <w:r>
                <w:rPr>
                  <w:rStyle w:val="InternetLink"/>
                  <w:rFonts w:ascii="Times New Roman" w:hAnsi="Times New Roman"/>
                  <w:sz w:val="20"/>
                </w:rPr>
                <w:t>DESCRIPTION OF CAPITAL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19">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20">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21">
              <w:r>
                <w:rPr>
                  <w:rStyle w:val="InternetLink"/>
                  <w:rFonts w:ascii="Times New Roman" w:hAnsi="Times New Roman"/>
                  <w:sz w:val="20"/>
                </w:rPr>
                <w:t>WHERE YOU CAN FIND MORE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22">
              <w:r>
                <w:rPr>
                  <w:rStyle w:val="InternetLink"/>
                  <w:rFonts w:ascii="Times New Roman" w:hAnsi="Times New Roman"/>
                  <w:sz w:val="20"/>
                </w:rPr>
                <w:t>INCORPORATION OF CERTAIN INFORMATION BY REFERENCE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827839_23">
              <w:r>
                <w:rPr>
                  <w:rStyle w:val="InternetLink"/>
                  <w:rFonts w:ascii="Times New Roman" w:hAnsi="Times New Roman"/>
                  <w:sz w:val="20"/>
                </w:rPr>
                <w:t>INFORMATION NOT REQUIRED IN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II-1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82783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using a shelf registration process. Under this shelf registration process, the Selling Stockholders may, from time to time, sell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or the Selling Stockholders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not authorized anyone to provide you with different information or to make any representation other than those contained in this prospectus.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The Selling Stockholders are not offering to sell, or seeking offers to buy, the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the Resale Shares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The terms Biodesix, the Company, our, us and we, as used in this prospectus, refer to Biodesix, Inc., unless we state otherwise or the context indicates otherwise. This prospectus contains trade names, trademarks and service marks of others, which are the property of their respective owners. Solely for convenience, trademarks and trade names referred to in this prospectus may appear without the ® or TM symbols.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82783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 </w:t>
      </w:r>
    </w:p>
    <w:p>
      <w:pPr>
        <w:pStyle w:val="TextBody"/>
        <w:bidi w:val="0"/>
        <w:spacing w:before="12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achieve or sustain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audited financial statements include a statement that there is a substantial doubt about our ability to continue as a going concern and a continuation of negative financial trends could result in our inability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attain significant market acceptance among payers, providers, clinics, patients, and biopharmaceutical companies for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managing our growth, which could disrupt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retain sales and marketing personnel, and failure to increase our sales and marketing capabilities or develop broad awareness of our diagnostic tests to generate revenue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our current relationships, or enter into new relationships, with biopharmaceutical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fluctuation in our operating results, causing our operating results to fall below expectations or any guidance we provide;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performance and reliability to maintain and grow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suppliers, including courier services and single source suppliers, making us vulnerable to supply problems and price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pandemic, epidemic or outbreak of an infectious disease in the United States (US) or worldwide, including the Coronavirus Disease 2019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or man-made disasters and other similar events negatively impacting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offer high-quality support for our diagnostic tests, which may adversely affect our relationships with providers and negatively impact our reputation among patients and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continue to innovate and improve our diagnostic tests and services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or data privacy breaches or other unauthorized or improper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disruptions in our information technology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substantial liabilities and limiting or halting the marketing and sale of our diagnostic tests due to product liability lawsuits;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compete successfully with competition from many sources, including larger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issues, service interruptions or price increases by our shipping carriers;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cost-containment efforts of our customers, purchasing groups and integrated delivery networks having a material adverse effect on our sales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effects of litigation and other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financial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and future debt financing placing restrictions on our operating and financial flexibility;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to raise additional capital to fund our existing operations, develop our platform, commercialize new diagnostic tests, or expand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of other businesses, which could require significant management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uncertainty of the insurance coverage and reimbursement status of newly approved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healthcare reform measures that could hinder or prevent the commercial success of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anti-corruption, anti-bribery, anti-money laundering and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healthcare fraud and abuse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receive regulatory clearance or approval or certification for, and introduce new diagnostic tests or enhancements to existing diagnostic tests that will be accepted by the market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ongoing Food and Drug Administration (FDA) or other domestic and foreign regulatory authority requirements, or unanticipated problems with our diagnostic tests, causing them to be subject to restrictions or withdrawal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initiated by third parties alleging that we are infringing, misappropriating, or otherwise violating their intellectual property rights, the outcome of which would be uncertain;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volatility of the trading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inaccurate estimates or judgments relating to our critical accounting policies, which could cause our operating results to fall below the expectations of securities analysts and investors;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uncertainties and factors, including those set forth under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risks are not exhaustive. Other sections of this prospectus and the documents incorporated by reference herein and therein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herein and therein with the understanding that our actual future results, levels of activity, performance and achievements may be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82783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is not complete and does not contain all of the information that you should consider before deciding whether to invest in the securities covered by this prospectus. For a more complete understanding, we encourage you to read and consider carefully the more detailed information in this prospectus, including the information referred to under the headings Risk Factors, Managements Discussion and Analysis of Financial Condition and Results of Operations, and our consolidated financial statements and the related notes thereto. </w:t>
      </w:r>
    </w:p>
    <w:p>
      <w:pPr>
        <w:pStyle w:val="TextBody"/>
        <w:bidi w:val="0"/>
        <w:spacing w:before="36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core belief is that no single technology will answer all clinical questions that we encounter. Therefore, we employ multiple technologies, including genomics, transcriptomics, proteomics, radiomics, and artificial intelligence (AI) enabled informatics, to discover innovative diagnostic tests for potential clinical use. Our multi-omic approach is designed to enable us to discover diagnostic tests that answer critical clinical questions faced by physicians, researchers, and biopharmaceutical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commercialized five diagnostic tests which are currently on market and we perform more than 30 assays for clinical and research use as part of our laboratory services that have been used by over 65 biopharmaceutical customers and academic partners.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Blood-Based Lung Tests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five diagnostic blood-based lung cancer tests across the lung cancer continuum of care. </w:t>
      </w:r>
    </w:p>
    <w:p>
      <w:pPr>
        <w:pStyle w:val="TextBody"/>
        <w:bidi w:val="0"/>
        <w:spacing w:before="360" w:after="0"/>
        <w:jc w:val="left"/>
        <w:rPr>
          <w:rFonts w:ascii="Times New Roman" w:hAnsi="Times New Roman"/>
          <w:i/>
          <w:sz w:val="20"/>
          <w:u w:val="single"/>
          <w:bdr w:val="single" w:sz="8" w:space="1" w:color="000000"/>
        </w:rPr>
      </w:pPr>
      <w:r>
        <w:rPr>
          <w:rFonts w:ascii="Times New Roman" w:hAnsi="Times New Roman"/>
          <w:i/>
          <w:sz w:val="20"/>
          <w:u w:val="single"/>
          <w:bdr w:val="single" w:sz="8" w:space="1" w:color="000000"/>
        </w:rPr>
        <w:t xml:space="preserve">Diagnosis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Nodify CDT® and Nodify XL2® tests, together marketed as our Nodify Lung®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We believe we are the only company to offer two commercial blood-based tests to help physicians reclassify risk of malignancy in patients with suspicious lung nodules. </w:t>
            </w:r>
          </w:p>
        </w:tc>
      </w:tr>
    </w:tbl>
    <w:p>
      <w:pPr>
        <w:pStyle w:val="TextBody"/>
        <w:bidi w:val="0"/>
        <w:spacing w:before="120" w:after="0"/>
        <w:jc w:val="left"/>
        <w:rPr>
          <w:rFonts w:ascii="Times New Roman" w:hAnsi="Times New Roman"/>
          <w:i/>
          <w:sz w:val="20"/>
          <w:u w:val="single"/>
          <w:bdr w:val="single" w:sz="8" w:space="1" w:color="000000"/>
        </w:rPr>
      </w:pPr>
      <w:r>
        <w:rPr>
          <w:rFonts w:ascii="Times New Roman" w:hAnsi="Times New Roman"/>
          <w:i/>
          <w:sz w:val="20"/>
          <w:u w:val="single"/>
          <w:bdr w:val="single" w:sz="8" w:space="1" w:color="000000"/>
        </w:rPr>
        <w:t xml:space="preserve">Treatment &amp; Monitoring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GeneStrat® ddPCR, </w:t>
            </w:r>
            <w:r>
              <w:rPr>
                <w:rFonts w:ascii="Times New Roman" w:hAnsi="Times New Roman"/>
                <w:i/>
                <w:sz w:val="20"/>
              </w:rPr>
              <w:t>GeneStratNGS</w:t>
            </w:r>
            <w:r>
              <w:rPr>
                <w:rFonts w:ascii="Times New Roman" w:hAnsi="Times New Roman"/>
                <w:sz w:val="20"/>
              </w:rPr>
              <w:t xml:space="preserve">® and VeriStrat® tests, marketed as part of our IQLung testing strategy, are used following diagnosis of lung cancer to detect the presence of mutations in the tumor and the state of the patients immune system to help guide treatment decisions.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within the meaning of the Jumpstart Our Business Startups Act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last day of the fiscal year ending after the fifth anniversary of the completion of our initial public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exceeds $700 million as of the end of that years second fiscal quarter. To the extent we take advantage of such reduced disclosure obligations, it may also make comparison of our financial statements with other public companies difficult or impossible.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2005 as Elston Technologies, Inc. Our principal executive offices are located at 919 West Dillon Rd., Louisville, Colorado 80027, and our telephone number is (303) 417-0500. On June 20, 2006, we changed our name to Biodesix,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filings with the SEC are posted on our website at www.biodesix.com. Other than the specifically incorporated SEC filings, the information found on or accessible through our website is not part of this prospectus or any other report we file with or furnish to the SEC. The public can also obtain copies of these filings by accessing the SECs website at http://www.sec.gov.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April 2024 Underwritten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5, 2024, we entered into an underwriting agreement (the Underwriting Agreement) with TD Securities (USA) LLC, William Blair &amp; Company, LLC and Canaccord Genuity LLC, as representatives of the underwriters, for the sale and issuance of an aggregate 17,391,832 shares of Common Stock for aggregate gross proceeds of $18.4 million (the Underwritten Offering). The Underwritten Offering was conducted pursuant to a shelf registration statement on Form S-3. Pursuant to the Underwriting Agreement, we agreed to issue and sell our Common Stock at a price of $1.15 per share.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April 2024 Concurrent 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5, 2024, we entered into definitive agreements (the April 2024 SPAs) for the Concurrent Private Placement (together with the Underwritten Offering, the April 2024 Transactions) with various investors, including certain members of management, certain of our directors and funds affiliated with these directors, for 760,857 shares of Series A Preferred Stock (convertible on a 40 to 1 basis) at a price of $46.00 per share. Following receipt of stockholder approval of the conversion of Series A Preferred Stock, each share of Series A Preferred Stock will automatically convert into 40 shares of Common Stock, subject to certain beneficial ownership limitations set by each holder. Except as otherwise required by law, the Series A Preferred Stock does not have voting rights.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and in connection with the execution of the Underwriting Agreement, certain of Biodesixs directors and officers entered into lockup agreements with Biodesix, pursuant to which each such stockholder was subject to a 90-day lockup on the sale or transfer of shares of Common Stock held by each such stockholder at the pricing of the April 2024 Transactions, including those shares received by such stockholders in the Concurrent Private 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827839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Shares offered by the Selling Stockholders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Up to 30,434,280 shares of Common Stock issuable upon the conversion of 760,857 shares of Series A Preferred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Terms of the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Selling Stockholders will determine when and how they will dispose of the shares of Common Stock issuable upon conversion of Series A Preferred Stock registered under this prospectus for resale.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Shares Outstanding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As of April 9, 2024, the closing date of the April 2024 Transactions, there were 114,685,542 shares of our Common Stock and 760,857 shares of Series A Preferred Stock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not receive any proceeds from the sale of the Resale Shares offered by the Selling Stockholders under this prospectus. The net proceeds from the sale of the Resale Shares offered by this prospectus will be received by the Selling Stockholders. See the section titled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Market symbol</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BDSX.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Investing in our securities involves a high degree of risk. See Risk Factors beginning on page 10 of this prospectus and the other information included in, or incorporated by reference into, this prospectus supplement for a discussion of certain factors that you should carefully consider before deciding to invest in shares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shown above to be outstanding is based on 114,685,542 shares outstanding as of April 9, 2024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1,590,196 shares of Common Stock reserved for future issuance under our 2020 Equity Incentive Plan (the 2020 Incentive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430,612 shares of Common Stock reserved for issuance pursuant to future awards under our 2020 Employee Stock Purchase Plan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30,434,280 shares of Common Stock issuable upon the conversion of the Series A Preferred Stock issued in the Concurrent Private Placement.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we specifically state otherwise, this prospectus reflects and assumes no exercise of outstanding options, warrants or restricted stock units (RSUs).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oc827839_5"/>
      <w:bookmarkEnd w:id="7"/>
      <w:r>
        <w:rPr>
          <w:rFonts w:ascii="Times New Roman" w:hAnsi="Times New Roman"/>
          <w:b/>
          <w:sz w:val="20"/>
          <w:bdr w:val="single" w:sz="8" w:space="1" w:color="000000"/>
        </w:rPr>
        <w:t xml:space="preserve">RISK FACTOR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the section titled Risk Factors.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net losses, and we expect to continue to incur losses for the foreseeable future. If we achieve profitability, we may not be able to sustain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audited financial statements include a statement that there is a substantial doubt about our ability to continue as a going concern and a continuation of negative financial trends could result in our inability to continue as a going concern;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 success of our current and future diagnostic tests and services and our revenue growth depends upon attaining significant market acceptance among payers, providers, clinics, patients, and biopharmaceutical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encounter difficulties in managing our growth, which could disrupt our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retain sales and marketing personnel and, as we grow, fail to increase our sales and marketing capabilities or develop broad awareness of our diagnostic tests in a cost-effective manner, we may not be able to generate revenue growth;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cannot maintain our current relationships, or enter into new relationships, with biopharmaceutical companies, our revenue prospects could be reduced;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and revenue growth are highly dependent on the demand for, and increased adoption of, our diagnostic tests, which are subject to a number of risks and uncertainty;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need to ensure strong product performance and reliability to maintain and grow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upon third-party suppliers, including single source suppliers, making us vulnerable to supply problems and price fluctuations;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or man-made disasters or other similar events may significantly disrupt our business, and negatively impact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industry is subject to rapid change, which could make our solutions and the diagnostic tests we develop and services we offer obsolete. If we are unable to continue to innovate and improve our diagnostic tests and services we offer, we could lose customers or market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face additional costs, loss of revenue, significant liabilities, harm to our brand, decreased use of our products or services and business disruption if there are any security or data privacy breaches or other unauthorized or improper access.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827839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Our operations and financial results are subject to various risks and uncertainties that could adversely affect our business, financial condition, results of operations and cash flows. All of the risks described below should be carefully considered together with the other information contained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history of net losses, and we expect to continue to incur losses for the foreseeable future. If we achieve profitability, we may not be able to sustain it.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losses since our inception and expect to continue to incur losses for the foreseeable future. We reported net losses of $52.1 million and $65.4 million the years ended December 31, 2023 and 2022, respectively. As a result of these losses, as of December 31, 2023, we had an accumulated deficit of approximately $419.6 million.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as such, we have incurred significant losses since inception and have yet to generate positive cash flows from operations. Our ability to meet our obligations as they come due may be impacted by our ability to remain compliant with financial covenants in our Perceptive Term Loan Facility and may result in our inability to continue as a going concern. Any such impacts could have a material and adverse effect on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financial statements as of and for the period ended December 31, 2023 were prepared on the assumption that we would continue as a going concern. These financial statements did not include any adjustments that might result from the outcome of this uncertainty. As of December 31, 2023, we maintained cash and cash equivalents of $26.3 million and we have $40.0 million in principal balance outstanding on our Perceptive Term Loan (as defined below). We have incurred significant losses since inception and, as a result, we have funded our operations to date primarily through the sale of Common Stock in both underwritten public offerings and private placements,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technology. Our ability to meet our obligations as they come due may be impacted by our ability to remain compliant with financial covenants in the Perceptive Term Loan Facility or to obtain waivers or amendments that impact the related covenants.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and repayment of the outstanding balances. As a result, our management has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there is a substantial doubt about our ability to continue as a going concern over the next twelve months from the date these financial statements were issued. Although we have taken steps to improve our liquidity, including through raising debt and equity capital, and have also undertaken several proactive measures including, among other things, the reduction of planned capital expenditures and certain operating expenses, we do not expect that these actions alone will be sufficient to maintain our financial covenants. In addition, if we are not able to improve our operating results, we may need to limit our operations substantially. We will need to raise additional capital in the form of debt or equity to increase our liquidity but there is no assurance that we will be able to secure any such funding in a sufficient amount or on terms that are acceptable to us.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this report, and our potential inability to continue as a going concern, could materially adversely affect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commercial success of our current and future diagnostic tests and services and our revenue growth depends upon attaining significant market acceptance among payers, providers, clinics, patients, and biopharmaceutical companies.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 </w:t>
      </w:r>
    </w:p>
    <w:p>
      <w:pPr>
        <w:pStyle w:val="TextBody"/>
        <w:bidi w:val="0"/>
        <w:spacing w:before="240" w:after="0"/>
        <w:jc w:val="left"/>
        <w:rPr>
          <w:rFonts w:ascii="Times New Roman" w:hAnsi="Times New Roman"/>
          <w:sz w:val="20"/>
        </w:rPr>
      </w:pPr>
      <w:r>
        <w:rPr>
          <w:rFonts w:ascii="Times New Roman" w:hAnsi="Times New Roman"/>
          <w:sz w:val="20"/>
        </w:rPr>
        <w:t xml:space="preserve">The degree of market acceptance of our current and future diagnostic tests and services depends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there is adequate utilization of our tests by clinicians, biopharmaceutical companies and other target groups based on the potential and perceived advantages of our diagnostic tests over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convenience and ease of use of our diagnostic tests relative to those currently on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provide incremental data that show the clinical benefits and cost effectiveness, and operational benefits, of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coverage and reimbursement acceptance of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pressure, including from group purchasing organizations (GPOs), seeking to obtain discounts on our diagnostic tests based on the collective bargaining power of the GPO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publicity regarding our or our competitors diagnostic tests resulting from defects or errors;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tests relative to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by the FDA or other regulatory authorities or conformity assessment bodies;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cleared or approved by the FDA or other regulatory authorities or conformity assessment bodies.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even if our diagnostic tests achieve widespread market acceptance, they may not maintain that market acceptance over time if competing diagnostic tests or technologies, which are more cost effective or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more favorably, are introduced. Failure to achieve or maintain market acceptance and/or market share would limit our ability to generate revenue and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encounter difficulties in managing our growth, which could disrupt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approximately 217 full and part-time employees. Over the next several years, we expect to continue to significantly increase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experienced multiple cycles of growth and anticipate further growth in our business operations. This future growth could put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maintain the quality or expected turnaround times of our diagnostic tests and services,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 Additionally, if we are required to reduce expenses substantially to sustain our operations, we may not have the human resources to maintain growth in our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retain sales and marketing personnel and, as we grow, fail to increase our sales and marketing capabilities or develop broad awareness of our diagnostic tests in a cost-effective manner, we may not be able to generate revenue growth. </w:t>
      </w:r>
    </w:p>
    <w:p>
      <w:pPr>
        <w:pStyle w:val="TextBody"/>
        <w:bidi w:val="0"/>
        <w:spacing w:before="120" w:after="0"/>
        <w:jc w:val="left"/>
        <w:rPr>
          <w:rFonts w:ascii="Times New Roman" w:hAnsi="Times New Roman"/>
          <w:sz w:val="20"/>
        </w:rPr>
      </w:pPr>
      <w:r>
        <w:rPr>
          <w:rFonts w:ascii="Times New Roman" w:hAnsi="Times New Roman"/>
          <w:sz w:val="20"/>
        </w:rPr>
        <w:t xml:space="preserve">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order to generate future growth, we plan to continue to expand and leverage our sales and marketing infrastructure. Identifying and recruiting qualified sales and marketing personnel and training them on how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maintain our current relationships, or enter into new relationships, with biopharmaceutical companies, our revenue prospects could be reduced. </w:t>
      </w:r>
    </w:p>
    <w:p>
      <w:pPr>
        <w:pStyle w:val="TextBody"/>
        <w:bidi w:val="0"/>
        <w:spacing w:before="120" w:after="0"/>
        <w:jc w:val="left"/>
        <w:rPr>
          <w:rFonts w:ascii="Times New Roman" w:hAnsi="Times New Roman"/>
          <w:sz w:val="20"/>
        </w:rPr>
      </w:pPr>
      <w:r>
        <w:rPr>
          <w:rFonts w:ascii="Times New Roman" w:hAnsi="Times New Roman"/>
          <w:sz w:val="20"/>
        </w:rPr>
        <w:t xml:space="preserve">We collaborate with biopharmaceutical companies to analyze patient samples for multiple applications primarily to support clinical trials, including patient identification, companion or complementary diagnostics and retrospective testing.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 </w:t>
      </w:r>
    </w:p>
    <w:p>
      <w:pPr>
        <w:pStyle w:val="TextBody"/>
        <w:bidi w:val="0"/>
        <w:spacing w:before="240" w:after="0"/>
        <w:jc w:val="left"/>
        <w:rPr>
          <w:rFonts w:ascii="Times New Roman" w:hAnsi="Times New Roman"/>
          <w:sz w:val="20"/>
        </w:rPr>
      </w:pPr>
      <w:r>
        <w:rPr>
          <w:rFonts w:ascii="Times New Roman" w:hAnsi="Times New Roman"/>
          <w:sz w:val="20"/>
        </w:rPr>
        <w:t xml:space="preserve">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w:t>
      </w:r>
    </w:p>
    <w:p>
      <w:pPr>
        <w:pStyle w:val="TextBody"/>
        <w:bidi w:val="0"/>
        <w:spacing w:before="240" w:after="0"/>
        <w:jc w:val="left"/>
        <w:rPr>
          <w:rFonts w:ascii="Times New Roman" w:hAnsi="Times New Roman"/>
          <w:sz w:val="20"/>
        </w:rPr>
      </w:pPr>
      <w:r>
        <w:rPr>
          <w:rFonts w:ascii="Times New Roman" w:hAnsi="Times New Roman"/>
          <w:sz w:val="20"/>
        </w:rPr>
        <w:t xml:space="preserve">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before="120" w:after="0"/>
        <w:jc w:val="left"/>
        <w:rPr>
          <w:rFonts w:ascii="Times New Roman" w:hAnsi="Times New Roman"/>
          <w:sz w:val="20"/>
        </w:rPr>
      </w:pPr>
      <w:r>
        <w:rPr>
          <w:rFonts w:ascii="Times New Roman" w:hAnsi="Times New Roman"/>
          <w:sz w:val="20"/>
        </w:rPr>
        <w:t xml:space="preserve">Our quarterly and annual revenue and operating results may fluctuate significantly, which makes it difficult for us to predict our future operating results. Our quarterly and annual operating results may fluctuate as a result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variety of factors, many of which are outside our control and, as a result, may not fully reflect the underlying performance of our business. These fluctuations may occur due to a variety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demand for our diagnostic tests, which may vary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of manufacturing our diagnostic tests, which may vary depending on the quantity of production and the terms of our agreements with third-party suppliers and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expenditures that we may incur to acquire, develop, or commercialize additional tests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pricing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at which we grow our sales force and the speed at which newly hired salespeople become effective, and the cost and level of investment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degree of competition in our industry and any change in the competitive landscape of our industry, including consolidation among our competitors or future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policies with respect to lung cancer treatment equipment, and potential future diagnostic tests that compete with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or failure of clinical trials for our diagnostic tests or any enhancements to such tests we develop or competing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positive or negative coverage, or public perception, of our diagnostic tests or those of our competitors or broader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of obtaining regulatory approvals, conformity certifications or clearances for planned or future improvements or enhancements to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or in the status of regulatory approvals or applications or conformity certifications;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discounts, and incentives for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accounting pronouncements or changes in our accounting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cumulative effects of these factors has resulted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 </w:t>
      </w:r>
    </w:p>
    <w:p>
      <w:pPr>
        <w:pStyle w:val="TextBody"/>
        <w:bidi w:val="0"/>
        <w:spacing w:before="360" w:after="0"/>
        <w:jc w:val="left"/>
        <w:rPr>
          <w:rFonts w:ascii="Times New Roman" w:hAnsi="Times New Roman"/>
          <w:sz w:val="20"/>
        </w:rPr>
      </w:pPr>
      <w:r>
        <w:rPr>
          <w:rFonts w:ascii="Times New Roman" w:hAnsi="Times New Roman"/>
          <w:b/>
          <w:i/>
          <w:sz w:val="20"/>
        </w:rPr>
        <w:t>We need to ensure strong product performance and reliability to maintain and grow our business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need to maintain and continuously improve the performance and reliability of our diagnostic tests, including the Nodify XL2 and Nodify CDT tests, and the GeneStrat and VeriStrat tests to achieve our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upon third-party suppliers, including single source suppliers, making us vulnerable to supply problems and price fluctuations. </w:t>
      </w:r>
    </w:p>
    <w:p>
      <w:pPr>
        <w:pStyle w:val="TextBody"/>
        <w:bidi w:val="0"/>
        <w:spacing w:before="120" w:after="0"/>
        <w:jc w:val="left"/>
        <w:rPr>
          <w:rFonts w:ascii="Times New Roman" w:hAnsi="Times New Roman"/>
          <w:sz w:val="20"/>
        </w:rPr>
      </w:pPr>
      <w:r>
        <w:rPr>
          <w:rFonts w:ascii="Times New Roman" w:hAnsi="Times New Roman"/>
          <w:sz w:val="20"/>
        </w:rPr>
        <w:t xml:space="preserve">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Oncimmune is also the sole source supplier for our Nodify CDT tests but there are known secondary suppliers for these materials. While we have initiated the second source qualification process for the majority of these critical components, we may not be successful in securing second sourcing for all of them at all or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Many of our suppliers are not obligated to perform services or supply diagnostic testing materials for any specific period, in any specific quantity or at any specific price, except as may be provided in a particular purchase order. We depend on our suppliers and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These suppliers may cease producing the components we purchase from them or otherwise decide to cease doing business with us. Further, we maintain limited volumes of inventory from most of our suppliers. If we inaccurately forecast demand for finished goods, we may be unable to meet customer demand which could harm our competitive position and reputation. In addition, if we fail to effectively manage our relationships, we may be required to change suppliers.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For more information regarding this license and supply agreement and the permission granted to us by Bio-Rad with respect to such tests, please see BusinessMaterial AgreementsAgreements with Bio-Rad previously filed with our Form S-1 on October 23, 2020 and First Amendment to the Non-Exclusive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between Bio-Rad Laboratories, Inc., and Biodesix, Inc., dated May 24, 2021 previously filed with our Form 10-Q on August 10, 2021. </w:t>
      </w:r>
    </w:p>
    <w:p>
      <w:pPr>
        <w:pStyle w:val="TextBody"/>
        <w:bidi w:val="0"/>
        <w:spacing w:before="240" w:after="0"/>
        <w:jc w:val="left"/>
        <w:rPr>
          <w:rFonts w:ascii="Times New Roman" w:hAnsi="Times New Roman"/>
          <w:sz w:val="20"/>
        </w:rPr>
      </w:pPr>
      <w:r>
        <w:rPr>
          <w:rFonts w:ascii="Times New Roman" w:hAnsi="Times New Roman"/>
          <w:sz w:val="20"/>
        </w:rPr>
        <w:t xml:space="preserve">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sufficiently reduce costs in the performance, manufacturing and production of our diagnostic tests to achieve sustainable gross margins. </w:t>
      </w:r>
    </w:p>
    <w:p>
      <w:pPr>
        <w:pStyle w:val="TextBody"/>
        <w:bidi w:val="0"/>
        <w:spacing w:before="120" w:after="0"/>
        <w:jc w:val="left"/>
        <w:rPr>
          <w:rFonts w:ascii="Times New Roman" w:hAnsi="Times New Roman"/>
          <w:sz w:val="20"/>
        </w:rPr>
      </w:pPr>
      <w:r>
        <w:rPr>
          <w:rFonts w:ascii="Times New Roman" w:hAnsi="Times New Roman"/>
          <w:sz w:val="20"/>
        </w:rPr>
        <w:t xml:space="preserve">We partner with suppliers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pandemic, epidemic or outbreak of an infectious disease in the United States or worldwide, including a future outbreak of the novel strain of coronavirus disease, COVID-19, and its variants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If a pandemic, epidemic or outbreak of an infectious disease occurs in the United States or worldwide, our business may be adversely affected. For much of 2020 and 2021, COVID-19 spread throughout the United States and to most countries globally, creating significant uncertainty and economic disruption. Numerous U.S. state and local jurisdictions chose to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Disruptions or potential disruptions due to the orders and restrictions have included, and in the future may continue to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 </w:t>
      </w:r>
    </w:p>
    <w:p>
      <w:pPr>
        <w:pStyle w:val="TextBody"/>
        <w:bidi w:val="0"/>
        <w:spacing w:before="240" w:after="0"/>
        <w:jc w:val="left"/>
        <w:rPr>
          <w:rFonts w:ascii="Times New Roman" w:hAnsi="Times New Roman"/>
          <w:sz w:val="20"/>
        </w:rPr>
      </w:pPr>
      <w:r>
        <w:rPr>
          <w:rFonts w:ascii="Times New Roman" w:hAnsi="Times New Roman"/>
          <w:sz w:val="20"/>
        </w:rPr>
        <w:t xml:space="preserve">The COVID-19 pandemic also negatively affected our non-COVID-19 testing-related revenue and our clinical studies. For example, cancer patients had more limited access to hospitals, healthcare providers and medical resources as they took steps to control the spread of COVID-19. Our biopharmaceutical customers have faced challenges in recruiting patients and in conducting clinical trials to advance their pipelines, for which our tests could be utilized. Further, our clinical studies, such as our ongoing INSIGHT study and our recently launched ALTITUDE study, as well as our arrangements with our biopharmaceutical customers, are expected to take longer to complete than what we expected before the outbreak of the COVID-19 pandemic.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extent to which the a future pandemic or epidemic, including a future outbreak of the COVID-19 virus, impacts our business will depend on future developments, which are highly uncertain and cannot be predicted, including new information which may emerge concerning the resurgence of COVID-19 or any other virus and the actions to contain or treat its impact, among others. </w:t>
      </w:r>
    </w:p>
    <w:p>
      <w:pPr>
        <w:pStyle w:val="TextBody"/>
        <w:bidi w:val="0"/>
        <w:spacing w:before="240" w:after="0"/>
        <w:jc w:val="left"/>
        <w:rPr>
          <w:rFonts w:ascii="Times New Roman" w:hAnsi="Times New Roman"/>
          <w:sz w:val="20"/>
        </w:rPr>
      </w:pPr>
      <w:r>
        <w:rPr>
          <w:rFonts w:ascii="Times New Roman" w:hAnsi="Times New Roman"/>
          <w:sz w:val="20"/>
        </w:rPr>
        <w:t xml:space="preserve">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a pandemic adversely affects our business and financial results, it may also have the effect of heightening many of the other risks described in this Risk Factors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Natural or man-made disasters and other similar events may significantly disrupt our business, and negatively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our employee base, operating facilities and infrastructure are centralized in Louisville,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sizes of the markets for our diagnostic tests and services and any future diagnostic tests and services may be smaller than we estimate and may decline. </w:t>
      </w:r>
    </w:p>
    <w:p>
      <w:pPr>
        <w:pStyle w:val="TextBody"/>
        <w:bidi w:val="0"/>
        <w:spacing w:before="120" w:after="0"/>
        <w:jc w:val="left"/>
        <w:rPr>
          <w:rFonts w:ascii="Times New Roman" w:hAnsi="Times New Roman"/>
          <w:sz w:val="20"/>
        </w:rPr>
      </w:pPr>
      <w:r>
        <w:rPr>
          <w:rFonts w:ascii="Times New Roman" w:hAnsi="Times New Roman"/>
          <w:sz w:val="20"/>
        </w:rPr>
        <w:t xml:space="preserve">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industry is subject to rapid change, which could make our solutions and the diagnostic tests we develop and services we offer, obsolete. If we are unable to continue to innovate and improve our diagnostic tests and services we offer, we could lose customers or market share. </w:t>
      </w:r>
    </w:p>
    <w:p>
      <w:pPr>
        <w:pStyle w:val="TextBody"/>
        <w:bidi w:val="0"/>
        <w:spacing w:before="120" w:after="0"/>
        <w:jc w:val="left"/>
        <w:rPr>
          <w:rFonts w:ascii="Times New Roman" w:hAnsi="Times New Roman"/>
          <w:sz w:val="20"/>
        </w:rPr>
      </w:pPr>
      <w:r>
        <w:rPr>
          <w:rFonts w:ascii="Times New Roman" w:hAnsi="Times New Roman"/>
          <w:sz w:val="20"/>
        </w:rPr>
        <w:t xml:space="preserve">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additional costs, loss of revenue, significant liabilities, harm to our brand, decreased use of our products or services and business disruption if there are any security or data privacy breaches or other unauthorized or improper access.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(HIPAA), and the Health Information Technology for Economic and Clinical Health (HITECH) Act and laws in other jurisdictions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 </w:t>
      </w:r>
    </w:p>
    <w:p>
      <w:pPr>
        <w:pStyle w:val="TextBody"/>
        <w:bidi w:val="0"/>
        <w:spacing w:before="240" w:after="0"/>
        <w:jc w:val="left"/>
        <w:rPr>
          <w:rFonts w:ascii="Times New Roman" w:hAnsi="Times New Roman"/>
          <w:sz w:val="20"/>
        </w:rPr>
      </w:pPr>
      <w:r>
        <w:rPr>
          <w:rFonts w:ascii="Times New Roman" w:hAnsi="Times New Roman"/>
          <w:sz w:val="20"/>
        </w:rPr>
        <w:t xml:space="preserve">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 actors.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significant payer concentration, with a limited number of customers accounting for a substantial portion of our revenues.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Medicare reimbursed 43% of our diagnostic test revenue to us and one customer accounted for 10% of our total revenue. For the year ended December 31, 2022, Medicare reimbursed 37% of our diagnostic test revenue to us and one customer accounted for 10% of our total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results of operations will be materially harmed if we are unable to accurately forecast customer demand for, and utilization of, our diagnostic tests and manage our inventory. </w:t>
      </w:r>
    </w:p>
    <w:p>
      <w:pPr>
        <w:pStyle w:val="TextBody"/>
        <w:bidi w:val="0"/>
        <w:spacing w:before="120" w:after="0"/>
        <w:jc w:val="left"/>
        <w:rPr>
          <w:rFonts w:ascii="Times New Roman" w:hAnsi="Times New Roman"/>
          <w:sz w:val="20"/>
        </w:rPr>
      </w:pPr>
      <w:r>
        <w:rPr>
          <w:rFonts w:ascii="Times New Roman" w:hAnsi="Times New Roman"/>
          <w:sz w:val="20"/>
        </w:rPr>
        <w:t xml:space="preserve">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experience significant disruptions in our information technology systems,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 </w:t>
      </w:r>
    </w:p>
    <w:p>
      <w:pPr>
        <w:pStyle w:val="TextBody"/>
        <w:bidi w:val="0"/>
        <w:spacing w:before="120" w:after="0"/>
        <w:jc w:val="left"/>
        <w:rPr>
          <w:rFonts w:ascii="Times New Roman" w:hAnsi="Times New Roman"/>
          <w:sz w:val="20"/>
        </w:rPr>
      </w:pPr>
      <w:r>
        <w:rPr>
          <w:rFonts w:ascii="Times New Roman" w:hAnsi="Times New Roman"/>
          <w:sz w:val="20"/>
        </w:rPr>
        <w:t xml:space="preserve">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 </w:t>
      </w:r>
    </w:p>
    <w:p>
      <w:pPr>
        <w:pStyle w:val="TextBody"/>
        <w:bidi w:val="0"/>
        <w:spacing w:before="240" w:after="0"/>
        <w:jc w:val="left"/>
        <w:rPr>
          <w:rFonts w:ascii="Times New Roman" w:hAnsi="Times New Roman"/>
          <w:sz w:val="20"/>
        </w:rPr>
      </w:pPr>
      <w:r>
        <w:rPr>
          <w:rFonts w:ascii="Times New Roman" w:hAnsi="Times New Roman"/>
          <w:sz w:val="20"/>
        </w:rPr>
        <w:t xml:space="preserve">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our diagnostic tests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harm to our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our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impact on the market price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exhaustion of any available insurance and our capital resources.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we have adequate product liability insurance, but it may not prove to be adequate to cover all liabilities that we may incur. Insurance coverage is increasingly expensive and costs may continue to rise.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competition from many sources, including larger companies, and we may be unable to compete successfully. </w:t>
      </w:r>
    </w:p>
    <w:p>
      <w:pPr>
        <w:pStyle w:val="TextBody"/>
        <w:bidi w:val="0"/>
        <w:spacing w:before="120" w:after="0"/>
        <w:jc w:val="left"/>
        <w:rPr>
          <w:rFonts w:ascii="Times New Roman" w:hAnsi="Times New Roman"/>
          <w:sz w:val="20"/>
        </w:rPr>
      </w:pPr>
      <w:r>
        <w:rPr>
          <w:rFonts w:ascii="Times New Roman" w:hAnsi="Times New Roman"/>
          <w:sz w:val="20"/>
        </w:rPr>
        <w:t xml:space="preserve">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substantially greater name recognition;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broader, deeper, or longer-term relations with healthcare professionals, customers, and third-party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established distribution networks;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lines of diagnostic tests and the ability to offer rebates or bundle them to offer greater discounts or other incentives to gain a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experience in conducting research and development, manufacturing, clinical trials, marketing and obtaining regulatory clearance or approval or certification for diagnostic tests;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financial and human resources for product development, sales and marketing and patent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continued success depends on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 penetrate the lung disease diagnostic solutions market and increase utilization of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and widen our technology lead over competitors by continuing to innovate and deliver new product enhancements on a continuous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cost-effectively manufacture our diagnostic tests and their component parts as well as drive down the cost of service.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issues, service interruptions or price increases by our shipping carriers and warehousing providers could adversely affect our business and harm our reputation and ability to provide our services on a timely basis. </w:t>
      </w:r>
    </w:p>
    <w:p>
      <w:pPr>
        <w:pStyle w:val="TextBody"/>
        <w:bidi w:val="0"/>
        <w:spacing w:before="120" w:after="0"/>
        <w:jc w:val="left"/>
        <w:rPr>
          <w:rFonts w:ascii="Times New Roman" w:hAnsi="Times New Roman"/>
          <w:sz w:val="20"/>
        </w:rPr>
      </w:pPr>
      <w:r>
        <w:rPr>
          <w:rFonts w:ascii="Times New Roman" w:hAnsi="Times New Roman"/>
          <w:sz w:val="20"/>
        </w:rPr>
        <w:t xml:space="preserve">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Louisville,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Cost-containment efforts of our customers, purchasing groups and governmental purchasing organizations could have a material adverse effect on our sales and profitability. </w:t>
      </w:r>
    </w:p>
    <w:p>
      <w:pPr>
        <w:pStyle w:val="TextBody"/>
        <w:bidi w:val="0"/>
        <w:spacing w:before="120" w:after="0"/>
        <w:jc w:val="left"/>
        <w:rPr>
          <w:rFonts w:ascii="Times New Roman" w:hAnsi="Times New Roman"/>
          <w:sz w:val="20"/>
        </w:rPr>
      </w:pPr>
      <w:r>
        <w:rPr>
          <w:rFonts w:ascii="Times New Roman" w:hAnsi="Times New Roman"/>
          <w:sz w:val="20"/>
        </w:rPr>
        <w:t xml:space="preserve">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 </w:t>
      </w:r>
    </w:p>
    <w:p>
      <w:pPr>
        <w:pStyle w:val="TextBody"/>
        <w:bidi w:val="0"/>
        <w:spacing w:before="240" w:after="0"/>
        <w:jc w:val="left"/>
        <w:rPr>
          <w:rFonts w:ascii="Times New Roman" w:hAnsi="Times New Roman"/>
          <w:sz w:val="20"/>
        </w:rPr>
      </w:pPr>
      <w:r>
        <w:rPr>
          <w:rFonts w:ascii="Times New Roman" w:hAnsi="Times New Roman"/>
          <w:sz w:val="20"/>
        </w:rPr>
        <w:t xml:space="preserve">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 </w:t>
      </w:r>
    </w:p>
    <w:p>
      <w:pPr>
        <w:pStyle w:val="TextBody"/>
        <w:bidi w:val="0"/>
        <w:spacing w:before="240" w:after="0"/>
        <w:jc w:val="left"/>
        <w:rPr>
          <w:rFonts w:ascii="Times New Roman" w:hAnsi="Times New Roman"/>
          <w:sz w:val="20"/>
        </w:rPr>
      </w:pPr>
      <w:r>
        <w:rPr>
          <w:rFonts w:ascii="Times New Roman" w:hAnsi="Times New Roman"/>
          <w:sz w:val="20"/>
        </w:rPr>
        <w:t xml:space="preserve">Pricing and reimbursement of medical devices is not harmonized at the European level, but is the exclusive competence of the European Union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and other legal proceedings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reputation and brand image, undermine our customers confidence and reduce long-term demand for our diagnostic tests and services, even if the regulatory or legal action is unfounded or not material to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economic and financial market conditions may exacerbate our business risks. </w:t>
      </w:r>
    </w:p>
    <w:p>
      <w:pPr>
        <w:pStyle w:val="TextBody"/>
        <w:bidi w:val="0"/>
        <w:spacing w:before="120" w:after="0"/>
        <w:jc w:val="left"/>
        <w:rPr>
          <w:rFonts w:ascii="Times New Roman" w:hAnsi="Times New Roman"/>
          <w:sz w:val="20"/>
        </w:rPr>
      </w:pPr>
      <w:r>
        <w:rPr>
          <w:rFonts w:ascii="Times New Roman" w:hAnsi="Times New Roman"/>
          <w:sz w:val="20"/>
        </w:rPr>
        <w:t xml:space="preserve">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events in the United States or foreign markets, such as the United Kingdoms exit from the European Union, the worldwide effects from the spread of COVID-19, Russias invasion of Ukraine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realize the benefits or costs of our Co-Development and Collaboration Agreement with AVEO Oncology. </w:t>
      </w:r>
    </w:p>
    <w:p>
      <w:pPr>
        <w:pStyle w:val="TextBody"/>
        <w:bidi w:val="0"/>
        <w:spacing w:before="120" w:after="0"/>
        <w:jc w:val="left"/>
        <w:rPr>
          <w:rFonts w:ascii="Times New Roman" w:hAnsi="Times New Roman"/>
          <w:sz w:val="20"/>
        </w:rPr>
      </w:pPr>
      <w:r>
        <w:rPr>
          <w:rFonts w:ascii="Times New Roman" w:hAnsi="Times New Roman"/>
          <w:sz w:val="20"/>
        </w:rPr>
        <w:t xml:space="preserve">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 </w:t>
      </w:r>
    </w:p>
    <w:p>
      <w:pPr>
        <w:pStyle w:val="TextBody"/>
        <w:bidi w:val="0"/>
        <w:spacing w:before="240" w:after="0"/>
        <w:jc w:val="left"/>
        <w:rPr>
          <w:rFonts w:ascii="Times New Roman" w:hAnsi="Times New Roman"/>
          <w:sz w:val="20"/>
        </w:rPr>
      </w:pPr>
      <w:r>
        <w:rPr>
          <w:rFonts w:ascii="Times New Roman" w:hAnsi="Times New Roman"/>
          <w:sz w:val="20"/>
        </w:rPr>
        <w:t xml:space="preserve">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exercised our right to opt-out of co-development, we would equally share in any income received from licensing rights to ficlatuzumab to any third parties. In September 2020, we exercised our opt-out right for the payment of half of the development and regulatory costs for ficlatuzumab. This opt-out was effective as of December 2, 2020 with remaining obligations estimated to be $0.1 million. Following the effective date, we will be entitled to a 10% royalty of net sales of ficlatuzumab and 25% of license income generated from the licensing of ficlatuzumab. Ficlatuzumab is currently being evaluated in squamous cell carcinoma of the head and neck, metastatic pancreatic ductal cancer, and acute myeloid leukemia.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exposed to significant future payments and other obligations associated with our acquisitions of Integrated Diagnostics and Oncimmune, U.S.A., and may not realize the advantages we expect from these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2018, we purchased select assets and liabilities from Integrated Diagnostics, Inc. and IND Funding, LLC (collectively, the Seller or Indi) which included the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of Indi included a contingent consideration arrangement that requires additional consideration to be paid by us to the Seller based on the milestone of the attainment of a three consecutive month gross margin target of $2 million within a seven-year period. Under the terms of the original agreement, when the gross margin target was achieved, the Company was required to issue 2,520,108 shares of Common Stock. For the six months following the achievement of the milestone, Indi had the option to require the Company to redeem the common shares for $37.0 million in cash over eight equal installments. If Indi elected not to exercise this option, we had 12 months to repurchase the Common Stock in two equal quarterly cash installments totaling $37 million. </w:t>
      </w:r>
    </w:p>
    <w:p>
      <w:pPr>
        <w:pStyle w:val="TextBody"/>
        <w:bidi w:val="0"/>
        <w:spacing w:before="240" w:after="0"/>
        <w:jc w:val="left"/>
        <w:rPr>
          <w:rFonts w:ascii="Times New Roman" w:hAnsi="Times New Roman"/>
          <w:sz w:val="20"/>
        </w:rPr>
      </w:pPr>
      <w:r>
        <w:rPr>
          <w:rFonts w:ascii="Times New Roman" w:hAnsi="Times New Roman"/>
          <w:sz w:val="20"/>
        </w:rPr>
        <w:t>In August 2021, the Company entered into an amendment to the original agreement in which all parties agreed to forgo the issuance of Common Stock and agreed that the Company would instead make six quarterly installments of approximately $4.6 million each, which began in January 2022, and final payment of approximately $9.3 million in July 2023 for a total of $37.0 million (together, the Milestone Payments). The aggregate amount of payments owed by the Company under this amendment is the same as if Indi had exercised the put right or the Company had exercised the call right provided for in the original agreement.</w:t>
      </w:r>
    </w:p>
    <w:p>
      <w:pPr>
        <w:pStyle w:val="TextBody"/>
        <w:bidi w:val="0"/>
        <w:spacing w:before="240" w:after="0"/>
        <w:jc w:val="left"/>
        <w:rPr>
          <w:rFonts w:ascii="Times New Roman" w:hAnsi="Times New Roman"/>
          <w:sz w:val="20"/>
        </w:rPr>
      </w:pPr>
      <w:r>
        <w:rPr>
          <w:rFonts w:ascii="Times New Roman" w:hAnsi="Times New Roman"/>
          <w:sz w:val="20"/>
        </w:rPr>
        <w:t xml:space="preserve">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will make one installment of $5.0 million in April 2024, and will make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October 31, 2019 we completed an acquisition of Freenomes United States operations (formerly Oncimmune USA or Oncimmune) including its CLIA lab in De Soto, Kansas and its incidental pulmonary nodule (IPN) malignancy test, then marketed in the United States as the EarlyCDT Lung® test. We renamed and relaunched the test on February 28, 2020 as the Nodify CDT test and the De Soto, Kansas lab is the sole United States provider of the Nodify CDT test.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t>
      </w:r>
    </w:p>
    <w:p>
      <w:pPr>
        <w:pStyle w:val="TextBody"/>
        <w:bidi w:val="0"/>
        <w:spacing w:before="240" w:after="0"/>
        <w:jc w:val="left"/>
        <w:rPr>
          <w:rFonts w:ascii="Times New Roman" w:hAnsi="Times New Roman"/>
          <w:sz w:val="20"/>
        </w:rPr>
      </w:pPr>
      <w:r>
        <w:rPr>
          <w:rFonts w:ascii="Times New Roman" w:hAnsi="Times New Roman"/>
          <w:sz w:val="20"/>
        </w:rPr>
        <w:t>We agreed to a revenue share payment of 8% of recognized revenue for non-screening tests up to an annual minimum volume and 5% thereafter, with an escalating minimum through the first four years of sales. Royalty expenses were $1.0 million and $0.9 million for the years ended December 31, 2023 and 2022, respectively.</w:t>
      </w:r>
    </w:p>
    <w:p>
      <w:pPr>
        <w:pStyle w:val="TextBody"/>
        <w:bidi w:val="0"/>
        <w:spacing w:before="240" w:after="0"/>
        <w:jc w:val="left"/>
        <w:rPr>
          <w:rFonts w:ascii="Times New Roman" w:hAnsi="Times New Roman"/>
          <w:sz w:val="20"/>
        </w:rPr>
      </w:pPr>
      <w:r>
        <w:rPr>
          <w:rFonts w:ascii="Times New Roman" w:hAnsi="Times New Roman"/>
          <w:sz w:val="20"/>
        </w:rPr>
        <w:t xml:space="preserve">Our acquisitions may require us to incur non-recurring and other charges, increase our near and long-term expenditures,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our senior management team and key personnel, and our business could be harmed if we are unable to attract and retain personnel necessary for our success.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research and development programs and laboratory operations depend on our ability to attract and retain highly skilled scientists and technicians.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attract or retain qualified scientists and technicians in the future due to the competition for qualified personnel among life science businesses, particularly near our headquarters in Louisville,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corporate culture has contributed to our success, and if we cannot maintain this culture as we grow, we could lose the innovation, creativity and teamwork fostered by our culture and our business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may result in a change to our corporate culture, which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utilize our net operating loss carryforwards and research and development credit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Perceptive Term Loan Facility require us to meet certain operating and financial covenants and place restrictions on our operating and financial flexibility. If we raise additional capital through debt financing, the terms of any new debt could further restrict our ability to operate our business. </w:t>
      </w:r>
    </w:p>
    <w:p>
      <w:pPr>
        <w:pStyle w:val="TextBody"/>
        <w:bidi w:val="0"/>
        <w:spacing w:before="120" w:after="0"/>
        <w:jc w:val="left"/>
        <w:rPr>
          <w:rFonts w:ascii="Times New Roman" w:hAnsi="Times New Roman"/>
          <w:sz w:val="20"/>
        </w:rPr>
      </w:pPr>
      <w:r>
        <w:rPr>
          <w:rFonts w:ascii="Times New Roman" w:hAnsi="Times New Roman"/>
          <w:sz w:val="20"/>
        </w:rPr>
        <w:t xml:space="preserve">On November 16, 2022 (the Closing Date), we entered into a credit agreement and guaranty (the Credit Agreement) with Perceptive Credit Holdings IV, LP as the lender and administrative agent (the Lender) that provides for a senior secured delayed draw term loan facility with Perceptive Advisors LLC (Perceptive), in an aggregate principal amount of up to $50.0 million (the Perceptive Term Loan Facility) to refinance long-term debt. The Perceptive Term Loan Facility provides for an interest-only period during the term of the loan with principal due at the maturity date, which will be November 21, 2027. </w:t>
      </w:r>
    </w:p>
    <w:p>
      <w:pPr>
        <w:pStyle w:val="TextBody"/>
        <w:bidi w:val="0"/>
        <w:spacing w:before="240" w:after="0"/>
        <w:jc w:val="left"/>
        <w:rPr>
          <w:rFonts w:ascii="Times New Roman" w:hAnsi="Times New Roman"/>
          <w:sz w:val="20"/>
        </w:rPr>
      </w:pPr>
      <w:r>
        <w:rPr>
          <w:rFonts w:ascii="Times New Roman" w:hAnsi="Times New Roman"/>
          <w:sz w:val="20"/>
        </w:rPr>
        <w:t xml:space="preserve">The Perceptive Term Loan Facility may be prepaid at any time, subject to a prepayment premium equal to 2% to 10% of the aggregate outstanding principal amount being prepaid, depending on the date of prepayment. The Perceptive Term Loan Facility contains customary affirmative and negative covenants for a loan, requires us to comply with a minimum cash requirement covenant, and has a trailing twelve month net revenue requirement. Failure to comply with the covenants and loan requirements may result in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 shares of the Companys Common Stock which are equity classified at a per share exercise price equal to $1.6254.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2023,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defined in the Credit Agreement) was amended to reduce the relevant threshold as of the last day of each fiscal quarter commencing with the fiscal quarter ending June 30, 2024 through and including the fiscal quarter ending December 31, 2025. </w:t>
      </w:r>
    </w:p>
    <w:p>
      <w:pPr>
        <w:pStyle w:val="TextBody"/>
        <w:bidi w:val="0"/>
        <w:spacing w:before="240" w:after="0"/>
        <w:jc w:val="left"/>
        <w:rPr>
          <w:rFonts w:ascii="Times New Roman" w:hAnsi="Times New Roman"/>
          <w:sz w:val="20"/>
        </w:rPr>
      </w:pPr>
      <w:r>
        <w:rPr>
          <w:rFonts w:ascii="Times New Roman" w:hAnsi="Times New Roman"/>
          <w:sz w:val="20"/>
        </w:rPr>
        <w:t>The Perceptive Term Loan Facility contains certain covenants limiting our ability to, among other things, engage in certain corporate changes, make certain restricted payments, repay other certain indebtedness or enter into, amend or terminate any other agreements that have the impact of restricting our ability to make loan repayments.</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also contains certain customary events of default, the occurrence of which could result in the declaration that all outstanding principal and interest under the Perceptive Term Loan Facility is immediately due and payable in whole or in part,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raise additional capital to fund our existing operations, develop our platform, commercialize new diagnostic tests or expand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We may need to raise additional capital in the future to expand our business, to pursue strategic investments, to take advantage of financing opportunities or for other reasons, including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our sales and marketing efforts to drive market adoption of and address competitive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 development and marketing efforts of our diagnostic tests or any other future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technologies into other types of cancer management and lung disease detection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license, or invest in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invest in complementary businesses or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finance capital expenditures and general and administrative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present and future funding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revenue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rate of progress in establishing payer coverage and reimbursement arrangements with domestic and international commercial third-party payers and government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expanding our laboratory operations and offerings, including our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rate of progress in, and cost of the sales and marketing activities associated with, establishing adoption of and reimbursement for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rate of progress in, and cost of research and development activities associated with, diagnostic tests in research and early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international expansion;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cost of and delays in product development as a result of any regulatory oversight applicable to our diagnostic tests.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Governmental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 </w:t>
      </w:r>
    </w:p>
    <w:p>
      <w:pPr>
        <w:pStyle w:val="TextBody"/>
        <w:bidi w:val="0"/>
        <w:spacing w:before="120" w:after="0"/>
        <w:jc w:val="left"/>
        <w:rPr>
          <w:rFonts w:ascii="Times New Roman" w:hAnsi="Times New Roman"/>
          <w:sz w:val="20"/>
        </w:rPr>
      </w:pPr>
      <w:r>
        <w:rPr>
          <w:rFonts w:ascii="Times New Roman" w:hAnsi="Times New Roman"/>
          <w:sz w:val="20"/>
        </w:rPr>
        <w:t xml:space="preserve">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&amp;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the reimbursement process and timelines vary significantly. In Europe, pricing and reimbursement of medical devices is the exclusive competence of the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 </w:t>
      </w:r>
    </w:p>
    <w:p>
      <w:pPr>
        <w:pStyle w:val="TextBody"/>
        <w:bidi w:val="0"/>
        <w:spacing w:before="240" w:after="0"/>
        <w:jc w:val="left"/>
        <w:rPr>
          <w:rFonts w:ascii="Times New Roman" w:hAnsi="Times New Roman"/>
          <w:sz w:val="20"/>
        </w:rPr>
      </w:pPr>
      <w:r>
        <w:rPr>
          <w:rFonts w:ascii="Times New Roman" w:hAnsi="Times New Roman"/>
          <w:sz w:val="20"/>
        </w:rPr>
        <w:t xml:space="preserve">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although it is possible that HHSs regulatory priorities may change under the Biden administration.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 </w:t>
      </w:r>
    </w:p>
    <w:p>
      <w:pPr>
        <w:pStyle w:val="TextBody"/>
        <w:bidi w:val="0"/>
        <w:spacing w:before="240" w:after="0"/>
        <w:jc w:val="left"/>
        <w:rPr>
          <w:rFonts w:ascii="Times New Roman" w:hAnsi="Times New Roman"/>
          <w:sz w:val="20"/>
        </w:rPr>
      </w:pPr>
      <w:r>
        <w:rPr>
          <w:rFonts w:ascii="Times New Roman" w:hAnsi="Times New Roman"/>
          <w:sz w:val="20"/>
        </w:rPr>
        <w:t xml:space="preserve">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Measures to reduce healthcare costs may hurt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measures could hinder or prevent the commercial success of our diagnostic tests.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have been judicial challenges to certain aspects of the ACA, as well as efforts by the Trump administration and Congress to repeal, replace or alter the implementation of certain aspects of the ACA. For example, as part of the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2022, and a reduction of the cut to 1% from April 1, 2022 through June 30, 2022. Additionally, the American Taxpayer Relief Act of 2012, among other things, reduced CMS payments to several providers, including hospitals, and increased the statute of limitations period for the government to recover Medicare overpayments to providers from three to five years. </w:t>
      </w:r>
    </w:p>
    <w:p>
      <w:pPr>
        <w:pStyle w:val="TextBody"/>
        <w:bidi w:val="0"/>
        <w:spacing w:before="240" w:after="0"/>
        <w:jc w:val="left"/>
        <w:rPr>
          <w:rFonts w:ascii="Times New Roman" w:hAnsi="Times New Roman"/>
          <w:sz w:val="20"/>
        </w:rPr>
      </w:pPr>
      <w:r>
        <w:rPr>
          <w:rFonts w:ascii="Times New Roman" w:hAnsi="Times New Roman"/>
          <w:sz w:val="20"/>
        </w:rPr>
        <w:t xml:space="preserve">The Biden administration and Congress may continue to pursue significant changes to the current healthcare laws, and the Biden administration has indicated its intent to strengthen the ACA and focus on reducing the cost of healthcare.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continuing efforts of the government, insurance companies, managed care organizations and other payers of healthcare services to contain or reduce costs of healthcare may harm: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set a price that we believe is fair for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revenue and achieve or maintain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must comply with anti-corruption, anti-bribery, anti-money laundering and similar laws.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Foreign Corrupt Practices Act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engaged in such practices, we could suffer severe penalties and other consequences that may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Organisation for Economic Co-operation and Development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must comply with healthcare fraud and abuse laws. </w:t>
      </w:r>
    </w:p>
    <w:p>
      <w:pPr>
        <w:pStyle w:val="TextBody"/>
        <w:bidi w:val="0"/>
        <w:spacing w:before="120" w:after="0"/>
        <w:jc w:val="left"/>
        <w:rPr>
          <w:rFonts w:ascii="Times New Roman" w:hAnsi="Times New Roman"/>
          <w:sz w:val="20"/>
        </w:rPr>
      </w:pPr>
      <w:r>
        <w:rPr>
          <w:rFonts w:ascii="Times New Roman" w:hAnsi="Times New Roman"/>
          <w:sz w:val="20"/>
        </w:rPr>
        <w:t xml:space="preserve">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 </w:t>
      </w:r>
    </w:p>
    <w:p>
      <w:pPr>
        <w:pStyle w:val="TextBody"/>
        <w:bidi w:val="0"/>
        <w:spacing w:before="240" w:after="0"/>
        <w:jc w:val="left"/>
        <w:rPr>
          <w:rFonts w:ascii="Times New Roman" w:hAnsi="Times New Roman"/>
          <w:sz w:val="20"/>
        </w:rPr>
      </w:pPr>
      <w:r>
        <w:rPr>
          <w:rFonts w:ascii="Times New Roman" w:hAnsi="Times New Roman"/>
          <w:sz w:val="20"/>
        </w:rPr>
        <w:t xml:space="preserve">Restrictions under applicable United States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Beneficiary Inducement Statute, which prohibits any person, organization, or entity from giving anything of value to a federal health care program beneficiary that is likely to induce or influence the beneficiarys choice of provider, practitioner, or supplier for covered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False Claims Act, which may be enforced through civil whistleblower or </w:t>
            </w:r>
            <w:r>
              <w:rPr>
                <w:rFonts w:ascii="Times New Roman" w:hAnsi="Times New Roman"/>
                <w:i/>
                <w:sz w:val="20"/>
              </w:rPr>
              <w:t xml:space="preserve">qui tam </w:t>
            </w:r>
            <w:r>
              <w:rPr>
                <w:rFonts w:ascii="Times New Roman" w:hAnsi="Times New Roman"/>
                <w:sz w:val="20"/>
              </w:rPr>
              <w:t xml:space="preserve">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may apply to sales or marketing arrangements and claims involving healthcare items or services reimbursed by non-governmental third-party payers,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 </w:t>
      </w:r>
    </w:p>
    <w:p>
      <w:pPr>
        <w:pStyle w:val="TextBody"/>
        <w:bidi w:val="0"/>
        <w:spacing w:before="240" w:after="0"/>
        <w:jc w:val="left"/>
        <w:rPr>
          <w:rFonts w:ascii="Times New Roman" w:hAnsi="Times New Roman"/>
          <w:sz w:val="20"/>
        </w:rPr>
      </w:pPr>
      <w:r>
        <w:rPr>
          <w:rFonts w:ascii="Times New Roman" w:hAnsi="Times New Roman"/>
          <w:sz w:val="20"/>
        </w:rPr>
        <w:t xml:space="preserve">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regulation of our industry generally or our tests specifically could be disruptive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reputation and adversely affect important business relationships with third parties, including managed care organizations, and other private third-party payers. </w:t>
      </w:r>
    </w:p>
    <w:p>
      <w:pPr>
        <w:pStyle w:val="TextBody"/>
        <w:bidi w:val="0"/>
        <w:spacing w:before="240" w:after="0"/>
        <w:jc w:val="left"/>
        <w:rPr>
          <w:rFonts w:ascii="Times New Roman" w:hAnsi="Times New Roman"/>
          <w:sz w:val="20"/>
        </w:rPr>
      </w:pPr>
      <w:r>
        <w:rPr>
          <w:rFonts w:ascii="Times New Roman" w:hAnsi="Times New Roman"/>
          <w:sz w:val="20"/>
        </w:rPr>
        <w:t xml:space="preserve">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w:t>
      </w:r>
    </w:p>
    <w:p>
      <w:pPr>
        <w:pStyle w:val="TextBody"/>
        <w:bidi w:val="0"/>
        <w:spacing w:before="240" w:after="0"/>
        <w:jc w:val="left"/>
        <w:rPr>
          <w:rFonts w:ascii="Times New Roman" w:hAnsi="Times New Roman"/>
          <w:sz w:val="20"/>
        </w:rPr>
      </w:pPr>
      <w:r>
        <w:rPr>
          <w:rFonts w:ascii="Times New Roman" w:hAnsi="Times New Roman"/>
          <w:sz w:val="20"/>
        </w:rPr>
        <w:t xml:space="preserve">If the FDA were to determine that our tests are not within the current enforcement discretion policy for Laboratory Developed Tests, or LDTs for any reason, or if FDA finalizes its proposed rule to end enforcement discretion or issues new rules, policies, or guidance, due to new legislation or on its own accord, our tests may become subject to FDA requirements, including pre-market review. If this were to happen, it may impact our marketing practices relating to the relevant tests, which in turn may have an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 </w:t>
      </w:r>
    </w:p>
    <w:p>
      <w:pPr>
        <w:pStyle w:val="TextBody"/>
        <w:bidi w:val="0"/>
        <w:spacing w:before="120" w:after="0"/>
        <w:jc w:val="left"/>
        <w:rPr>
          <w:rFonts w:ascii="Times New Roman" w:hAnsi="Times New Roman"/>
          <w:sz w:val="20"/>
        </w:rPr>
      </w:pPr>
      <w:r>
        <w:rPr>
          <w:rFonts w:ascii="Times New Roman" w:hAnsi="Times New Roman"/>
          <w:sz w:val="20"/>
        </w:rPr>
        <w:t xml:space="preserve">The diagnostic testing industry is subject to extensive laws and regulations, many of which have not been interpreted by the courts. Tests without FDA clearance, approval, or authorization would not be considered covered countermeasures under the Public Readiness and Emergency Preparedness Act (PREP Act), which authorizes HHS to provide limited liability immunity protection to certain individuals and entities against a claim of loss under federal and state law caused by, arising out of, relating to, or resulting from the manufacture, distribution, administration, or use of a covered medical countermeasure, except for claims involving willful misconduct. Consequently, any violations of applicable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w:t>
      </w:r>
    </w:p>
    <w:p>
      <w:pPr>
        <w:pStyle w:val="TextBody"/>
        <w:bidi w:val="0"/>
        <w:spacing w:before="240" w:after="0"/>
        <w:jc w:val="left"/>
        <w:rPr>
          <w:rFonts w:ascii="Times New Roman" w:hAnsi="Times New Roman"/>
          <w:sz w:val="20"/>
        </w:rPr>
      </w:pPr>
      <w:r>
        <w:rPr>
          <w:rFonts w:ascii="Times New Roman" w:hAnsi="Times New Roman"/>
          <w:sz w:val="20"/>
        </w:rPr>
        <w:t xml:space="preserve">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Any sanction imposed under CLIA, its implementing regulations, or state or foreign laws or regulations governing licensure, or our failure to renew a CLIA certificate, a state or foreign license, or accreditation,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 material adverse effect on our business. If the CLIA certificate of any one of our laboratories is revoked, CMS could seek revocation of the CLIA certificates of our other laboratories based on their common ownership or operation, even though they are separately certified.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 </w:t>
      </w:r>
    </w:p>
    <w:p>
      <w:pPr>
        <w:pStyle w:val="TextBody"/>
        <w:bidi w:val="0"/>
        <w:spacing w:before="240" w:after="0"/>
        <w:jc w:val="left"/>
        <w:rPr>
          <w:rFonts w:ascii="Times New Roman" w:hAnsi="Times New Roman"/>
          <w:sz w:val="20"/>
        </w:rPr>
      </w:pPr>
      <w:r>
        <w:rPr>
          <w:rFonts w:ascii="Times New Roman" w:hAnsi="Times New Roman"/>
          <w:sz w:val="20"/>
        </w:rPr>
        <w:t xml:space="preserve">Our Louisville,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regulation, although certain components provided by third parties and used to create and/or administer the test may be. LDTs are a subset of IVDs that are intended for clinical use and developed, validated, and offered within a single laboratory for use only in that laboratory. Failure to adhere to any new FDA regulation would result in fines, product suspensions, warning letters, recalls, injunctions and other civil and criminal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line of diagnostic tests is covered under CLIA and CMS, but the FDA may end its general policy of enforcement discretion and regulate laboratory developed tests as medical devices. Changes in the way that the FDA regulates tests performed by laboratories like ours could result in delay or additional expense in offering our tests and tests that we may develop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laws and regulations governing the marketing of diagnostic products are evolving, extremely complex and in many instances, there are no significant regulatory or judicial interpretations of these laws and regulations. Pursuant to its authority under the Federal Food, Drug, and Cosmetic Act (the FDCA), the FDA has jurisdiction over medical devices, including in vitro diagnostics and, therefore, potentially our clinical laboratory tests.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FDCA and its implementing regulations, the FDA regulates the research, testing, manufacturing, safety, labeling, storage, recordkeeping, premarket clearance or approval, marketing and promotion, and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the FDA has publicly announced its intention to regulate certain LDTs and has set forth various proposals for a phased-in risk-based regulatory framework that would apply varying levels of FDA oversight to LDTs. Until recently, the FDA has articulated such policies through guidance documents, compliance manuals, website statements, and other informal issuances, but not through notice-and-comment rulemaking. On September 29, 2023, the FDA announced a proposed rule to amend its regulations to explicitly regulate LDTs as IVD tests in accordance with the agencys regulatory authority over medical devices. If this rule is finalized, our tests that are currently offered as LDTs would become subject to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Even if the proposed rule is not finalized, Congress could take action to amend the law to change the current regulatory framework for in vitro diagnostics and LDTs to require premarket review of LDTs and other regulatory requirements. New requirements, whether imposed through legislation or administratively, could result in delay or additional expense in offering our tests and tests that we may develop in the future. Moreover,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operations, therefore, are or may become subject to extensive regulation by the FDA in the United States. Government regulations specific to medical devices are wide ranging and govern,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test design, development, manufacture, and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and clinical testing, labeling, packaging, storage,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safety and efficacy;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premarketing clearance 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keeping;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marketing, promotion and advertising, sales,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post-marketing surveillance, including reporting of deaths or serious injuries and recalls and correction and removals;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post-market approval studies;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import and export.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premarket submission process for medical devices can be expensive, lengthy and unpredictable. The FDA can delay, limit, or deny clearance or approval of a device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demonstrate to the satisfaction of the FDA or the applicable regulatory entity or conformity assessment body that the diagnostic tests are safe or effective for their proposed intended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disagreement of the FDA with the design or implementation of our clinical trials or the interpretation of data from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serious and unexpected adverse device effects experienced by participants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from our clinical trials may be insufficient to support clearance or approval, where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demonstrate that the clinical and other benefits of the device outweigh the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process or facilities we use may not meet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approval policies or regulations of the FDA or applicable foreign regulatory bodies to change significantly in a manner rendering our clinical data or regulatory filings insufficient for clearance 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and state authorities have broad enforcement powers. Our failure to comply with applicable regulatory requirements could result in enforcement action by any such agency, which may include any of the following sanctions: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warning letters, untitled letters, it has come to our attention letters, fines, injunctions, consent decrees and civil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repair, replacement, refunds, recall or seizure of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restrictions, partial suspension, or total shutdown of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denial of our requests for regulatory clearance or premarket approval of new diagnostic tests or services, new intended uses, or modifications to existing diagnostic tests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regulatory clearance or premarket approvals that have already been granted;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criminal prosecution.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discussed above, we believe that our current line of diagnostic tests and their components are LDTs, which are subject to state licensing requirements and federal regulation by CMS under CLIA, although our COVID-19 testing program and select partnerships we may enter may cause us to be subject to additional FDA regulations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While we believe that we are currently in material compliance with applicable laws and regulations, it is possible that the FDA, or other regulatory agencies, would not agree with our determinations. If our products became become subject to premarket submission and other FDA requirements, we would need to comply with the applicable regulations or face significant civil and criminal penalties. In addition, IVDs and Companion Diagnostics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De Novo authorization, or PMA approval of our future diagnostic tests and failure to obtain necessary clearances or approvals for our future diagnostic tests would adversely affect our ability to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any new diagnostic test or enhancement to an existing diagnostic test will depend on a number of factors, including our ability to,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anticipate physician and patient needs properly;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 and introduce new diagnostic tests or enhancements to our existing diagnostic tests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 infringing upon, misappropriating, or violating the intellectual property rights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demonstrate, if required, the safety and efficacy of new diagnostic tests with data from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the necessary regulatory clearances or approvals or certifications for new diagnostic tests or enhancements to existing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fully with FDA and foreign regulations on marketing of new diagnostic tests or modified diagnostic tests;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adequate training to potential users of our diagnostic tests.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 </w:t>
      </w:r>
    </w:p>
    <w:p>
      <w:pPr>
        <w:pStyle w:val="TextBody"/>
        <w:bidi w:val="0"/>
        <w:spacing w:before="240" w:after="0"/>
        <w:jc w:val="left"/>
        <w:rPr>
          <w:rFonts w:ascii="Times New Roman" w:hAnsi="Times New Roman"/>
          <w:sz w:val="20"/>
        </w:rPr>
      </w:pPr>
      <w:r>
        <w:rPr>
          <w:rFonts w:ascii="Times New Roman" w:hAnsi="Times New Roman"/>
          <w:sz w:val="20"/>
        </w:rPr>
        <w:t xml:space="preserve">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De Novo authorization, or premarket approval of new diagnostic tests. Failure to receive clearance or approval for our new diagnostic tests would have an adverse effect on our ability to expand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Modifications to our marketed tests may require new 510(k) clearances, De Novo authorizations, or PMA approvals, or may require us to cease marketing or recall the modified tests until clearances or approvals are obtained. </w:t>
      </w:r>
    </w:p>
    <w:p>
      <w:pPr>
        <w:pStyle w:val="TextBody"/>
        <w:bidi w:val="0"/>
        <w:spacing w:before="120" w:after="0"/>
        <w:jc w:val="left"/>
        <w:rPr>
          <w:rFonts w:ascii="Times New Roman" w:hAnsi="Times New Roman"/>
          <w:sz w:val="20"/>
        </w:rPr>
      </w:pPr>
      <w:r>
        <w:rPr>
          <w:rFonts w:ascii="Times New Roman" w:hAnsi="Times New Roman"/>
          <w:sz w:val="20"/>
        </w:rPr>
        <w:t xml:space="preserve">Modifications to our diagnostic tests may require new regulatory approvals or clearances, including 510(k) clearances, De Novo authorizations,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submission is necessary. However, the FDA can review a manufacturers decision and may disagree. The FDA may also on its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 </w:t>
      </w:r>
    </w:p>
    <w:p>
      <w:pPr>
        <w:pStyle w:val="TextBody"/>
        <w:bidi w:val="0"/>
        <w:spacing w:before="240" w:after="0"/>
        <w:jc w:val="left"/>
        <w:rPr>
          <w:rFonts w:ascii="Times New Roman" w:hAnsi="Times New Roman"/>
          <w:sz w:val="20"/>
        </w:rPr>
      </w:pPr>
      <w:r>
        <w:rPr>
          <w:rFonts w:ascii="Times New Roman" w:hAnsi="Times New Roman"/>
          <w:sz w:val="20"/>
        </w:rPr>
        <w:t xml:space="preserve">Where we determine that modifications to our diagnostic tests require a new premarket submission, we may not be able to obtain the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 </w:t>
      </w:r>
    </w:p>
    <w:p>
      <w:pPr>
        <w:pStyle w:val="TextBody"/>
        <w:bidi w:val="0"/>
        <w:spacing w:before="120" w:after="0"/>
        <w:jc w:val="left"/>
        <w:rPr>
          <w:rFonts w:ascii="Times New Roman" w:hAnsi="Times New Roman"/>
          <w:sz w:val="20"/>
        </w:rPr>
      </w:pPr>
      <w:r>
        <w:rPr>
          <w:rFonts w:ascii="Times New Roman" w:hAnsi="Times New Roman"/>
          <w:sz w:val="20"/>
        </w:rPr>
        <w:t xml:space="preserve">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FDAs QSR (QSR codified at 21 C.F.R. § 820) for medical devices and International Organization for Standardization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 QSR and other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untitled letters, warning letters, fines, injunctions, consent decrees and civil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expenditures to address or defend such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notifications for repair, replacement, or refunds;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recall, detention, or seizure of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restrictions or partial suspension or total shutdown of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refusing or delaying our requests for 510(k) clearance, De Novo authorization, or premarket approval of new diagnostic tests or modified versions of current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withdrawing 510(k) clearances, De Novo authorization, or PMA approvals that have already been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revocation of Emergency Use Authorizations (EUAs) that have been authorized previously;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grant export approval for our diagnostic tests;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criminal prosecution.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actions were to occur it would harm our reputation and cause our diagnostic test sales and profitability to suffer and may prevent us from generating revenue. Furthermore, our key component suppliers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currently be or may not continue to be in compliance with all applicable regulatory requirements which could result in our failure to produce our diagnostic tests on a timely basis and in the required quantities, if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diagnostic tests and services may in the future be subject to product recalls that could harm our reputation, business and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Legislative or regulatory reforms may make it more difficult and costly for us to obtain regulatory clearance or approval or certification of any future diagnostic tests and to manufacture, market and distribute our diagnostic tests after clearance or approval is obtained.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FDA regulations and guidance are often revised or reinterpreted by the FDA in ways that may significantly affect our business and our diagnostic tests. For example, FDA announced a proposed rule in September 2023 to phase out its enforcement discretion over LDTs and regulate such diagnostic tests as medical devices.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 </w:t>
      </w:r>
    </w:p>
    <w:p>
      <w:pPr>
        <w:pStyle w:val="TextBody"/>
        <w:bidi w:val="0"/>
        <w:spacing w:before="240" w:after="0"/>
        <w:jc w:val="left"/>
        <w:rPr>
          <w:rFonts w:ascii="Times New Roman" w:hAnsi="Times New Roman"/>
          <w:sz w:val="20"/>
        </w:rPr>
      </w:pPr>
      <w:r>
        <w:rPr>
          <w:rFonts w:ascii="Times New Roman" w:hAnsi="Times New Roman"/>
          <w:sz w:val="20"/>
        </w:rPr>
        <w:t xml:space="preserve">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Initiating and completing clinical trials necessary to support any future PMA applications, De Novo requests,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 </w:t>
      </w:r>
    </w:p>
    <w:p>
      <w:pPr>
        <w:pStyle w:val="TextBody"/>
        <w:bidi w:val="0"/>
        <w:spacing w:before="240" w:after="0"/>
        <w:jc w:val="left"/>
        <w:rPr>
          <w:rFonts w:ascii="Times New Roman" w:hAnsi="Times New Roman"/>
          <w:sz w:val="20"/>
        </w:rPr>
      </w:pPr>
      <w:r>
        <w:rPr>
          <w:rFonts w:ascii="Times New Roman" w:hAnsi="Times New Roman"/>
          <w:sz w:val="20"/>
        </w:rPr>
        <w:t xml:space="preserve">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 </w:t>
      </w:r>
    </w:p>
    <w:p>
      <w:pPr>
        <w:pStyle w:val="TextBody"/>
        <w:bidi w:val="0"/>
        <w:spacing w:before="120" w:after="0"/>
        <w:jc w:val="left"/>
        <w:rPr>
          <w:rFonts w:ascii="Times New Roman" w:hAnsi="Times New Roman"/>
          <w:sz w:val="20"/>
        </w:rPr>
      </w:pPr>
      <w:r>
        <w:rPr>
          <w:rFonts w:ascii="Times New Roman" w:hAnsi="Times New Roman"/>
          <w:sz w:val="20"/>
        </w:rPr>
        <w:t xml:space="preserve">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 and elsewhere, are often uncertain, contradictory and in flux. As a result, implementation standards and enforcement practices are likely to remain uncertain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w:t>
      </w:r>
    </w:p>
    <w:p>
      <w:pPr>
        <w:pStyle w:val="TextBody"/>
        <w:bidi w:val="0"/>
        <w:spacing w:before="240" w:after="0"/>
        <w:jc w:val="left"/>
        <w:rPr>
          <w:rFonts w:ascii="Times New Roman" w:hAnsi="Times New Roman"/>
          <w:sz w:val="20"/>
        </w:rPr>
      </w:pPr>
      <w:r>
        <w:rPr>
          <w:rFonts w:ascii="Times New Roman" w:hAnsi="Times New Roman"/>
          <w:sz w:val="20"/>
        </w:rPr>
        <w:t xml:space="preserve">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and the CCPA continue to be amended, including through a ballot initiative, adopted by voters in November 2020, known as the California Privacy Rights Act, or CPRA. The CPRA imposes additional data protection obligations on companies doing business in California, including additional consumer rights, including regarding certain uses of sensitive data. It also creates a new California data protection agencythe California Privacy Protection Agencyspecifically tasked to enforce the law, which may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state and federal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changes to our operations or even prevent us from providing certain offerings in jurisdictions in which we currently operate and in which we may operate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 </w:t>
      </w:r>
    </w:p>
    <w:p>
      <w:pPr>
        <w:pStyle w:val="TextBody"/>
        <w:bidi w:val="0"/>
        <w:spacing w:before="240" w:after="0"/>
        <w:jc w:val="left"/>
        <w:rPr>
          <w:rFonts w:ascii="Times New Roman" w:hAnsi="Times New Roman"/>
          <w:sz w:val="20"/>
        </w:rPr>
      </w:pPr>
      <w:r>
        <w:rPr>
          <w:rFonts w:ascii="Times New Roman" w:hAnsi="Times New Roman"/>
          <w:sz w:val="20"/>
        </w:rPr>
        <w:t xml:space="preserve">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(CE), and the business associates (BA) with whom such covered entities contract for services. We are a CE under HIPAA when we are conducting our clinical trials. We are a CE with regard to our observational studies and clinical trials, and also a BA under HIPAA for certain other business activities, and we execute BA agreements with our clients. </w:t>
      </w:r>
    </w:p>
    <w:p>
      <w:pPr>
        <w:pStyle w:val="TextBody"/>
        <w:bidi w:val="0"/>
        <w:spacing w:before="240" w:after="0"/>
        <w:jc w:val="left"/>
        <w:rPr>
          <w:rFonts w:ascii="Times New Roman" w:hAnsi="Times New Roman"/>
          <w:sz w:val="20"/>
        </w:rPr>
      </w:pPr>
      <w:r>
        <w:rPr>
          <w:rFonts w:ascii="Times New Roman" w:hAnsi="Times New Roman"/>
          <w:sz w:val="20"/>
        </w:rPr>
        <w:t xml:space="preserve">HIPAA requires CEs and BAs,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 </w:t>
      </w:r>
    </w:p>
    <w:p>
      <w:pPr>
        <w:pStyle w:val="TextBody"/>
        <w:bidi w:val="0"/>
        <w:spacing w:before="240" w:after="0"/>
        <w:jc w:val="left"/>
        <w:rPr>
          <w:rFonts w:ascii="Times New Roman" w:hAnsi="Times New Roman"/>
          <w:sz w:val="20"/>
        </w:rPr>
      </w:pPr>
      <w:r>
        <w:rPr>
          <w:rFonts w:ascii="Times New Roman" w:hAnsi="Times New Roman"/>
          <w:sz w:val="20"/>
        </w:rPr>
        <w:t xml:space="preserve">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w:t>
      </w:r>
    </w:p>
    <w:p>
      <w:pPr>
        <w:pStyle w:val="TextBody"/>
        <w:bidi w:val="0"/>
        <w:spacing w:before="240" w:after="0"/>
        <w:jc w:val="left"/>
        <w:rPr>
          <w:rFonts w:ascii="Times New Roman" w:hAnsi="Times New Roman"/>
          <w:sz w:val="20"/>
        </w:rPr>
      </w:pPr>
      <w:r>
        <w:rPr>
          <w:rFonts w:ascii="Times New Roman" w:hAnsi="Times New Roman"/>
          <w:sz w:val="20"/>
        </w:rPr>
        <w:t xml:space="preserve">In addition, HIPAA mandates that the Secretary of HHS conduct periodic compliance audits of HIPAA CEs and BAs. With regard to BAs,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BAs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HHS is also proposing amendments to the HIPAA Privacy Rule to modernize certain data sharing provisions and enhance patient access to their information.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 </w:t>
      </w:r>
    </w:p>
    <w:p>
      <w:pPr>
        <w:pStyle w:val="TextBody"/>
        <w:bidi w:val="0"/>
        <w:spacing w:before="240" w:after="0"/>
        <w:jc w:val="left"/>
        <w:rPr>
          <w:rFonts w:ascii="Times New Roman" w:hAnsi="Times New Roman"/>
          <w:sz w:val="20"/>
        </w:rPr>
      </w:pPr>
      <w:r>
        <w:rPr>
          <w:rFonts w:ascii="Times New Roman" w:hAnsi="Times New Roman"/>
          <w:sz w:val="20"/>
        </w:rPr>
        <w:t>We may eventually operate in a number of countries outside of the United States whose laws, including data privacy laws, may in some cases be more stringent than the requirements in the United States. For example, EU and United Kingdom (UK) data privacy laws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pStyle w:val="TextBody"/>
        <w:bidi w:val="0"/>
        <w:spacing w:before="240" w:after="0"/>
        <w:jc w:val="left"/>
        <w:rPr>
          <w:rFonts w:ascii="Times New Roman" w:hAnsi="Times New Roman"/>
          <w:sz w:val="20"/>
        </w:rPr>
      </w:pPr>
      <w:r>
        <w:rPr>
          <w:rFonts w:ascii="Times New Roman" w:hAnsi="Times New Roman"/>
          <w:sz w:val="20"/>
        </w:rPr>
        <w:t>Certain of our processing activities are subject to the GDPR and the UK General Data Protection Regulationincluding, those involving pseudonymised / key-coded dataas the GDPR applies extra-territorially. The GDPR imposes strict requirements on controllers and processors processing personal data, including, for example, requirements to: (i) identify a legal basis for the processing of personal data, (ii) provide robust disclosures to individuals, (iii) respond to requests from individuals to exercise their data subject rights, (iv) provide personal data breach notifications within 72 hours after discovering the breach, (v) limit the collection and retention of personal data, (vi) impose specific contractual obligations on processors engaged to process personal data on the instructions of the controller, and (vii) apply enhanced protections to health data and other special categories of personal data.</w:t>
      </w:r>
    </w:p>
    <w:p>
      <w:pPr>
        <w:pStyle w:val="TextBody"/>
        <w:bidi w:val="0"/>
        <w:spacing w:before="240" w:after="0"/>
        <w:jc w:val="left"/>
        <w:rPr>
          <w:rFonts w:ascii="Times New Roman" w:hAnsi="Times New Roman"/>
          <w:sz w:val="20"/>
        </w:rPr>
      </w:pPr>
      <w:r>
        <w:rPr>
          <w:rFonts w:ascii="Times New Roman" w:hAnsi="Times New Roman"/>
          <w:sz w:val="20"/>
        </w:rPr>
        <w:t>The EU GDPR also provides that EU Member States may make their own further laws and regulations limiting the processing of personal data, including genetic, biometric or health data, which could limit our ability to use and share such personal data and cause our costs to increase and harm our financial condition.</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requirements of the GDPR may result in fines of up to 20 million (£17.5 million in the case of the UK GDPR) or up to 4% of the total worldwide annual turnover of our preceding fiscal year, whichever is higher, and other administrative penalties. GDPR compliance may require us to put in place additional mechanisms, which may result in compliance costs and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and financial condition. Currently, the GDPR is only applicable to us as a processor, but as we continue to expand into the European market, the GDPR will have direct applicability to us as a controller. </w:t>
      </w:r>
    </w:p>
    <w:p>
      <w:pPr>
        <w:pStyle w:val="TextBody"/>
        <w:bidi w:val="0"/>
        <w:spacing w:before="240" w:after="0"/>
        <w:jc w:val="left"/>
        <w:rPr>
          <w:rFonts w:ascii="Times New Roman" w:hAnsi="Times New Roman"/>
          <w:sz w:val="20"/>
        </w:rPr>
      </w:pPr>
      <w:r>
        <w:rPr>
          <w:rFonts w:ascii="Times New Roman" w:hAnsi="Times New Roman"/>
          <w:sz w:val="20"/>
        </w:rPr>
        <w:t xml:space="preserve">The GDPR also prohibits the transfer of personal data from the European Economic Area (EEA)/UK to a country outside of the EEA/UK (e.g., the United States) unless made to a country deemed to have adequate data privacy laws by the European Commission (or UK Government in case of the UK GDPR) or a data transfer mechanism has been put in place. Until recently, one such data transfer mechanism was the EU-US Privacy Shield. However, in July 2020 the Court of Justice of the European Union (CJEU) declared the Privacy Shield to be invalid. Following an executive order on trans-Atlantic data flows issued by President Biden in October 2022, the European Commission in December 2022 announced that it had initiated the process of drafting a new adequacy decision based on a modified data transfer framework that would replace the Privacy Shield, which it completed in July 2023. Though adoption of a new adequacy decision may have the effect of making data transfers to the United States easier, it is widely expected that the updated transfer framework and the adequacy decision will also be reviewed by the CJEU. The CJEU also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In turn, the findings of the CJEU will have significant implications for cross-border data flows and may lead to increased transaction, compliance, and technological costs to support international data transfers. </w:t>
      </w:r>
    </w:p>
    <w:p>
      <w:pPr>
        <w:pStyle w:val="TextBody"/>
        <w:bidi w:val="0"/>
        <w:spacing w:before="240" w:after="0"/>
        <w:jc w:val="left"/>
        <w:rPr>
          <w:rFonts w:ascii="Times New Roman" w:hAnsi="Times New Roman"/>
          <w:sz w:val="20"/>
        </w:rPr>
      </w:pPr>
      <w:r>
        <w:rPr>
          <w:rFonts w:ascii="Times New Roman" w:hAnsi="Times New Roman"/>
          <w:sz w:val="20"/>
        </w:rPr>
        <w:t xml:space="preserve">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w:t>
      </w:r>
    </w:p>
    <w:p>
      <w:pPr>
        <w:pStyle w:val="TextBody"/>
        <w:bidi w:val="0"/>
        <w:spacing w:before="240" w:after="0"/>
        <w:jc w:val="left"/>
        <w:rPr>
          <w:rFonts w:ascii="Times New Roman" w:hAnsi="Times New Roman"/>
          <w:sz w:val="20"/>
        </w:rPr>
      </w:pPr>
      <w:r>
        <w:rPr>
          <w:rFonts w:ascii="Times New Roman" w:hAnsi="Times New Roman"/>
          <w:sz w:val="20"/>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collaborators, independent contractors and consultants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regulations, including those laws requiring the reporting of true, complete, and accurate information to the FDA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healthcare fraud and abuse laws and regulations;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laws that require the true, complete and accurate reporting of financial information or data.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could result in penalties, a loss of business from third parties, and severe reputational harm.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involves a lengthy and expensive process with an uncertain outcome, and results of earlier studies and trials may not be predictive of future trial results. </w:t>
      </w:r>
    </w:p>
    <w:p>
      <w:pPr>
        <w:pStyle w:val="TextBody"/>
        <w:bidi w:val="0"/>
        <w:spacing w:before="120" w:after="0"/>
        <w:jc w:val="left"/>
        <w:rPr>
          <w:rFonts w:ascii="Times New Roman" w:hAnsi="Times New Roman"/>
          <w:sz w:val="20"/>
        </w:rPr>
      </w:pPr>
      <w:r>
        <w:rPr>
          <w:rFonts w:ascii="Times New Roman" w:hAnsi="Times New Roman"/>
          <w:sz w:val="20"/>
        </w:rPr>
        <w:t xml:space="preserve">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 </w:t>
      </w:r>
    </w:p>
    <w:p>
      <w:pPr>
        <w:pStyle w:val="TextBody"/>
        <w:bidi w:val="0"/>
        <w:spacing w:before="240" w:after="0"/>
        <w:jc w:val="left"/>
        <w:rPr>
          <w:rFonts w:ascii="Times New Roman" w:hAnsi="Times New Roman"/>
          <w:sz w:val="20"/>
        </w:rPr>
      </w:pPr>
      <w:r>
        <w:rPr>
          <w:rFonts w:ascii="Times New Roman" w:hAnsi="Times New Roman"/>
          <w:sz w:val="20"/>
        </w:rPr>
        <w:t xml:space="preserve">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pStyle w:val="TextBody"/>
        <w:bidi w:val="0"/>
        <w:spacing w:before="240" w:after="0"/>
        <w:jc w:val="left"/>
        <w:rPr>
          <w:rFonts w:ascii="Times New Roman" w:hAnsi="Times New Roman"/>
          <w:sz w:val="20"/>
        </w:rPr>
      </w:pPr>
      <w:r>
        <w:rPr>
          <w:rFonts w:ascii="Times New Roman" w:hAnsi="Times New Roman"/>
          <w:sz w:val="20"/>
        </w:rPr>
        <w:t xml:space="preserve">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results of our clinical trials may not support our product candidate claims or may result in the discovery of adverse side effects. </w:t>
      </w:r>
    </w:p>
    <w:p>
      <w:pPr>
        <w:pStyle w:val="TextBody"/>
        <w:bidi w:val="0"/>
        <w:spacing w:before="120" w:after="0"/>
        <w:jc w:val="left"/>
        <w:rPr>
          <w:rFonts w:ascii="Times New Roman" w:hAnsi="Times New Roman"/>
          <w:sz w:val="20"/>
        </w:rPr>
      </w:pPr>
      <w:r>
        <w:rPr>
          <w:rFonts w:ascii="Times New Roman" w:hAnsi="Times New Roman"/>
          <w:sz w:val="20"/>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billing, collections and claims processing activities are complex and time-consuming, and any delay in transmitting and collecting claims or failure to comply with applicable billing requirements, could have an adverse effect on our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differences between the list price for our tests and the reimbursement rates of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complex federal and state regulations related to billing government healthcare programs, including Medicare and Medicaid, to the extent our tests are covered by such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differences in coverage among payers and the effect of patient co-payments or co-insurance;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differences in information and billing requirements among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codes and coding instructions governing our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incorrect or missing billing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resources required to manage the billing and claims appeals process.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the GeneStrat NGS test,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The VeriStrat, Nodify XL2, and Nodify CDT tests have test specific CPT codes, but the GeneStrat NGS test does not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third-party manufacturers and suppliers must comply with environmental, health and safety laws and regulations, which can be expensive and restrict how we do, or interrupt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 </w:t>
      </w:r>
    </w:p>
    <w:p>
      <w:pPr>
        <w:pStyle w:val="TextBody"/>
        <w:bidi w:val="0"/>
        <w:spacing w:before="240" w:after="0"/>
        <w:jc w:val="left"/>
        <w:rPr>
          <w:rFonts w:ascii="Times New Roman" w:hAnsi="Times New Roman"/>
          <w:sz w:val="20"/>
        </w:rPr>
      </w:pPr>
      <w:r>
        <w:rPr>
          <w:rFonts w:ascii="Times New Roman" w:hAnsi="Times New Roman"/>
          <w:sz w:val="20"/>
        </w:rPr>
        <w:t xml:space="preserve">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 </w:t>
      </w:r>
    </w:p>
    <w:p>
      <w:pPr>
        <w:pStyle w:val="TextBody"/>
        <w:bidi w:val="0"/>
        <w:spacing w:before="240" w:after="0"/>
        <w:jc w:val="left"/>
        <w:rPr>
          <w:rFonts w:ascii="Times New Roman" w:hAnsi="Times New Roman"/>
          <w:sz w:val="20"/>
        </w:rPr>
      </w:pPr>
      <w:r>
        <w:rPr>
          <w:rFonts w:ascii="Times New Roman" w:hAnsi="Times New Roman"/>
          <w:sz w:val="20"/>
        </w:rPr>
        <w:t xml:space="preserve">Environmental, health and safety laws and regulations are complex, change frequently and have tended to become more stringent. Compliance with such laws and regulations is expensive, and current or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success may be impaired if we are unable to obtain, maintain and protect our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prevent our competitors from duplicating our diagnostic tests and products, including our Nodify XL2, Nodify CDT, GeneStrat and VeriStrat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prevent our competitors from gaining access to our proprietary information and technology, including the Diagnostic Cortex platform, tech platforms such as the DeepMALDI analysis and intellectual property covering technologies that allow us to develop test algorithms;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gain or maintain a competitive advantage.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 </w:t>
      </w:r>
    </w:p>
    <w:p>
      <w:pPr>
        <w:pStyle w:val="TextBody"/>
        <w:bidi w:val="0"/>
        <w:spacing w:before="240" w:after="0"/>
        <w:jc w:val="left"/>
        <w:rPr>
          <w:rFonts w:ascii="Times New Roman" w:hAnsi="Times New Roman"/>
          <w:sz w:val="20"/>
        </w:rPr>
      </w:pPr>
      <w:r>
        <w:rPr>
          <w:rFonts w:ascii="Times New Roman" w:hAnsi="Times New Roman"/>
          <w:sz w:val="20"/>
        </w:rPr>
        <w:t xml:space="preserve">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 </w:t>
      </w:r>
    </w:p>
    <w:p>
      <w:pPr>
        <w:pStyle w:val="TextBody"/>
        <w:bidi w:val="0"/>
        <w:spacing w:before="240" w:after="0"/>
        <w:jc w:val="left"/>
        <w:rPr>
          <w:rFonts w:ascii="Times New Roman" w:hAnsi="Times New Roman"/>
          <w:sz w:val="20"/>
        </w:rPr>
      </w:pPr>
      <w:r>
        <w:rPr>
          <w:rFonts w:ascii="Times New Roman" w:hAnsi="Times New Roman"/>
          <w:sz w:val="20"/>
        </w:rPr>
        <w:t xml:space="preserve">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biotechnology companies generally is highly uncertain, involves complex legal and factual questions, and has been the subject of much litigation in recent years. No consistent policy regarding the breadth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trade secrets, our business and competitive position may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t>
      </w:r>
    </w:p>
    <w:p>
      <w:pPr>
        <w:pStyle w:val="TextBody"/>
        <w:bidi w:val="0"/>
        <w:spacing w:before="240" w:after="0"/>
        <w:jc w:val="left"/>
        <w:rPr>
          <w:rFonts w:ascii="Times New Roman" w:hAnsi="Times New Roman"/>
          <w:sz w:val="20"/>
        </w:rPr>
      </w:pPr>
      <w:r>
        <w:rPr>
          <w:rFonts w:ascii="Times New Roman" w:hAnsi="Times New Roman"/>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 </w:t>
      </w:r>
    </w:p>
    <w:p>
      <w:pPr>
        <w:pStyle w:val="TextBody"/>
        <w:bidi w:val="0"/>
        <w:spacing w:before="120" w:after="0"/>
        <w:jc w:val="left"/>
        <w:rPr>
          <w:rFonts w:ascii="Times New Roman" w:hAnsi="Times New Roman"/>
          <w:sz w:val="20"/>
        </w:rPr>
      </w:pPr>
      <w:r>
        <w:rPr>
          <w:rFonts w:ascii="Times New Roman" w:hAnsi="Times New Roman"/>
          <w:sz w:val="20"/>
        </w:rPr>
        <w:t xml:space="preserve">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 </w:t>
      </w:r>
    </w:p>
    <w:p>
      <w:pPr>
        <w:pStyle w:val="TextBody"/>
        <w:bidi w:val="0"/>
        <w:spacing w:before="240" w:after="0"/>
        <w:jc w:val="left"/>
        <w:rPr>
          <w:rFonts w:ascii="Times New Roman" w:hAnsi="Times New Roman"/>
          <w:sz w:val="20"/>
        </w:rPr>
      </w:pPr>
      <w:r>
        <w:rPr>
          <w:rFonts w:ascii="Times New Roman" w:hAnsi="Times New Roman"/>
          <w:sz w:val="20"/>
        </w:rPr>
        <w:t xml:space="preserve">An inability to incorporate technologies or features that are important or essential to our diagnostic tests or products could have a material adverse effect on our business, financial condition and results of operations, and may prevent us from selling our rights to either of the Nodify XL2 and Nodify CDT tests, or the VeriStrat and GeneStrat tests.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could diminish the value of patents in general, thereby impairing our ability to protect our existing and future diagnostic tests, products and services. </w:t>
      </w:r>
    </w:p>
    <w:p>
      <w:pPr>
        <w:pStyle w:val="TextBody"/>
        <w:bidi w:val="0"/>
        <w:spacing w:before="120" w:after="0"/>
        <w:jc w:val="left"/>
        <w:rPr>
          <w:rFonts w:ascii="Times New Roman" w:hAnsi="Times New Roman"/>
          <w:sz w:val="20"/>
        </w:rPr>
      </w:pPr>
      <w:r>
        <w:rPr>
          <w:rFonts w:ascii="Times New Roman" w:hAnsi="Times New Roman"/>
          <w:sz w:val="20"/>
        </w:rPr>
        <w:t xml:space="preserve">Recent patent reform legislation could increase the uncertainties and costs surrounding the prosecution of patent applications and the enforcement or defense of issued patents. In 2011, the Leahy-Smith America Invents Act (the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hAnsi="Times New Roman"/>
          <w:i/>
          <w:sz w:val="20"/>
        </w:rPr>
        <w:t xml:space="preserve">inter partes </w:t>
      </w:r>
      <w:r>
        <w:rPr>
          <w:rFonts w:ascii="Times New Roman" w:hAnsi="Times New Roman"/>
          <w:sz w:val="20"/>
        </w:rPr>
        <w:t xml:space="preserve">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and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w:t>
      </w:r>
    </w:p>
    <w:p>
      <w:pPr>
        <w:pStyle w:val="TextBody"/>
        <w:bidi w:val="0"/>
        <w:spacing w:before="240" w:after="0"/>
        <w:jc w:val="left"/>
        <w:rPr>
          <w:rFonts w:ascii="Times New Roman" w:hAnsi="Times New Roman"/>
          <w:sz w:val="20"/>
        </w:rPr>
      </w:pPr>
      <w:r>
        <w:rPr>
          <w:rFonts w:ascii="Times New Roman" w:hAnsi="Times New Roman"/>
          <w:sz w:val="20"/>
        </w:rPr>
        <w:t xml:space="preserve">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lawsuits to protect or enforce our patents, the patents of our licensors or other intellectual property rights, which could be expensive, time 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hAnsi="Times New Roman"/>
          <w:i/>
          <w:sz w:val="20"/>
        </w:rPr>
        <w:t xml:space="preserve">inter partes </w:t>
      </w:r>
      <w:r>
        <w:rPr>
          <w:rFonts w:ascii="Times New Roman" w:hAnsi="Times New Roman"/>
          <w:sz w:val="20"/>
        </w:rPr>
        <w:t xml:space="preserve">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before="240" w:after="0"/>
        <w:jc w:val="left"/>
        <w:rPr>
          <w:rFonts w:ascii="Times New Roman" w:hAnsi="Times New Roman"/>
          <w:sz w:val="20"/>
        </w:rPr>
      </w:pPr>
      <w:r>
        <w:rPr>
          <w:rFonts w:ascii="Times New Roman" w:hAnsi="Times New Roman"/>
          <w:sz w:val="20"/>
        </w:rPr>
        <w:t xml:space="preserve">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initiate legal proceedings alleging that we are infringing, misappropriating, or otherwise violating their intellectual property rights, the outcome of which would be uncertain and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hAnsi="Times New Roman"/>
          <w:i/>
          <w:sz w:val="20"/>
        </w:rPr>
        <w:t xml:space="preserve">inter partes </w:t>
      </w:r>
      <w:r>
        <w:rPr>
          <w:rFonts w:ascii="Times New Roman" w:hAnsi="Times New Roman"/>
          <w:sz w:val="20"/>
        </w:rPr>
        <w:t xml:space="preserve">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 </w:t>
      </w:r>
    </w:p>
    <w:p>
      <w:pPr>
        <w:pStyle w:val="TextBody"/>
        <w:bidi w:val="0"/>
        <w:spacing w:before="240" w:after="0"/>
        <w:jc w:val="left"/>
        <w:rPr>
          <w:rFonts w:ascii="Times New Roman" w:hAnsi="Times New Roman"/>
          <w:sz w:val="20"/>
        </w:rPr>
      </w:pPr>
      <w:r>
        <w:rPr>
          <w:rFonts w:ascii="Times New Roman" w:hAnsi="Times New Roman"/>
          <w:sz w:val="20"/>
        </w:rPr>
        <w:t xml:space="preserve">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challenging the priority or inventorship of our patents and other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our diagnostic tests and any other or future diagnostic tests, products or services could be found invalid or unenforceable if challenged.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some of our patents or patent applications, including licensed patents, may be challenged, in courts or patent offices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United States and abroad, in opposition, derivation, reexamination, </w:t>
      </w:r>
      <w:r>
        <w:rPr>
          <w:rFonts w:ascii="Times New Roman" w:hAnsi="Times New Roman"/>
          <w:i/>
          <w:sz w:val="20"/>
        </w:rPr>
        <w:t xml:space="preserve">inter partes </w:t>
      </w:r>
      <w:r>
        <w:rPr>
          <w:rFonts w:ascii="Times New Roman" w:hAnsi="Times New Roman"/>
          <w:sz w:val="20"/>
        </w:rPr>
        <w:t xml:space="preserve">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aware of all third-party intellectual property rights potentially relating to our current or future diagnostic tests, products or services. </w:t>
      </w:r>
    </w:p>
    <w:p>
      <w:pPr>
        <w:pStyle w:val="TextBody"/>
        <w:bidi w:val="0"/>
        <w:spacing w:before="240" w:after="0"/>
        <w:jc w:val="left"/>
        <w:rPr>
          <w:rFonts w:ascii="Times New Roman" w:hAnsi="Times New Roman"/>
          <w:sz w:val="20"/>
        </w:rPr>
      </w:pPr>
      <w:r>
        <w:rPr>
          <w:rFonts w:ascii="Times New Roman" w:hAnsi="Times New Roman"/>
          <w:sz w:val="20"/>
        </w:rPr>
        <w:t xml:space="preserve">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licenses from third parties in relation to certain diagnostic tests, products and services and if we lose these licenses then we may be subjected to future litigation.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 </w:t>
      </w:r>
    </w:p>
    <w:p>
      <w:pPr>
        <w:pStyle w:val="TextBody"/>
        <w:bidi w:val="0"/>
        <w:spacing w:before="240" w:after="0"/>
        <w:jc w:val="left"/>
        <w:rPr>
          <w:rFonts w:ascii="Times New Roman" w:hAnsi="Times New Roman"/>
          <w:sz w:val="20"/>
        </w:rPr>
      </w:pPr>
      <w:r>
        <w:rPr>
          <w:rFonts w:ascii="Times New Roman" w:hAnsi="Times New Roman"/>
          <w:sz w:val="20"/>
        </w:rPr>
        <w:t xml:space="preserve">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have a material adverse effect on our competitive position,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Moreover, disputes may also arise between us and our current or future licensors regarding intellectual property rights subject to a license agreement, including those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diagnostic tests, products, services, technology, and processes infringe on intellectual property rights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our licensor or its licensor had the right to grant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third parties are entitled to compensation or equitable relief, such as an injunction, for our use of the intellectual property rights without their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involvement in the prosecution of licensed patents and our licensors overall patent enforcement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of royalties, milestones, or other payments due under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under the license agreement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and ownership of inventions and know-how resulting from the joint creation or use of intellectual property rights by our licensors and us and our collaborators;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do not prevail in such disputes, we may lose any or all of our rights under such license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(the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Patent terms may be inadequate to protect our competitive position on our diagnostic tests, products and services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w:t>
      </w:r>
    </w:p>
    <w:p>
      <w:pPr>
        <w:pStyle w:val="TextBody"/>
        <w:bidi w:val="0"/>
        <w:spacing w:before="240" w:after="0"/>
        <w:jc w:val="left"/>
        <w:rPr>
          <w:rFonts w:ascii="Times New Roman" w:hAnsi="Times New Roman"/>
          <w:sz w:val="20"/>
        </w:rPr>
      </w:pPr>
      <w:r>
        <w:rPr>
          <w:rFonts w:ascii="Times New Roman" w:hAnsi="Times New Roman"/>
          <w:sz w:val="20"/>
        </w:rPr>
        <w:t xml:space="preserve">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diagnostic tests or products that are similar to our Nodify XL2, Nodify CDT, GeneStrat or VeriStrat tests or utilize similar technology that is not covered by the claims of our patents or that incorporates certain technology in our Nodify XL2, Nodify CDT, GeneStrat or VeriStrat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current or future licensors or collaborators, might not have been the first to make the inventions covered by the applicable issued patent or pending patent application that we own or license now or may own or license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current or future licensors or collaborators, might not have been the first to file patent applications covering certain of our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current or future pending patent applications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we hold rights to may be held invalid or unenforceable, including as a result of legal challenges by our competitors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harm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choose not to file a patent in order to maintain certain trade secrets or know-how, and a third party may subsequently file a patent covering such intellectual property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expect that the price of our Common Stock will fluctuate substantially and you may not be able to sell your shares at or above the price you paid for them.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Common Stock is likely to be highly volatile and may fluctuate substantially due to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volume and customer mix for our Nodify XL2, Nodify CDT, GeneStrat ddPCR, GeneStrat NGS, and VeriStrat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new diagnostic tests or enhancements to such tests by us or others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with respect to our or others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obtain regulatory clearance or approval or certification for, and market new and enhanced diagnostic tests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liability claims or other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variations in our results of operations or those of others in our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media exposure of our diagnostic tests or of those of others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governmental regulations or in the status of our regulatory approvals or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earnings estimates or recommendations by securities analysts;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including factors unrelated to our operating performance or the operating performance of our competitors.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analysts may not publish favorable research or reports about our business or may publish no information at all, which could cause our stock price or trading volume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develops is influenced to some extent by the research and reports that industry or financial analysts publish about us and our business. We do not control these analysts. As a small reporting company and emerging growth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a smaller reporting company, and the reduced disclosure requirements applicable to emerging growth companies and smaller reporting companies may make our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Section 7(a)(2)(B) of the Securities Act, for complying with new or revised accounting standards. In other words, an emerging growth company can delay the adoption of certain accounting standards until those standards would otherwise apply to private companies.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take advantage of the extended transition period to comply with new or revised accounting standards and to adopt certain of the reduced disclosure requirements available to emerging growth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 </w:t>
      </w:r>
    </w:p>
    <w:p>
      <w:pPr>
        <w:pStyle w:val="TextBody"/>
        <w:bidi w:val="0"/>
        <w:spacing w:before="240" w:after="0"/>
        <w:jc w:val="left"/>
        <w:rPr>
          <w:rFonts w:ascii="Times New Roman" w:hAnsi="Times New Roman"/>
          <w:sz w:val="20"/>
        </w:rPr>
      </w:pPr>
      <w:r>
        <w:rPr>
          <w:rFonts w:ascii="Times New Roman" w:hAnsi="Times New Roman"/>
          <w:sz w:val="20"/>
        </w:rPr>
        <w:t xml:space="preserve">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IPO).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 </w:t>
      </w:r>
    </w:p>
    <w:p>
      <w:pPr>
        <w:pStyle w:val="TextBody"/>
        <w:bidi w:val="0"/>
        <w:spacing w:before="240" w:after="0"/>
        <w:jc w:val="left"/>
        <w:rPr>
          <w:rFonts w:ascii="Times New Roman" w:hAnsi="Times New Roman"/>
          <w:sz w:val="20"/>
        </w:rPr>
      </w:pPr>
      <w:r>
        <w:rPr>
          <w:rFonts w:ascii="Times New Roman" w:hAnsi="Times New Roman"/>
          <w:sz w:val="20"/>
        </w:rPr>
        <w:t xml:space="preserve">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generally accepted accounting principles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directors, officers and principal stockholders have significant voting power and may take actions that may not be in the best interests of our other stockholders. </w:t>
      </w:r>
    </w:p>
    <w:p>
      <w:pPr>
        <w:pStyle w:val="TextBody"/>
        <w:bidi w:val="0"/>
        <w:spacing w:before="120" w:after="0"/>
        <w:jc w:val="left"/>
        <w:rPr>
          <w:rFonts w:ascii="Times New Roman" w:hAnsi="Times New Roman"/>
          <w:sz w:val="20"/>
        </w:rPr>
      </w:pPr>
      <w:r>
        <w:rPr>
          <w:rFonts w:ascii="Times New Roman" w:hAnsi="Times New Roman"/>
          <w:sz w:val="20"/>
        </w:rPr>
        <w:t>Our officers, directors and principal stockholders each holding more than 5% of our Common Stock collectively control approximately 67.0% of our outstanding Common Stock as of December 31, 2023.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as a public company requires us to incur substantial costs and requires substantial management attention.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have incurred and will continue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Compliance with these rules and regulations have significantly increased our accounting, legal and financial compliance costs and make some activities more time-consuming. These rules and regulations could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being a publicly traded company may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faulty human judgment and simple errors, omissions, or mistakes;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fraudulent action of an individual or collusion of two or more people;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inappropriate management override of procedures;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any enhancements to controls and procedures may still not be adequate to assure timely and accurate financial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two or more people or by an unauthorized override of the controls. Accordingly, because of the inherent limitations in our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corporate charter documents and under Delaware law could make an acquisition of us more difficult and may prevent attempts by our stockholders to replace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w:t>
      </w:r>
    </w:p>
    <w:p>
      <w:pPr>
        <w:pStyle w:val="TextBody"/>
        <w:bidi w:val="0"/>
        <w:spacing w:before="240" w:after="0"/>
        <w:jc w:val="left"/>
        <w:rPr>
          <w:rFonts w:ascii="Times New Roman" w:hAnsi="Times New Roman"/>
          <w:sz w:val="20"/>
        </w:rPr>
      </w:pPr>
      <w:r>
        <w:rPr>
          <w:rFonts w:ascii="Times New Roman" w:hAnsi="Times New Roman"/>
          <w:sz w:val="20"/>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articles of incorporation provide that we will indemnify our directors and officers to the fullest extent permitted by Section 145 of the Delaware General Corporate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permitted by the Delaware General Corporate Law, our amended and restated articles of incorporation and our indemnification agreements that we have entered into with our directors and officers provide that: </w:t>
      </w:r>
    </w:p>
    <w:p>
      <w:pPr>
        <w:pStyle w:val="TextBody"/>
        <w:bidi w:val="0"/>
        <w:spacing w:before="120" w:after="0"/>
        <w:jc w:val="left"/>
        <w:rPr>
          <w:rFonts w:ascii="Times New Roman" w:hAnsi="Times New Roman"/>
          <w:sz w:val="20"/>
        </w:rPr>
      </w:pPr>
      <w:r>
        <w:rPr>
          <w:rFonts w:ascii="Times New Roman" w:hAnsi="Times New Roman"/>
          <w:sz w:val="20"/>
        </w:rPr>
        <w:t xml:space="preserve">we will indemnify our directors and officers for serving us in those capacities or for serving other business enterprises at our request, to the fullest extent permitted by applicable law. Such law provides that a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indemnify such person if such person acted in good faith and in a manner such person reasonably believed to be in or not opposed to our best interests and, with respect to any criminal proceeding, had no reasonable cause to believe such persons conduct was unlawful;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in our discretion, indemnify employees and agents in those circumstances where indemnification is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in our amended and restated articles of incorporation are not exclusive, and we are authorized to enter into indemnification agreements with our directors, officers, employees and agents and to obtain insurance to indemnify such persons;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retroactively amend our amended and restated articles of incorporation provisions to reduce our indemnification obligations to directors, officers, employees and agents.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827839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our Common Stock by the Selling Stockholders. Any proceeds from the sale by the Selling Stockholders of the Common Stock offered by this prospectus will be received by the Selling Stockholders. See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827839_8"/>
      <w:bookmarkEnd w:id="10"/>
      <w:r>
        <w:rPr>
          <w:rFonts w:ascii="Times New Roman" w:hAnsi="Times New Roman"/>
          <w:b/>
          <w:sz w:val="20"/>
        </w:rPr>
        <w:t xml:space="preserve">MANAGEMENTS DISCUSSION AND ANALYSIS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of our financial condition and results of operations should be read together with our audited financial statements and related notes thereto included elsewhere in this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historical financial information, this discussion and other parts of this prospectus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above. Forward-looking statements are not guarantees of future performance and are subject to risks and uncertainties that could cause actual results and events to differ from those anticipated. </w:t>
      </w:r>
    </w:p>
    <w:p>
      <w:pPr>
        <w:pStyle w:val="TextBody"/>
        <w:bidi w:val="0"/>
        <w:spacing w:before="240" w:after="0"/>
        <w:jc w:val="left"/>
        <w:rPr>
          <w:rFonts w:ascii="Times New Roman" w:hAnsi="Times New Roman"/>
          <w:i/>
          <w:sz w:val="20"/>
        </w:rPr>
      </w:pPr>
      <w:r>
        <w:rPr>
          <w:rFonts w:ascii="Times New Roman" w:hAnsi="Times New Roman"/>
          <w:i/>
          <w:sz w:val="20"/>
        </w:rPr>
        <w:t xml:space="preserve">These statements are based upon information available to us as of the date of this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 </w:t>
      </w:r>
    </w:p>
    <w:p>
      <w:pPr>
        <w:pStyle w:val="TextBody"/>
        <w:bidi w:val="0"/>
        <w:spacing w:before="240" w:after="0"/>
        <w:jc w:val="left"/>
        <w:rPr>
          <w:rFonts w:ascii="Times New Roman" w:hAnsi="Times New Roman"/>
          <w:sz w:val="20"/>
        </w:rPr>
      </w:pPr>
      <w:r>
        <w:rPr>
          <w:rFonts w:ascii="Times New Roman" w:hAnsi="Times New Roman"/>
          <w:sz w:val="20"/>
        </w:rPr>
        <w:t xml:space="preserve">Our core belief is that no single technology will answer all clinical questions that we encounter. Therefore, we employ multiple technologies, including genomics, transcriptomics, proteomics,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 </w:t>
      </w:r>
    </w:p>
    <w:p>
      <w:pPr>
        <w:pStyle w:val="TextBody"/>
        <w:bidi w:val="0"/>
        <w:spacing w:before="240" w:after="0"/>
        <w:jc w:val="left"/>
        <w:rPr>
          <w:rFonts w:ascii="Times New Roman" w:hAnsi="Times New Roman"/>
          <w:sz w:val="20"/>
        </w:rPr>
      </w:pPr>
      <w:r>
        <w:rPr>
          <w:rFonts w:ascii="Times New Roman" w:hAnsi="Times New Roman"/>
          <w:sz w:val="20"/>
        </w:rPr>
        <w:t xml:space="preserve">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other collaborative partnerships, to continue to advance our platform. We have a variety of samples with associated data in our biobank, including tumor profiles and immune profiles, which are used for both internal and external research and development initiatives. </w:t>
      </w:r>
    </w:p>
    <w:p>
      <w:pPr>
        <w:pStyle w:val="TextBody"/>
        <w:bidi w:val="0"/>
        <w:spacing w:before="240" w:after="0"/>
        <w:jc w:val="left"/>
        <w:rPr>
          <w:rFonts w:ascii="Times New Roman" w:hAnsi="Times New Roman"/>
          <w:sz w:val="20"/>
        </w:rPr>
      </w:pPr>
      <w:r>
        <w:rPr>
          <w:rFonts w:ascii="Times New Roman" w:hAnsi="Times New Roman"/>
          <w:sz w:val="20"/>
        </w:rPr>
        <w:t xml:space="preserve">We have commercialized five diagnostic tests for our lung diagnostic business, each of which have Medicare coverage, which are currently available for use by physicians. Our Nodify XL2 and Nodify CDT tests, marketed as Nodify Lung Nodule Risk Assessment testing, assess the risk of lung cancer to help identify the most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appropriate treatment pathway. The Nodify CDT and XL2 tests have an established average turnaround time of one and five business days, respectively, from receipt of the blood sample, providing physicians with timely results to guide diagnostic planning. The Nodify Lung Risk Assessment testing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part of our IQLung testing strategy, are used following diagnosis of lung cancer to detect the presence of mutations in the tumor and the state of the patients immune system to help guide treatment decisions. The GeneStrat targeted tumor genomic profiling test and the VeriStrat immune profiling test have an established average turnaround time of two business days. The GeneStrat NGS test is our blood-based NGS test and has an established average turnaround time of three business days.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five diagnostic tests currently on the market, we perform more than 30 assays for research use as part of our laboratory services that have been used by over 65 biopharmaceutical companies and academic partners. All of our diagnostic and services testing is performed at one of our two accredited, high-complexity clinical laboratories in Louisville, Colorado and De Soto, Kansas. </w:t>
      </w:r>
    </w:p>
    <w:p>
      <w:pPr>
        <w:pStyle w:val="TextBody"/>
        <w:bidi w:val="0"/>
        <w:spacing w:before="240" w:after="0"/>
        <w:jc w:val="left"/>
        <w:rPr>
          <w:rFonts w:ascii="Times New Roman" w:hAnsi="Times New Roman"/>
          <w:sz w:val="20"/>
        </w:rPr>
      </w:pPr>
      <w:r>
        <w:rPr>
          <w:rFonts w:ascii="Times New Roman" w:hAnsi="Times New Roman"/>
          <w:sz w:val="20"/>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 </w:t>
      </w:r>
    </w:p>
    <w:p>
      <w:pPr>
        <w:pStyle w:val="TextBody"/>
        <w:bidi w:val="0"/>
        <w:spacing w:before="240" w:after="0"/>
        <w:jc w:val="left"/>
        <w:rPr>
          <w:rFonts w:ascii="Times New Roman" w:hAnsi="Times New Roman"/>
          <w:sz w:val="20"/>
        </w:rPr>
      </w:pPr>
      <w:r>
        <w:rPr>
          <w:rFonts w:ascii="Times New Roman" w:hAnsi="Times New Roman"/>
          <w:sz w:val="20"/>
        </w:rPr>
        <w:t xml:space="preserve">In response to the COVID-19 pandemic, through our partnership with Bio-Rad, we commercialized the Biodesix WorkSafe testing program, which included three commercialized tests. 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technology to qualitatively detect circulating neutralizing antibodies to the receptor binding domain (RBD) in the spike protein of SARS-CoV-2 that are produced in response to a previous SARS-CoV-2 infection.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Factors Affecting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there are several important factors that have impacted our operating performance and results of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Testing volume and customer mix. </w:t>
            </w:r>
            <w:r>
              <w:rPr>
                <w:rFonts w:ascii="Times New Roman" w:hAnsi="Times New Roman"/>
                <w:sz w:val="20"/>
              </w:rPr>
              <w:t xml:space="preserve">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increase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Reimbursement for clinical diagnostic testing. </w:t>
            </w:r>
            <w:r>
              <w:rPr>
                <w:rFonts w:ascii="Times New Roman" w:hAnsi="Times New Roman"/>
                <w:sz w:val="20"/>
              </w:rPr>
              <w:t xml:space="preserve">Our revenue depends on achieving broad coverage and reimbursement for our tests from 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 </w:t>
      </w:r>
    </w:p>
    <w:p>
      <w:pPr>
        <w:pStyle w:val="TextBody"/>
        <w:bidi w:val="0"/>
        <w:spacing w:before="120" w:after="0"/>
        <w:jc w:val="left"/>
        <w:rPr>
          <w:rFonts w:ascii="Times New Roman" w:hAnsi="Times New Roman"/>
          <w:sz w:val="20"/>
        </w:rPr>
      </w:pPr>
      <w:r>
        <w:rPr>
          <w:rFonts w:ascii="Times New Roman" w:hAnsi="Times New Roman"/>
          <w:sz w:val="20"/>
        </w:rPr>
        <w:t xml:space="preserve">On October, 17, 2022, the Company announced that the U.S. Department of Veterans Affairs (the VA), the largest integrated health care system in the United States, awarded a Federal Supply Schedule Contract for the Companys entire portfolio of lung cancer diagnostic tests. The VA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care at 1,298 health care facilities, including 171 VA Medical Centers and 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 </w:t>
      </w:r>
    </w:p>
    <w:p>
      <w:pPr>
        <w:pStyle w:val="TextBody"/>
        <w:bidi w:val="0"/>
        <w:spacing w:before="120" w:after="0"/>
        <w:jc w:val="left"/>
        <w:rPr>
          <w:rFonts w:ascii="Times New Roman" w:hAnsi="Times New Roman"/>
          <w:sz w:val="20"/>
        </w:rPr>
      </w:pPr>
      <w:r>
        <w:rPr>
          <w:rFonts w:ascii="Times New Roman" w:hAnsi="Times New Roman"/>
          <w:sz w:val="20"/>
        </w:rPr>
        <w:t xml:space="preserve">On December 19, 2022, the Company announced the signing of our first four private payer commercial policies covering our Nodify XL2 test. These contracts included three Blue Cross Blue Shield plans in North Carolina, South Carolina, and Kansas City, and a contract with Capital District Physicians Health Plan in New York. In total these new private pay contracts add approximately 4.5 million covered lives, and are in geographic regions of the country where the incidence of lung cancer is high. </w:t>
      </w:r>
    </w:p>
    <w:p>
      <w:pPr>
        <w:pStyle w:val="TextBody"/>
        <w:bidi w:val="0"/>
        <w:spacing w:before="120" w:after="0"/>
        <w:jc w:val="left"/>
        <w:rPr>
          <w:rFonts w:ascii="Times New Roman" w:hAnsi="Times New Roman"/>
          <w:sz w:val="20"/>
        </w:rPr>
      </w:pPr>
      <w:r>
        <w:rPr>
          <w:rFonts w:ascii="Times New Roman" w:hAnsi="Times New Roman"/>
          <w:sz w:val="20"/>
        </w:rPr>
        <w:t xml:space="preserve">On July 6, 2023, the Company announced that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Investment in clinical studies and product innovation to support growth. </w:t>
            </w:r>
            <w:r>
              <w:rPr>
                <w:rFonts w:ascii="Times New Roman" w:hAnsi="Times New Roman"/>
                <w:sz w:val="20"/>
              </w:rPr>
              <w:t xml:space="preserve">A significant aspect of our business is our investment in 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to continue our clinical understanding of the predictive and prognostic value of the VeriStrat test. On June 27, 2023, we completed and closed enrollment of 5,000 patients in the INSIGHT study with non-small cell lung cancer.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 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Ability to attract new biopharmaceutical customers and maintain and expand relationships with existing customers. </w:t>
            </w:r>
            <w:r>
              <w:rPr>
                <w:rFonts w:ascii="Times New Roman" w:hAnsi="Times New Roman"/>
                <w:sz w:val="20"/>
              </w:rPr>
              <w:t xml:space="preserve">Our business 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dataalong with the radiologic and patient history data currently used to determine treatment decisionscan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Motivating and expanding our field sales force and customer support team. </w:t>
            </w:r>
            <w:r>
              <w:rPr>
                <w:rFonts w:ascii="Times New Roman" w:hAnsi="Times New Roman"/>
                <w:sz w:val="20"/>
              </w:rPr>
              <w:t xml:space="preserve">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each of these areas present significant opportunities for us, they also pose significant risks and challenges that we must address. See the section entitled Risk Factors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COVID-19 Pandemic </w:t>
      </w:r>
    </w:p>
    <w:p>
      <w:pPr>
        <w:pStyle w:val="TextBody"/>
        <w:bidi w:val="0"/>
        <w:spacing w:before="120" w:after="0"/>
        <w:jc w:val="left"/>
        <w:rPr>
          <w:rFonts w:ascii="Times New Roman" w:hAnsi="Times New Roman"/>
          <w:sz w:val="20"/>
        </w:rPr>
      </w:pPr>
      <w:r>
        <w:rPr>
          <w:rFonts w:ascii="Times New Roman" w:hAnsi="Times New Roman"/>
          <w:sz w:val="20"/>
        </w:rPr>
        <w:t xml:space="preserve">The COVID-19 pandemic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 </w:t>
      </w:r>
    </w:p>
    <w:p>
      <w:pPr>
        <w:pStyle w:val="TextBody"/>
        <w:bidi w:val="0"/>
        <w:spacing w:before="240" w:after="0"/>
        <w:jc w:val="left"/>
        <w:rPr>
          <w:rFonts w:ascii="Times New Roman" w:hAnsi="Times New Roman"/>
          <w:sz w:val="20"/>
        </w:rPr>
      </w:pPr>
      <w:r>
        <w:rPr>
          <w:rFonts w:ascii="Times New Roman" w:hAnsi="Times New Roman"/>
          <w:sz w:val="20"/>
        </w:rPr>
        <w:t xml:space="preserve">The COVID-19 pandemic and the surge associated with multiple variants have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 </w:t>
      </w:r>
    </w:p>
    <w:p>
      <w:pPr>
        <w:pStyle w:val="TextBody"/>
        <w:bidi w:val="0"/>
        <w:spacing w:before="240" w:after="0"/>
        <w:jc w:val="left"/>
        <w:rPr>
          <w:rFonts w:ascii="Times New Roman" w:hAnsi="Times New Roman"/>
          <w:sz w:val="20"/>
        </w:rPr>
      </w:pPr>
      <w:r>
        <w:rPr>
          <w:rFonts w:ascii="Times New Roman" w:hAnsi="Times New Roman"/>
          <w:sz w:val="20"/>
        </w:rPr>
        <w:t xml:space="preserve">See the section entitled Risk Factors for a description of how the COVID-19 pandemic may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Fourth Quarter and Full Year 2023 Financial and Operational Highlights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were significant developments affecting our business, capital structure and liquidity during the year ended December 31, 2023 as compared to the same period in 2022 unless otherwise noted: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of $14.7 million and $49.1 million for the fourth quarter and fiscal 2023, respectively, an increase of 52% and 49% over the respective prior year comparable periods excluding COVID testing revenues, and an increase of 53% and 28% over the respective prior year comparable periods including COVID testing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Lung Diagnostic revenue of $12.8</w:t>
            </w:r>
            <w:r>
              <w:rPr>
                <w:rFonts w:ascii="Times New Roman" w:hAnsi="Times New Roman"/>
                <w:sz w:val="20"/>
              </w:rPr>
              <w:t> </w:t>
            </w:r>
            <w:r>
              <w:rPr>
                <w:rFonts w:ascii="Times New Roman" w:hAnsi="Times New Roman"/>
                <w:i/>
                <w:sz w:val="20"/>
              </w:rPr>
              <w:t>million and $45.1</w:t>
            </w:r>
            <w:r>
              <w:rPr>
                <w:rFonts w:ascii="Times New Roman" w:hAnsi="Times New Roman"/>
                <w:sz w:val="20"/>
              </w:rPr>
              <w:t> </w:t>
            </w:r>
            <w:r>
              <w:rPr>
                <w:rFonts w:ascii="Times New Roman" w:hAnsi="Times New Roman"/>
                <w:i/>
                <w:sz w:val="20"/>
              </w:rPr>
              <w:t>million for the fourth quarter and fiscal 2023, respectively, an increase of 55% and 54% over the respective prior year comparable periods, primarily driven by the continued adoption of Nodify Lung®</w:t>
            </w:r>
            <w:r>
              <w:rPr>
                <w:rFonts w:ascii="Times New Roman" w:hAnsi="Times New Roman"/>
                <w:sz w:val="20"/>
              </w:rPr>
              <w:t xml:space="preserve"> </w:t>
            </w:r>
            <w:r>
              <w:rPr>
                <w:rFonts w:ascii="Times New Roman" w:hAnsi="Times New Roman"/>
                <w:i/>
                <w:sz w:val="20"/>
              </w:rPr>
              <w:t>Nodule Risk Assessment tests;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Biopharma Services and other revenue of $1.9</w:t>
            </w:r>
            <w:r>
              <w:rPr>
                <w:rFonts w:ascii="Times New Roman" w:hAnsi="Times New Roman"/>
                <w:sz w:val="20"/>
              </w:rPr>
              <w:t> </w:t>
            </w:r>
            <w:r>
              <w:rPr>
                <w:rFonts w:ascii="Times New Roman" w:hAnsi="Times New Roman"/>
                <w:i/>
                <w:sz w:val="20"/>
              </w:rPr>
              <w:t>million and $3.9</w:t>
            </w:r>
            <w:r>
              <w:rPr>
                <w:rFonts w:ascii="Times New Roman" w:hAnsi="Times New Roman"/>
                <w:sz w:val="20"/>
              </w:rPr>
              <w:t> </w:t>
            </w:r>
            <w:r>
              <w:rPr>
                <w:rFonts w:ascii="Times New Roman" w:hAnsi="Times New Roman"/>
                <w:i/>
                <w:sz w:val="20"/>
              </w:rPr>
              <w:t xml:space="preserve">million for the fourth quarter and fiscal 2023, respectively, an increase of 38% and 6% over the respective prior year comparable periods, a result of both delivering against our expanding book of business and securing new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was $11.3 million or 77% and $36.1 million or 73% for the fourth quarter and fiscal 2023, respectively, as a percentage of revenue compared to 66% and 63% in the prior year comparable periods, primarily driven by growth in Lung Diagnostic testing and optimization of testing workflows that resulted in improvements in costs per test, the ongoing recovery of our Biopharma Services business, and the commercial discontinuation of lower-margin COVID-19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expenses (excluding direct costs and expenses) of $18.2 million and $77.4 million for the fourth quarter and fiscal 2023, a decrease of 10% and increase of 4% over the respective prior year comparable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Decrease in fourth quarter 2023 is primarily attributable to a decrease in research and development costs, partially offset by increased sales and marketing costs to support Lung Diagnostic sales growth, enhance product awareness and drive adoption, while the full year </w:t>
            </w:r>
            <w:r>
              <w:rPr>
                <w:rFonts w:ascii="Times New Roman" w:hAnsi="Times New Roman"/>
                <w:sz w:val="20"/>
              </w:rPr>
              <w:t xml:space="preserve">increase in operating expenses was driven by an increase in sales and marketing costs, partially offset by a reduction in research and development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Includes non-cash stock compensation expense of $1.1</w:t>
            </w:r>
            <w:r>
              <w:rPr>
                <w:rFonts w:ascii="Times New Roman" w:hAnsi="Times New Roman"/>
                <w:sz w:val="20"/>
              </w:rPr>
              <w:t> </w:t>
            </w:r>
            <w:r>
              <w:rPr>
                <w:rFonts w:ascii="Times New Roman" w:hAnsi="Times New Roman"/>
                <w:i/>
                <w:sz w:val="20"/>
              </w:rPr>
              <w:t>million and $5.4</w:t>
            </w:r>
            <w:r>
              <w:rPr>
                <w:rFonts w:ascii="Times New Roman" w:hAnsi="Times New Roman"/>
                <w:sz w:val="20"/>
              </w:rPr>
              <w:t> </w:t>
            </w:r>
            <w:r>
              <w:rPr>
                <w:rFonts w:ascii="Times New Roman" w:hAnsi="Times New Roman"/>
                <w:i/>
                <w:sz w:val="20"/>
              </w:rPr>
              <w:t>million during fourth quarter and fiscal 2023, respectively, a decrease of 48% and 10% over the respective prior year comparable periods;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of $9.1 million and $52.1 million for the fourth quarter and fiscal 2023, respectively, an improvement of 55% and 20% over the respective prior year comparable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Fourth quarter and fiscal 2023 included a gain of $0.1</w:t>
            </w:r>
            <w:r>
              <w:rPr>
                <w:rFonts w:ascii="Times New Roman" w:hAnsi="Times New Roman"/>
                <w:sz w:val="20"/>
              </w:rPr>
              <w:t> </w:t>
            </w:r>
            <w:r>
              <w:rPr>
                <w:rFonts w:ascii="Times New Roman" w:hAnsi="Times New Roman"/>
                <w:i/>
                <w:sz w:val="20"/>
              </w:rPr>
              <w:t>million and loss of $1.3</w:t>
            </w:r>
            <w:r>
              <w:rPr>
                <w:rFonts w:ascii="Times New Roman" w:hAnsi="Times New Roman"/>
                <w:sz w:val="20"/>
              </w:rPr>
              <w:t> </w:t>
            </w:r>
            <w:r>
              <w:rPr>
                <w:rFonts w:ascii="Times New Roman" w:hAnsi="Times New Roman"/>
                <w:i/>
                <w:sz w:val="20"/>
              </w:rPr>
              <w:t>million, respectively, from the change in fair value of warrant liabilities associated with our term loan facility with Perceptive Advisors (Perceptive);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Fourth quarter and fiscal 2022 included loss on debt extinguishment and modification of $4.0</w:t>
            </w:r>
            <w:r>
              <w:rPr>
                <w:rFonts w:ascii="Times New Roman" w:hAnsi="Times New Roman"/>
                <w:sz w:val="20"/>
              </w:rPr>
              <w:t> </w:t>
            </w:r>
            <w:r>
              <w:rPr>
                <w:rFonts w:ascii="Times New Roman" w:hAnsi="Times New Roman"/>
                <w:i/>
                <w:sz w:val="20"/>
              </w:rPr>
              <w:t>million and $7.0</w:t>
            </w:r>
            <w:r>
              <w:rPr>
                <w:rFonts w:ascii="Times New Roman" w:hAnsi="Times New Roman"/>
                <w:sz w:val="20"/>
              </w:rPr>
              <w:t> </w:t>
            </w:r>
            <w:r>
              <w:rPr>
                <w:rFonts w:ascii="Times New Roman" w:hAnsi="Times New Roman"/>
                <w:i/>
                <w:sz w:val="20"/>
              </w:rPr>
              <w:t>million, respectively;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of $26.3 million as of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 successfully drew down the second tranche of $10</w:t>
            </w:r>
            <w:r>
              <w:rPr>
                <w:rFonts w:ascii="Times New Roman" w:hAnsi="Times New Roman"/>
                <w:sz w:val="20"/>
              </w:rPr>
              <w:t> </w:t>
            </w:r>
            <w:r>
              <w:rPr>
                <w:rFonts w:ascii="Times New Roman" w:hAnsi="Times New Roman"/>
                <w:i/>
                <w:sz w:val="20"/>
              </w:rPr>
              <w:t>million from its $50</w:t>
            </w:r>
            <w:r>
              <w:rPr>
                <w:rFonts w:ascii="Times New Roman" w:hAnsi="Times New Roman"/>
                <w:sz w:val="20"/>
              </w:rPr>
              <w:t> </w:t>
            </w:r>
            <w:r>
              <w:rPr>
                <w:rFonts w:ascii="Times New Roman" w:hAnsi="Times New Roman"/>
                <w:i/>
                <w:sz w:val="20"/>
              </w:rPr>
              <w:t>million term loan facility with Perceptive in the fourth quarter of 2023;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Cash balance includes the remaining $12.2</w:t>
            </w:r>
            <w:r>
              <w:rPr>
                <w:rFonts w:ascii="Times New Roman" w:hAnsi="Times New Roman"/>
                <w:sz w:val="20"/>
              </w:rPr>
              <w:t> </w:t>
            </w:r>
            <w:r>
              <w:rPr>
                <w:rFonts w:ascii="Times New Roman" w:hAnsi="Times New Roman"/>
                <w:i/>
                <w:sz w:val="20"/>
              </w:rPr>
              <w:t>million of the $27.5</w:t>
            </w:r>
            <w:r>
              <w:rPr>
                <w:rFonts w:ascii="Times New Roman" w:hAnsi="Times New Roman"/>
                <w:sz w:val="20"/>
              </w:rPr>
              <w:t> </w:t>
            </w:r>
            <w:r>
              <w:rPr>
                <w:rFonts w:ascii="Times New Roman" w:hAnsi="Times New Roman"/>
                <w:i/>
                <w:sz w:val="20"/>
              </w:rPr>
              <w:t>million private placement announced in August 2023.</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Operating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 </w:t>
      </w:r>
    </w:p>
    <w:p>
      <w:pPr>
        <w:pStyle w:val="TextBody"/>
        <w:bidi w:val="0"/>
        <w:spacing w:before="360" w:after="0"/>
        <w:jc w:val="left"/>
        <w:rPr>
          <w:rFonts w:ascii="Times New Roman" w:hAnsi="Times New Roman"/>
          <w:i/>
          <w:sz w:val="20"/>
        </w:rPr>
      </w:pPr>
      <w:r>
        <w:rPr>
          <w:rFonts w:ascii="Times New Roman" w:hAnsi="Times New Roman"/>
          <w:i/>
          <w:sz w:val="20"/>
        </w:rPr>
        <w:t xml:space="preserve">Diagnostic Tests </w:t>
      </w:r>
    </w:p>
    <w:p>
      <w:pPr>
        <w:pStyle w:val="TextBody"/>
        <w:bidi w:val="0"/>
        <w:spacing w:before="120" w:after="0"/>
        <w:jc w:val="left"/>
        <w:rPr>
          <w:rFonts w:ascii="Times New Roman" w:hAnsi="Times New Roman"/>
          <w:sz w:val="20"/>
        </w:rPr>
      </w:pPr>
      <w:r>
        <w:rPr>
          <w:rFonts w:ascii="Times New Roman" w:hAnsi="Times New Roman"/>
          <w:sz w:val="20"/>
        </w:rPr>
        <w:t xml:space="preserve">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lung diagnostic testing and (ii) COVID-19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 </w:t>
      </w:r>
    </w:p>
    <w:p>
      <w:pPr>
        <w:pStyle w:val="TextBody"/>
        <w:bidi w:val="0"/>
        <w:spacing w:before="240" w:after="0"/>
        <w:jc w:val="left"/>
        <w:rPr>
          <w:rFonts w:ascii="Times New Roman" w:hAnsi="Times New Roman"/>
          <w:sz w:val="20"/>
        </w:rPr>
      </w:pPr>
      <w:r>
        <w:rPr>
          <w:rFonts w:ascii="Times New Roman" w:hAnsi="Times New Roman"/>
          <w:sz w:val="20"/>
        </w:rPr>
        <w:t xml:space="preserve">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 </w:t>
      </w:r>
    </w:p>
    <w:p>
      <w:pPr>
        <w:pStyle w:val="TextBody"/>
        <w:bidi w:val="0"/>
        <w:spacing w:before="360" w:after="0"/>
        <w:jc w:val="left"/>
        <w:rPr>
          <w:rFonts w:ascii="Times New Roman" w:hAnsi="Times New Roman"/>
          <w:i/>
          <w:sz w:val="20"/>
        </w:rPr>
      </w:pPr>
      <w:r>
        <w:rPr>
          <w:rFonts w:ascii="Times New Roman" w:hAnsi="Times New Roman"/>
          <w:i/>
          <w:sz w:val="20"/>
        </w:rPr>
        <w:t xml:space="preserve">Biopharma Services and other </w:t>
      </w:r>
    </w:p>
    <w:p>
      <w:pPr>
        <w:pStyle w:val="TextBody"/>
        <w:bidi w:val="0"/>
        <w:spacing w:before="120" w:after="0"/>
        <w:jc w:val="left"/>
        <w:rPr>
          <w:rFonts w:ascii="Times New Roman" w:hAnsi="Times New Roman"/>
          <w:sz w:val="20"/>
        </w:rPr>
      </w:pPr>
      <w:r>
        <w:rPr>
          <w:rFonts w:ascii="Times New Roman" w:hAnsi="Times New Roman"/>
          <w:sz w:val="20"/>
        </w:rPr>
        <w:t xml:space="preserve">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Direct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 </w:t>
      </w:r>
    </w:p>
    <w:p>
      <w:pPr>
        <w:pStyle w:val="TextBody"/>
        <w:bidi w:val="0"/>
        <w:spacing w:before="240" w:after="0"/>
        <w:jc w:val="left"/>
        <w:rPr>
          <w:rFonts w:ascii="Times New Roman" w:hAnsi="Times New Roman"/>
          <w:sz w:val="20"/>
        </w:rPr>
      </w:pPr>
      <w:r>
        <w:rPr>
          <w:rFonts w:ascii="Times New Roman" w:hAnsi="Times New Roman"/>
          <w:sz w:val="20"/>
        </w:rPr>
        <w:t xml:space="preserve">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pStyle w:val="TextBody"/>
        <w:bidi w:val="0"/>
        <w:spacing w:before="240" w:after="0"/>
        <w:jc w:val="left"/>
        <w:rPr>
          <w:rFonts w:ascii="Times New Roman" w:hAnsi="Times New Roman"/>
          <w:sz w:val="20"/>
        </w:rPr>
      </w:pPr>
      <w:r>
        <w:rPr>
          <w:rFonts w:ascii="Times New Roman" w:hAnsi="Times New Roman"/>
          <w:sz w:val="20"/>
        </w:rPr>
        <w:t xml:space="preserve">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 </w:t>
      </w:r>
    </w:p>
    <w:p>
      <w:pPr>
        <w:pStyle w:val="TextBody"/>
        <w:bidi w:val="0"/>
        <w:spacing w:before="240" w:after="0"/>
        <w:jc w:val="left"/>
        <w:rPr>
          <w:rFonts w:ascii="Times New Roman" w:hAnsi="Times New Roman"/>
          <w:sz w:val="20"/>
        </w:rPr>
      </w:pPr>
      <w:r>
        <w:rPr>
          <w:rFonts w:ascii="Times New Roman" w:hAnsi="Times New Roman"/>
          <w:sz w:val="20"/>
        </w:rPr>
        <w:t xml:space="preserve">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in the long term, though it may fluctuate as a percentage of our revenues from period to period due to the timing and extent of these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Sales, marketing,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 </w:t>
      </w:r>
    </w:p>
    <w:p>
      <w:pPr>
        <w:pStyle w:val="TextBody"/>
        <w:bidi w:val="0"/>
        <w:spacing w:before="240" w:after="0"/>
        <w:jc w:val="left"/>
        <w:rPr>
          <w:rFonts w:ascii="Times New Roman" w:hAnsi="Times New Roman"/>
          <w:sz w:val="20"/>
        </w:rPr>
      </w:pPr>
      <w:r>
        <w:rPr>
          <w:rFonts w:ascii="Times New Roman" w:hAnsi="Times New Roman"/>
          <w:sz w:val="20"/>
        </w:rPr>
        <w:t xml:space="preserve">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Expense and 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interest expense consists of cash and non-cash interest from the Perceptive Term Loan Facility and changes in the value of our contingent consideration associated with the passage of time subsequent to the achievement of the gross margin target in the second quarter 2021. For the year ended December 31, 2022, interest expense primarily consists of cash and non-cash interest from the secured promissory note with Streeterville, the 2021 Term Loan, the Perceptive Term Loan, and changes in the value of our contingent consideration. Interest income, which is included in Other income, net in the statements of operations consists of income earned on our cash and cash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significant components of our results of operations for the periods presented (in thousands, except percentages):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68"/>
        <w:gridCol w:w="293"/>
        <w:gridCol w:w="140"/>
        <w:gridCol w:w="782"/>
        <w:gridCol w:w="155"/>
        <w:gridCol w:w="293"/>
        <w:gridCol w:w="140"/>
        <w:gridCol w:w="782"/>
        <w:gridCol w:w="155"/>
        <w:gridCol w:w="293"/>
        <w:gridCol w:w="140"/>
        <w:gridCol w:w="724"/>
        <w:gridCol w:w="155"/>
        <w:gridCol w:w="293"/>
        <w:gridCol w:w="60"/>
        <w:gridCol w:w="638"/>
        <w:gridCol w:w="377"/>
      </w:tblGrid>
      <w:tr>
        <w:trPr/>
        <w:tc>
          <w:tcPr>
            <w:tcW w:w="3968"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968"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22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20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77" w:type="dxa"/>
            <w:tcBorders/>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77"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49,087</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38,212</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10,875</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28</w:t>
            </w:r>
          </w:p>
        </w:tc>
        <w:tc>
          <w:tcPr>
            <w:tcW w:w="377"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costs and expenses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13,010</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14,154</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(1,144</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(8</w:t>
            </w:r>
          </w:p>
        </w:tc>
        <w:tc>
          <w:tcPr>
            <w:tcW w:w="377"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9,988</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13,102</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(3,114</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(24</w:t>
            </w:r>
          </w:p>
        </w:tc>
        <w:tc>
          <w:tcPr>
            <w:tcW w:w="377"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marketing, general and administrative</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67,387</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61,462</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5,925</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10</w:t>
            </w:r>
          </w:p>
        </w:tc>
        <w:tc>
          <w:tcPr>
            <w:tcW w:w="377"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 on intangible assets</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(46</w:t>
            </w:r>
          </w:p>
        </w:tc>
        <w:tc>
          <w:tcPr>
            <w:tcW w:w="377" w:type="dxa"/>
            <w:tcBorders/>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90,429</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88,799</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1,630</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w:t>
            </w:r>
          </w:p>
        </w:tc>
        <w:tc>
          <w:tcPr>
            <w:tcW w:w="377" w:type="dxa"/>
            <w:tcBorders/>
            <w:shd w:fill="CCEEFF" w:val="clear"/>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(41,342</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(50,587</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9,245</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18</w:t>
            </w:r>
          </w:p>
        </w:tc>
        <w:tc>
          <w:tcPr>
            <w:tcW w:w="377" w:type="dxa"/>
            <w:tcBorders/>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(9,536</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(8,072</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(1,464</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(18</w:t>
            </w:r>
          </w:p>
        </w:tc>
        <w:tc>
          <w:tcPr>
            <w:tcW w:w="377"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liabilities, net</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(6,981</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6,981</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100</w:t>
            </w:r>
          </w:p>
        </w:tc>
        <w:tc>
          <w:tcPr>
            <w:tcW w:w="377"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 net</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(1,274</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(1,358</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(1,617</w:t>
            </w:r>
          </w:p>
        </w:tc>
        <w:tc>
          <w:tcPr>
            <w:tcW w:w="377"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(94</w:t>
            </w:r>
          </w:p>
        </w:tc>
        <w:tc>
          <w:tcPr>
            <w:tcW w:w="377" w:type="dxa"/>
            <w:tcBorders/>
            <w:shd w:fill="CCEEFF" w:val="clear"/>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(10,804</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(14,860</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(4,056</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(27</w:t>
            </w:r>
          </w:p>
        </w:tc>
        <w:tc>
          <w:tcPr>
            <w:tcW w:w="377" w:type="dxa"/>
            <w:tcBorders/>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(52,146</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(65,447</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13,301</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20</w:t>
            </w:r>
          </w:p>
        </w:tc>
        <w:tc>
          <w:tcPr>
            <w:tcW w:w="377" w:type="dxa"/>
            <w:tcBorders/>
            <w:shd w:fill="CCEEFF" w:val="clear"/>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compensation(1)</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5,373</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5,961</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(588</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(10</w:t>
            </w:r>
          </w:p>
        </w:tc>
        <w:tc>
          <w:tcPr>
            <w:tcW w:w="3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share-based compensation expense reported in the Companys results of operations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by providing laboratory testing of our diagnostic tests and services. Our revenues for the periods indicated were as follows (in thousands, except percentages):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69"/>
        <w:gridCol w:w="325"/>
        <w:gridCol w:w="140"/>
        <w:gridCol w:w="738"/>
        <w:gridCol w:w="60"/>
        <w:gridCol w:w="325"/>
        <w:gridCol w:w="140"/>
        <w:gridCol w:w="738"/>
        <w:gridCol w:w="60"/>
        <w:gridCol w:w="325"/>
        <w:gridCol w:w="140"/>
        <w:gridCol w:w="738"/>
        <w:gridCol w:w="155"/>
        <w:gridCol w:w="325"/>
        <w:gridCol w:w="60"/>
        <w:gridCol w:w="337"/>
        <w:gridCol w:w="413"/>
      </w:tblGrid>
      <w:tr>
        <w:trPr/>
        <w:tc>
          <w:tcPr>
            <w:tcW w:w="436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36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21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413" w:type="dxa"/>
            <w:tcBorders/>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413" w:type="dxa"/>
            <w:tcBorders/>
            <w:vAlign w:val="bottom"/>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Lung Diagnostic</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45,135</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29,298</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15,837</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right"/>
              <w:rPr/>
            </w:pPr>
            <w:r>
              <w:rPr/>
              <w:t>54</w:t>
            </w:r>
          </w:p>
        </w:tc>
        <w:tc>
          <w:tcPr>
            <w:tcW w:w="413" w:type="dxa"/>
            <w:tcBorders/>
            <w:vAlign w:val="bottom"/>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COVID-19</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5,240</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(5,183</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right"/>
              <w:rPr/>
            </w:pPr>
            <w:r>
              <w:rPr/>
              <w:t>(99</w:t>
            </w:r>
          </w:p>
        </w:tc>
        <w:tc>
          <w:tcPr>
            <w:tcW w:w="413" w:type="dxa"/>
            <w:tcBorders/>
            <w:shd w:fill="CCEEFF" w:val="clear"/>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Diagnostic Testing revenue</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45,192</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34,538</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10,654</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right"/>
              <w:rPr/>
            </w:pPr>
            <w:r>
              <w:rPr/>
              <w:t>31</w:t>
            </w:r>
          </w:p>
        </w:tc>
        <w:tc>
          <w:tcPr>
            <w:tcW w:w="413" w:type="dxa"/>
            <w:tcBorders/>
            <w:vAlign w:val="bottom"/>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Biopharma Services and other revenue</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3,895</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3,674</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221</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right"/>
              <w:rPr/>
            </w:pPr>
            <w:r>
              <w:rPr/>
              <w:t>6</w:t>
            </w:r>
          </w:p>
        </w:tc>
        <w:tc>
          <w:tcPr>
            <w:tcW w:w="413" w:type="dxa"/>
            <w:tcBorders/>
            <w:shd w:fill="CCEEFF" w:val="clear"/>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49,087</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38,212</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10,875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right"/>
              <w:rPr/>
            </w:pPr>
            <w:r>
              <w:rPr/>
              <w:t>28</w:t>
            </w:r>
          </w:p>
        </w:tc>
        <w:tc>
          <w:tcPr>
            <w:tcW w:w="413" w:type="dxa"/>
            <w:tcBorders/>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37"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revenue increased $10.9 million or 28% for the year ended December 31, 2023 compared to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Diagnostic test revenue increased $10.7 million or 31% for the year ended December 31, 2023 compared to the same period in 2022. The increase for the year ended December 31, 2023 compared to the same period in 2022 is due to an increase in our lung diagnostic testing revenue of $15.8 million, driven by an increase in our Nodify XL2 and CDT diagnostic tests delivered. The Companys lung diagnostic sales efforts continued to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momentum during the year ended December 31, 2023 as the number of tests delivered reached the highest in Company history for four consecutive quarters. Partially offsetting this increase was a $5.2 million reduction in COVID-19 testing revenue for the year ended December 31, 2023, resulting from the expiration of significant COVID-19 testing contracts and the recession of the COVID-19 pandemic. Additionally,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COVID-19 diagnostic testing services commercially.</w:t>
      </w:r>
    </w:p>
    <w:p>
      <w:pPr>
        <w:pStyle w:val="TextBody"/>
        <w:bidi w:val="0"/>
        <w:spacing w:before="240" w:after="0"/>
        <w:jc w:val="left"/>
        <w:rPr>
          <w:rFonts w:ascii="Times New Roman" w:hAnsi="Times New Roman"/>
          <w:sz w:val="20"/>
        </w:rPr>
      </w:pPr>
      <w:r>
        <w:rPr>
          <w:rFonts w:ascii="Times New Roman" w:hAnsi="Times New Roman"/>
          <w:sz w:val="20"/>
        </w:rPr>
        <w:t xml:space="preserve">Biopharma Services and other revenue increased $0.2 million or 6% for the year ended December 31, 2023 compared to the same period in 2022. The increase in revenue for the year ended December 31, 2023 was primarily due to recovery in testing volumes from clinical studies and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Direct costs and expenses</w:t>
      </w:r>
    </w:p>
    <w:p>
      <w:pPr>
        <w:pStyle w:val="TextBody"/>
        <w:bidi w:val="0"/>
        <w:spacing w:before="120" w:after="0"/>
        <w:jc w:val="left"/>
        <w:rPr>
          <w:rFonts w:ascii="Times New Roman" w:hAnsi="Times New Roman"/>
          <w:sz w:val="20"/>
        </w:rPr>
      </w:pPr>
      <w:r>
        <w:rPr>
          <w:rFonts w:ascii="Times New Roman" w:hAnsi="Times New Roman"/>
          <w:sz w:val="20"/>
        </w:rPr>
        <w:t>Direct costs and expenses related to revenue decreased $1.1 million or 8% for the year ended December 31, 2023 compared to the year ended December 31, 2022. The decrease in costs for the year ended December 31, 2023 was driven primarily by the overall decline in COVID-19 testing volume and reductions in inventory obsolescence as the Company began exiting our commercial COVID-19 testing services in the latter half of 2022. This was partially offset by an increase in direct costs and expenses associated with increased lung diagnostic and services testing volume.</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Research and development expenses decreased $3.1 million or 24% for the year ended December 31, 2023 compared to the year ended December 31, 2022. The decrease in cost was due primarily to a decrease in internal expenses associated with compensation and benefit costs as well as clinical trial and other external costs associated with contracted services and laboratory costs.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external and internal costs for the years ended December 31, 2023 and 2022 (in thousands, except percentages):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53"/>
        <w:gridCol w:w="322"/>
        <w:gridCol w:w="140"/>
        <w:gridCol w:w="642"/>
        <w:gridCol w:w="60"/>
        <w:gridCol w:w="322"/>
        <w:gridCol w:w="140"/>
        <w:gridCol w:w="745"/>
        <w:gridCol w:w="60"/>
        <w:gridCol w:w="322"/>
        <w:gridCol w:w="140"/>
        <w:gridCol w:w="706"/>
        <w:gridCol w:w="154"/>
        <w:gridCol w:w="322"/>
        <w:gridCol w:w="60"/>
        <w:gridCol w:w="340"/>
        <w:gridCol w:w="360"/>
      </w:tblGrid>
      <w:tr>
        <w:trPr/>
        <w:tc>
          <w:tcPr>
            <w:tcW w:w="4553"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455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60" w:type="dxa"/>
            <w:tcBorders/>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0"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expenses: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Clinical trials and associated costs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2" w:type="dxa"/>
            <w:tcBorders/>
            <w:vAlign w:val="bottom"/>
          </w:tcPr>
          <w:p>
            <w:pPr>
              <w:pStyle w:val="TableContents"/>
              <w:bidi w:val="0"/>
              <w:spacing w:before="0" w:after="283"/>
              <w:jc w:val="right"/>
              <w:rPr/>
            </w:pPr>
            <w:r>
              <w:rPr/>
              <w:t>1,663</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2,551</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(888</w:t>
            </w:r>
          </w:p>
        </w:tc>
        <w:tc>
          <w:tcPr>
            <w:tcW w:w="15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(35</w:t>
            </w:r>
          </w:p>
        </w:tc>
        <w:tc>
          <w:tcPr>
            <w:tcW w:w="360"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external costs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2,822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3,625</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(803</w:t>
            </w:r>
          </w:p>
        </w:tc>
        <w:tc>
          <w:tcPr>
            <w:tcW w:w="154"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right"/>
              <w:rPr/>
            </w:pPr>
            <w:r>
              <w:rPr/>
              <w:t>(22</w:t>
            </w:r>
          </w:p>
        </w:tc>
        <w:tc>
          <w:tcPr>
            <w:tcW w:w="360" w:type="dxa"/>
            <w:tcBorders/>
            <w:shd w:fill="CCEEFF" w:val="clear"/>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360" w:type="dxa"/>
            <w:tcBorders/>
            <w:vAlign w:val="center"/>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Total external costs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4,485</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6,176</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(1,691</w:t>
            </w:r>
          </w:p>
        </w:tc>
        <w:tc>
          <w:tcPr>
            <w:tcW w:w="15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(27</w:t>
            </w:r>
          </w:p>
        </w:tc>
        <w:tc>
          <w:tcPr>
            <w:tcW w:w="360"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Internal expenses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5,503</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6,926</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(1,423</w:t>
            </w:r>
          </w:p>
        </w:tc>
        <w:tc>
          <w:tcPr>
            <w:tcW w:w="154"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right"/>
              <w:rPr/>
            </w:pPr>
            <w:r>
              <w:rPr/>
              <w:t>(21</w:t>
            </w:r>
          </w:p>
        </w:tc>
        <w:tc>
          <w:tcPr>
            <w:tcW w:w="360" w:type="dxa"/>
            <w:tcBorders/>
            <w:shd w:fill="CCEEFF" w:val="clear"/>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360" w:type="dxa"/>
            <w:tcBorders/>
            <w:vAlign w:val="center"/>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2" w:type="dxa"/>
            <w:tcBorders/>
            <w:vAlign w:val="bottom"/>
          </w:tcPr>
          <w:p>
            <w:pPr>
              <w:pStyle w:val="TableContents"/>
              <w:bidi w:val="0"/>
              <w:spacing w:before="0" w:after="283"/>
              <w:jc w:val="right"/>
              <w:rPr/>
            </w:pPr>
            <w:r>
              <w:rPr/>
              <w:t>9,988</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13,102</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(3,114</w:t>
            </w:r>
          </w:p>
        </w:tc>
        <w:tc>
          <w:tcPr>
            <w:tcW w:w="15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(24</w:t>
            </w:r>
          </w:p>
        </w:tc>
        <w:tc>
          <w:tcPr>
            <w:tcW w:w="360" w:type="dxa"/>
            <w:tcBorders/>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3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Sales, marketing,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Sales, marketing, general and administrative expenses increased $5.9 million or 10% for the year ended December 31, 2023 compared to the year ended December 31, 2022. This increase was driven primarily by increases in employee compensation and benefits associated with an increase in sales team headcount and variable compensation as well as increases in non-employee costs associated with increased spending on various sales meetings, training, and campaigns during 2023 as compared to 2022. During the year ended December 31, 2022, the Companys sales efforts continued to be impacted by the COVID-19 pandemic due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surges associated with multiple variants, restricting and delaying the Companys ability to execute our lung diagnostic sales strategy, resulting in lower sales and marketing costs in the first half of 2022.</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increased $1.5 million or 18% for the year ended December 31, 2023 compared to the year ended December 31, 2022. The interest expense for the year ended December 31, 2023 is primarily related to interest associated with the Perceptive Term Loan Facility of $5.5 million and interest associated with the contingent consideration of $3.9 million. The interest expense for the year ended December 31, 2022 is primarily related to interest associated with the contingent consideration of $3.3 million, Perceptive Term Loan Facility of $0.5 million, the 2021 Term Loan with Silicon Valley Bank of $2.4 million, and securities purchase agreement with Streeterville Capital, LLC of $1.8 million in 2022. </w:t>
      </w:r>
    </w:p>
    <w:p>
      <w:pPr>
        <w:pStyle w:val="TextBody"/>
        <w:bidi w:val="0"/>
        <w:spacing w:before="360" w:after="0"/>
        <w:jc w:val="left"/>
        <w:rPr>
          <w:rFonts w:ascii="Times New Roman" w:hAnsi="Times New Roman"/>
          <w:i/>
          <w:sz w:val="20"/>
        </w:rPr>
      </w:pPr>
      <w:r>
        <w:rPr>
          <w:rFonts w:ascii="Times New Roman" w:hAnsi="Times New Roman"/>
          <w:i/>
          <w:sz w:val="20"/>
        </w:rPr>
        <w:t xml:space="preserve">Loss on extinguishment of liabilities, net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a loss on extinguishment of liabilities of zero and $7.0 million for the years ended December 31, 2023 and 2022, respectively. 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the extinguishment of $2.9 million. Additionally, as a result of the extinguishment of Promissory Note One and the 2021 Term Loan, the Company recorded a loss on debt extinguishment of $3.6 million and $0.5 million, respectively, associated with the prepayment premium and the write-off of unamortized original issue discount (OID) and debt issuance costs.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On November 21, 2022, as consideration for the Perceptive Term Loan, the Company issued the Perceptive Warrant, with warrants exercisable into 3,000,000 shares of the Companys Common Stock issued on the funding date of the Tranche A Loan which are equity classified (the Initial Warrants). In addition to the Initial Warrants and to the extent the Company has the ability to exercise its right to borrow the remaining availability under the Perceptive Term Loan, additional warrants will become exercisable into 1,000,000 shares of Common Stock concurrently with the borrowing of the Tranche B Loan (the Tranche B Warrants), and additional warrants will become exercisable into 1,000,000 shares of Common Stock concurrently with the borrowing of the Tranche C Loan (the Tranche C Warrants). The Company initially accounted for the Tranche B and C Warrants as liabilities as the Tranche B and C Warrants did not meet the criteria for equity classification. During the year ended December 31, 2023, the Company recorded a $1.3 million net loss as a change in fair value through the statement of operations due to changes in unobservable inputs. This is a result of changes in the probability of our ability to draw on Tranche B and C loans. On December 15, 2023 (the Tranche B Borrowing Date), the Company exercised its ability to draw the Tranche B loan. In connection with the Tranche B draw, the Company remeasured the Tranche B Warrants through the Tranche B Borrowing Date and recorded the change in fair value through the statement of operations and, subsequently, reclassified the fair value to additional paid-in capital. As of December 31, 2023, the Tranche C Warrants remain classified as a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 as described below.</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7, 2022 (the LPC Effective Date), we entered into a purchase agreement with Lincoln Park Capital Fund, LLC (the Purchase Agreement), pursuant to which Lincoln Park has committed to purchase up to $50.0 million of our Common Stock (the LPC Facility). Under the terms and subject to the conditions of the Purchase Agreement, we have the right, but not the obligation, to sell to Lincoln Park, and Lincoln Park is obligated to purchase up to $50.0 million of our Common Stock. Such sales of Common Stock by us, if any, will be subject to certain limitations, and may occur from time to time, at our sole discretion, over the 36-month period commencing on the LPC Effective Date. As consideration for Lincoln Parks irrevocable commitment to purchase our Common Stock upon the terms of and subject to satisfaction of the conditions set forth in the Purchase Agreement, on the LPC Effective Date, we issued 184,275 shares of Common Stock to Lincoln Park as a commitment fee valued at $600,000 for which no consideration was received. </w:t>
      </w:r>
    </w:p>
    <w:p>
      <w:pPr>
        <w:pStyle w:val="TextBody"/>
        <w:bidi w:val="0"/>
        <w:spacing w:before="240" w:after="0"/>
        <w:jc w:val="left"/>
        <w:rPr>
          <w:rFonts w:ascii="Times New Roman" w:hAnsi="Times New Roman"/>
          <w:sz w:val="20"/>
        </w:rPr>
      </w:pPr>
      <w:r>
        <w:rPr>
          <w:rFonts w:ascii="Times New Roman" w:hAnsi="Times New Roman"/>
          <w:sz w:val="20"/>
        </w:rPr>
        <w:t xml:space="preserve">On April 7, 2022, we entered into subscription agreements with various investors, including three members of our Board of Directors and other existing shareholders of the Company, for the issuance and sale by the Company of an aggregate of 6,508,376 shares of our Common Stock in an offering for an aggregate purchase price of approximately $11.7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 </w:t>
      </w:r>
    </w:p>
    <w:p>
      <w:pPr>
        <w:pStyle w:val="TextBody"/>
        <w:bidi w:val="0"/>
        <w:spacing w:before="240" w:after="0"/>
        <w:jc w:val="left"/>
        <w:rPr>
          <w:rFonts w:ascii="Times New Roman" w:hAnsi="Times New Roman"/>
          <w:sz w:val="20"/>
        </w:rPr>
      </w:pPr>
      <w:r>
        <w:rPr>
          <w:rFonts w:ascii="Times New Roman" w:hAnsi="Times New Roman"/>
          <w:sz w:val="20"/>
        </w:rPr>
        <w:t xml:space="preserve">On May 9, 2022, the Company entered into a securities purchase agreement with Streeterville, pursuant to which, among other things, Streeterville purchased Promissory Note One in the aggregate principal amount totaling $16.0 million in exchange for $15.0 million less certain expenses. Promissory Note One could, at the Companys option, be settled in cash or shares of Common Stock of the Company, upon the terms and subject to the limitations and conditions. On May 9, 2022, the Company closed on Promissory Note One for gross proceeds of $15.0 million (approximately $12.8 million, net, after deducting debt issuance costs and OID).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2022, the Company funded and/or closed various financing transactions, including: (i) a term loan facility with Perceptive Advisors, LLC (Perceptive) for up to $50.0 million, with funding of $30.0 million on November 21, 2022, and two additional contingently issuable tranches of $10.0 million each subject to certain terms and conditions, including revenue milestones, (ii) a follow-on equity offering of Common Stock for $40.4 million in gross proceeds and (iii) a subscription agreement for the issuance of Common Stock to certain members of the Companys management team for $0.3 million. Collectively, the Company raised gross proceeds of approximately $70.7 million ($65.7 million after deducting commissions, fees and expenses payable). Approximately $23.9 million of the net proceeds were used to retire Promissory Note One with Streeterville and the 2021 Term Loan with Silicon Valley Bank. The remaining proceeds of approximately $42.0 million were used for commercial expansion of sales, supporting the Companys product pipeline, research and development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Perceptive Term Loan Facility contains certain representations and warranties, affirmative covenants, negative covenants, financial covenants, and conditions that are customarily required for similar financings. The Company must (i) at all times prior to the Maturity Date maintain a minimum cash balance of $2.5 million; and (ii) as of the last day of each fiscal quarter commencing with the fiscal quarter ending March 31, 2023, recognize revenue in amounts agreed to between the Company and Perceptive.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7, 2023, the Company entered into a limited waiver under which Perceptive agreed to waive the minimum revenue requirement for the three months ended March 31, 2023 (Limited Waiver). In addition, on May 10, 2023, the Company entered into the First Amendment to the Perceptive Term Loan Facility (the First Amendment) with Perceptive, whereby subject to the terms and conditions of the First Amendment, the minimum net revenue covenant was modified to reduce the threshold through the twelve month period ended March 31, 2024.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2023, the Company entered into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was received and 7,520,371 shares of Common Stock were issued during the three months ended December 31, 2023. </w:t>
      </w:r>
    </w:p>
    <w:p>
      <w:pPr>
        <w:pStyle w:val="TextBody"/>
        <w:bidi w:val="0"/>
        <w:spacing w:before="240" w:after="0"/>
        <w:jc w:val="left"/>
        <w:rPr>
          <w:rFonts w:ascii="Times New Roman" w:hAnsi="Times New Roman"/>
          <w:sz w:val="20"/>
        </w:rPr>
      </w:pPr>
      <w:r>
        <w:rPr>
          <w:rFonts w:ascii="Times New Roman" w:hAnsi="Times New Roman"/>
          <w:sz w:val="20"/>
        </w:rPr>
        <w:t>On August 4, 2023, the Company entered into the Second Amendment to the Perceptive Term Loan Facility (the Second Amendment) with Perceptive, whereby subject to the terms and conditions of the Second Amendment, the minimum net revenue covenant was amended to reduce the relevant threshold as of the last day of each fiscal quarter commencing on the fiscal quarter ending June 30, 2024 through and including the fiscal quarter ending December 31, 2025.</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original terms of the agreement with Perceptive, the Perceptive Term Loan Facility includes an additional Tranche B Loan, in an aggregate amount of up to $10.0 million, which was accessible by the Company so long as the Company satisfied certain customary conditions precedent, including revenue milestones. 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During the three months ended December 31, 2023, the Company met the conditions precedent associated with the Tranche B Loan and, on December 15, 2023, the Company exercised its ability to draw the Tranche B Loan for $10.0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 Company raised approximately $0.6 million ($0.6 million after deducting underwriting discounts and commissions and offering expenses payable), in gross proceeds from the sale of 376,456 common shares at a weighted average price per share of $1.66 under the ATM facility. As of December 31, 2023, the Company had remaining available capacity for share issuances of approximately $28.9 million under the ATM facility and up to $46.9 million under the LPC Facility, each subject to the restrictions and limitations of the underlying facilities, as well as volume limitations under applicable SEC rules and regulations that limit their availability as sources of funding.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maintained cash and cash equivalents of $26.3 million and we have $40.0 million in outstanding aggregate principal amount on our Perceptive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technologies. In accordance with Accounting Standards Update 2014-15 (ASC Topic 205-40), </w:t>
      </w:r>
      <w:r>
        <w:rPr>
          <w:rFonts w:ascii="Times New Roman" w:hAnsi="Times New Roman"/>
          <w:i/>
          <w:sz w:val="20"/>
        </w:rPr>
        <w:t>Presentation of Financial StatementsGoing Concern: Disclosure of Uncertainties about an Entitys Ability to Continue as a Going Concern</w:t>
      </w:r>
      <w:r>
        <w:rPr>
          <w:rFonts w:ascii="Times New Roman" w:hAnsi="Times New Roman"/>
          <w:sz w:val="20"/>
        </w:rPr>
        <w:t xml:space="preserve">,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projections of future cash flows, current financial condition, sources of liquidity and debt obligations for at least one year from the date of issuance of the Form 10-K in considering whether it has the ability to meet its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meet our obligations as they come due may be impacted by our ability to remain compliant with financial covenants in our loan agreement or to obtain waivers or amendments that impact the related covenants. As of December 31, 2023, the Company was in compliance with all restrictive covenants associated with its borrowing and entered into a limited waiver on February 14, 2024 to the Perceptive Term Loan Facility (the Second Limited Waiver). Subject to the terms and conditions of the Second Limited Waiver, Perceptive agreed to (i) waive compliance with the December 31, 2023 Minimum Net Revenue covenant and (ii) waive the requirement that the Annual Report on Form 10-K for the year-ended December 31, 2023 and auditors opinion on the financial statements thereto shall not be subject to any going concern or like qualification or exception audit.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of the outstanding balances. We have taken steps to improve our liquidity through raising debt and equity capital and have also undertaken several proactive measures including, among other things, the reduction of planned capital expenditures and certain operating expenses but we do not expect that these actions alone will be sufficient to maintain our financial covenants.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29, 2024, the Company entered into a third amendment to the Perceptive Term Loan Facility (the Third Amendment),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 </w:t>
      </w:r>
    </w:p>
    <w:p>
      <w:pPr>
        <w:pStyle w:val="TextBody"/>
        <w:bidi w:val="0"/>
        <w:spacing w:before="240" w:after="0"/>
        <w:jc w:val="left"/>
        <w:rPr>
          <w:rFonts w:ascii="Times New Roman" w:hAnsi="Times New Roman"/>
          <w:sz w:val="20"/>
        </w:rPr>
      </w:pPr>
      <w:r>
        <w:rPr>
          <w:rFonts w:ascii="Times New Roman" w:hAnsi="Times New Roman"/>
          <w:sz w:val="20"/>
        </w:rPr>
        <w:t>To maintain an adequate amount of available liquidity and execute our current operating plan, we will need to continue to raise additional funds from external sources, such as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December 31, 2023 financial statements are issued. Our audited financial statements have been prepared assuming we will continue as a going concern and do not include any adjustments that might be necessary should we be unable to continue as a going concern.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our cash flows for the periods indicated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1"/>
        <w:gridCol w:w="364"/>
        <w:gridCol w:w="146"/>
        <w:gridCol w:w="824"/>
        <w:gridCol w:w="155"/>
        <w:gridCol w:w="364"/>
        <w:gridCol w:w="146"/>
        <w:gridCol w:w="824"/>
        <w:gridCol w:w="161"/>
      </w:tblGrid>
      <w:tr>
        <w:trPr/>
        <w:tc>
          <w:tcPr>
            <w:tcW w:w="4771"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4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1" w:type="dxa"/>
            <w:tcBorders/>
            <w:vAlign w:val="bottom"/>
          </w:tcPr>
          <w:p>
            <w:pPr>
              <w:pStyle w:val="TableContents"/>
              <w:bidi w:val="0"/>
              <w:spacing w:before="0" w:after="283"/>
              <w:jc w:val="left"/>
              <w:rPr/>
            </w:pPr>
            <w:r>
              <w:rPr/>
              <w:t> </w:t>
            </w:r>
          </w:p>
        </w:tc>
      </w:tr>
      <w:tr>
        <w:trPr/>
        <w:tc>
          <w:tcPr>
            <w:tcW w:w="477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(used in) provided by:</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71"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(22,870</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(44,972</w:t>
            </w:r>
          </w:p>
        </w:tc>
        <w:tc>
          <w:tcPr>
            <w:tcW w:w="161" w:type="dxa"/>
            <w:tcBorders/>
            <w:vAlign w:val="bottom"/>
          </w:tcPr>
          <w:p>
            <w:pPr>
              <w:pStyle w:val="TableContents"/>
              <w:bidi w:val="0"/>
              <w:spacing w:before="0" w:after="283"/>
              <w:jc w:val="left"/>
              <w:rPr/>
            </w:pPr>
            <w:r>
              <w:rPr/>
              <w:t>) </w:t>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(23,062</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(3,534</w:t>
            </w:r>
          </w:p>
        </w:tc>
        <w:tc>
          <w:tcPr>
            <w:tcW w:w="161" w:type="dxa"/>
            <w:tcBorders/>
            <w:shd w:fill="CCEEFF" w:val="clear"/>
            <w:vAlign w:val="bottom"/>
          </w:tcPr>
          <w:p>
            <w:pPr>
              <w:pStyle w:val="TableContents"/>
              <w:bidi w:val="0"/>
              <w:spacing w:before="0" w:after="283"/>
              <w:jc w:val="left"/>
              <w:rPr/>
            </w:pPr>
            <w:r>
              <w:rPr/>
              <w:t>) </w:t>
            </w:r>
          </w:p>
        </w:tc>
      </w:tr>
      <w:tr>
        <w:trPr/>
        <w:tc>
          <w:tcPr>
            <w:tcW w:w="4771"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29,129</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58,882</w:t>
            </w:r>
          </w:p>
        </w:tc>
        <w:tc>
          <w:tcPr>
            <w:tcW w:w="161" w:type="dxa"/>
            <w:tcBorders/>
            <w:vAlign w:val="bottom"/>
          </w:tcPr>
          <w:p>
            <w:pPr>
              <w:pStyle w:val="TableContents"/>
              <w:bidi w:val="0"/>
              <w:spacing w:before="0" w:after="283"/>
              <w:jc w:val="left"/>
              <w:rPr/>
            </w:pPr>
            <w:r>
              <w:rPr/>
              <w:t> </w:t>
            </w:r>
          </w:p>
        </w:tc>
      </w:tr>
      <w:tr>
        <w:trPr/>
        <w:tc>
          <w:tcPr>
            <w:tcW w:w="4771"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 and restricted cash</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(16,803</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10,376</w:t>
            </w:r>
          </w:p>
        </w:tc>
        <w:tc>
          <w:tcPr>
            <w:tcW w:w="161" w:type="dxa"/>
            <w:tcBorders/>
            <w:shd w:fill="CCEEFF" w:val="clear"/>
            <w:vAlign w:val="bottom"/>
          </w:tcPr>
          <w:p>
            <w:pPr>
              <w:pStyle w:val="TableContents"/>
              <w:bidi w:val="0"/>
              <w:spacing w:before="0" w:after="283"/>
              <w:jc w:val="left"/>
              <w:rPr/>
            </w:pPr>
            <w:r>
              <w:rPr/>
              <w:t> </w:t>
            </w:r>
          </w:p>
        </w:tc>
      </w:tr>
      <w:tr>
        <w:trPr/>
        <w:tc>
          <w:tcPr>
            <w:tcW w:w="4771"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cash flows resulted in a net decrease in cash and cash equivalents and restricted cash of $16.8 million during the year ended December 31, 2023 as compared to the net increase in cash of $10.4 million for the year ended December 31, 2022. For the year ended December 31, 2023, net cash used in operating activities decreased by approximately $22.1 million primarily due to the $18.3 million in tenant improvement allowances received for capital expenditures and leasehold improvements related to the Centennial Valley Properties (CVP) Lease which have been reimbursed from the CVP landlord (see cash used in investing activities below). Partially offsetting the CVP tenant improvement allowances is $2.5 million of the contingent consideration payment made during the three months ended December 31, 2023 which is now classified as a cash outflow from operating activities due to the applicable US GAAP requirements. Additionally, the Company had favorable changes in working capital that contributed to the changes in net cash used in operating activities compared to the same period in 2022. During the year ended December 31, 2022, our $5.0 million cash collateralized letter of credit under the operating lease agreement with CVP was released and the funds were subsequently transferred to the landlord as a refundable deposit to secure the performance of the Companys obligations.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during the year ended December 31, 2023 totaled $23.1 million, an increase of $19.5 million compared to the same period in 2022. The increase in net cash used in investing activities was primarily due to increases in purchases of property and equipment and capital expenditures for leasehold improvements related to the CVP Lease. These leasehold improvements are tenant improvements and have been reimbursed from the Landlord, as described above in net cash used in 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year ended December 31, 2023 totaled $29.1 million, a decrease of $29.8 million compared to the same period in 2022. The net cash provided by financing activities for the year ended December 31, 2023 primarily resulted from $28.0 million net proceeds from the issuance of Common Stock, $10.0 million net proceeds from the issuance of Tranche B under the Perceptive Term Loan Facility, and $0.7 million in proceeds from the issuance of Common Stock under the ESPP and exercise of stock options. These proceeds were partially offset by milestone payments to Indi of $8.6 million. The net cash provided by financing activities for the year ended December 31, 2022 primarily resulted from $56.3 million net proceeds from the issuance of Common Stock, $41.4 million net proceeds from the issuance of Promissory Note One and the Perceptive Term Loan, and $0.6 million in proceeds from the issuance of Common Stock under the ESPP and exercise of stock options. These proceeds were partially offset by the repayment of Promissory Note One and the 2021 Term Loan of $28.6 million, and milestone payments to Indi of $10.8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non-cancelable contractual obligations and commitments as of December 31,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3"/>
        <w:gridCol w:w="197"/>
        <w:gridCol w:w="140"/>
        <w:gridCol w:w="803"/>
        <w:gridCol w:w="60"/>
        <w:gridCol w:w="197"/>
        <w:gridCol w:w="178"/>
        <w:gridCol w:w="877"/>
        <w:gridCol w:w="60"/>
        <w:gridCol w:w="197"/>
        <w:gridCol w:w="140"/>
        <w:gridCol w:w="715"/>
        <w:gridCol w:w="60"/>
        <w:gridCol w:w="197"/>
        <w:gridCol w:w="140"/>
        <w:gridCol w:w="715"/>
        <w:gridCol w:w="60"/>
        <w:gridCol w:w="197"/>
        <w:gridCol w:w="191"/>
        <w:gridCol w:w="939"/>
        <w:gridCol w:w="69"/>
      </w:tblGrid>
      <w:tr>
        <w:trPr/>
        <w:tc>
          <w:tcPr>
            <w:tcW w:w="4073"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586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Payments due by period(1)</w:t>
            </w:r>
          </w:p>
        </w:tc>
        <w:tc>
          <w:tcPr>
            <w:tcW w:w="69" w:type="dxa"/>
            <w:tcBorders/>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w:t>
              <w:br/>
              <w:t>1 year</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3</w:t>
              <w:br/>
              <w:t>years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 to 5</w:t>
              <w:br/>
              <w:t>years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More than</w:t>
              <w:br/>
              <w:t>5 years</w:t>
            </w:r>
          </w:p>
        </w:tc>
        <w:tc>
          <w:tcPr>
            <w:tcW w:w="69"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 and interest(2)</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62,903</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5,897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11,677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45,329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23,403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23,403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46,909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2,406</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8,176</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8,214</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28,113</w:t>
            </w:r>
          </w:p>
        </w:tc>
        <w:tc>
          <w:tcPr>
            <w:tcW w:w="69"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769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356</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413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133,984</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32,062</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20,266</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53,543</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28,113</w:t>
            </w:r>
          </w:p>
        </w:tc>
        <w:tc>
          <w:tcPr>
            <w:tcW w:w="69"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93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Royalty payments that we may owe are not included as the amount and timing of such payments is uncertain.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Perceptive Term Loan payments of principal and interest. Interest amounts associated with the Perceptive Term Loan are variable and estimated based on the interest rate in effect at December 31,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have not entered into any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financial statements in Item 8 of the Annual Report on Form 10-K.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(Biopharma Services and other 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provides services to patients with whom the Company does not have contracts as defined in Financial Accounting Standards Board (FASB) Accounting Standards Codification 606 (ASC 606).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827839_9"/>
      <w:bookmarkEnd w:id="11"/>
      <w:r>
        <w:rPr>
          <w:rFonts w:ascii="Times New Roman" w:hAnsi="Times New Roman"/>
          <w:b/>
          <w:sz w:val="20"/>
        </w:rPr>
        <w:t xml:space="preserve">CHANGES IN AND DISAGREEMENTS WITH ACCOUNTANTS ON ACCOUNTING AND FINANCIAL DISCLOSURE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827839_10"/>
      <w:bookmarkEnd w:id="12"/>
      <w:r>
        <w:rPr>
          <w:rFonts w:ascii="Times New Roman" w:hAnsi="Times New Roman"/>
          <w:b/>
          <w:sz w:val="20"/>
        </w:rPr>
        <w:t xml:space="preserve">QUANTITATIVE AND QUALITATIVE DISCLOSURES ABOUT MARKET RISK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market risk in the ordinary course of our business. Market risk represents the risk of loss that may impact our financial position due to adverse changes in financial market prices and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for changes in interest rates related primarily to our cash and cash equivalents, marketable securities and our indebtedness, including our outstanding Perceptive Term Loan. As of December 31, 2023,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 </w:t>
      </w:r>
    </w:p>
    <w:p>
      <w:pPr>
        <w:pStyle w:val="TextBody"/>
        <w:bidi w:val="0"/>
        <w:spacing w:before="240" w:after="0"/>
        <w:jc w:val="left"/>
        <w:rPr>
          <w:rFonts w:ascii="Times New Roman" w:hAnsi="Times New Roman"/>
          <w:sz w:val="20"/>
        </w:rPr>
      </w:pPr>
      <w:r>
        <w:rPr>
          <w:rFonts w:ascii="Times New Roman" w:hAnsi="Times New Roman"/>
          <w:sz w:val="20"/>
        </w:rPr>
        <w:t xml:space="preserve">Periodically throughout the year, we have maintained balances in various operating accounts in excess of federally insured limits. Our cash and cash equivalents are funds held in checking and bank savings accounts, primarily at one U.S. financial institutions. We consider all highly liquid instruments purchased with an original maturity of three months or less to be cash equivalents. We continually monitor our positions with, and the credit quality of, the financial institutions with which we invest.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 hypothetical 100 basis point increase in interest rates would have an estimated $0.4 million impact per year on our financial position and results of operations, based on the current Perceptive Term Loan principal remaining outstanding through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827839_11"/>
      <w:bookmarkEnd w:id="13"/>
      <w:r>
        <w:rPr>
          <w:rFonts w:ascii="Times New Roman" w:hAnsi="Times New Roman"/>
          <w:b/>
          <w:sz w:val="20"/>
        </w:rPr>
        <w:t xml:space="preserve">BUSINESS </w:t>
      </w:r>
    </w:p>
    <w:p>
      <w:pPr>
        <w:pStyle w:val="TextBody"/>
        <w:bidi w:val="0"/>
        <w:spacing w:before="240" w:after="0"/>
        <w:jc w:val="center"/>
        <w:rPr>
          <w:rFonts w:ascii="Times New Roman" w:hAnsi="Times New Roman"/>
          <w:sz w:val="20"/>
        </w:rPr>
      </w:pPr>
      <w:r>
        <w:rPr>
          <w:rFonts w:ascii="Times New Roman" w:hAnsi="Times New Roman"/>
          <w:sz w:val="20"/>
        </w:rPr>
        <w:t xml:space="preserve">Our </w:t>
      </w:r>
      <w:r>
        <w:rPr>
          <w:rFonts w:ascii="Times New Roman" w:hAnsi="Times New Roman"/>
          <w:b/>
          <w:sz w:val="20"/>
        </w:rPr>
        <w:t>mission</w:t>
      </w:r>
      <w:r>
        <w:rPr>
          <w:rFonts w:ascii="Times New Roman" w:hAnsi="Times New Roman"/>
          <w:sz w:val="20"/>
        </w:rPr>
        <w:t xml:space="preserve"> is to unite biopharma, physicians, and patients to transform the standard of care and improve outcomes with personalized diagnostics. </w:t>
      </w:r>
    </w:p>
    <w:p>
      <w:pPr>
        <w:pStyle w:val="TextBody"/>
        <w:bidi w:val="0"/>
        <w:spacing w:before="240" w:after="0"/>
        <w:jc w:val="center"/>
        <w:rPr>
          <w:rFonts w:ascii="Times New Roman" w:hAnsi="Times New Roman"/>
          <w:sz w:val="20"/>
        </w:rPr>
      </w:pPr>
      <w:r>
        <w:rPr>
          <w:rFonts w:ascii="Times New Roman" w:hAnsi="Times New Roman"/>
          <w:sz w:val="20"/>
        </w:rPr>
        <w:t xml:space="preserve">Our </w:t>
      </w:r>
      <w:r>
        <w:rPr>
          <w:rFonts w:ascii="Times New Roman" w:hAnsi="Times New Roman"/>
          <w:b/>
          <w:sz w:val="20"/>
        </w:rPr>
        <w:t>vision</w:t>
      </w:r>
      <w:r>
        <w:rPr>
          <w:rFonts w:ascii="Times New Roman" w:hAnsi="Times New Roman"/>
          <w:sz w:val="20"/>
        </w:rPr>
        <w:t xml:space="preserve"> is a world where all critical diseases are diagnosed early and treated quickly with the guidance of personalized diagnostic solutions, so humanity can thrive without the burden of disease.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 xml:space="preserve">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 </w:t>
      </w:r>
    </w:p>
    <w:p>
      <w:pPr>
        <w:pStyle w:val="TextBody"/>
        <w:bidi w:val="0"/>
        <w:spacing w:before="240" w:after="0"/>
        <w:jc w:val="left"/>
        <w:rPr>
          <w:rFonts w:ascii="Times New Roman" w:hAnsi="Times New Roman"/>
          <w:sz w:val="20"/>
        </w:rPr>
      </w:pPr>
      <w:r>
        <w:rPr>
          <w:rFonts w:ascii="Times New Roman" w:hAnsi="Times New Roman"/>
          <w:sz w:val="20"/>
        </w:rPr>
        <w:t xml:space="preserve">Our core belief is that no single technology will answer all clinical questions that we encounter. Therefore, we employ multiple technologies, including genomics, transcriptomics, proteomics,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 </w:t>
      </w:r>
    </w:p>
    <w:p>
      <w:pPr>
        <w:pStyle w:val="TextBody"/>
        <w:bidi w:val="0"/>
        <w:spacing w:before="240" w:after="0"/>
        <w:jc w:val="left"/>
        <w:rPr>
          <w:rFonts w:ascii="Times New Roman" w:hAnsi="Times New Roman"/>
          <w:sz w:val="20"/>
        </w:rPr>
      </w:pPr>
      <w:r>
        <w:rPr>
          <w:rFonts w:ascii="Times New Roman" w:hAnsi="Times New Roman"/>
          <w:sz w:val="20"/>
        </w:rPr>
        <w:t xml:space="preserve">We operate in a single segment and derive our revenue from two sources: (i) providing diagnostic testing services associated with (a) blood-based lung tests and (b) prior to May 11, 2023,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 During fiscal years 2023 and 2022, we derived 92% and 90%, respectively, of our total revenues from our diagnostic testing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dedicated to continuously publishing and presenting new data on the clinical validation and utility of our diagnostic tests. Since our inception, we have performed over 600,000 tests and continue to generate a large and growing body of clinical evidence. We have participated in 27 clinical studies, three of which are ongoing, and have published over 300 clinical and scientific peer-reviewed publications, presentations, and abstracts. We have curated a biobank encompassing thousands of biological specimens with associated clinical data, including tumor genomic profiles and immune profiles, which are used for both internal and external research and development initiatives. </w:t>
      </w:r>
    </w:p>
    <w:p>
      <w:pPr>
        <w:pStyle w:val="TextBody"/>
        <w:bidi w:val="0"/>
        <w:spacing w:before="240" w:after="0"/>
        <w:jc w:val="left"/>
        <w:rPr>
          <w:rFonts w:ascii="Times New Roman" w:hAnsi="Times New Roman"/>
          <w:sz w:val="20"/>
        </w:rPr>
      </w:pPr>
      <w:r>
        <w:rPr>
          <w:rFonts w:ascii="Times New Roman" w:hAnsi="Times New Roman"/>
          <w:sz w:val="20"/>
        </w:rPr>
        <w:t xml:space="preserve">We have commercialized five diagnostic tests which are currently on market and we perform more than 30 assays for clinical and research use as part of our laboratory services that have been used by over 65 biopharmaceutical customers and academic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Blood-Based Lung Tests </w:t>
      </w:r>
    </w:p>
    <w:p>
      <w:pPr>
        <w:pStyle w:val="TextBody"/>
        <w:bidi w:val="0"/>
        <w:spacing w:before="120" w:after="0"/>
        <w:jc w:val="left"/>
        <w:rPr>
          <w:rFonts w:ascii="Times New Roman" w:hAnsi="Times New Roman"/>
          <w:sz w:val="20"/>
        </w:rPr>
      </w:pPr>
      <w:r>
        <w:rPr>
          <w:rFonts w:ascii="Times New Roman" w:hAnsi="Times New Roman"/>
          <w:sz w:val="20"/>
        </w:rPr>
        <w:t xml:space="preserve">We have five diagnostic blood-based tests across the lung cancer continuum of care, which generated $45.1 million and $29.3 million in revenue for fiscal year 2023 and 2022, respectively, an annual growth rate of 54%.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Diagnosis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Nodify CDT</w:t>
      </w:r>
      <w:r>
        <w:rPr>
          <w:rFonts w:ascii="Times New Roman" w:hAnsi="Times New Roman"/>
          <w:sz w:val="20"/>
        </w:rPr>
        <w:t xml:space="preserve">® and </w:t>
      </w:r>
      <w:r>
        <w:rPr>
          <w:rFonts w:ascii="Times New Roman" w:hAnsi="Times New Roman"/>
          <w:i/>
          <w:sz w:val="20"/>
        </w:rPr>
        <w:t>XL2®</w:t>
      </w:r>
      <w:r>
        <w:rPr>
          <w:rFonts w:ascii="Times New Roman" w:hAnsi="Times New Roman"/>
          <w:sz w:val="20"/>
        </w:rPr>
        <w:t xml:space="preserve"> tests, together marketed as our Nodify Lung</w:t>
      </w:r>
      <w:r>
        <w:rPr>
          <w:rFonts w:ascii="Times New Roman" w:hAnsi="Times New Roman"/>
          <w:i/>
          <w:sz w:val="20"/>
        </w:rPr>
        <w:t>®</w:t>
      </w:r>
      <w:r>
        <w:rPr>
          <w:rFonts w:ascii="Times New Roman" w:hAnsi="Times New Roman"/>
          <w:sz w:val="20"/>
        </w:rPr>
        <w:t xml:space="preserve">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We believe we are the only company to offer two commercial blood-based tests to help physicians reclassify risk of malignancy in patients with suspicious lung nodules.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Treatment &amp; Monitoring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GeneStrat®</w:t>
      </w:r>
      <w:r>
        <w:rPr>
          <w:rFonts w:ascii="Times New Roman" w:hAnsi="Times New Roman"/>
          <w:sz w:val="20"/>
        </w:rPr>
        <w:t xml:space="preserve"> </w:t>
      </w:r>
      <w:r>
        <w:rPr>
          <w:rFonts w:ascii="Times New Roman" w:hAnsi="Times New Roman"/>
          <w:i/>
          <w:sz w:val="20"/>
        </w:rPr>
        <w:t>ddPCR, GeneStrat NGS®</w:t>
      </w:r>
      <w:r>
        <w:rPr>
          <w:rFonts w:ascii="Times New Roman" w:hAnsi="Times New Roman"/>
          <w:sz w:val="20"/>
        </w:rPr>
        <w:t xml:space="preserve"> and </w:t>
      </w:r>
      <w:r>
        <w:rPr>
          <w:rFonts w:ascii="Times New Roman" w:hAnsi="Times New Roman"/>
          <w:i/>
          <w:sz w:val="20"/>
        </w:rPr>
        <w:t>VeriStrat®</w:t>
      </w:r>
      <w:r>
        <w:rPr>
          <w:rFonts w:ascii="Times New Roman" w:hAnsi="Times New Roman"/>
          <w:sz w:val="20"/>
        </w:rPr>
        <w:t xml:space="preserve"> 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 </w:t>
      </w:r>
    </w:p>
    <w:p>
      <w:pPr>
        <w:pStyle w:val="TextBody"/>
        <w:bidi w:val="0"/>
        <w:spacing w:before="360" w:after="0"/>
        <w:jc w:val="left"/>
        <w:rPr>
          <w:rFonts w:ascii="Times New Roman" w:hAnsi="Times New Roman"/>
          <w:b/>
          <w:sz w:val="20"/>
        </w:rPr>
      </w:pPr>
      <w:r>
        <w:rPr>
          <w:rFonts w:ascii="Times New Roman" w:hAnsi="Times New Roman"/>
          <w:b/>
          <w:sz w:val="20"/>
        </w:rPr>
        <w:t xml:space="preserve">COVID-19 Pandemic </w:t>
      </w:r>
    </w:p>
    <w:p>
      <w:pPr>
        <w:pStyle w:val="TextBody"/>
        <w:bidi w:val="0"/>
        <w:spacing w:before="120" w:after="0"/>
        <w:jc w:val="left"/>
        <w:rPr>
          <w:rFonts w:ascii="Times New Roman" w:hAnsi="Times New Roman"/>
          <w:sz w:val="20"/>
        </w:rPr>
      </w:pPr>
      <w:r>
        <w:rPr>
          <w:rFonts w:ascii="Times New Roman" w:hAnsi="Times New Roman"/>
          <w:sz w:val="20"/>
        </w:rPr>
        <w:t>In response to the COVID-19 pandemic, through our partnership with Bio-Rad, we commercialized the Biodesix WorkSafe testing program. We generated $0.1 million and $5.2 million in revenue from COVID-19 testing during fiscal year 2023 and 2022, respectively. 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w:t>
      </w:r>
    </w:p>
    <w:p>
      <w:pPr>
        <w:pStyle w:val="TextBody"/>
        <w:bidi w:val="0"/>
        <w:spacing w:before="240" w:after="0"/>
        <w:jc w:val="left"/>
        <w:rPr>
          <w:rFonts w:ascii="Times New Roman" w:hAnsi="Times New Roman"/>
          <w:sz w:val="20"/>
        </w:rPr>
      </w:pPr>
      <w:r>
        <w:rPr>
          <w:rFonts w:ascii="Times New Roman" w:hAnsi="Times New Roman"/>
          <w:sz w:val="20"/>
        </w:rPr>
        <w:t xml:space="preserve">Our scientific diagnostic expertise, technologies, and existing commercial infrastructure enabled us to rapidly commercialize two FDA EUA-authorized tests, a part of our customizable WorkSafe program. Both diagnostic tests are owned and were developed by Bio-Rad and Bio-Rad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(as defined below) technology to qualitatively detect circulating neutralizing antibodies to the RBD in the spike protein of SARS-CoV-2. </w:t>
      </w:r>
    </w:p>
    <w:p>
      <w:pPr>
        <w:pStyle w:val="TextBody"/>
        <w:bidi w:val="0"/>
        <w:spacing w:before="240" w:after="0"/>
        <w:jc w:val="left"/>
        <w:rPr>
          <w:rFonts w:ascii="Times New Roman" w:hAnsi="Times New Roman"/>
          <w:sz w:val="20"/>
        </w:rPr>
      </w:pPr>
      <w:r>
        <w:rPr>
          <w:rFonts w:ascii="Times New Roman" w:hAnsi="Times New Roman"/>
          <w:sz w:val="20"/>
        </w:rPr>
        <w:t xml:space="preserve">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COVID-19 pandemic disrupted, and in the future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 for a description of how the COVID-19 pandemic may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Results for 2023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compared to the prior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Total Revenue </w:t>
            </w:r>
            <w:r>
              <w:rPr>
                <w:rFonts w:ascii="Times New Roman" w:hAnsi="Times New Roman"/>
                <w:sz w:val="20"/>
              </w:rPr>
              <w:t xml:space="preserve">was $49.1 million, an increase of 28% primarily driven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Lung Diagnostic Revenue of $45.1</w:t>
            </w:r>
            <w:r>
              <w:rPr>
                <w:rFonts w:ascii="Times New Roman" w:hAnsi="Times New Roman"/>
                <w:sz w:val="20"/>
              </w:rPr>
              <w:t> </w:t>
            </w:r>
            <w:r>
              <w:rPr>
                <w:rFonts w:ascii="Times New Roman" w:hAnsi="Times New Roman"/>
                <w:i/>
                <w:sz w:val="20"/>
              </w:rPr>
              <w:t>million, an increase of 54%;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Biopharma Services and other revenue of $3.9</w:t>
            </w:r>
            <w:r>
              <w:rPr>
                <w:rFonts w:ascii="Times New Roman" w:hAnsi="Times New Roman"/>
                <w:sz w:val="20"/>
              </w:rPr>
              <w:t> </w:t>
            </w:r>
            <w:r>
              <w:rPr>
                <w:rFonts w:ascii="Times New Roman" w:hAnsi="Times New Roman"/>
                <w:i/>
                <w:sz w:val="20"/>
              </w:rPr>
              <w:t>million, an increase of 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COVID-19 Revenue of $0.1</w:t>
            </w:r>
            <w:r>
              <w:rPr>
                <w:rFonts w:ascii="Times New Roman" w:hAnsi="Times New Roman"/>
                <w:sz w:val="20"/>
              </w:rPr>
              <w:t> </w:t>
            </w:r>
            <w:r>
              <w:rPr>
                <w:rFonts w:ascii="Times New Roman" w:hAnsi="Times New Roman"/>
                <w:i/>
                <w:sz w:val="20"/>
              </w:rPr>
              <w:t>million, a decrease of 99%;</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Gross Margin </w:t>
            </w:r>
            <w:r>
              <w:rPr>
                <w:rFonts w:ascii="Times New Roman" w:hAnsi="Times New Roman"/>
                <w:sz w:val="20"/>
              </w:rPr>
              <w:t xml:space="preserve">was $36.1 million, resulting in a 73% overall gross margin percentage as compared to 63% in the prior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Operating Expenses, excluding Direct costs and expenses, </w:t>
            </w:r>
            <w:r>
              <w:rPr>
                <w:rFonts w:ascii="Times New Roman" w:hAnsi="Times New Roman"/>
                <w:sz w:val="20"/>
              </w:rPr>
              <w:t xml:space="preserve">were $77.4 million, an increase of 4% and including non-cash share-based compensation expense of $5.4 million as compared to $6.0 million in the prior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Net Loss </w:t>
            </w:r>
            <w:r>
              <w:rPr>
                <w:rFonts w:ascii="Times New Roman" w:hAnsi="Times New Roman"/>
                <w:sz w:val="20"/>
              </w:rPr>
              <w:t xml:space="preserve">was $52.1 million and decreased 20%, due primarily to an overall increase in total revenues of $10.9 million and a decrease in other expenses of $4.1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Basic and Diluted Net Loss Per Common Share </w:t>
            </w:r>
            <w:r>
              <w:rPr>
                <w:rFonts w:ascii="Times New Roman" w:hAnsi="Times New Roman"/>
                <w:sz w:val="20"/>
              </w:rPr>
              <w:t xml:space="preserve">was $0.64;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Net Cash Used by Operating Activities </w:t>
            </w:r>
            <w:r>
              <w:rPr>
                <w:rFonts w:ascii="Times New Roman" w:hAnsi="Times New Roman"/>
                <w:sz w:val="20"/>
              </w:rPr>
              <w:t xml:space="preserve">was $22.9 million, compared to $45.0 million used in the prior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Cash and Cash Equivalents </w:t>
            </w:r>
            <w:r>
              <w:rPr>
                <w:rFonts w:ascii="Times New Roman" w:hAnsi="Times New Roman"/>
                <w:sz w:val="20"/>
              </w:rPr>
              <w:t xml:space="preserve">was $26.3 million as of December 31,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Diagnostic Testing Market Size and Opportunity </w:t>
      </w:r>
    </w:p>
    <w:p>
      <w:pPr>
        <w:pStyle w:val="TextBody"/>
        <w:bidi w:val="0"/>
        <w:spacing w:before="120" w:after="0"/>
        <w:jc w:val="left"/>
        <w:rPr>
          <w:rFonts w:ascii="Times New Roman" w:hAnsi="Times New Roman"/>
          <w:sz w:val="20"/>
        </w:rPr>
      </w:pPr>
      <w:r>
        <w:rPr>
          <w:rFonts w:ascii="Times New Roman" w:hAnsi="Times New Roman"/>
          <w:sz w:val="20"/>
        </w:rPr>
        <w:t xml:space="preserve">Despite significant advances over the last decade, lung cancer is still the deadliest type of cancer in both men and women in the United States. While diagnostic testing has become routinely used at certain points in the lung cancer continuum of care (diagnosis, treatment and monitoring), we believe there is substantial need for novel, advanced testing to improve on the current standard of care. We estimate that in the United States, the lung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cancer continuum of care represents over 10 million annual testing opportunities and is over a $27 billion market annually for testing alone.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8480" cy="170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8480" cy="1701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Over the last two decades, the use of biomarker testing in clinical trials has increased, with 15% of oncology trials involving the use of biomarker testing in 2000, compared to 55% in 2018. We believe the field of biomarker discovery and companion diagnostic development for biopharmaceutical therapeutics is set to continue growing as biopharmaceutical companies seek to de-risk their research and development pipelines and increase chances of drug development success. We estimate that biopharmaceutical partnering and research opportunities represent over a $2 billion market annually.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Lung Cancer Continuum of CareClinical Unmet Needs </w:t>
      </w:r>
    </w:p>
    <w:p>
      <w:pPr>
        <w:pStyle w:val="TextBody"/>
        <w:bidi w:val="0"/>
        <w:spacing w:before="120" w:after="0"/>
        <w:jc w:val="left"/>
        <w:rPr>
          <w:rFonts w:ascii="Times New Roman" w:hAnsi="Times New Roman"/>
          <w:sz w:val="20"/>
        </w:rPr>
      </w:pPr>
      <w:r>
        <w:rPr>
          <w:rFonts w:ascii="Times New Roman" w:hAnsi="Times New Roman"/>
          <w:sz w:val="20"/>
        </w:rPr>
        <w:t xml:space="preserve">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Diagnosis</w:t>
            </w:r>
            <w:r>
              <w:rPr>
                <w:rFonts w:ascii="Times New Roman" w:hAnsi="Times New Roman"/>
                <w:sz w:val="20"/>
              </w:rPr>
              <w:t xml:space="preserve">: We estimate approximately 1.6 million new incidental lung nodules and potentially 4 million lung nodules from the adoption of 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w:t>
            </w:r>
            <w:r>
              <w:rPr>
                <w:rFonts w:ascii="Times New Roman" w:hAnsi="Times New Roman"/>
                <w:i/>
                <w:sz w:val="20"/>
              </w:rPr>
              <w:t xml:space="preserve">overtreatment </w:t>
            </w:r>
            <w:r>
              <w:rPr>
                <w:rFonts w:ascii="Times New Roman" w:hAnsi="Times New Roman"/>
                <w:sz w:val="20"/>
              </w:rPr>
              <w:t xml:space="preserve">of patients with benign nodules or </w:t>
            </w:r>
            <w:r>
              <w:rPr>
                <w:rFonts w:ascii="Times New Roman" w:hAnsi="Times New Roman"/>
                <w:i/>
                <w:sz w:val="20"/>
              </w:rPr>
              <w:t xml:space="preserve">undertreatment </w:t>
            </w:r>
            <w:r>
              <w:rPr>
                <w:rFonts w:ascii="Times New Roman" w:hAnsi="Times New Roman"/>
                <w:sz w:val="20"/>
              </w:rPr>
              <w:t xml:space="preserve">in patients with cancer. An estimated 17% of patients initially scheduled for watchful waiting, or follow-up CT scans in intervals up to a year, are later diagnosed with malignant nodules,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Treatment GuidanceEarly Stage</w:t>
            </w:r>
            <w:r>
              <w:rPr>
                <w:rFonts w:ascii="Times New Roman" w:hAnsi="Times New Roman"/>
                <w:sz w:val="20"/>
              </w:rPr>
              <w:t xml:space="preserve">: We estimate that there are over 700 thousand testing opportunities annually in the United States in early-stage lung cancer to assess a patients risk of recurrence following curative-intent surgery, and to detect potential target mutations for therapeutics.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who may benefit from a less intensive treatment protocol. There have also been recent advances in the use of targeted therapies in early-stage lung disease. These therapies typically target specific genomic mutations or alterations found in some tumors. We believe there is therefore an emerging need for testing designed specifically for mutation detection in early-stage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Treatment GuidanceAdvanced Stage: </w:t>
            </w:r>
            <w:r>
              <w:rPr>
                <w:rFonts w:ascii="Times New Roman" w:hAnsi="Times New Roman"/>
                <w:sz w:val="20"/>
              </w:rPr>
              <w:t xml:space="preserve">We estimate that there are over 3 million diagnostic testing opportunities annually in the United States to guide advanced stage lung cancer treatment decisions. With nearly 60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Physicians are often left with a dilemma to either make treatment decisions prior to receiving critical diagnostic test results, or delay treatment initiation while waiting for the test results. Therefore, we believe there is an imminent need for a blood-based testing solution that measures tumor mutations and the patients immune profile, to provide physicians with more comprehensive and timely information to initiate personalized treatment as quickly as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Monitoring</w:t>
            </w:r>
            <w:r>
              <w:rPr>
                <w:rFonts w:ascii="Times New Roman" w:hAnsi="Times New Roman"/>
                <w:sz w:val="20"/>
              </w:rPr>
              <w:t xml:space="preserve">: We estimate that there are over 800 thousand testing opportunities in the United States for blood-based tumor genomic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Current Limitations in Biomarker Discovery and Companion Diagnostics </w:t>
      </w:r>
    </w:p>
    <w:p>
      <w:pPr>
        <w:pStyle w:val="TextBody"/>
        <w:bidi w:val="0"/>
        <w:spacing w:before="120" w:after="0"/>
        <w:jc w:val="left"/>
        <w:rPr>
          <w:rFonts w:ascii="Times New Roman" w:hAnsi="Times New Roman"/>
          <w:sz w:val="20"/>
        </w:rPr>
      </w:pPr>
      <w:r>
        <w:rPr>
          <w:rFonts w:ascii="Times New Roman" w:hAnsi="Times New Roman"/>
          <w:sz w:val="20"/>
        </w:rPr>
        <w:t>We estimate that the biopharmaceutical biomarker testing and companion diagnostic market opportunity represents a $2 billion market annually</w:t>
      </w:r>
      <w:r>
        <w:rPr>
          <w:rFonts w:ascii="Times New Roman" w:hAnsi="Times New Roman"/>
          <w:i/>
          <w:sz w:val="20"/>
        </w:rPr>
        <w:t xml:space="preserve">. </w:t>
      </w:r>
      <w:r>
        <w:rPr>
          <w:rFonts w:ascii="Times New Roman" w:hAnsi="Times New Roman"/>
          <w:sz w:val="20"/>
        </w:rPr>
        <w:t xml:space="preserve">Over the last two decades, the use of biomarker testing in clinical trials has increased, with 15% of oncology trials involving the use of biomarker testing in 2000 compared to 55% in 2018. From 2005 to 2015, a 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 </w:t>
      </w:r>
    </w:p>
    <w:p>
      <w:pPr>
        <w:pStyle w:val="TextBody"/>
        <w:bidi w:val="0"/>
        <w:spacing w:before="240" w:after="0"/>
        <w:jc w:val="left"/>
        <w:rPr>
          <w:rFonts w:ascii="Times New Roman" w:hAnsi="Times New Roman"/>
          <w:sz w:val="20"/>
        </w:rPr>
      </w:pPr>
      <w:r>
        <w:rPr>
          <w:rFonts w:ascii="Times New Roman" w:hAnsi="Times New Roman"/>
          <w:b/>
          <w:sz w:val="20"/>
        </w:rPr>
        <w:t>Biomarker Discovery</w:t>
      </w:r>
      <w:r>
        <w:rPr>
          <w:rFonts w:ascii="Times New Roman" w:hAnsi="Times New Roman"/>
          <w:i/>
          <w:sz w:val="20"/>
        </w:rPr>
        <w:t xml:space="preserve">: </w:t>
      </w:r>
      <w:r>
        <w:rPr>
          <w:rFonts w:ascii="Times New Roman" w:hAnsi="Times New Roman"/>
          <w:sz w:val="20"/>
        </w:rPr>
        <w:t xml:space="preserve">There are many limitations with biomarker discovery in biopharmaceutical drug development,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Biomarkers with clinical utility are difficult to discover and validate in independent datasets;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Classical statistical approaches to biomarker discovery are limited. Single-omic tests fail to see the whole biological picture;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Tissue biopsies are limited by the amount of a sample that can be collected: longitudinal testing is difficult and the information gathered is only from the tumor being sampled, this does not account for tumor heterogeneity or the hosts immune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are expensive and take years to complete. It is often difficult to meet clinical trial enrollment goals with long diagnostic testing turnaround times.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Companion Diagnostics (CDx): </w:t>
      </w:r>
      <w:r>
        <w:rPr>
          <w:rFonts w:ascii="Times New Roman" w:hAnsi="Times New Roman"/>
          <w:sz w:val="20"/>
        </w:rPr>
        <w:t xml:space="preserve">While developing CDx is critical to precision medicine, the promise of CDx has not been fully realized and there are multiple limitations that still need resolution. The path to co-develop a successful CDx with a corresponding drug has several challenges,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Traditional CDx agreements may fail to realize the full value of a testing opportunity, leading to difficulty in funding appropriate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development is a lengthy, complex and costly process. There can be a financial impact to a pharmaceutical company to have a drug selected by a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diagnostic reimbursement policies may not always support the coverage and payment of new CDx;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agencies continue to work on defining the co-development process, but the environment is continually changing.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Diagnostic Test Discovery and Development at Biodesix </w:t>
      </w:r>
    </w:p>
    <w:p>
      <w:pPr>
        <w:pStyle w:val="TextBody"/>
        <w:bidi w:val="0"/>
        <w:spacing w:before="120" w:after="0"/>
        <w:jc w:val="left"/>
        <w:rPr>
          <w:rFonts w:ascii="Times New Roman" w:hAnsi="Times New Roman"/>
          <w:sz w:val="20"/>
        </w:rPr>
      </w:pPr>
      <w:r>
        <w:rPr>
          <w:rFonts w:ascii="Times New Roman" w:hAnsi="Times New Roman"/>
          <w:sz w:val="20"/>
        </w:rPr>
        <w:t xml:space="preserve">Our core belief is that no single technology will answer all clinical questions that we encounter. Therefore, we employ multiple technologies, including genomics, transcriptomics, proteomics, and radiomics to discover innovative diagnostic tests for potential clinical use. We focus on the use of technologies that are capable of single and multi-omic tests in our research and development. We continuously evolve and improve our test discovery and development process. All of the technologies that we employ have been chosen and developed to provide high-quality data to enable our clinical test discovery and development. We feel that this level of data integrity is crucial for the development of diagnostic tests. </w:t>
      </w:r>
    </w:p>
    <w:p>
      <w:pPr>
        <w:pStyle w:val="TextBody"/>
        <w:bidi w:val="0"/>
        <w:spacing w:before="240" w:after="0"/>
        <w:jc w:val="left"/>
        <w:rPr>
          <w:rFonts w:ascii="Times New Roman" w:hAnsi="Times New Roman"/>
          <w:sz w:val="20"/>
        </w:rPr>
      </w:pPr>
      <w:r>
        <w:rPr>
          <w:rFonts w:ascii="Times New Roman" w:hAnsi="Times New Roman"/>
          <w:sz w:val="20"/>
        </w:rPr>
        <w:t xml:space="preserve">We continuously incorporate new market insights and patient data to enhance our platform through a data-driven learning loop. We regularly engage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other collaborative partnerships, into our platform. Our curated biobank encompasses thousands of biological specimens with associated clinical data, including tumor genomic profiles and immune profiles, which are used for both internal and external research and development initiatives. With our multi-omic approach we are able to discover diagnostic tests that answer critical clinical questions faced by physicians, researchers, and biopharmaceutical companies. </w:t>
      </w:r>
    </w:p>
    <w:p>
      <w:pPr>
        <w:pStyle w:val="TextBody"/>
        <w:bidi w:val="0"/>
        <w:spacing w:before="240" w:after="0"/>
        <w:jc w:val="left"/>
        <w:rPr>
          <w:rFonts w:ascii="Times New Roman" w:hAnsi="Times New Roman"/>
          <w:sz w:val="20"/>
        </w:rPr>
      </w:pPr>
      <w:r>
        <w:rPr>
          <w:rFonts w:ascii="Times New Roman" w:hAnsi="Times New Roman"/>
          <w:sz w:val="20"/>
        </w:rPr>
        <w:t xml:space="preserve">To achieve our discovery and development objectives, we utilize different technologies, including ddPCR, NGS, LC-MS, ELISA, single cell analyses, and our proprietary DeepMALDI® mass spectrometry platform for the blood-based molecular analysis of the tumor, immune system, and host-status of each patient and/or clinical dataset. We continuously revisit our technology strategy and roadmap to integrate new technologies into our evolving platform, which ultimately support the addition of new service and product revenue offerings. 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multi-omic approach to solving diagnostic challenges. Because of this approach, we believe we are unique in the diagnostics market, allowing for a broader and more holistic understanding of each patients disease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experts in many technologies, but we are a true market leader with over 15 years of experience in the field of clinical proteomics. For over 15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 </w:t>
      </w:r>
    </w:p>
    <w:p>
      <w:pPr>
        <w:pStyle w:val="TextBody"/>
        <w:bidi w:val="0"/>
        <w:spacing w:before="240" w:after="0"/>
        <w:jc w:val="left"/>
        <w:rPr>
          <w:rFonts w:ascii="Times New Roman" w:hAnsi="Times New Roman"/>
          <w:sz w:val="20"/>
        </w:rPr>
      </w:pPr>
      <w:r>
        <w:rPr>
          <w:rFonts w:ascii="Times New Roman" w:hAnsi="Times New Roman"/>
          <w:sz w:val="20"/>
        </w:rPr>
        <w:t xml:space="preserve">Our suite of technologies that assist us in discovery, development and commercialization of novel diagnostic tests includes: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DeepMALDI Mass Spectrometry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DeepMALDI, a proprietary high-density matrix-assisted laser desorption/ionization time-of-flight (MALDI-ToF) mass spectrometry (MS) technology, to discover potential tests for disease diagnosis, and monitoring for disease progression or recurrence in lung and other disease states. DeepMALDI technology overcomes the limitations of conventional MALDI and other mass spectrometry methods to produce highly sensitive, stable, and reproducible data. This method yields substantially higher quality data content and is thereby well suited for the discovery of biomarkers with clinical utility. We intend to maintain our leadership role in the discovery of proteomics-based diagnostic tests. We utilize our DeepMALDI and MALDI-ToF technologies in our discovery and development efforts and as part of our collaborations with our biopharmaceutical customers and other collaborative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 Chromatography (LC) Mass Spectrometry </w:t>
      </w:r>
    </w:p>
    <w:p>
      <w:pPr>
        <w:pStyle w:val="TextBody"/>
        <w:bidi w:val="0"/>
        <w:spacing w:before="120" w:after="0"/>
        <w:jc w:val="left"/>
        <w:rPr>
          <w:rFonts w:ascii="Times New Roman" w:hAnsi="Times New Roman"/>
          <w:sz w:val="20"/>
        </w:rPr>
      </w:pPr>
      <w:r>
        <w:rPr>
          <w:rFonts w:ascii="Times New Roman" w:hAnsi="Times New Roman"/>
          <w:sz w:val="20"/>
        </w:rPr>
        <w:t xml:space="preserve">We use Multiple Reaction Monitoring (MRM) MS with triple quadrupole mass spectrometers and up-front liquid chromatography (LC) sample injection in the Nodify XL2 test and as part of our collaborations with our biopharmaceutical customers and other collaborative partners.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Enzyme-Linked Immunosorbent Assay (ELISA) </w:t>
      </w:r>
    </w:p>
    <w:p>
      <w:pPr>
        <w:pStyle w:val="TextBody"/>
        <w:bidi w:val="0"/>
        <w:spacing w:before="120" w:after="0"/>
        <w:jc w:val="left"/>
        <w:rPr>
          <w:rFonts w:ascii="Times New Roman" w:hAnsi="Times New Roman"/>
          <w:sz w:val="20"/>
        </w:rPr>
      </w:pPr>
      <w:r>
        <w:rPr>
          <w:rFonts w:ascii="Times New Roman" w:hAnsi="Times New Roman"/>
          <w:sz w:val="20"/>
        </w:rPr>
        <w:t xml:space="preserve">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as part of our collaborations with our biopharmaceutical customers and other collaborative partners.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Droplet Digital Polymerase Chain Reaction Technology (ddPCR) </w:t>
      </w:r>
    </w:p>
    <w:p>
      <w:pPr>
        <w:pStyle w:val="TextBody"/>
        <w:bidi w:val="0"/>
        <w:spacing w:before="120" w:after="0"/>
        <w:jc w:val="left"/>
        <w:rPr>
          <w:rFonts w:ascii="Times New Roman" w:hAnsi="Times New Roman"/>
          <w:sz w:val="20"/>
        </w:rPr>
      </w:pPr>
      <w:r>
        <w:rPr>
          <w:rFonts w:ascii="Times New Roman" w:hAnsi="Times New Roman"/>
          <w:sz w:val="20"/>
        </w:rPr>
        <w:t xml:space="preserve">We use the ddPCR technology for multiplexed, semi-automated nucleic acid detection. This allows high sensitivity, fast turn-around times, flexibility in our laboratory workflows, rapid scaling from low to moderate anolyte complexity, and high-volume scalability. ddPCR is an absolute quantitation method based on the partitioning of circulating nucleic acids into up to 20,000 droplets per reaction and is used for the GeneStrat ddPCR test. Our strategy with ddPCR relies on a menu of off-the-shelf and custom research use assays, including early access and beta evaluation, which we develop and make available as a part of our commercial pipeline, biopharmaceutical and collaborative test services. We have included the ddPCR technologies for research and development both internally and externally with our biopharmaceutical customers and other collaborative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Next Generation Sequencing Technology (NGS) </w:t>
      </w:r>
    </w:p>
    <w:p>
      <w:pPr>
        <w:pStyle w:val="TextBody"/>
        <w:bidi w:val="0"/>
        <w:spacing w:before="120" w:after="0"/>
        <w:jc w:val="left"/>
        <w:rPr>
          <w:rFonts w:ascii="Times New Roman" w:hAnsi="Times New Roman"/>
          <w:sz w:val="20"/>
        </w:rPr>
      </w:pPr>
      <w:r>
        <w:rPr>
          <w:rFonts w:ascii="Times New Roman" w:hAnsi="Times New Roman"/>
          <w:sz w:val="20"/>
        </w:rPr>
        <w:t xml:space="preserve">We use NGS technology for broad genomic sequencing of clinical specimens. Our strategy with NGS relies on a menu of off-the-shelf and custom research use assays, including early access and beta evaluation, which we develop and make available as a part of our commercial pipeline, biopharmaceutical and collaborative test services. The NGS technology integrates automated systems to yield high sensitivity results with a rapid turnaround time. Since adoption of this technology, we have included the NGS technologies for research and product development both internally and externally with our biopharmaceutical customers and other collaborative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Our Solutions and Products </w:t>
      </w:r>
    </w:p>
    <w:p>
      <w:pPr>
        <w:pStyle w:val="TextBody"/>
        <w:bidi w:val="0"/>
        <w:spacing w:before="120" w:after="0"/>
        <w:jc w:val="left"/>
        <w:rPr>
          <w:rFonts w:ascii="Times New Roman" w:hAnsi="Times New Roman"/>
          <w:sz w:val="20"/>
        </w:rPr>
      </w:pPr>
      <w:r>
        <w:rPr>
          <w:rFonts w:ascii="Times New Roman" w:hAnsi="Times New Roman"/>
          <w:sz w:val="20"/>
        </w:rPr>
        <w:t xml:space="preserve">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 </w:t>
      </w:r>
    </w:p>
    <w:p>
      <w:pPr>
        <w:pStyle w:val="TextBody"/>
        <w:bidi w:val="0"/>
        <w:spacing w:before="240" w:after="0"/>
        <w:jc w:val="left"/>
        <w:rPr>
          <w:rFonts w:ascii="Times New Roman" w:hAnsi="Times New Roman"/>
          <w:sz w:val="20"/>
        </w:rPr>
      </w:pPr>
      <w:r>
        <w:rPr>
          <w:rFonts w:ascii="Times New Roman" w:hAnsi="Times New Roman"/>
          <w:sz w:val="20"/>
        </w:rPr>
        <w:t xml:space="preserve">We have five blood-based diagnostic tests across the lung cancer continuum of care to help address clinical unmet needs by physicians.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Diagnosis</w:t>
            </w:r>
            <w:r>
              <w:rPr>
                <w:rFonts w:ascii="Times New Roman" w:hAnsi="Times New Roman"/>
                <w:sz w:val="20"/>
              </w:rPr>
              <w:t xml:space="preserve">: We believe there is a clinical need to help physicians reclassify risk of malignancy in patients presenting with suspicious lung nodules. We offer blood-based Nodify Lung Nodule Risk Assessment testing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 The Nodify CDT and XL2 tests have established average turnaround times of one business day and five business days from receipt of the blood sample, respectively, providing physicians with timely results to guide diagnostic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Treatment Guidance</w:t>
            </w:r>
            <w:r>
              <w:rPr>
                <w:rFonts w:ascii="Times New Roman" w:hAnsi="Times New Roman"/>
                <w:sz w:val="20"/>
              </w:rPr>
              <w:t xml:space="preserve">: We believe there is an ongoing need for a blood-based testing solution that measures tumor-specific mutations and the patients immune profile to provide physicians with more comprehensive information to personalize treatment plans. We offer the blood-based IQLung testing strategy, which consists of the GeneStrat ddPCR and GeneStrat NGS tumor profiling tests and the VeriStrat immune profiling test for patients diagnosed with NSCLC. With an established average turnaround time of three business days, we are able to quickly provide critical diagnostic information to physicians to facilitate personalized treatment decisions for their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Monitoring</w:t>
            </w:r>
            <w:r>
              <w:rPr>
                <w:rFonts w:ascii="Times New Roman" w:hAnsi="Times New Roman"/>
                <w:sz w:val="20"/>
              </w:rPr>
              <w:t xml:space="preserve">: We believe longitudinally monitoring advanced NSCLC patients for the dynamic evolution of their tumor and immune profile while on treatment can provide an earlier indication of treatment resistance and/or disease progression. We offer the IQLung testing strategy as a blood-based monitoring tool for physicians to track their patients disease evolution.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3240" cy="1822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3240" cy="1822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DiagnosisNodule Management </w:t>
      </w:r>
    </w:p>
    <w:p>
      <w:pPr>
        <w:pStyle w:val="TextBody"/>
        <w:bidi w:val="0"/>
        <w:spacing w:before="120" w:after="0"/>
        <w:jc w:val="left"/>
        <w:rPr>
          <w:rFonts w:ascii="Times New Roman" w:hAnsi="Times New Roman"/>
          <w:sz w:val="20"/>
        </w:rPr>
      </w:pPr>
      <w:r>
        <w:rPr>
          <w:rFonts w:ascii="Times New Roman" w:hAnsi="Times New Roman"/>
          <w:sz w:val="20"/>
        </w:rPr>
        <w:t xml:space="preserve">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testing consists of the Nodify CDT and Nodify XL2 proteomic tests, which can be ordered separately or together from a single blood draw to help reclassify risk of cancer to aid physicians in stratifying patients into distinct nodule management pathways: intervention or surveillance. </w:t>
      </w:r>
    </w:p>
    <w:p>
      <w:pPr>
        <w:pStyle w:val="TextBody"/>
        <w:bidi w:val="0"/>
        <w:spacing w:before="240" w:after="0"/>
        <w:jc w:val="left"/>
        <w:rPr>
          <w:rFonts w:ascii="Times New Roman" w:hAnsi="Times New Roman"/>
          <w:sz w:val="20"/>
        </w:rPr>
      </w:pPr>
      <w:r>
        <w:rPr>
          <w:rFonts w:ascii="Times New Roman" w:hAnsi="Times New Roman"/>
          <w:sz w:val="20"/>
        </w:rPr>
        <w:t xml:space="preserve">The Nodify CDT test is used to help identify lung nodules that are likely malignant and the Nodify XL2 test helps identify lung nodules that are likely benign. Nodify Lung testing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the Nodify CDT test, then the Nodify XL2 test is performed to help determine if the patients nodule is likely benign or has a reduced risk of lung cancer and may be a candidate for CT imaging surveillance. Nodify Lung Risk Assessment testing is represented graphically in the image below starting with the patients pre-test risk of malignancy and ending with the guideline-recommended diagnostic procedure for each risk category.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8800" cy="2279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8800" cy="2279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launched the Nodify Lung combined offering of the Nodify CDT and Nodify XL2 tests in March 2020. However, the Nodify XL2 test has been available to all physicians since September 2019 and has been available to a select group of physicians since October 2018. We acquired the Nodify XL2 test from Indi in July 2018 and acquired the Nodify CDT test from Oncimmune USA in October 2019. </w:t>
      </w:r>
    </w:p>
    <w:p>
      <w:pPr>
        <w:pStyle w:val="TextBody"/>
        <w:bidi w:val="0"/>
        <w:spacing w:before="360" w:after="0"/>
        <w:jc w:val="left"/>
        <w:rPr>
          <w:rFonts w:ascii="Times New Roman" w:hAnsi="Times New Roman"/>
          <w:i/>
          <w:sz w:val="20"/>
        </w:rPr>
      </w:pPr>
      <w:r>
        <w:rPr>
          <w:rFonts w:ascii="Times New Roman" w:hAnsi="Times New Roman"/>
          <w:i/>
          <w:sz w:val="20"/>
        </w:rPr>
        <w:t xml:space="preserve">Nodify CDT Test </w:t>
      </w:r>
    </w:p>
    <w:p>
      <w:pPr>
        <w:pStyle w:val="TextBody"/>
        <w:bidi w:val="0"/>
        <w:spacing w:before="120" w:after="0"/>
        <w:jc w:val="left"/>
        <w:rPr>
          <w:rFonts w:ascii="Times New Roman" w:hAnsi="Times New Roman"/>
          <w:sz w:val="20"/>
        </w:rPr>
      </w:pPr>
      <w:r>
        <w:rPr>
          <w:rFonts w:ascii="Times New Roman" w:hAnsi="Times New Roman"/>
          <w:sz w:val="20"/>
        </w:rPr>
        <w:t xml:space="preserve">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goal of diagnosing cancer earlier. The Nodify CDT test enhances lung nodule risk assessment to facilitate compliance with clinical treatment guidelines such as those of the American College of Chest Physicians (ACCP). The Nodify CDT test is validated for use in patients who are 40 years or older, have no history of cancer except non-melanomatous skin cancer, have nodules between 8 and 30mm, and pre-test risk of lung cancer of less than 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shown to be elevated for all types of lung cancer, and from the earliest stage of the disease. </w:t>
      </w:r>
    </w:p>
    <w:p>
      <w:pPr>
        <w:pStyle w:val="TextBody"/>
        <w:bidi w:val="0"/>
        <w:spacing w:before="240" w:after="0"/>
        <w:jc w:val="left"/>
        <w:rPr>
          <w:rFonts w:ascii="Times New Roman" w:hAnsi="Times New Roman"/>
          <w:sz w:val="20"/>
        </w:rPr>
      </w:pPr>
      <w:r>
        <w:rPr>
          <w:rFonts w:ascii="Times New Roman" w:hAnsi="Times New Roman"/>
          <w:sz w:val="20"/>
        </w:rPr>
        <w:t xml:space="preserve">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test result of High Level, Moderate Level, or NSLAD, each test report includes the patients pre-test risk of malignancy as calculated by the Solitary Pulmonary Nodule (SPN) Risk Assessment calculator, and their post-test risk of cancer incorporating the result of the test. The SPN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Nodify CDT test has an established average turnaround time of one business day from receipt of the blood sample, providing physicians with timely results to guide diagnostic planning. The Nodify CDT test has been studied in 17 peer-reviewed published studies and presentations. </w:t>
      </w:r>
    </w:p>
    <w:p>
      <w:pPr>
        <w:pStyle w:val="TextBody"/>
        <w:bidi w:val="0"/>
        <w:spacing w:before="360" w:after="0"/>
        <w:jc w:val="left"/>
        <w:rPr>
          <w:rFonts w:ascii="Times New Roman" w:hAnsi="Times New Roman"/>
          <w:i/>
          <w:sz w:val="20"/>
        </w:rPr>
      </w:pPr>
      <w:r>
        <w:rPr>
          <w:rFonts w:ascii="Times New Roman" w:hAnsi="Times New Roman"/>
          <w:i/>
          <w:sz w:val="20"/>
        </w:rPr>
        <w:t xml:space="preserve">Nodify XL2 Test </w:t>
      </w:r>
    </w:p>
    <w:p>
      <w:pPr>
        <w:pStyle w:val="TextBody"/>
        <w:bidi w:val="0"/>
        <w:spacing w:before="120" w:after="0"/>
        <w:jc w:val="left"/>
        <w:rPr>
          <w:rFonts w:ascii="Times New Roman" w:hAnsi="Times New Roman"/>
          <w:sz w:val="20"/>
        </w:rPr>
      </w:pPr>
      <w:r>
        <w:rPr>
          <w:rFonts w:ascii="Times New Roman" w:hAnsi="Times New Roman"/>
          <w:sz w:val="20"/>
        </w:rPr>
        <w:t xml:space="preserve">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 history of lung cancer or other recent cancer diagnoses, have nodules between 8 and 30mm, and have a pre-test risk of lung cancer of less than or equal to 50%. </w:t>
      </w:r>
    </w:p>
    <w:p>
      <w:pPr>
        <w:pStyle w:val="TextBody"/>
        <w:bidi w:val="0"/>
        <w:spacing w:before="240" w:after="0"/>
        <w:jc w:val="left"/>
        <w:rPr>
          <w:rFonts w:ascii="Times New Roman" w:hAnsi="Times New Roman"/>
          <w:sz w:val="20"/>
        </w:rPr>
      </w:pPr>
      <w:r>
        <w:rPr>
          <w:rFonts w:ascii="Times New Roman" w:hAnsi="Times New Roman"/>
          <w:sz w:val="20"/>
        </w:rPr>
        <w:t xml:space="preserve">The Nodify XL2 test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lung cancer. The clinical factors are patient age and smoking status, and radiological factors are nodule size, location, and edge characteristics. </w:t>
      </w:r>
    </w:p>
    <w:p>
      <w:pPr>
        <w:pStyle w:val="TextBody"/>
        <w:bidi w:val="0"/>
        <w:spacing w:before="240" w:after="0"/>
        <w:jc w:val="left"/>
        <w:rPr>
          <w:rFonts w:ascii="Times New Roman" w:hAnsi="Times New Roman"/>
          <w:sz w:val="20"/>
        </w:rPr>
      </w:pPr>
      <w:r>
        <w:rPr>
          <w:rFonts w:ascii="Times New Roman" w:hAnsi="Times New Roman"/>
          <w:sz w:val="20"/>
        </w:rPr>
        <w:t>In addition to the test result of Likely Benign, Reduced Risk, or Indeterminate, each test report includes the patients pre-test risk of lung cancer as calculated by the SPN Risk Assessment calculator, and their post-Nodify XL2 risk of malignancy incorporating the result of the test. Incorporating the peptide levels with the risk model provides physicians with a revised assessment of risk incorporating the patients biology. The Nodify XL2 test has an established average turnaround time of five business days from receipt of the blood sample, providing physicians with timely results to guide diagnostic planning.</w:t>
      </w:r>
    </w:p>
    <w:p>
      <w:pPr>
        <w:pStyle w:val="TextBody"/>
        <w:bidi w:val="0"/>
        <w:spacing w:before="360" w:after="0"/>
        <w:jc w:val="left"/>
        <w:rPr>
          <w:rFonts w:ascii="Times New Roman" w:hAnsi="Times New Roman"/>
          <w:i/>
          <w:sz w:val="20"/>
        </w:rPr>
      </w:pPr>
      <w:r>
        <w:rPr>
          <w:rFonts w:ascii="Times New Roman" w:hAnsi="Times New Roman"/>
          <w:i/>
          <w:sz w:val="20"/>
        </w:rPr>
        <w:t xml:space="preserve">Nodify Lung Risk Assessment Testing </w:t>
      </w:r>
    </w:p>
    <w:p>
      <w:pPr>
        <w:pStyle w:val="TextBody"/>
        <w:bidi w:val="0"/>
        <w:spacing w:before="120" w:after="0"/>
        <w:jc w:val="left"/>
        <w:rPr>
          <w:rFonts w:ascii="Times New Roman" w:hAnsi="Times New Roman"/>
          <w:sz w:val="20"/>
        </w:rPr>
      </w:pPr>
      <w:r>
        <w:rPr>
          <w:rFonts w:ascii="Times New Roman" w:hAnsi="Times New Roman"/>
          <w:sz w:val="20"/>
        </w:rPr>
        <w:t xml:space="preserve">In summary, the inclusion of Nodify Lung Risk Assessment testing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Blood samples for the Nodify XL2 and Nodify CDT tests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Additionally, mobile phlebotomy benefits the physician as the logistics around a blood draw or tissue sampling are out of their hands. We have a national network of contracted nurses and phlebotomists to support at-home or mobile blood collection.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November 14, 2023, the Company announced the validation and launch of a new method of collecting blood specimens for Nodify Lung Nodule Risk Assessment testing. The method uses the FDA-cleared Tasso+ device, a single-use blood lancing device intended for obtaining capillary whole blood samples from a patients upper arm. Capillary blood draws using the Tasso+ device enable blood specimen collection for healthcare providers who do not have convenient access to phlebotomy services or a licensed phlebotomist on staff in the clinic or office. The Tasso+ device was validated by Biodesix to be administered in minutes by any healthcare provider at the time of lung nodule evaluation, creating efficiencies in the Nodify Lung workflow. Biodesix received approval from the New York State Clinical Laboratory Evaluation Program (NYS-CLEP) to use the Tasso+ device as a specimen collection method in support of Nodify Lung testing after entering into a supply agreement with Tasso, Inc. The device is now available for clinical use to collect specimens for Nodify Lung testing. </w:t>
      </w:r>
    </w:p>
    <w:p>
      <w:pPr>
        <w:pStyle w:val="TextBody"/>
        <w:bidi w:val="0"/>
        <w:spacing w:before="240" w:after="0"/>
        <w:jc w:val="left"/>
        <w:rPr>
          <w:rFonts w:ascii="Times New Roman" w:hAnsi="Times New Roman"/>
          <w:sz w:val="20"/>
        </w:rPr>
      </w:pPr>
      <w:r>
        <w:rPr>
          <w:rFonts w:ascii="Times New Roman" w:hAnsi="Times New Roman"/>
          <w:sz w:val="20"/>
        </w:rPr>
        <w:t xml:space="preserve">Both tests require a single blood sample shipped at ambient temperature to our certified, high-complexity clinical laboratory in De Soto, Kansas. Nodify CDT testing requires whole blood and Nodify XL2 testing requires a whole blood K2EDTA tube. Results for the Nodify CDT test alone are typically available within one day. If both tests are ordered for the patient and Nodify CDT returns a result of NSLAD, then both test results are typically available within four to five business days. All results are available through secure communication methods, including a portal, fax, hard copy, or mobile device.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Guidance and Monitoring </w:t>
      </w:r>
    </w:p>
    <w:p>
      <w:pPr>
        <w:pStyle w:val="TextBody"/>
        <w:bidi w:val="0"/>
        <w:spacing w:before="120" w:after="0"/>
        <w:jc w:val="left"/>
        <w:rPr>
          <w:rFonts w:ascii="Times New Roman" w:hAnsi="Times New Roman"/>
          <w:sz w:val="20"/>
        </w:rPr>
      </w:pPr>
      <w:r>
        <w:rPr>
          <w:rFonts w:ascii="Times New Roman" w:hAnsi="Times New Roman"/>
          <w:sz w:val="20"/>
        </w:rPr>
        <w:t xml:space="preserve">Profiling the tumor through blood-based genomic testing can help identify mutations in genes that may be driving growth of the tumor and may be targets for therapeutics. However, tumors also have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GeneStrat ddPCR and GeneStrat NGS tumor profiling tests and the VeriStrat immune profiling test, which can be ordered together or separately for patients with NSCLC. Together, the tests have an established average turnaround time of three business days, providing physicians with timely results to facilitate treatment decisions.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5465" cy="2514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5465" cy="2514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GeneStrat ddPCR Test </w:t>
      </w:r>
    </w:p>
    <w:p>
      <w:pPr>
        <w:pStyle w:val="TextBody"/>
        <w:bidi w:val="0"/>
        <w:spacing w:before="120" w:after="0"/>
        <w:jc w:val="left"/>
        <w:rPr>
          <w:rFonts w:ascii="Times New Roman" w:hAnsi="Times New Roman"/>
          <w:sz w:val="20"/>
        </w:rPr>
      </w:pPr>
      <w:r>
        <w:rPr>
          <w:rFonts w:ascii="Times New Roman" w:hAnsi="Times New Roman"/>
          <w:sz w:val="20"/>
        </w:rPr>
        <w:t xml:space="preserve">The GeneStrat test is a blood-based tumor profiling test that detects the guideline recommended, actionable mutations in lung cancer: </w:t>
      </w:r>
      <w:r>
        <w:rPr>
          <w:rFonts w:ascii="Times New Roman" w:hAnsi="Times New Roman"/>
          <w:i/>
          <w:sz w:val="20"/>
        </w:rPr>
        <w:t xml:space="preserve">EGFR, KRAS, BRAF, EML4-ALK, ROS-1, </w:t>
      </w:r>
      <w:r>
        <w:rPr>
          <w:rFonts w:ascii="Times New Roman" w:hAnsi="Times New Roman"/>
          <w:sz w:val="20"/>
        </w:rPr>
        <w:t xml:space="preserve">and </w:t>
      </w:r>
      <w:r>
        <w:rPr>
          <w:rFonts w:ascii="Times New Roman" w:hAnsi="Times New Roman"/>
          <w:i/>
          <w:sz w:val="20"/>
        </w:rPr>
        <w:t xml:space="preserve">RET. </w:t>
      </w:r>
      <w:r>
        <w:rPr>
          <w:rFonts w:ascii="Times New Roman" w:hAnsi="Times New Roman"/>
          <w:sz w:val="20"/>
        </w:rPr>
        <w:t xml:space="preserve">Physicians can order one or any combination of the gene tests, whichever they deem medically necessary for the individual patient. The presence of a mutation in one of the genes could indicate the patient is a candidate for the associated guideline-recommended targeted therapy. The GeneStrat test performance and potential clinical utility have been published in multiple peer reviewed studies. </w:t>
      </w:r>
    </w:p>
    <w:p>
      <w:pPr>
        <w:pStyle w:val="TextBody"/>
        <w:bidi w:val="0"/>
        <w:spacing w:before="240" w:after="0"/>
        <w:jc w:val="left"/>
        <w:rPr>
          <w:rFonts w:ascii="Times New Roman" w:hAnsi="Times New Roman"/>
          <w:sz w:val="20"/>
        </w:rPr>
      </w:pPr>
      <w:r>
        <w:rPr>
          <w:rFonts w:ascii="Times New Roman" w:hAnsi="Times New Roman"/>
          <w:sz w:val="20"/>
        </w:rPr>
        <w:t xml:space="preserve">The GeneStrat test results have an established average turnaround time of two business days from the start of processing the sample in our Louisville,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testing at the institution, 72% of patients had molecular test results available. Testing with the GeneStrat test can help physicians identify driver mutations quickly to help speed up time to treatment. </w:t>
      </w:r>
    </w:p>
    <w:p>
      <w:pPr>
        <w:pStyle w:val="TextBody"/>
        <w:bidi w:val="0"/>
        <w:spacing w:before="360" w:after="0"/>
        <w:jc w:val="left"/>
        <w:rPr>
          <w:rFonts w:ascii="Times New Roman" w:hAnsi="Times New Roman"/>
          <w:i/>
          <w:sz w:val="20"/>
        </w:rPr>
      </w:pPr>
      <w:r>
        <w:rPr>
          <w:rFonts w:ascii="Times New Roman" w:hAnsi="Times New Roman"/>
          <w:i/>
          <w:sz w:val="20"/>
        </w:rPr>
        <w:t xml:space="preserve">GeneStrat NGS Test </w:t>
      </w:r>
    </w:p>
    <w:p>
      <w:pPr>
        <w:pStyle w:val="TextBody"/>
        <w:bidi w:val="0"/>
        <w:spacing w:before="120" w:after="0"/>
        <w:jc w:val="left"/>
        <w:rPr>
          <w:rFonts w:ascii="Times New Roman" w:hAnsi="Times New Roman"/>
          <w:sz w:val="20"/>
        </w:rPr>
      </w:pPr>
      <w:r>
        <w:rPr>
          <w:rFonts w:ascii="Times New Roman" w:hAnsi="Times New Roman"/>
          <w:sz w:val="20"/>
        </w:rPr>
        <w:t xml:space="preserve">The GeneStrat NGS test is a blood-based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multiple published studies. </w:t>
      </w:r>
    </w:p>
    <w:p>
      <w:pPr>
        <w:pStyle w:val="TextBody"/>
        <w:bidi w:val="0"/>
        <w:spacing w:before="240" w:after="0"/>
        <w:jc w:val="left"/>
        <w:rPr>
          <w:rFonts w:ascii="Times New Roman" w:hAnsi="Times New Roman"/>
          <w:sz w:val="20"/>
        </w:rPr>
      </w:pPr>
      <w:r>
        <w:rPr>
          <w:rFonts w:ascii="Times New Roman" w:hAnsi="Times New Roman"/>
          <w:sz w:val="20"/>
        </w:rPr>
        <w:t xml:space="preserve">GeneStrat NGS test results have an established average turnaround time of three business days from the start of processing the sample in our Louisville, Colorado clinical laboratory.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174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850" cy="174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rapid, blood-based tumor profiling with the GeneStrat ddPCR and GeneStrat NGS tests can be complementary to both targeted tissue-based testing (including PD-L1) and tissue-based broad genomic sequencing. Testing with GeneStrat ddPCR and GeneStrat NGS tests at diagnosis can help quickly identify patients who are eligible for targeted therapies. Additionally, blood-based testing upfront can help save valuable tissue for diagnostic evaluation, PD-L1 testing and broad genomic profiling for rare mutations to enroll in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VeriStrat Test </w:t>
      </w:r>
    </w:p>
    <w:p>
      <w:pPr>
        <w:pStyle w:val="TextBody"/>
        <w:bidi w:val="0"/>
        <w:spacing w:before="120" w:after="0"/>
        <w:jc w:val="left"/>
        <w:rPr>
          <w:rFonts w:ascii="Times New Roman" w:hAnsi="Times New Roman"/>
          <w:sz w:val="20"/>
        </w:rPr>
      </w:pPr>
      <w:r>
        <w:rPr>
          <w:rFonts w:ascii="Times New Roman" w:hAnsi="Times New Roman"/>
          <w:sz w:val="20"/>
        </w:rPr>
        <w:t>The VeriStrat test is a blood-based proteomic test that provides a personalized view of each patients immune response to their lung cancer. Results help inform physicians whether their patient has a more aggressive cancer and can help with treatment planning. The VeriStrat test profiles the patients immune system by measuring eight protein features measured by mass spectrometry and interpreted by a proprietary machine learning-based algorithm to produce either a VeriStrat Good or VeriStrat Poor test result.</w:t>
      </w:r>
    </w:p>
    <w:p>
      <w:pPr>
        <w:pStyle w:val="TextBody"/>
        <w:bidi w:val="0"/>
        <w:spacing w:before="240" w:after="0"/>
        <w:jc w:val="left"/>
        <w:rPr>
          <w:rFonts w:ascii="Times New Roman" w:hAnsi="Times New Roman"/>
          <w:sz w:val="20"/>
        </w:rPr>
      </w:pPr>
      <w:r>
        <w:rPr>
          <w:rFonts w:ascii="Times New Roman" w:hAnsi="Times New Roman"/>
          <w:sz w:val="20"/>
        </w:rPr>
        <w:t xml:space="preserve">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immune response to lung cancer to help guide treatment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GeneStrat ddPCR testing is performed using digital PCR technology, GeneStrat NGS testing is performed using NGS technology, and the protein features in VeriStrat are measured using MALDI-ToF mass spectrometry. Results have an established average turnaround time of three business days through secure communication methods, including a portal, fax, hard copy, or mobile device. </w:t>
      </w:r>
    </w:p>
    <w:p>
      <w:pPr>
        <w:pStyle w:val="TextBody"/>
        <w:bidi w:val="0"/>
        <w:spacing w:before="240" w:after="0"/>
        <w:jc w:val="left"/>
        <w:rPr>
          <w:rFonts w:ascii="Times New Roman" w:hAnsi="Times New Roman"/>
          <w:sz w:val="20"/>
        </w:rPr>
      </w:pPr>
      <w:r>
        <w:rPr>
          <w:rFonts w:ascii="Times New Roman" w:hAnsi="Times New Roman"/>
          <w:sz w:val="20"/>
        </w:rPr>
        <w:t>The GeneStrat ddPCR and GeneStrat NGS tests require cell-free (cf) whole blood specimen collection tubes, and VeriStrat requires a whole blood sample spotted onto our proprietary BCD. Both sample types are shipped at ambient temperature and testing is performed in our certified, high-complexity clinical laboratory in Louisville, Colorado.</w:t>
      </w:r>
    </w:p>
    <w:p>
      <w:pPr>
        <w:pStyle w:val="TextBody"/>
        <w:bidi w:val="0"/>
        <w:spacing w:before="360" w:after="0"/>
        <w:jc w:val="left"/>
        <w:rPr>
          <w:rFonts w:ascii="Times New Roman" w:hAnsi="Times New Roman"/>
          <w:b/>
          <w:sz w:val="20"/>
        </w:rPr>
      </w:pPr>
      <w:r>
        <w:rPr>
          <w:rFonts w:ascii="Times New Roman" w:hAnsi="Times New Roman"/>
          <w:b/>
          <w:sz w:val="20"/>
        </w:rPr>
        <w:t xml:space="preserve">Biopharmaceutical Diagnostic Discovery, Development and Testing Services Business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leadership in clinical proteomics and our multi-omic approach to probe the cancer disease state provides our customers with a clear and distinct advantage over other diagnostic service providers who solely focus on either genomics or proteomics. We recognize each clinical development program is complex, which is why we offer end-to-end diagnostic solutions, including: initial biomarker discovery, assay design and validation, testing of clinical trial samples, and commercialization of Companion Diagnostics. </w:t>
      </w:r>
    </w:p>
    <w:p>
      <w:pPr>
        <w:pStyle w:val="TextBody"/>
        <w:bidi w:val="0"/>
        <w:spacing w:before="240" w:after="0"/>
        <w:jc w:val="left"/>
        <w:rPr>
          <w:rFonts w:ascii="Times New Roman" w:hAnsi="Times New Roman"/>
          <w:sz w:val="20"/>
        </w:rPr>
      </w:pPr>
      <w:r>
        <w:rPr>
          <w:rFonts w:ascii="Times New Roman" w:hAnsi="Times New Roman"/>
          <w:sz w:val="20"/>
        </w:rPr>
        <w:t>At our core, we hold the belief that no single technology can address all diagnostic research questions. We have embraced a multi-omic approach, harnessing the combined power of genomics and proteomics and with our broad technology and service offerings, we are able to provide the depth and breadth of biomarker tools and diagnostic services required by our biopharmaceutical partners. Our capabilities and expertise allow us to unlock the potential detection of critical disease drivers and resistance mutations, early disease detection, monitoring of treatment responses and resistance, deeper insights into the underlying biology of disease, and the tracking of protein changes and degradation for a comprehensive view of treatment response. We specialize in developing state-of-the-art diagnostics solutions that play a crucial role in personalizing treatment decisions. Our team of scientists are dedicated to creating innovative and reliable diagnostic tools that can contribute to the success of drug development and patient care. Key aspects of our expertise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Customized CDx Development:</w:t>
            </w:r>
            <w:r>
              <w:rPr>
                <w:rFonts w:ascii="Times New Roman" w:hAnsi="Times New Roman"/>
                <w:sz w:val="20"/>
              </w:rPr>
              <w:t xml:space="preserve"> We have a proven track record of developing custom-made diagnostic assays to support the specific needs of any given drug development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Cutting-Edge Technology:</w:t>
            </w:r>
            <w:r>
              <w:rPr>
                <w:rFonts w:ascii="Times New Roman" w:hAnsi="Times New Roman"/>
                <w:sz w:val="20"/>
              </w:rPr>
              <w:t xml:space="preserve"> We have expertise in genomics (ddPCR and NGS) and proteomics (LC-MS/MS and ELISA). Our diagnostics are based on the latest advancements in technology, ensuring accuracy, sensitivity, and reproducibility. We have expertise in liquid biopsy and tissue-based assays.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Regulatory Compliance:</w:t>
            </w:r>
            <w:r>
              <w:rPr>
                <w:rFonts w:ascii="Times New Roman" w:hAnsi="Times New Roman"/>
                <w:sz w:val="20"/>
              </w:rPr>
              <w:t xml:space="preserve"> We have a deep understanding of the regulatory landscape and work closely with regulatory authorities to ensure that our diagnostics meet all necessary compliance standards. Additionally, we have a phase gated product development process pursuant to the FDA and In Vitro Medical Devices Regulations (IVDR) design control elements. Our quality management system (QMS) infrastructure is highly certified in local, US governmental and international standards and regulations and scalable to support global expansion as evidenced by multiple CE marked products under the IVDR and international registrations and commercial markets. The Biodesix QMS is currently under the purview of CLIA, CAP, NYS-CLEP, and ISO13485.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Collaborative Approach:</w:t>
            </w:r>
            <w:r>
              <w:rPr>
                <w:rFonts w:ascii="Times New Roman" w:hAnsi="Times New Roman"/>
                <w:sz w:val="20"/>
              </w:rPr>
              <w:t xml:space="preserve"> We believe in fostering a collaborative and transparent relationship with our partners, working hand-in-hand to achieve shared objectives and milestones.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9435" cy="2406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59435" cy="2406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We have the ability to access and leverage our sample and data biobank for our partners data mining needs, including new test discovery. Additionally, we can leverage our FDA approved, Good Manufacturing Practices conforming manufacturing facility to design, build and supply clinical trial sites with sample collection kits. </w:t>
      </w:r>
    </w:p>
    <w:p>
      <w:pPr>
        <w:pStyle w:val="TextBody"/>
        <w:bidi w:val="0"/>
        <w:spacing w:before="240" w:after="0"/>
        <w:jc w:val="left"/>
        <w:rPr>
          <w:rFonts w:ascii="Times New Roman" w:hAnsi="Times New Roman"/>
          <w:sz w:val="20"/>
        </w:rPr>
      </w:pPr>
      <w:r>
        <w:rPr>
          <w:rFonts w:ascii="Times New Roman" w:hAnsi="Times New Roman"/>
          <w:sz w:val="20"/>
        </w:rPr>
        <w:t xml:space="preserve">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 platform continues to be powered through these biomarker analyses. Additionally, our anonymized sample and data biobank continue to grow and can be further leveraged for internal test development and external partnering. Importantly, we look to supplement our product development efforts with companion diagnostics as they are developed.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date, we have over 65 biopharmaceutical customers and academic partners who have utilized our diagnostic tests and services. The following are a few case studies of early-stage biomarker discovery and development with our biopharmaceutical customers.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AstraZeneca: </w:t>
            </w:r>
            <w:r>
              <w:rPr>
                <w:rFonts w:ascii="Times New Roman" w:hAnsi="Times New Roman"/>
                <w:sz w:val="20"/>
              </w:rPr>
              <w:t xml:space="preserve">We provided services to AstraZeneca to retrospectively analyze samples from the FLAURA clinical trial (NCT02296125). 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three months (median) in advance of standard imaging. We have used our ddPCR assay to monitor EGFR sensitizing and resistance mutations in clinical trial samples from seven different clinical trials for Tagrisso.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Genentech: </w:t>
            </w:r>
            <w:r>
              <w:rPr>
                <w:rFonts w:ascii="Times New Roman" w:hAnsi="Times New Roman"/>
                <w:sz w:val="20"/>
              </w:rPr>
              <w:t xml:space="preserve">We partnered with Genentech to discover a novel proteomic classifier for advanced NSCLC patients treated with atezolizumab. 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We published additional work on the Genentech classifier with three posters presented at the Society of Immunotherapy Conference. This data reinforces that our classifier provides unique and valuable information in the treatment of patients with advanced NSCLC. It is our belief that Genentech could use this strategy to identify patients that could derive a longer progression free survival from atezolizumab.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HiberCell:</w:t>
            </w:r>
            <w:r>
              <w:rPr>
                <w:rFonts w:ascii="Times New Roman" w:hAnsi="Times New Roman"/>
                <w:sz w:val="20"/>
              </w:rPr>
              <w:t xml:space="preserve"> In January 2021, we announced a broad collaboration with HiberCell for CDx discovery, development and commercialization. The agreement initially focuses on the further development of an ELISA as a CDx in future registrational trials for Imprime PGG programs.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Competitive Advantages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following are our key competitive advantages: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Our proprietary extensively validated deep learning platform, which is tailored to discover diagnostic tests that address clinical unmet needs. </w:t>
            </w:r>
            <w:r>
              <w:rPr>
                <w:rFonts w:ascii="Times New Roman" w:hAnsi="Times New Roman"/>
                <w:sz w:val="20"/>
              </w:rPr>
              <w:t xml:space="preserve">Our platform is an extensively validated deep learning platform optimized for discovery of diagnostic tests. By combining our multi-omic approach with deep learning techniques, we believe we have overcome many standard machine learning challenges. This has enabled us to develop commercial tests for clinical unmet needs and collaborate with our biopharmaceutical customers and academic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Our driven approach to precision medicine combined with our diverse technology platforms, partnership and biobank enable us to accelerate development of new tests. </w:t>
            </w:r>
            <w:r>
              <w:rPr>
                <w:rFonts w:ascii="Times New Roman" w:hAnsi="Times New Roman"/>
                <w:sz w:val="20"/>
              </w:rPr>
              <w:t xml:space="preserve">We have a variety of samples with associated data in our biobank, including tumor profiles and immune profiles, which are used for both internal and external research and development initiatives. Our biobank, clinical trials, commercial testing and other partnerships provide an ongoing source of new data that can further enhance our test discovery platform. We are continuously identifying and incorporating new market insights and input from our customers, key opinion leaders, and scientific experts to leverage this data in developing our diagnostic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Our leadership in clinical proteomics, demonstrated research, development, and scientific expertise, combined with our intellectual property portfolio. </w:t>
            </w:r>
            <w:r>
              <w:rPr>
                <w:rFonts w:ascii="Times New Roman" w:hAnsi="Times New Roman"/>
                <w:sz w:val="20"/>
              </w:rPr>
              <w:t xml:space="preserve">Our leadership in clinical proteomics and our multi-omic approach, we believe provides us with a distinct advantage over our competitors, who focus on any single technology, such as genomics or proteomics. Our certified, high-complexity laboratories offer significant advantages in development of commercial tests.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Our proprietary technologies and processes are protected by a portfolio of approximately 116 issued patents in the United States and internationally, and 18 uniquely registered United States trademarks. </w:t>
            </w:r>
            <w:r>
              <w:rPr>
                <w:rFonts w:ascii="Times New Roman" w:hAnsi="Times New Roman"/>
                <w:sz w:val="20"/>
              </w:rPr>
              <w:t xml:space="preserve">We take efforts to protect our proprietary position using a variety of methods, such as a pursuit of United States and foreign patent applications related to our proprietary technology, use of trade secrets, trademarks, know-how, continuing technological innovation and potential in-licensing and acquisition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Our demonstrated success commercializing diagnostic tests in lung disease as well as unprecedented turnaround times. </w:t>
            </w:r>
            <w:r>
              <w:rPr>
                <w:rFonts w:ascii="Times New Roman" w:hAnsi="Times New Roman"/>
                <w:sz w:val="20"/>
              </w:rPr>
              <w:t xml:space="preserve">With five diagnostic tests launched and multiple improvements and several tests currently in 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For example, the blood-based IQLung strategy for lung cancer patients integrates the GeneStrat ddPCR test, the GeneStrat NGS test and the VeriStrat test to support treatment decisions across all stages of lung cancer with results in an unprecedented two to three business days, expediting time to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Our depth and breadth of point of care access to physicians allows us to drive adoption of our diagnostic tests while incorporating real-life feedback to inform new product development. </w:t>
            </w:r>
            <w:r>
              <w:rPr>
                <w:rFonts w:ascii="Times New Roman" w:hAnsi="Times New Roman"/>
                <w:sz w:val="20"/>
              </w:rPr>
              <w:t xml:space="preserve">Our commercial teams primary focus is to articulate the scientific and clinical 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Our commercial infrastructure, which includes our extensive knowledge and experience in sales, marketing, reimbursement and operations, provides us with the ability to launch, scale and drive revenue. </w:t>
            </w:r>
            <w:r>
              <w:rPr>
                <w:rFonts w:ascii="Times New Roman" w:hAnsi="Times New Roman"/>
                <w:sz w:val="20"/>
              </w:rPr>
              <w:t xml:space="preserve">We believe our commitment to commercial excellence helps 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We strive to provide swift, comprehensive and actionable insights to improve patient outcomes across lung disease and to help answer critical clinical questions faced by physicians, researchers, and biopharmaceutical companies. To achieve this, we intend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Drive increased awareness, adoption, and reimbursement coverage of our diagnostic tests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continuously educating physicians, key opinion leaders, hospital systems, advocacy groups, patients, payers, academic research organizations, and technology assessment and guideline organizations on the clinical data and benefits of our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utilizing our pulmonology focused sales force and commercial reach with targeted awareness campaigns to employ highly targeted sales and marketing tactics in pulmonology clinics specializing in the management of lung nodules and the diagnosis of lung cancer;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invest in the expansion of our sales force and commercial support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our testing services into diagnostic pathways and protocols via a top-down strategy that introduces our diagnostic tests to the largest United States health systems;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leveraging our clinical data to gain broad coverage from public and private payers for our tests.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Deepen our relationships with current biopharmaceutical customers and establish new customer opportunities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our complete offering of tests and services to biopharmaceutical companies in the United States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leveraging existing projects and relationships to expand sales with our current biopharmaceutical customers;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targeting companies developing novel CDx strategies and drug development projects best suited to our platform for new test discovery, development and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Further demonstrate the clinical utility and health economic benefits of our diagnostic tests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investing in commercial clinical testing, research studies and clinical trials to further demonstrate the clinical utility of our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rapid, actionable, and holistic diagnostic information to help inform physicians on the next steps in a patients care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timely and actionable clinical information to help improve overall patient outcomes and lower the overall healthcare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Introduce new diagnostic tests in lung disease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engaging with our customers, key opinion leaders, leading academic centers, and scientific experts to stay ahead of the rapidly evolving diagnostic and therapeutic landscape and to identify additional clinical unmet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strategic partnerships with biopharmaceutical companies, academic research organizations, technology providers, and other diagnostic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CDx tests to support the therapeutics regulatory approval and adoption process for our biopharmaceutical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Enhance our proprietary AI platform and expand our technology portfolio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invest in research and development capabilities to foster innovation in test discovery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acquiring technologies, and integrating new data types into our proprietary AI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strategic partnerships across our commercial product portfolio and product development efforts in order to further our development capabilities, accelerate launch of commercial products, or expand our service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Explainable AI by developing and incorporating computational tools that determine how the Diagnostic Cortex platform makes decisions for patient classification and outcome prediction.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Continue to expand and leverage our biobank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and enhancing the robustness of our samples and the data set, including through our collaborations and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pursuing commercial opportunities with companies and researchers who are interested in utilizing our biobank for their own discovery and development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monetizing these commercial opportunities.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Diagnostic Tests in Development </w:t>
      </w:r>
    </w:p>
    <w:p>
      <w:pPr>
        <w:pStyle w:val="TextBody"/>
        <w:bidi w:val="0"/>
        <w:spacing w:before="120" w:after="0"/>
        <w:jc w:val="left"/>
        <w:rPr>
          <w:rFonts w:ascii="Times New Roman" w:hAnsi="Times New Roman"/>
          <w:sz w:val="20"/>
        </w:rPr>
      </w:pPr>
      <w:r>
        <w:rPr>
          <w:rFonts w:ascii="Times New Roman" w:hAnsi="Times New Roman"/>
          <w:sz w:val="20"/>
        </w:rPr>
        <w:t xml:space="preserve">With the goal of finding solutions for clinical unmet needs related to diagnosis, treatment and monitoring in lung disease, our diagnostic tests in development include the following: </w:t>
      </w:r>
    </w:p>
    <w:p>
      <w:pPr>
        <w:pStyle w:val="TextBody"/>
        <w:bidi w:val="0"/>
        <w:spacing w:before="360" w:after="0"/>
        <w:jc w:val="left"/>
        <w:rPr>
          <w:rFonts w:ascii="Times New Roman" w:hAnsi="Times New Roman"/>
          <w:i/>
          <w:sz w:val="20"/>
        </w:rPr>
      </w:pPr>
      <w:r>
        <w:rPr>
          <w:rFonts w:ascii="Times New Roman" w:hAnsi="Times New Roman"/>
          <w:i/>
          <w:sz w:val="20"/>
        </w:rPr>
        <w:t xml:space="preserve">Early-Stage NSCLC-Risk of Recurrence (ROR) </w:t>
      </w:r>
    </w:p>
    <w:p>
      <w:pPr>
        <w:pStyle w:val="TextBody"/>
        <w:bidi w:val="0"/>
        <w:spacing w:before="120" w:after="0"/>
        <w:jc w:val="left"/>
        <w:rPr>
          <w:rFonts w:ascii="Times New Roman" w:hAnsi="Times New Roman"/>
          <w:sz w:val="20"/>
        </w:rPr>
      </w:pPr>
      <w:r>
        <w:rPr>
          <w:rFonts w:ascii="Times New Roman" w:hAnsi="Times New Roman"/>
          <w:sz w:val="20"/>
        </w:rPr>
        <w:t xml:space="preserve">Currently, surgical resection of the tumor without systemic or radiation therapy is the standard of care for stage I NSCLC patients. However, 20 to 40% of surgically treated patients will suffer a recurrence within five years after surgery. From market research with pulmonologists, thoracic surgeons, and medical oncologists, we identified a significant clinical unmet need for a blood-based test to help identify stage I NSCLC patients who are at a higher risk of recurrence and may benefit from a more aggressive surgical procedure, or from neoadjuvant or adjuvant systemic treatment. Based on this unmet diagnostic need, we discovered the ROR test, which is a pre-surgery blood-based proteomic test, designed with the Diagnostic Cortex platform to predict whether a stage I NSCLC patient has a higher risk of recurrence post-surgical resection. Knowing this information early and before surgery may change the surgical plan and/or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 </w:t>
      </w:r>
    </w:p>
    <w:p>
      <w:pPr>
        <w:pStyle w:val="TextBody"/>
        <w:bidi w:val="0"/>
        <w:spacing w:before="360" w:after="0"/>
        <w:jc w:val="left"/>
        <w:rPr>
          <w:rFonts w:ascii="Times New Roman" w:hAnsi="Times New Roman"/>
          <w:i/>
          <w:sz w:val="20"/>
        </w:rPr>
      </w:pPr>
      <w:r>
        <w:rPr>
          <w:rFonts w:ascii="Times New Roman" w:hAnsi="Times New Roman"/>
          <w:i/>
          <w:sz w:val="20"/>
        </w:rPr>
        <w:t xml:space="preserve">Late-Stage NSCLCImmunotherapy Treatment Guidance </w:t>
      </w:r>
    </w:p>
    <w:p>
      <w:pPr>
        <w:pStyle w:val="TextBody"/>
        <w:bidi w:val="0"/>
        <w:spacing w:before="120" w:after="0"/>
        <w:jc w:val="left"/>
        <w:rPr>
          <w:rFonts w:ascii="Times New Roman" w:hAnsi="Times New Roman"/>
          <w:sz w:val="20"/>
        </w:rPr>
      </w:pPr>
      <w:r>
        <w:rPr>
          <w:rFonts w:ascii="Times New Roman" w:hAnsi="Times New Roman"/>
          <w:sz w:val="20"/>
        </w:rPr>
        <w:t xml:space="preserve">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 </w:t>
      </w:r>
    </w:p>
    <w:p>
      <w:pPr>
        <w:pStyle w:val="TextBody"/>
        <w:bidi w:val="0"/>
        <w:spacing w:before="240" w:after="0"/>
        <w:jc w:val="left"/>
        <w:rPr>
          <w:rFonts w:ascii="Times New Roman" w:hAnsi="Times New Roman"/>
          <w:sz w:val="20"/>
        </w:rPr>
      </w:pPr>
      <w:r>
        <w:rPr>
          <w:rFonts w:ascii="Times New Roman" w:hAnsi="Times New Roman"/>
          <w:sz w:val="20"/>
        </w:rPr>
        <w:t>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potential to mount an immune response to their cancer and predict those patients likely to respond to ICI monotherapy treatment, ICI + chemotherapy combination treatment, or who would be highly resistant to ICI therapy. Our PIR test has been validated in multiple independent sample sets for advanced stage NSCLC patients treated with single agent ICI, and we are currently working with major academic institutions across the United States to further validate the test.</w:t>
      </w:r>
    </w:p>
    <w:p>
      <w:pPr>
        <w:pStyle w:val="TextBody"/>
        <w:bidi w:val="0"/>
        <w:spacing w:before="360" w:after="0"/>
        <w:jc w:val="left"/>
        <w:rPr>
          <w:rFonts w:ascii="Times New Roman" w:hAnsi="Times New Roman"/>
          <w:i/>
          <w:sz w:val="20"/>
        </w:rPr>
      </w:pPr>
      <w:r>
        <w:rPr>
          <w:rFonts w:ascii="Times New Roman" w:hAnsi="Times New Roman"/>
          <w:i/>
          <w:sz w:val="20"/>
        </w:rPr>
        <w:t xml:space="preserve">MonitoringProgression &amp; Resistance </w:t>
      </w:r>
    </w:p>
    <w:p>
      <w:pPr>
        <w:pStyle w:val="TextBody"/>
        <w:bidi w:val="0"/>
        <w:spacing w:before="120" w:after="0"/>
        <w:jc w:val="left"/>
        <w:rPr>
          <w:rFonts w:ascii="Times New Roman" w:hAnsi="Times New Roman"/>
          <w:sz w:val="20"/>
        </w:rPr>
      </w:pPr>
      <w:r>
        <w:rPr>
          <w:rFonts w:ascii="Times New Roman" w:hAnsi="Times New Roman"/>
          <w:sz w:val="20"/>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Times New Roman" w:hAnsi="Times New Roman"/>
          <w:i/>
          <w:sz w:val="20"/>
        </w:rPr>
        <w:t xml:space="preserve">EGFR </w:t>
      </w:r>
      <w:r>
        <w:rPr>
          <w:rFonts w:ascii="Times New Roman" w:hAnsi="Times New Roman"/>
          <w:sz w:val="20"/>
        </w:rPr>
        <w:t xml:space="preserve">ddPCR test as an example in all three of these indications. The test can identify disease progression up to three months (median) in advance of standard imaging. Using ddPCR for longitudinal blood-based monitoring of EGFR cell-free DNA mutations is a cost-effective testing method while patients are being treated with targeted therapies. Additional utility for ddPCR may exist in early stage MRD given the sensitivity of this technology. </w:t>
      </w:r>
    </w:p>
    <w:p>
      <w:pPr>
        <w:pStyle w:val="TextBody"/>
        <w:bidi w:val="0"/>
        <w:spacing w:before="360" w:after="0"/>
        <w:jc w:val="left"/>
        <w:rPr>
          <w:rFonts w:ascii="Times New Roman" w:hAnsi="Times New Roman"/>
          <w:b/>
          <w:sz w:val="20"/>
        </w:rPr>
      </w:pPr>
      <w:r>
        <w:rPr>
          <w:rFonts w:ascii="Times New Roman" w:hAnsi="Times New Roman"/>
          <w:b/>
          <w:sz w:val="20"/>
        </w:rPr>
        <w:t xml:space="preserve">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We are dedicated to continuously publishing and presenting new data on the clinical validation and utility of our diagnostic tests. We have participated in 27 clinical studies, three of which are ongoing, and have published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300 peer-reviewed publications and presentations. The following are our ongoing clinical studies for our diagnostic testing solutions. </w:t>
      </w:r>
    </w:p>
    <w:p>
      <w:pPr>
        <w:pStyle w:val="TextBody"/>
        <w:bidi w:val="0"/>
        <w:spacing w:before="360" w:after="0"/>
        <w:jc w:val="left"/>
        <w:rPr>
          <w:rFonts w:ascii="Times New Roman" w:hAnsi="Times New Roman"/>
          <w:i/>
          <w:sz w:val="20"/>
        </w:rPr>
      </w:pPr>
      <w:r>
        <w:rPr>
          <w:rFonts w:ascii="Times New Roman" w:hAnsi="Times New Roman"/>
          <w:i/>
          <w:sz w:val="20"/>
        </w:rPr>
        <w:t xml:space="preserve">ORACLE Registry Study (NCT03766958) </w:t>
      </w:r>
    </w:p>
    <w:p>
      <w:pPr>
        <w:pStyle w:val="TextBody"/>
        <w:bidi w:val="0"/>
        <w:spacing w:before="120" w:after="0"/>
        <w:jc w:val="left"/>
        <w:rPr>
          <w:rFonts w:ascii="Times New Roman" w:hAnsi="Times New Roman"/>
          <w:sz w:val="20"/>
        </w:rPr>
      </w:pPr>
      <w:r>
        <w:rPr>
          <w:rFonts w:ascii="Times New Roman" w:hAnsi="Times New Roman"/>
          <w:sz w:val="20"/>
        </w:rPr>
        <w:t xml:space="preserve">The ORACLE registry study was designed to develop real-world clinical utility data for the Nodify XL2 test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Study enrollment was closed on May 12, 2022, with 494 prospective registry patients enrolled and 348 retrospective chart review patients accrued. As of February 1, 2024 all ORACLE participants have completed the study, site closeout visits are being conducted on the last three open sites and the study will be officially closed by the March 31, 2024.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we announced the prospective, real-world ORACLE study (An Observational Registry Study to Evaluate the Performance of the Nodify XL2 Test) achieved the primary endpoint of a statistically significant change in the proportion of benign lung nodules managed by the Nodify XL2 test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 </w:t>
      </w:r>
    </w:p>
    <w:p>
      <w:pPr>
        <w:pStyle w:val="TextBody"/>
        <w:bidi w:val="0"/>
        <w:spacing w:before="360" w:after="0"/>
        <w:jc w:val="left"/>
        <w:rPr>
          <w:rFonts w:ascii="Times New Roman" w:hAnsi="Times New Roman"/>
          <w:i/>
          <w:sz w:val="20"/>
        </w:rPr>
      </w:pPr>
      <w:r>
        <w:rPr>
          <w:rFonts w:ascii="Times New Roman" w:hAnsi="Times New Roman"/>
          <w:i/>
          <w:sz w:val="20"/>
        </w:rPr>
        <w:t xml:space="preserve">ALTITUDE Clinical Utility Study (NCT04171492) </w:t>
      </w:r>
    </w:p>
    <w:p>
      <w:pPr>
        <w:pStyle w:val="TextBody"/>
        <w:bidi w:val="0"/>
        <w:spacing w:before="120" w:after="0"/>
        <w:jc w:val="left"/>
        <w:rPr>
          <w:rFonts w:ascii="Times New Roman" w:hAnsi="Times New Roman"/>
          <w:sz w:val="20"/>
        </w:rPr>
      </w:pPr>
      <w:r>
        <w:rPr>
          <w:rFonts w:ascii="Times New Roman" w:hAnsi="Times New Roman"/>
          <w:sz w:val="20"/>
        </w:rPr>
        <w:t xml:space="preserve">The ALTITUDE clinical utility study is designed to evaluate the performance of Nodify Lung testing (Nodify XL2 and Nodify CDT tests) in a randomized controlled study (RCT). The study is titled A Multicenter, Randomized Controlled Trial, Prospectively Evaluating the Clinical Utility of the Nodify XL2 Proteomic Test in Incidentally Discovered Low to Moderate Risk Lung Nodules. We received central institutional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the Nodify XL2 test. The study launched in December of 2020. Phase 1 of the study with only the Nodify XL2 test is expected to enroll 500 patients. Phase 2 of the adaptive study design will include an open-label arm for the Nodify CDT test, which is aligned with our commercial testing algorithm. </w:t>
      </w:r>
    </w:p>
    <w:p>
      <w:pPr>
        <w:pStyle w:val="TextBody"/>
        <w:bidi w:val="0"/>
        <w:spacing w:before="360" w:after="0"/>
        <w:jc w:val="left"/>
        <w:rPr>
          <w:rFonts w:ascii="Times New Roman" w:hAnsi="Times New Roman"/>
          <w:i/>
          <w:sz w:val="20"/>
        </w:rPr>
      </w:pPr>
      <w:r>
        <w:rPr>
          <w:rFonts w:ascii="Times New Roman" w:hAnsi="Times New Roman"/>
          <w:i/>
          <w:sz w:val="20"/>
        </w:rPr>
        <w:t xml:space="preserve">INSIGHT Observational Study (NCT03289780) </w:t>
      </w:r>
    </w:p>
    <w:p>
      <w:pPr>
        <w:pStyle w:val="TextBody"/>
        <w:bidi w:val="0"/>
        <w:spacing w:before="120" w:after="0"/>
        <w:jc w:val="left"/>
        <w:rPr>
          <w:rFonts w:ascii="Times New Roman" w:hAnsi="Times New Roman"/>
          <w:sz w:val="20"/>
        </w:rPr>
      </w:pPr>
      <w:r>
        <w:rPr>
          <w:rFonts w:ascii="Times New Roman" w:hAnsi="Times New Roman"/>
          <w:sz w:val="20"/>
        </w:rPr>
        <w:t xml:space="preserve">The INSIGHT observational study is designed to evaluate the real-world clinical utility and performance of the IQLung (GeneStrat ddPCR, GeneStrat NGS and VeriStrat tests) testing strategy. The title is Observational Study Assessing the Clinical Effectiveness of VeriStrat and Validating Immunotherapy Tests in Subjects with Non-Small Cell Lung Cancer (INSIGHT) and the first patient enrolled on May 11, 2016. On June 27, 2023, we completed enrollment of 5,000 patients with non-small cell lung cancer. Final analysis with 3-year follow-up is estimated to be completed by 2026. Results of an interim analysis were presented most recently at the World Conference on Lung Cancer 2023. Additionally, data on the first 2,000 patients with 1-year follow-up data was published in the Journal for ImmunoTherapy of Cancer in September 2021. The study rationale is to guide the adoption of the VeriStrat test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 </w:t>
      </w:r>
    </w:p>
    <w:p>
      <w:pPr>
        <w:pStyle w:val="TextBody"/>
        <w:bidi w:val="0"/>
        <w:spacing w:before="240" w:after="0"/>
        <w:jc w:val="left"/>
        <w:rPr>
          <w:rFonts w:ascii="Times New Roman" w:hAnsi="Times New Roman"/>
          <w:sz w:val="20"/>
        </w:rPr>
      </w:pPr>
      <w:r>
        <w:rPr>
          <w:rFonts w:ascii="Times New Roman" w:hAnsi="Times New Roman"/>
          <w:sz w:val="20"/>
        </w:rPr>
        <w:t xml:space="preserve">Patients with pulmonary nodules are concentrated in the pulmonology sub-specialty, where additional resources such as lung cancer screening and nodule management clinics may exist to provide an increased level of care. We are also engaging large hospital systems in a top-down approach, with a goal of incorporating our tests into system-wide pathways and protocols. </w:t>
      </w:r>
    </w:p>
    <w:p>
      <w:pPr>
        <w:pStyle w:val="TextBody"/>
        <w:bidi w:val="0"/>
        <w:spacing w:before="240" w:after="0"/>
        <w:jc w:val="left"/>
        <w:rPr>
          <w:rFonts w:ascii="Times New Roman" w:hAnsi="Times New Roman"/>
          <w:sz w:val="20"/>
        </w:rPr>
      </w:pPr>
      <w:r>
        <w:rPr>
          <w:rFonts w:ascii="Times New Roman" w:hAnsi="Times New Roman"/>
          <w:sz w:val="20"/>
        </w:rPr>
        <w:t xml:space="preserve">After a physician orders our tests, blood is collected either in the physician office or laboratory, third-party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November 14, 2023, the Company announced the validation and launch of a new method of collecting blood specimens for Nodify Lung Nodule Risk Assessment testing. The method uses the FDA-cleared Tasso+ device, a single-use blood lancing device intended for obtaining capillary whole blood samples from a patients upper arm. Capillary blood draws using the Tasso+ device enable blood specimen collection for healthcare providers who do not have convenient access to phlebotomy services or a licensed phlebotomist on staff in the clinic or office. The Tasso+ device was validated by Biodesix to be administered in minutes by any healthcare provider at the time of lung nodule evaluation, creating efficiencies in the Nodify Lung workflow. Biodesix received approval from the New York State Clinical Laboratory Evaluation Program to use the Tasso+ device as a specimen collection method in support of Nodify Lung testing after entering into a supply agreement with Tasso, Inc. The device is now available for clinical use to collect specimens for Nodify Lung testing. </w:t>
      </w:r>
    </w:p>
    <w:p>
      <w:pPr>
        <w:pStyle w:val="TextBody"/>
        <w:bidi w:val="0"/>
        <w:spacing w:before="240" w:after="0"/>
        <w:jc w:val="left"/>
        <w:rPr>
          <w:rFonts w:ascii="Times New Roman" w:hAnsi="Times New Roman"/>
          <w:sz w:val="20"/>
        </w:rPr>
      </w:pPr>
      <w:r>
        <w:rPr>
          <w:rFonts w:ascii="Times New Roman" w:hAnsi="Times New Roman"/>
          <w:sz w:val="20"/>
        </w:rPr>
        <w:t xml:space="preserve">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Section 1862(a)(1)(A) of the Social Security Act (SSA). For single-source laboratory tests, this determination is typically made by the Medicare Administrative Contractor (MAC) with jurisdiction over the laboratory where the test is performed. Our Louisville, Colorado laboratory is currently under the jurisdiction of Novitas Solutions, Inc. Our De Soto, Kansas laboratory is under the jurisdiction of Wisconsin Physicians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Insurance Corporation (WPS), which participates in the MolDX program (administered by another MAC, Palmetto GBA) to set coverage policy for molecular diagnostic tests.</w:t>
      </w:r>
    </w:p>
    <w:p>
      <w:pPr>
        <w:pStyle w:val="TextBody"/>
        <w:bidi w:val="0"/>
        <w:spacing w:before="240" w:after="0"/>
        <w:jc w:val="left"/>
        <w:rPr>
          <w:rFonts w:ascii="Times New Roman" w:hAnsi="Times New Roman"/>
          <w:sz w:val="20"/>
        </w:rPr>
      </w:pPr>
      <w:r>
        <w:rPr>
          <w:rFonts w:ascii="Times New Roman" w:hAnsi="Times New Roman"/>
          <w:sz w:val="20"/>
        </w:rPr>
        <w:t xml:space="preserve">Medicare pays for clinical diagnostic laboratory tests (CDLTs), on the Clinical Laboratory Fee Schedule (CLFS). Section 216(a) of the PAMA added Section 1834A to the SSA, which established the current CLFS rate setting processes and coding provisions for CDLTs, and created a new subcategory of CDLTs called Advanced Diagnostic Laboratory Tests (ADLTs), with separate reporting and payment requirements. </w:t>
      </w:r>
    </w:p>
    <w:p>
      <w:pPr>
        <w:pStyle w:val="TextBody"/>
        <w:bidi w:val="0"/>
        <w:spacing w:before="240" w:after="0"/>
        <w:jc w:val="left"/>
        <w:rPr>
          <w:rFonts w:ascii="Times New Roman" w:hAnsi="Times New Roman"/>
          <w:sz w:val="20"/>
        </w:rPr>
      </w:pPr>
      <w:r>
        <w:rPr>
          <w:rFonts w:ascii="Times New Roman" w:hAnsi="Times New Roman"/>
          <w:sz w:val="20"/>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pStyle w:val="TextBody"/>
        <w:bidi w:val="0"/>
        <w:spacing w:before="240" w:after="0"/>
        <w:jc w:val="left"/>
        <w:rPr>
          <w:rFonts w:ascii="Times New Roman" w:hAnsi="Times New Roman"/>
          <w:sz w:val="20"/>
        </w:rPr>
      </w:pPr>
      <w:r>
        <w:rPr>
          <w:rFonts w:ascii="Times New Roman" w:hAnsi="Times New Roman"/>
          <w:sz w:val="20"/>
        </w:rPr>
        <w:t xml:space="preserve">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pathology tests and most ADLTs are also generally required to be billed directly to Medicare by the laboratory under these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On July 6, 2023, the Company announced that the CMS has designated the Nodify CDT Test as an ADLT effective June 30, 2023. Obtaining ADLT status is a recognition that the Nodify CDT test meets the stringent criteria established under the Protecting Access to Medicare Act of 2014. ADLT status is reserved for innovative tests with Medicare coverage that are offered and furnished by a single laboratory and provide new clinical diagnostic information that cannot be obtained from any other test or combination of tests. The Nodify XL2 test was previously awarded ADLT status on May 17, 2019.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laws and regulations, as well as internal compliance policies and procedures adds complexity to the billing process.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CPT codes, as defined by the AMA. For some of the tests we conduct, there may not be a specific CPT or HCPCS code, in which case the test may be billed under a miscellaneous code for an unlisted molecular pathology procedure or unlisted multiple anolyte test with algorithmic analysis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Competitors </w:t>
      </w:r>
    </w:p>
    <w:p>
      <w:pPr>
        <w:pStyle w:val="TextBody"/>
        <w:bidi w:val="0"/>
        <w:spacing w:before="120" w:after="0"/>
        <w:jc w:val="left"/>
        <w:rPr>
          <w:rFonts w:ascii="Times New Roman" w:hAnsi="Times New Roman"/>
          <w:sz w:val="20"/>
        </w:rPr>
      </w:pPr>
      <w:r>
        <w:rPr>
          <w:rFonts w:ascii="Times New Roman" w:hAnsi="Times New Roman"/>
          <w:sz w:val="20"/>
        </w:rPr>
        <w:t xml:space="preserve">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DiagnosisNodule Management </w:t>
      </w:r>
    </w:p>
    <w:p>
      <w:pPr>
        <w:pStyle w:val="TextBody"/>
        <w:bidi w:val="0"/>
        <w:spacing w:before="120" w:after="0"/>
        <w:jc w:val="left"/>
        <w:rPr>
          <w:rFonts w:ascii="Times New Roman" w:hAnsi="Times New Roman"/>
          <w:sz w:val="20"/>
        </w:rPr>
      </w:pPr>
      <w:r>
        <w:rPr>
          <w:rFonts w:ascii="Times New Roman" w:hAnsi="Times New Roman"/>
          <w:sz w:val="20"/>
        </w:rPr>
        <w:t xml:space="preserve">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Guidance and MonitoringNSCLC </w:t>
      </w:r>
    </w:p>
    <w:p>
      <w:pPr>
        <w:pStyle w:val="TextBody"/>
        <w:bidi w:val="0"/>
        <w:spacing w:before="120" w:after="0"/>
        <w:jc w:val="left"/>
        <w:rPr>
          <w:rFonts w:ascii="Times New Roman" w:hAnsi="Times New Roman"/>
          <w:sz w:val="20"/>
        </w:rPr>
      </w:pPr>
      <w:r>
        <w:rPr>
          <w:rFonts w:ascii="Times New Roman" w:hAnsi="Times New Roman"/>
          <w:sz w:val="20"/>
        </w:rPr>
        <w:t xml:space="preserve">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 Foundation Medicine. We believe that there are several companies and academic research institutions in the process of developing tests for monitoring patients or following treatment for recurrence or progression of lung cancer.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Biopharmaceutical Diagnostic Discovery, Development &amp; Testing Services </w:t>
      </w:r>
    </w:p>
    <w:p>
      <w:pPr>
        <w:pStyle w:val="TextBody"/>
        <w:bidi w:val="0"/>
        <w:spacing w:before="120" w:after="0"/>
        <w:jc w:val="left"/>
        <w:rPr>
          <w:rFonts w:ascii="Times New Roman" w:hAnsi="Times New Roman"/>
          <w:sz w:val="20"/>
        </w:rPr>
      </w:pPr>
      <w:r>
        <w:rPr>
          <w:rFonts w:ascii="Times New Roman" w:hAnsi="Times New Roman"/>
          <w:sz w:val="20"/>
        </w:rPr>
        <w:t xml:space="preserve">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 </w:t>
      </w:r>
    </w:p>
    <w:p>
      <w:pPr>
        <w:pStyle w:val="TextBody"/>
        <w:bidi w:val="0"/>
        <w:spacing w:before="360" w:after="0"/>
        <w:jc w:val="left"/>
        <w:rPr>
          <w:rFonts w:ascii="Times New Roman" w:hAnsi="Times New Roman"/>
          <w:b/>
          <w:sz w:val="20"/>
        </w:rPr>
      </w:pPr>
      <w:r>
        <w:rPr>
          <w:rFonts w:ascii="Times New Roman" w:hAnsi="Times New Roman"/>
          <w:b/>
          <w:sz w:val="20"/>
        </w:rPr>
        <w:t xml:space="preserve">Clinical Laboratory Operations </w:t>
      </w:r>
    </w:p>
    <w:p>
      <w:pPr>
        <w:pStyle w:val="TextBody"/>
        <w:bidi w:val="0"/>
        <w:spacing w:before="120" w:after="0"/>
        <w:jc w:val="left"/>
        <w:rPr>
          <w:rFonts w:ascii="Times New Roman" w:hAnsi="Times New Roman"/>
          <w:sz w:val="20"/>
        </w:rPr>
      </w:pPr>
      <w:r>
        <w:rPr>
          <w:rFonts w:ascii="Times New Roman" w:hAnsi="Times New Roman"/>
          <w:sz w:val="20"/>
        </w:rPr>
        <w:t xml:space="preserve">Throughout 2023, we performed the VeriStrat, GeneStrat ddPCR, and GeneStrat NGS tests in our Boulder, Colorado high-complexity CLIA certified clinical laboratory. The laboratory was College of American Pathology (CAP) accredited, New York State Department of Health (NYSDOH)-permitted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were performed in the Boulder, Colorado facility. The proprietary testing methods use semi-automated workflows that facilitate the successful delivery of greater than 90% of our tests within three days, and we believe our existing workflows will continue to successfully deliver our tests within this timeframe.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2024, we relocated our Boulder, Colorado clinical laboratory to Louisville, Colorado. Throughout this transition, we have ensured the maintenance and updating of all relevant certifications and licenses to accurately reflect our new location, guaranteeing our commitment to upholding the highest standards of quality and compliance. As a result, our laboratory operations continued seamlessly without delaying testing. </w:t>
      </w:r>
    </w:p>
    <w:p>
      <w:pPr>
        <w:pStyle w:val="TextBody"/>
        <w:bidi w:val="0"/>
        <w:spacing w:before="240" w:after="0"/>
        <w:jc w:val="left"/>
        <w:rPr>
          <w:rFonts w:ascii="Times New Roman" w:hAnsi="Times New Roman"/>
          <w:sz w:val="20"/>
        </w:rPr>
      </w:pPr>
      <w:r>
        <w:rPr>
          <w:rFonts w:ascii="Times New Roman" w:hAnsi="Times New Roman"/>
          <w:sz w:val="20"/>
        </w:rPr>
        <w:t xml:space="preserve">The Nodify XL2 and Nodify CDT tests are performed in our De Soto, Kansas high-complexity CLIA certified clinical laboratory. This clinical laboratory is also CAP-accredited, NYSDOH-permitted and licensed, ISO 13485:2016 Quality Management Systems-Requirements for Regulatory Purposes for Medical Devices certified and licensed by California, Maryland, Pennsylvania, and Rhode Island. Receipt of requisitions and testing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performed in our De Soto, Kansas clinical laboratory. Delivery of the test results is performed by personnel from our Louisville, Colorado headquarters. The proprietary testing methods use semi-automated workflows that facilitate the successful delivery of greater than 90% of our tests within five days, and we believe our existing workflows will continue to successfully deliver our tests within this timeframe. </w:t>
      </w:r>
    </w:p>
    <w:p>
      <w:pPr>
        <w:pStyle w:val="TextBody"/>
        <w:bidi w:val="0"/>
        <w:spacing w:before="240" w:after="0"/>
        <w:jc w:val="left"/>
        <w:rPr>
          <w:rFonts w:ascii="Times New Roman" w:hAnsi="Times New Roman"/>
          <w:sz w:val="20"/>
        </w:rPr>
      </w:pPr>
      <w:r>
        <w:rPr>
          <w:rFonts w:ascii="Times New Roman" w:hAnsi="Times New Roman"/>
          <w:sz w:val="20"/>
        </w:rPr>
        <w:t xml:space="preserve">Personnel in both facilities are responsible for quality assurance oversight, licensing, and regulation compliance and maintenance to ensure data integrity and consistent, validated processes. </w:t>
      </w:r>
    </w:p>
    <w:p>
      <w:pPr>
        <w:pStyle w:val="TextBody"/>
        <w:bidi w:val="0"/>
        <w:spacing w:before="360" w:after="0"/>
        <w:jc w:val="left"/>
        <w:rPr>
          <w:rFonts w:ascii="Times New Roman" w:hAnsi="Times New Roman"/>
          <w:b/>
          <w:sz w:val="20"/>
        </w:rPr>
      </w:pPr>
      <w:r>
        <w:rPr>
          <w:rFonts w:ascii="Times New Roman" w:hAnsi="Times New Roman"/>
          <w:b/>
          <w:sz w:val="20"/>
        </w:rPr>
        <w:t xml:space="preserve">Supply Chain </w:t>
      </w:r>
    </w:p>
    <w:p>
      <w:pPr>
        <w:pStyle w:val="TextBody"/>
        <w:bidi w:val="0"/>
        <w:spacing w:before="120" w:after="0"/>
        <w:jc w:val="left"/>
        <w:rPr>
          <w:rFonts w:ascii="Times New Roman" w:hAnsi="Times New Roman"/>
          <w:sz w:val="20"/>
        </w:rPr>
      </w:pPr>
      <w:r>
        <w:rPr>
          <w:rFonts w:ascii="Times New Roman" w:hAnsi="Times New Roman"/>
          <w:sz w:val="20"/>
        </w:rPr>
        <w:t xml:space="preserve">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Oncimmune is also the sole source supplier for our Nodify CDT tests but there are known secondary suppliers for these materials.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tests until alternatives could be validated. </w:t>
      </w:r>
    </w:p>
    <w:p>
      <w:pPr>
        <w:pStyle w:val="TextBody"/>
        <w:bidi w:val="0"/>
        <w:spacing w:before="240" w:after="0"/>
        <w:jc w:val="left"/>
        <w:rPr>
          <w:rFonts w:ascii="Times New Roman" w:hAnsi="Times New Roman"/>
          <w:sz w:val="20"/>
        </w:rPr>
      </w:pPr>
      <w:r>
        <w:rPr>
          <w:rFonts w:ascii="Times New Roman" w:hAnsi="Times New Roman"/>
          <w:sz w:val="20"/>
        </w:rPr>
        <w:t xml:space="preserve">All materials for our VeriStrat test and Nodify XL2 test have alternative suppliers readily available, and a disruption in any single supplier would not materially impact our ability to deliver the test. </w:t>
      </w:r>
    </w:p>
    <w:p>
      <w:pPr>
        <w:pStyle w:val="TextBody"/>
        <w:bidi w:val="0"/>
        <w:spacing w:before="240" w:after="0"/>
        <w:jc w:val="left"/>
        <w:rPr>
          <w:rFonts w:ascii="Times New Roman" w:hAnsi="Times New Roman"/>
          <w:sz w:val="20"/>
        </w:rPr>
      </w:pPr>
      <w:r>
        <w:rPr>
          <w:rFonts w:ascii="Times New Roman" w:hAnsi="Times New Roman"/>
          <w:sz w:val="20"/>
        </w:rPr>
        <w:t xml:space="preserve">We have initiated the second source qualification process for the majority of these critical components, however, we may not be successful in securing second sourcing for all of them at all or on a timely basis. A disruption to this supply would negatively impact our ability to perform these tests until an alternative supplier could be validated.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heavily in the protection of our key assets, namely the VeriStrat® and GeneStrat® tests, and we acquired a patent portfolio relating to the Nodify XL2® and Nodify CDT® tests in our acquisitions of Indi in June 2018, and of Oncimmune USA in October 2019 from Oncimmune Limited. We own patents and patent applications as well as trade secrets relating to our products 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 technology developed by Bio-Rad and which we employ in our GeneStrat test. </w:t>
      </w:r>
    </w:p>
    <w:p>
      <w:pPr>
        <w:pStyle w:val="TextBody"/>
        <w:bidi w:val="0"/>
        <w:spacing w:before="240" w:after="0"/>
        <w:jc w:val="left"/>
        <w:rPr>
          <w:rFonts w:ascii="Times New Roman" w:hAnsi="Times New Roman"/>
          <w:sz w:val="20"/>
        </w:rPr>
      </w:pPr>
      <w:r>
        <w:rPr>
          <w:rFonts w:ascii="Times New Roman" w:hAnsi="Times New Roman"/>
          <w:sz w:val="20"/>
        </w:rPr>
        <w:t xml:space="preserve">Our patent strategy has focused on creating and acquiring protection for our VeriStrat and Nodify XL2 proteomic tests, while utilizing trade secret and some methods patent protection for our genomic test (the GeneStrat ddPCR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GeneStrat NGS®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Bio-Rad owns patents relating to ddPCR and to which we have a non-exclusive license to utilize for the performance of ddPCR in cancer detection testing for third parties as set forth in the Bio-Rad License Agreement.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 platform and our approaches to using MALDI-ToF technology (DeepMALDI® techniques). Additionally, our first device patent was issued in 2019 for our internally designed blood collection device.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our patent portfolio includes 52 issued United States patents, 64 issued foreign patents, and 33 pending applications (including 19 foreign patent applications). With regard to our product development efforts, new applications have been filed around developments relating to COVID/micro-organisms diagnostics, new analytic methodologies using Shapley values and semi-quantitative spectra analysis in MALDI, and national stage applications are now in active prosecution to protect our pipeline ROR and PIR tests. </w:t>
      </w:r>
    </w:p>
    <w:p>
      <w:pPr>
        <w:pStyle w:val="TextBody"/>
        <w:bidi w:val="0"/>
        <w:spacing w:before="240" w:after="0"/>
        <w:jc w:val="left"/>
        <w:rPr>
          <w:rFonts w:ascii="Times New Roman" w:hAnsi="Times New Roman"/>
          <w:sz w:val="20"/>
        </w:rPr>
      </w:pPr>
      <w:r>
        <w:rPr>
          <w:rFonts w:ascii="Times New Roman" w:hAnsi="Times New Roman"/>
          <w:sz w:val="20"/>
        </w:rPr>
        <w:t xml:space="preserve">The patent portfolio can be broken down into five major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and patent applications relating to the VeriStrat and Nodify tests and uses of these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and patent applications relating to methods for developing classifiers, including using the Diagnostic Cortex and DeepMALDI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and patent applications relating to tests currently in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and patent applications relating to our novel blood collection device;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and patent applications relating to tests developed for our third-party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three pending Patent Cooperation Treaty (PCT) applications.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 </w:t>
      </w:r>
    </w:p>
    <w:p>
      <w:pPr>
        <w:pStyle w:val="TextBody"/>
        <w:bidi w:val="0"/>
        <w:spacing w:before="240" w:after="0"/>
        <w:jc w:val="left"/>
        <w:rPr>
          <w:rFonts w:ascii="Times New Roman" w:hAnsi="Times New Roman"/>
          <w:sz w:val="20"/>
        </w:rPr>
      </w:pPr>
      <w:r>
        <w:rPr>
          <w:rFonts w:ascii="Times New Roman" w:hAnsi="Times New Roman"/>
          <w:sz w:val="20"/>
        </w:rPr>
        <w:t xml:space="preserve">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 name (Biodesix), the names of five of our commercial tests (namely the VeriStrat, GeneStrat ddPCR, GeneStrat NGS, Nodify XL2 and Nodify CDT tests), and a suite of research tests (ImmunoStrat® test), as well as having trademark protection for our core development and methodological platforms, such as our Diagnostic Cortex and DeepMALDI technologies. In all, as of December 31, 2023, we have 18 uniquely registered United States trademarks, 8 of which (including Biodesix, VeriStrat, and GeneStrat) have received foreign issuances as well, with four trademarks pending approval from the USPTO. We will continue to pursue protection in the United States and abroad for our branded assets and will continue to use branding to protect products currently in development, key Biodesix developments and non-trade secret methodologies. </w:t>
      </w:r>
    </w:p>
    <w:p>
      <w:pPr>
        <w:pStyle w:val="TextBody"/>
        <w:bidi w:val="0"/>
        <w:spacing w:before="240" w:after="0"/>
        <w:jc w:val="left"/>
        <w:rPr>
          <w:rFonts w:ascii="Times New Roman" w:hAnsi="Times New Roman"/>
          <w:sz w:val="20"/>
        </w:rPr>
      </w:pPr>
      <w:r>
        <w:rPr>
          <w:rFonts w:ascii="Times New Roman" w:hAnsi="Times New Roman"/>
          <w:sz w:val="20"/>
        </w:rPr>
        <w:t xml:space="preserve">We also rely on trade secrets, including know-how,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also seek to preserve the integrity and confidentiality of our trade secrets and other confidential information by maintaining physical security of our premises and physical and electronic security of our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w:t>
      </w:r>
    </w:p>
    <w:p>
      <w:pPr>
        <w:pStyle w:val="TextBody"/>
        <w:bidi w:val="0"/>
        <w:spacing w:before="240" w:after="0"/>
        <w:jc w:val="left"/>
        <w:rPr>
          <w:rFonts w:ascii="Times New Roman" w:hAnsi="Times New Roman"/>
          <w:sz w:val="20"/>
        </w:rPr>
      </w:pPr>
      <w:r>
        <w:rPr>
          <w:rFonts w:ascii="Times New Roman" w:hAnsi="Times New Roman"/>
          <w:sz w:val="20"/>
        </w:rPr>
        <w:t xml:space="preserve">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Regulations </w:t>
      </w:r>
    </w:p>
    <w:p>
      <w:pPr>
        <w:pStyle w:val="TextBody"/>
        <w:bidi w:val="0"/>
        <w:spacing w:before="120" w:after="0"/>
        <w:jc w:val="left"/>
        <w:rPr>
          <w:rFonts w:ascii="Times New Roman" w:hAnsi="Times New Roman"/>
          <w:sz w:val="20"/>
        </w:rPr>
      </w:pPr>
      <w:r>
        <w:rPr>
          <w:rFonts w:ascii="Times New Roman" w:hAnsi="Times New Roman"/>
          <w:sz w:val="20"/>
        </w:rPr>
        <w:t xml:space="preserve">Clinical laboratory tests like our diagnostic tests are regulated under CLIA and state law. The FDA regulates medical devices pursuant to the FDCA, including many diagnostic test kits, such as in vitro diagnostic tests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IVDs that are intended for clinical use and developed, validated, and offered within a single laboratory for use only in that laboratory. </w:t>
      </w:r>
    </w:p>
    <w:p>
      <w:pPr>
        <w:pStyle w:val="TextBody"/>
        <w:bidi w:val="0"/>
        <w:spacing w:before="240" w:after="0"/>
        <w:jc w:val="left"/>
        <w:rPr>
          <w:rFonts w:ascii="Times New Roman" w:hAnsi="Times New Roman"/>
          <w:sz w:val="20"/>
        </w:rPr>
      </w:pPr>
      <w:r>
        <w:rPr>
          <w:rFonts w:ascii="Times New Roman" w:hAnsi="Times New Roman"/>
          <w:sz w:val="20"/>
        </w:rPr>
        <w:t xml:space="preserve">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 </w:t>
      </w:r>
    </w:p>
    <w:p>
      <w:pPr>
        <w:pStyle w:val="TextBody"/>
        <w:bidi w:val="0"/>
        <w:spacing w:before="240" w:after="0"/>
        <w:jc w:val="left"/>
        <w:rPr>
          <w:rFonts w:ascii="Times New Roman" w:hAnsi="Times New Roman"/>
          <w:sz w:val="20"/>
        </w:rPr>
      </w:pPr>
      <w:r>
        <w:rPr>
          <w:rFonts w:ascii="Times New Roman" w:hAnsi="Times New Roman"/>
          <w:sz w:val="20"/>
        </w:rPr>
        <w:t xml:space="preserve">FDAs authority to regulate LDTs has been contested for many years, and there have been several legislative and administrative proposals regarding LDT regulation seeking to end or limit enforcement discretion and to bring LDTs under new or existing FDA regulatory frameworks.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likelihood that Congress will pass legislation or the extent to which such legislation may affect the FDAs plans to regulate certain LDTs as medical devices or pursuant to a new framework. It is also unclear at this time whether the FDA will finalize its plans to end enforcement discretion in the absence of legislation, via notice and comment rulemaking or otherwise. Until legislation is passed reforming the federal governments regulation of LDTs or until the FDA finalizes its proposed rulemaking to end enforcement discretion, it is unknown how the FDA may regulate our tests in the future and what testing and data may be required to support any required clearance or approval. Even if a new framework is not established via legislative or administrative action, the FDA may attempt to regulate and enforce against certain LDTs on a case-by-case basis at any time.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2023, FDA announced a proposed rule to amend its regulations to explicitly regulate LDTs as IVD tests in accordance with the agencys regulatory authority over medical devices and to phase out its enforcement discretion policy for LDTs. If this rule is finalized, our tests that are currently offered as LDTs would become subject to statutory and regulatory provisions that are applicable to medical devices, including but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limited to, medical device reporting and correction and removal reporting requirements, quality systems regulations, registration and listing requirements, and premarket review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the FDA finalizes its proposed rule and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we are monitoring developments and anticipate that our products will be able to comply with requirements that may be imposed by the FDA. In the meantime, we maintain our CLIA accreditation, which permits the use of LDTs for diagnostics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Federal and State Laboratory Licensing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Biodesix Boulder, Colorado clinical laboratory was a CAP-accredited clinical laboratory regulated by CMS pursuant to CLIA. CMS has granted CAP deeming authority under CLIA, which allows CAP to inspect laboratories in lieu of CMS. In addition to holding a CLIA Certificate and CAP laboratory accreditation, Biodesixs QMS holds an ISO 13485:2016 certificate (successfully passed surveillance audit in March 2023). The Biodesix Boulder, Colorado clinical laboratory received approval from the NYSDOH, NYS CLEP in Soluble Tumor Markers, and Molecular and Cellular Tumor Markers and Virology as well as held state permits and licenses in California, Maryland, New York, Pennsylvania, and Rhode Island. </w:t>
      </w:r>
    </w:p>
    <w:p>
      <w:pPr>
        <w:pStyle w:val="TextBody"/>
        <w:bidi w:val="0"/>
        <w:spacing w:before="240" w:after="0"/>
        <w:jc w:val="left"/>
        <w:rPr>
          <w:rFonts w:ascii="Times New Roman" w:hAnsi="Times New Roman"/>
          <w:sz w:val="20"/>
        </w:rPr>
      </w:pPr>
      <w:r>
        <w:rPr>
          <w:rFonts w:ascii="Times New Roman" w:hAnsi="Times New Roman"/>
          <w:sz w:val="20"/>
        </w:rPr>
        <w:t>CLIA regulations establish standards for proficiency testing; facility administration; general laboratory systems; pre-analytic, analytic systems, post- analytic systems; personnel qualifications and responsibilities; quality control, quality assessment; and specific provisions for laboratories performing moderate to high complexity tests. Our Boulder, Colorado clinical laboratory was inspected biennially as part of its ongoing certification under CLIA certificate of accreditation by CAP. The Boulder, Colorado clinical laboratory most recently passed its CAP inspection in February April 2023. In January 2024, we relocated our Boulder, Colorado clinical laboratory to Louisville, Colorado. All certifications and licenses have been successfully updated to accurately reflect our new location. All laboratory operations continued seamlessly without delaying testing.</w:t>
      </w:r>
    </w:p>
    <w:p>
      <w:pPr>
        <w:pStyle w:val="TextBody"/>
        <w:bidi w:val="0"/>
        <w:spacing w:before="240" w:after="0"/>
        <w:jc w:val="left"/>
        <w:rPr>
          <w:rFonts w:ascii="Times New Roman" w:hAnsi="Times New Roman"/>
          <w:sz w:val="20"/>
        </w:rPr>
      </w:pPr>
      <w:r>
        <w:rPr>
          <w:rFonts w:ascii="Times New Roman" w:hAnsi="Times New Roman"/>
          <w:sz w:val="20"/>
        </w:rPr>
        <w:t xml:space="preserve">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t>
      </w:r>
    </w:p>
    <w:p>
      <w:pPr>
        <w:pStyle w:val="TextBody"/>
        <w:bidi w:val="0"/>
        <w:spacing w:before="240" w:after="0"/>
        <w:jc w:val="left"/>
        <w:rPr>
          <w:rFonts w:ascii="Times New Roman" w:hAnsi="Times New Roman"/>
          <w:sz w:val="20"/>
        </w:rPr>
      </w:pPr>
      <w:r>
        <w:rPr>
          <w:rFonts w:ascii="Times New Roman" w:hAnsi="Times New Roman"/>
          <w:sz w:val="20"/>
        </w:rPr>
        <w:t xml:space="preserve">The Biodesix De Soto, Kansas clinical laboratory is a CAP-accredited clinical laboratory regulated by CMS pursuant to CLIA. CMS has granted CAP deeming authority under CLIA, which allows CAP to inspect laboratories in lieu of CMS. In addition to holding a CLIA Certificate and CAP laboratory accreditation, the De Soto, Kansas clinical laboratory passed its CAP inspection in May 2023. Biodesixs QMS holds an ISO 13485:2016 certificate (recently passed surveillance audit in January 2024). The De Soto, Kansas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laboratory has received approval from the NYSDOH, NYS CLEP in Soluble Tumor Markers and Diagnostic Immunology as well as holding state permits and licenses in California, Maryland, New York, Pennsylvania, and Rhode Island. </w:t>
      </w:r>
    </w:p>
    <w:p>
      <w:pPr>
        <w:pStyle w:val="TextBody"/>
        <w:bidi w:val="0"/>
        <w:spacing w:before="240" w:after="0"/>
        <w:jc w:val="left"/>
        <w:rPr>
          <w:rFonts w:ascii="Times New Roman" w:hAnsi="Times New Roman"/>
          <w:sz w:val="20"/>
        </w:rPr>
      </w:pPr>
      <w:r>
        <w:rPr>
          <w:rFonts w:ascii="Times New Roman" w:hAnsi="Times New Roman"/>
          <w:sz w:val="20"/>
        </w:rPr>
        <w:t xml:space="preserve">The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On January 31, 2024, the FDA issued a final rule to harmonize and modernize its Quality System Regulation (QSR), which would supplant the existing requirements with ISO 13485:2016. The rule amends the current good manufacturing practice requirements of the QSR in 21 CFR 820. The QMSR rule emphasizes risk management activities and risk-based decision making and aims to reduce regulatory burdens on device manufacturers and importers by harmonizing domestic and international requirements. Device manufacturers and importers will have two years to modify their quality systems to meet the requirements of the QMSR rule by February 2, 2026. </w:t>
      </w:r>
    </w:p>
    <w:p>
      <w:pPr>
        <w:pStyle w:val="TextBody"/>
        <w:bidi w:val="0"/>
        <w:spacing w:before="240" w:after="0"/>
        <w:jc w:val="left"/>
        <w:rPr>
          <w:rFonts w:ascii="Times New Roman" w:hAnsi="Times New Roman"/>
          <w:sz w:val="20"/>
        </w:rPr>
      </w:pPr>
      <w:r>
        <w:rPr>
          <w:rFonts w:ascii="Times New Roman" w:hAnsi="Times New Roman"/>
          <w:sz w:val="20"/>
        </w:rPr>
        <w:t xml:space="preserve">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 </w:t>
      </w:r>
    </w:p>
    <w:p>
      <w:pPr>
        <w:pStyle w:val="TextBody"/>
        <w:bidi w:val="0"/>
        <w:spacing w:before="240" w:after="0"/>
        <w:jc w:val="left"/>
        <w:rPr>
          <w:rFonts w:ascii="Times New Roman" w:hAnsi="Times New Roman"/>
          <w:sz w:val="20"/>
        </w:rPr>
      </w:pPr>
      <w:r>
        <w:rPr>
          <w:rFonts w:ascii="Times New Roman" w:hAnsi="Times New Roman"/>
          <w:sz w:val="20"/>
        </w:rPr>
        <w:t xml:space="preserve">Because our Louisville,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Louisville,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 </w:t>
      </w:r>
    </w:p>
    <w:p>
      <w:pPr>
        <w:pStyle w:val="TextBody"/>
        <w:bidi w:val="0"/>
        <w:spacing w:before="240" w:after="0"/>
        <w:jc w:val="left"/>
        <w:rPr>
          <w:rFonts w:ascii="Times New Roman" w:hAnsi="Times New Roman"/>
          <w:sz w:val="20"/>
        </w:rPr>
      </w:pPr>
      <w:r>
        <w:rPr>
          <w:rFonts w:ascii="Times New Roman" w:hAnsi="Times New Roman"/>
          <w:sz w:val="20"/>
        </w:rPr>
        <w:t xml:space="preserve">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 </w:t>
      </w:r>
    </w:p>
    <w:p>
      <w:pPr>
        <w:pStyle w:val="TextBody"/>
        <w:bidi w:val="0"/>
        <w:spacing w:before="240" w:after="0"/>
        <w:jc w:val="left"/>
        <w:rPr>
          <w:rFonts w:ascii="Times New Roman" w:hAnsi="Times New Roman"/>
          <w:sz w:val="20"/>
        </w:rPr>
      </w:pPr>
      <w:r>
        <w:rPr>
          <w:rFonts w:ascii="Times New Roman" w:hAnsi="Times New Roman"/>
          <w:sz w:val="20"/>
        </w:rPr>
        <w:t xml:space="preserve">Our Louisville, Colorado and De Soto, Kansas laboratories are certified and adhere to the NYS CLEP, based on New York State Public Health Law, Article 5 Title 5. NYS CLEP is exempt from CLIA and establishes their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Due to the pandemic, NYSDOH CLEP routine re-inspections were delayed by multiple years. Most recently the Boulder, Colorado laboratory successfully passed the NYS CLEP audit in October 2023. The De Soto, Kansas laboratory passed NYS CLEP inspection in May 2019 and still pending new audit assignment.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Framework for Medical Devices in the United States and Internationally </w:t>
      </w:r>
    </w:p>
    <w:p>
      <w:pPr>
        <w:pStyle w:val="TextBody"/>
        <w:bidi w:val="0"/>
        <w:spacing w:before="120" w:after="0"/>
        <w:jc w:val="left"/>
        <w:rPr>
          <w:rFonts w:ascii="Times New Roman" w:hAnsi="Times New Roman"/>
          <w:sz w:val="20"/>
        </w:rPr>
      </w:pPr>
      <w:r>
        <w:rPr>
          <w:rFonts w:ascii="Times New Roman" w:hAnsi="Times New Roman"/>
          <w:sz w:val="20"/>
        </w:rPr>
        <w:t xml:space="preserve">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 </w:t>
      </w:r>
    </w:p>
    <w:p>
      <w:pPr>
        <w:pStyle w:val="TextBody"/>
        <w:bidi w:val="0"/>
        <w:spacing w:before="240" w:after="0"/>
        <w:jc w:val="left"/>
        <w:rPr>
          <w:rFonts w:ascii="Times New Roman" w:hAnsi="Times New Roman"/>
          <w:sz w:val="20"/>
        </w:rPr>
      </w:pPr>
      <w:r>
        <w:rPr>
          <w:rFonts w:ascii="Times New Roman" w:hAnsi="Times New Roman"/>
          <w:sz w:val="20"/>
        </w:rPr>
        <w:t xml:space="preserve">Medical devices are subject to extensive regulation in the United States and elsewhere, including by the FDA and its foreign counterparts. Government regulations specific to medical devices are wide ranging and govern,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design, development, manufacture, and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and clinical testing, labeling, packaging, storage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safety and efficacy;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premarketing clearance 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keeping;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marketing, promotion and advertising, sales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post-marketing surveillance, including reporting of deaths or serious injuries and recalls and correction and removals;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post-market approval studies; and product import and export.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 </w:t>
      </w:r>
    </w:p>
    <w:p>
      <w:pPr>
        <w:pStyle w:val="TextBody"/>
        <w:bidi w:val="0"/>
        <w:spacing w:before="240" w:after="0"/>
        <w:jc w:val="left"/>
        <w:rPr>
          <w:rFonts w:ascii="Times New Roman" w:hAnsi="Times New Roman"/>
          <w:sz w:val="20"/>
        </w:rPr>
      </w:pPr>
      <w:r>
        <w:rPr>
          <w:rFonts w:ascii="Times New Roman" w:hAnsi="Times New Roman"/>
          <w:sz w:val="20"/>
        </w:rPr>
        <w:t xml:space="preserve">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 </w:t>
      </w:r>
    </w:p>
    <w:p>
      <w:pPr>
        <w:pStyle w:val="TextBody"/>
        <w:bidi w:val="0"/>
        <w:spacing w:before="240" w:after="0"/>
        <w:jc w:val="left"/>
        <w:rPr>
          <w:rFonts w:ascii="Times New Roman" w:hAnsi="Times New Roman"/>
          <w:sz w:val="20"/>
        </w:rPr>
      </w:pPr>
      <w:r>
        <w:rPr>
          <w:rFonts w:ascii="Times New Roman" w:hAnsi="Times New Roman"/>
          <w:sz w:val="20"/>
        </w:rPr>
        <w:t xml:space="preserve">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 </w:t>
      </w:r>
    </w:p>
    <w:p>
      <w:pPr>
        <w:pStyle w:val="TextBody"/>
        <w:bidi w:val="0"/>
        <w:spacing w:before="240" w:after="0"/>
        <w:jc w:val="left"/>
        <w:rPr>
          <w:rFonts w:ascii="Times New Roman" w:hAnsi="Times New Roman"/>
          <w:sz w:val="20"/>
        </w:rPr>
      </w:pPr>
      <w:r>
        <w:rPr>
          <w:rFonts w:ascii="Times New Roman" w:hAnsi="Times New Roman"/>
          <w:sz w:val="20"/>
        </w:rPr>
        <w:t>Market access, sales and marketing of medical devices in non-U.S. countries are subject to foreign regulatory requirements that vary widely from country to country. For example, in the EEA, a medical device must meet the Medical Devices Directives (MDD) / In Vitro Medical Devices Directives (IVDD) Essential Requirements or, applicable on May 26, 2021, the Medical Devices Regulations (MDR) / applicable on May 26, 2022,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pStyle w:val="TextBody"/>
        <w:bidi w:val="0"/>
        <w:spacing w:before="240" w:after="0"/>
        <w:jc w:val="left"/>
        <w:rPr>
          <w:rFonts w:ascii="Times New Roman" w:hAnsi="Times New Roman"/>
          <w:sz w:val="20"/>
        </w:rPr>
      </w:pPr>
      <w:r>
        <w:rPr>
          <w:rFonts w:ascii="Times New Roman" w:hAnsi="Times New Roman"/>
          <w:sz w:val="20"/>
        </w:rPr>
        <w:t xml:space="preserve">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Times New Roman" w:hAnsi="Times New Roman"/>
          <w:i/>
          <w:sz w:val="20"/>
        </w:rPr>
        <w:t>inter alia</w:t>
      </w:r>
      <w:r>
        <w:rPr>
          <w:rFonts w:ascii="Times New Roman" w:hAnsi="Times New Roman"/>
          <w:sz w:val="20"/>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Times New Roman" w:hAnsi="Times New Roman"/>
          <w:i/>
          <w:sz w:val="20"/>
        </w:rPr>
        <w:t>inter alia</w:t>
      </w:r>
      <w:r>
        <w:rPr>
          <w:rFonts w:ascii="Times New Roman" w:hAnsi="Times New Roman"/>
          <w:sz w:val="20"/>
        </w:rPr>
        <w:t xml:space="preserve">, that the manufacturer has full access to the technical documentation of the equivalent device on an ongoing basis and, if the equivalent device is not its own, that the manufacture has in place a contract with the manufacturer of the equivalent device. </w:t>
      </w:r>
    </w:p>
    <w:p>
      <w:pPr>
        <w:pStyle w:val="TextBody"/>
        <w:bidi w:val="0"/>
        <w:spacing w:before="240" w:after="0"/>
        <w:jc w:val="left"/>
        <w:rPr>
          <w:rFonts w:ascii="Times New Roman" w:hAnsi="Times New Roman"/>
          <w:sz w:val="20"/>
        </w:rPr>
      </w:pPr>
      <w:r>
        <w:rPr>
          <w:rFonts w:ascii="Times New Roman" w:hAnsi="Times New Roman"/>
          <w:sz w:val="20"/>
        </w:rPr>
        <w:t xml:space="preserve">Similar requirements apply in the UK. For access to the UK market, manufacturers must obtain a UKCA Certificate and affix a UKCA mark to their medical devices. Initially, the government stated the CE mark will be accepted in the UK until July 1, 2023. However, on July 1, 2023, the government updated their guidance for regulating medical devices stating their intention to extend recognition and acceptance of the CE marking for placing most goods on the market in Great Britain, indefinitely, if the device was placed on the EU market before January 1,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Device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 </w:t>
      </w:r>
    </w:p>
    <w:p>
      <w:pPr>
        <w:pStyle w:val="TextBody"/>
        <w:bidi w:val="0"/>
        <w:spacing w:before="240" w:after="0"/>
        <w:jc w:val="left"/>
        <w:rPr>
          <w:rFonts w:ascii="Times New Roman" w:hAnsi="Times New Roman"/>
          <w:sz w:val="20"/>
        </w:rPr>
      </w:pPr>
      <w:r>
        <w:rPr>
          <w:rFonts w:ascii="Times New Roman" w:hAnsi="Times New Roman"/>
          <w:sz w:val="20"/>
        </w:rPr>
        <w:t>On January 31, 2024, the FDAs Center for Devices and Radiological Health (CDRH) announced that the Center intends to initiate the reclassification process for most IVD tests that are currently Class III (high risk) into Class II (moderate risk). The majority of these tests are infectious disease and companion diagnostic IVDs. Reclassification would allow manufacturers of certain types of tests to seek marketing clearance through the less burdensome premarket notification (510(k)) pathway rather than the premarket approval pathway, the most stringent type of FDA medical device review.</w:t>
      </w:r>
    </w:p>
    <w:p>
      <w:pPr>
        <w:pStyle w:val="TextBody"/>
        <w:bidi w:val="0"/>
        <w:spacing w:before="240" w:after="0"/>
        <w:jc w:val="left"/>
        <w:rPr>
          <w:rFonts w:ascii="Times New Roman" w:hAnsi="Times New Roman"/>
          <w:sz w:val="20"/>
        </w:rPr>
      </w:pPr>
      <w:r>
        <w:rPr>
          <w:rFonts w:ascii="Times New Roman" w:hAnsi="Times New Roman"/>
          <w:sz w:val="20"/>
        </w:rPr>
        <w:t xml:space="preserve">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Class II devices are subject to the General Controls as well as any special controls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 </w:t>
      </w:r>
    </w:p>
    <w:p>
      <w:pPr>
        <w:pStyle w:val="TextBody"/>
        <w:bidi w:val="0"/>
        <w:spacing w:before="240" w:after="0"/>
        <w:jc w:val="left"/>
        <w:rPr>
          <w:rFonts w:ascii="Times New Roman" w:hAnsi="Times New Roman"/>
          <w:sz w:val="20"/>
        </w:rPr>
      </w:pPr>
      <w:r>
        <w:rPr>
          <w:rFonts w:ascii="Times New Roman" w:hAnsi="Times New Roman"/>
          <w:sz w:val="20"/>
        </w:rPr>
        <w:t xml:space="preserve">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 </w:t>
      </w:r>
    </w:p>
    <w:p>
      <w:pPr>
        <w:pStyle w:val="TextBody"/>
        <w:bidi w:val="0"/>
        <w:spacing w:before="360" w:after="0"/>
        <w:jc w:val="left"/>
        <w:rPr>
          <w:rFonts w:ascii="Times New Roman" w:hAnsi="Times New Roman"/>
          <w:b/>
          <w:sz w:val="20"/>
        </w:rPr>
      </w:pPr>
      <w:r>
        <w:rPr>
          <w:rFonts w:ascii="Times New Roman" w:hAnsi="Times New Roman"/>
          <w:b/>
          <w:sz w:val="20"/>
        </w:rPr>
        <w:t xml:space="preserve">Premarket submission process </w:t>
      </w:r>
    </w:p>
    <w:p>
      <w:pPr>
        <w:pStyle w:val="TextBody"/>
        <w:bidi w:val="0"/>
        <w:spacing w:before="120" w:after="0"/>
        <w:jc w:val="left"/>
        <w:rPr>
          <w:rFonts w:ascii="Times New Roman" w:hAnsi="Times New Roman"/>
          <w:sz w:val="20"/>
        </w:rPr>
      </w:pPr>
      <w:r>
        <w:rPr>
          <w:rFonts w:ascii="Times New Roman" w:hAnsi="Times New Roman"/>
          <w:sz w:val="20"/>
        </w:rPr>
        <w:t xml:space="preserve">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Premarket Approval (PMA); or (3) de novo classification and authorization. These processes can be resource intensive, expensive, and lengthy, and require payment of significant user fees. </w:t>
      </w:r>
    </w:p>
    <w:p>
      <w:pPr>
        <w:pStyle w:val="TextBody"/>
        <w:bidi w:val="0"/>
        <w:spacing w:before="240" w:after="0"/>
        <w:jc w:val="left"/>
        <w:rPr>
          <w:rFonts w:ascii="Times New Roman" w:hAnsi="Times New Roman"/>
          <w:sz w:val="20"/>
        </w:rPr>
      </w:pPr>
      <w:r>
        <w:rPr>
          <w:rFonts w:ascii="Times New Roman" w:hAnsi="Times New Roman"/>
          <w:sz w:val="20"/>
        </w:rPr>
        <w:t xml:space="preserve">Under the 510(k)-clearance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 or modification in the intended use of the device, a new clearance, authorization or approval may be required. </w:t>
      </w:r>
    </w:p>
    <w:p>
      <w:pPr>
        <w:pStyle w:val="TextBody"/>
        <w:bidi w:val="0"/>
        <w:spacing w:before="240" w:after="0"/>
        <w:jc w:val="left"/>
        <w:rPr>
          <w:rFonts w:ascii="Times New Roman" w:hAnsi="Times New Roman"/>
          <w:sz w:val="20"/>
        </w:rPr>
      </w:pPr>
      <w:r>
        <w:rPr>
          <w:rFonts w:ascii="Times New Roman" w:hAnsi="Times New Roman"/>
          <w:sz w:val="20"/>
        </w:rPr>
        <w:t xml:space="preserve">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 </w:t>
      </w:r>
    </w:p>
    <w:p>
      <w:pPr>
        <w:pStyle w:val="TextBody"/>
        <w:bidi w:val="0"/>
        <w:spacing w:before="240" w:after="0"/>
        <w:jc w:val="left"/>
        <w:rPr>
          <w:rFonts w:ascii="Times New Roman" w:hAnsi="Times New Roman"/>
          <w:sz w:val="20"/>
        </w:rPr>
      </w:pPr>
      <w:r>
        <w:rPr>
          <w:rFonts w:ascii="Times New Roman" w:hAnsi="Times New Roman"/>
          <w:sz w:val="20"/>
        </w:rPr>
        <w:t xml:space="preserve">If a predicate device is not available, the FDA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A De Novo request includes a description of the device, a discussion of the general controls and any specific controls recommended to provide reasonable assurance of the safety and effectiveness of the device, a description of the probable benefits of the device when compared to the probable risks when the device is used as intended, non-clinical data including bench performance and animal testing, technical information about the device, and clinical data (if applicable). FDAs goal is to review a De Novo request within 150 review days after receiving the petition. As with a 510(k) submission or PMA, the length of the review can be prolonged if the FDA requests additional information from the applicant. </w:t>
      </w:r>
    </w:p>
    <w:p>
      <w:pPr>
        <w:pStyle w:val="TextBody"/>
        <w:bidi w:val="0"/>
        <w:spacing w:before="240" w:after="0"/>
        <w:jc w:val="left"/>
        <w:rPr>
          <w:rFonts w:ascii="Times New Roman" w:hAnsi="Times New Roman"/>
          <w:sz w:val="20"/>
        </w:rPr>
      </w:pPr>
      <w:r>
        <w:rPr>
          <w:rFonts w:ascii="Times New Roman" w:hAnsi="Times New Roman"/>
          <w:sz w:val="20"/>
        </w:rPr>
        <w:t xml:space="preserve">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w:t>
      </w:r>
    </w:p>
    <w:p>
      <w:pPr>
        <w:pStyle w:val="TextBody"/>
        <w:bidi w:val="0"/>
        <w:spacing w:before="240" w:after="0"/>
        <w:jc w:val="left"/>
        <w:rPr>
          <w:rFonts w:ascii="Times New Roman" w:hAnsi="Times New Roman"/>
          <w:sz w:val="20"/>
        </w:rPr>
      </w:pPr>
      <w:r>
        <w:rPr>
          <w:rFonts w:ascii="Times New Roman" w:hAnsi="Times New Roman"/>
          <w:sz w:val="20"/>
        </w:rPr>
        <w:t xml:space="preserve">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 </w:t>
      </w:r>
    </w:p>
    <w:p>
      <w:pPr>
        <w:pStyle w:val="TextBody"/>
        <w:bidi w:val="0"/>
        <w:spacing w:before="240" w:after="0"/>
        <w:jc w:val="left"/>
        <w:rPr>
          <w:rFonts w:ascii="Times New Roman" w:hAnsi="Times New Roman"/>
          <w:sz w:val="20"/>
        </w:rPr>
      </w:pPr>
      <w:r>
        <w:rPr>
          <w:rFonts w:ascii="Times New Roman" w:hAnsi="Times New Roman"/>
          <w:sz w:val="20"/>
        </w:rPr>
        <w:t xml:space="preserve">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 </w:t>
      </w:r>
    </w:p>
    <w:p>
      <w:pPr>
        <w:pStyle w:val="TextBody"/>
        <w:bidi w:val="0"/>
        <w:spacing w:before="240" w:after="0"/>
        <w:jc w:val="left"/>
        <w:rPr>
          <w:rFonts w:ascii="Times New Roman" w:hAnsi="Times New Roman"/>
          <w:sz w:val="20"/>
        </w:rPr>
      </w:pPr>
      <w:r>
        <w:rPr>
          <w:rFonts w:ascii="Times New Roman" w:hAnsi="Times New Roman"/>
          <w:sz w:val="20"/>
        </w:rPr>
        <w:t xml:space="preserve">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 </w:t>
      </w:r>
    </w:p>
    <w:p>
      <w:pPr>
        <w:pStyle w:val="TextBody"/>
        <w:bidi w:val="0"/>
        <w:spacing w:before="360" w:after="0"/>
        <w:jc w:val="left"/>
        <w:rPr>
          <w:rFonts w:ascii="Times New Roman" w:hAnsi="Times New Roman"/>
          <w:b/>
          <w:sz w:val="20"/>
        </w:rPr>
      </w:pPr>
      <w:r>
        <w:rPr>
          <w:rFonts w:ascii="Times New Roman" w:hAnsi="Times New Roman"/>
          <w:b/>
          <w:sz w:val="20"/>
        </w:rPr>
        <w:t xml:space="preserve">Companion Diagnostics and the Premarket Process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to be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 </w:t>
      </w:r>
    </w:p>
    <w:p>
      <w:pPr>
        <w:pStyle w:val="TextBody"/>
        <w:bidi w:val="0"/>
        <w:spacing w:before="360" w:after="0"/>
        <w:jc w:val="left"/>
        <w:rPr>
          <w:rFonts w:ascii="Times New Roman" w:hAnsi="Times New Roman"/>
          <w:b/>
          <w:sz w:val="20"/>
        </w:rPr>
      </w:pPr>
      <w:r>
        <w:rPr>
          <w:rFonts w:ascii="Times New Roman" w:hAnsi="Times New Roman"/>
          <w:b/>
          <w:sz w:val="20"/>
        </w:rPr>
        <w:t xml:space="preserve">Post-Market FDA Regulation </w:t>
      </w:r>
    </w:p>
    <w:p>
      <w:pPr>
        <w:pStyle w:val="TextBody"/>
        <w:bidi w:val="0"/>
        <w:spacing w:before="120" w:after="0"/>
        <w:jc w:val="left"/>
        <w:rPr>
          <w:rFonts w:ascii="Times New Roman" w:hAnsi="Times New Roman"/>
          <w:sz w:val="20"/>
        </w:rPr>
      </w:pPr>
      <w:r>
        <w:rPr>
          <w:rFonts w:ascii="Times New Roman" w:hAnsi="Times New Roman"/>
          <w:sz w:val="20"/>
        </w:rPr>
        <w:t xml:space="preserve">Even if regulatory clearance, authorization or approval of a device is granted, the FDA may impose limitations on the uses and indications for which the device may be labeled and promoted, and the device remains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 </w:t>
      </w:r>
    </w:p>
    <w:p>
      <w:pPr>
        <w:pStyle w:val="TextBody"/>
        <w:bidi w:val="0"/>
        <w:spacing w:before="360" w:after="0"/>
        <w:jc w:val="left"/>
        <w:rPr>
          <w:rFonts w:ascii="Times New Roman" w:hAnsi="Times New Roman"/>
          <w:b/>
          <w:sz w:val="20"/>
        </w:rPr>
      </w:pPr>
      <w:r>
        <w:rPr>
          <w:rFonts w:ascii="Times New Roman" w:hAnsi="Times New Roman"/>
          <w:b/>
          <w:sz w:val="20"/>
        </w:rPr>
        <w:t xml:space="preserve">Federal and State Fraud and Abuse Laws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 </w:t>
      </w:r>
    </w:p>
    <w:p>
      <w:pPr>
        <w:pStyle w:val="TextBody"/>
        <w:bidi w:val="0"/>
        <w:spacing w:before="240" w:after="0"/>
        <w:jc w:val="left"/>
        <w:rPr>
          <w:rFonts w:ascii="Times New Roman" w:hAnsi="Times New Roman"/>
          <w:sz w:val="20"/>
        </w:rPr>
      </w:pPr>
      <w:r>
        <w:rPr>
          <w:rFonts w:ascii="Times New Roman" w:hAnsi="Times New Roman"/>
          <w:sz w:val="20"/>
        </w:rPr>
        <w:t xml:space="preserve">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 </w:t>
      </w:r>
    </w:p>
    <w:p>
      <w:pPr>
        <w:pStyle w:val="TextBody"/>
        <w:bidi w:val="0"/>
        <w:spacing w:before="240" w:after="0"/>
        <w:jc w:val="left"/>
        <w:rPr>
          <w:rFonts w:ascii="Times New Roman" w:hAnsi="Times New Roman"/>
          <w:sz w:val="20"/>
        </w:rPr>
      </w:pPr>
      <w:r>
        <w:rPr>
          <w:rFonts w:ascii="Times New Roman" w:hAnsi="Times New Roman"/>
          <w:sz w:val="20"/>
        </w:rPr>
        <w:t xml:space="preserve">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 </w:t>
      </w:r>
    </w:p>
    <w:p>
      <w:pPr>
        <w:pStyle w:val="TextBody"/>
        <w:bidi w:val="0"/>
        <w:spacing w:before="240" w:after="0"/>
        <w:jc w:val="left"/>
        <w:rPr>
          <w:rFonts w:ascii="Times New Roman" w:hAnsi="Times New Roman"/>
          <w:sz w:val="20"/>
        </w:rPr>
      </w:pPr>
      <w:r>
        <w:rPr>
          <w:rFonts w:ascii="Times New Roman" w:hAnsi="Times New Roman"/>
          <w:sz w:val="20"/>
        </w:rPr>
        <w:t xml:space="preserve">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 </w:t>
      </w:r>
    </w:p>
    <w:p>
      <w:pPr>
        <w:pStyle w:val="TextBody"/>
        <w:bidi w:val="0"/>
        <w:spacing w:before="240" w:after="0"/>
        <w:jc w:val="left"/>
        <w:rPr>
          <w:rFonts w:ascii="Times New Roman" w:hAnsi="Times New Roman"/>
          <w:sz w:val="20"/>
        </w:rPr>
      </w:pPr>
      <w:r>
        <w:rPr>
          <w:rFonts w:ascii="Times New Roman" w:hAnsi="Times New Roman"/>
          <w:sz w:val="20"/>
        </w:rPr>
        <w:t xml:space="preserve">The FCA (31 USC § 3729) imposes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statute provides for treble damages and mandatory penalties of $13,508 to $27,018 per false claim or statement for penalties assessed after January 30, 2023, with respect to violations occurring after November 2, 2015. </w:t>
      </w:r>
    </w:p>
    <w:p>
      <w:pPr>
        <w:pStyle w:val="TextBody"/>
        <w:bidi w:val="0"/>
        <w:spacing w:before="240" w:after="0"/>
        <w:jc w:val="left"/>
        <w:rPr>
          <w:rFonts w:ascii="Times New Roman" w:hAnsi="Times New Roman"/>
          <w:sz w:val="20"/>
        </w:rPr>
      </w:pPr>
      <w:r>
        <w:rPr>
          <w:rFonts w:ascii="Times New Roman" w:hAnsi="Times New Roman"/>
          <w:sz w:val="20"/>
        </w:rPr>
        <w:t xml:space="preserve">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 </w:t>
      </w:r>
    </w:p>
    <w:p>
      <w:pPr>
        <w:pStyle w:val="TextBody"/>
        <w:bidi w:val="0"/>
        <w:spacing w:before="240" w:after="0"/>
        <w:jc w:val="left"/>
        <w:rPr>
          <w:rFonts w:ascii="Times New Roman" w:hAnsi="Times New Roman"/>
          <w:sz w:val="20"/>
        </w:rPr>
      </w:pPr>
      <w:r>
        <w:rPr>
          <w:rFonts w:ascii="Times New Roman" w:hAnsi="Times New Roman"/>
          <w:sz w:val="20"/>
        </w:rPr>
        <w:t xml:space="preserve">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 </w:t>
      </w:r>
    </w:p>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 </w:t>
      </w:r>
    </w:p>
    <w:p>
      <w:pPr>
        <w:pStyle w:val="TextBody"/>
        <w:bidi w:val="0"/>
        <w:spacing w:before="360" w:after="0"/>
        <w:jc w:val="left"/>
        <w:rPr>
          <w:rFonts w:ascii="Times New Roman" w:hAnsi="Times New Roman"/>
          <w:b/>
          <w:sz w:val="20"/>
        </w:rPr>
      </w:pPr>
      <w:r>
        <w:rPr>
          <w:rFonts w:ascii="Times New Roman" w:hAnsi="Times New Roman"/>
          <w:b/>
          <w:sz w:val="20"/>
        </w:rPr>
        <w:t xml:space="preserve">Anti-Corruption </w:t>
      </w:r>
    </w:p>
    <w:p>
      <w:pPr>
        <w:pStyle w:val="TextBody"/>
        <w:bidi w:val="0"/>
        <w:spacing w:before="120" w:after="0"/>
        <w:jc w:val="left"/>
        <w:rPr>
          <w:rFonts w:ascii="Times New Roman" w:hAnsi="Times New Roman"/>
          <w:sz w:val="20"/>
        </w:rPr>
      </w:pPr>
      <w:r>
        <w:rPr>
          <w:rFonts w:ascii="Times New Roman" w:hAnsi="Times New Roman"/>
          <w:sz w:val="20"/>
        </w:rPr>
        <w:t xml:space="preserve">The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 We successfully passed our latest FCPA compliance review in 2023 with no findings. </w:t>
      </w:r>
    </w:p>
    <w:p>
      <w:pPr>
        <w:pStyle w:val="TextBody"/>
        <w:bidi w:val="0"/>
        <w:spacing w:before="360" w:after="0"/>
        <w:jc w:val="left"/>
        <w:rPr>
          <w:rFonts w:ascii="Times New Roman" w:hAnsi="Times New Roman"/>
          <w:b/>
          <w:sz w:val="20"/>
        </w:rPr>
      </w:pPr>
      <w:r>
        <w:rPr>
          <w:rFonts w:ascii="Times New Roman" w:hAnsi="Times New Roman"/>
          <w:b/>
          <w:sz w:val="20"/>
        </w:rPr>
        <w:t xml:space="preserve">Privacy and Data Protection Laws </w:t>
      </w:r>
    </w:p>
    <w:p>
      <w:pPr>
        <w:pStyle w:val="TextBody"/>
        <w:bidi w:val="0"/>
        <w:spacing w:before="120" w:after="0"/>
        <w:jc w:val="left"/>
        <w:rPr>
          <w:rFonts w:ascii="Times New Roman" w:hAnsi="Times New Roman"/>
          <w:sz w:val="20"/>
        </w:rPr>
      </w:pPr>
      <w:r>
        <w:rPr>
          <w:rFonts w:ascii="Times New Roman" w:hAnsi="Times New Roman"/>
          <w:sz w:val="20"/>
        </w:rPr>
        <w:t xml:space="preserve">Numerous federal and state laws and regulations, including HIPAA, as amended by the HITECH Act, govern the collection, dissemination, security, use and confidentiality of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CEs and their authorized business associates (BAs). Because we are a health care provider that electronically transmits health care information, and we also provide certain services to CEs and receive PHI from them, we are at times either a CE or a BA, as defined by HIPAA. Our subcontractors that create, receive, maintain, transmit or otherwise process PHI on our behalf are HIPAA BAs and must also comply with HIPAA, as applicable. </w:t>
      </w:r>
    </w:p>
    <w:p>
      <w:pPr>
        <w:pStyle w:val="TextBody"/>
        <w:bidi w:val="0"/>
        <w:spacing w:before="240" w:after="0"/>
        <w:jc w:val="left"/>
        <w:rPr>
          <w:rFonts w:ascii="Times New Roman" w:hAnsi="Times New Roman"/>
          <w:sz w:val="20"/>
        </w:rPr>
      </w:pPr>
      <w:r>
        <w:rPr>
          <w:rFonts w:ascii="Times New Roman" w:hAnsi="Times New Roman"/>
          <w:sz w:val="20"/>
        </w:rPr>
        <w:t xml:space="preserve">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HIPAAs breach notification rule, a CE must notify individuals, the Secretary of HHS, and in some circumstances, the media of certain breaches of unsecured PHI or ePHI, and similar breach notification provisions apply to certain BAs under the HITECH Act. </w:t>
      </w:r>
    </w:p>
    <w:p>
      <w:pPr>
        <w:pStyle w:val="TextBody"/>
        <w:bidi w:val="0"/>
        <w:spacing w:before="240" w:after="0"/>
        <w:jc w:val="left"/>
        <w:rPr>
          <w:rFonts w:ascii="Times New Roman" w:hAnsi="Times New Roman"/>
          <w:sz w:val="20"/>
        </w:rPr>
      </w:pPr>
      <w:r>
        <w:rPr>
          <w:rFonts w:ascii="Times New Roman" w:hAnsi="Times New Roman"/>
          <w:sz w:val="20"/>
        </w:rPr>
        <w:t xml:space="preserve">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mandates that the Secretary of HHS conduct periodic compliance audits of HIPAA CEs, such as us, and their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Colorado has enacted the Colorado Privacy Act, and Virginia has enacted the Consumer Data Protection Act, both of which also have standards that must be complied with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CCPA became effective on January 1, 2020 and was amended by the passage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California Privacy Rights Act (CPRA) in November of 2020, which amendments came into force on January 1, 2023.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the CPRA imposes additional data protection obligations on companies doing business in California, including additional consumer rights processes and opt outs for certain uses of sensitive data. It also creates a new California data protection agencythe California Privacy Protection Agencyspecifically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is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for example, in July 2023, the European Commission completed adoption of a new adequacy decision for data flows to the United States. However, it is widely expected that the new adequacy decision will itself face scrutiny from the Court of Justice, underscoring that GDPR compliance is an ongoing endeavor.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Cybersecurity </w:t>
      </w:r>
    </w:p>
    <w:p>
      <w:pPr>
        <w:pStyle w:val="TextBody"/>
        <w:bidi w:val="0"/>
        <w:spacing w:before="120" w:after="0"/>
        <w:jc w:val="left"/>
        <w:rPr>
          <w:rFonts w:ascii="Times New Roman" w:hAnsi="Times New Roman"/>
          <w:sz w:val="20"/>
        </w:rPr>
      </w:pPr>
      <w:r>
        <w:rPr>
          <w:rFonts w:ascii="Times New Roman" w:hAnsi="Times New Roman"/>
          <w:sz w:val="20"/>
        </w:rPr>
        <w:t xml:space="preserve">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Moreover, data security incidents or data breaches, as well as attacks on our IT systems, could result in operational disruptions or data loss or corruption that could adversely impact our business and operations, resulting in substantial investment of resources to investigate, recover and remediate and subject us to heightened regulatory scrutiny. See Risk Factors for additional information on our cybersecurity practices. </w:t>
      </w:r>
    </w:p>
    <w:p>
      <w:pPr>
        <w:pStyle w:val="TextBody"/>
        <w:bidi w:val="0"/>
        <w:spacing w:before="360" w:after="0"/>
        <w:jc w:val="left"/>
        <w:rPr>
          <w:rFonts w:ascii="Times New Roman" w:hAnsi="Times New Roman"/>
          <w:b/>
          <w:sz w:val="20"/>
        </w:rPr>
      </w:pPr>
      <w:r>
        <w:rPr>
          <w:rFonts w:ascii="Times New Roman" w:hAnsi="Times New Roman"/>
          <w:b/>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March 2010, the Patient Protection and Affordable Care Act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 </w:t>
      </w:r>
    </w:p>
    <w:p>
      <w:pPr>
        <w:pStyle w:val="TextBody"/>
        <w:bidi w:val="0"/>
        <w:spacing w:before="240" w:after="0"/>
        <w:jc w:val="left"/>
        <w:rPr>
          <w:rFonts w:ascii="Times New Roman" w:hAnsi="Times New Roman"/>
          <w:sz w:val="20"/>
        </w:rPr>
      </w:pPr>
      <w:r>
        <w:rPr>
          <w:rFonts w:ascii="Times New Roman" w:hAnsi="Times New Roman"/>
          <w:sz w:val="20"/>
        </w:rPr>
        <w:t xml:space="preserve">Beginning in 2017, the Trump administration sought to modify, repeal, or otherwise invalidate all, or certain provisions of, the ACA. The Trump administration issued three executive orders and other directives designed to delay the implementation of certain provisions of the ACA or otherwise circumvent some of the requirements for health insurance mandated by the ACA. For example, on December 20, 2019, President Trump signed appropriations legislation for fiscal year 2020 that repealed certain ACA-mandated fees, including the so-called Cadillac tax on certain high-cost employer-sponsored insurance plans, for tax years beginning after December 31, 2019; the annual fee imposed on certain health insurance providers based on market share, for calendar years beginning December 31, 2020; and the medical device excise tax on non-exempt medical devices, for sales after December 31, 2019. While Congress did not pass comprehensive legislation that would repeal all or part of the ACA, two bills affecting the implementation of certain taxes under the ACA have been signed into law. Specifically, the Tax Cuts and Jobs Act of 2017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Beginning in 2021, the Biden administration has signaled its intent to pursue policies strengthening the ACA.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Congressional action is taken. In 2020, the CARES Act temporarily suspended the 2% cut in Medicare payments from May 1, 2020 through December 31, 2020, and it extended the sequestration reductions through fiscal year 2030 to offset the cost of such temporary suspension. The Consolidated Appropriations Act of 2021 further extended the temporary suspension through March 31, 2021. On April 14, 2021, Congress enacted legislation that further extended the suspension through December 31, 2021. On December 10, 2021, further legislation was enacted to extend the suspension through March 31, 2022, after which a 1.0% sequestration applied for Medicare payments made between April 1, 2022 and June 30, 2022.</w:t>
      </w:r>
    </w:p>
    <w:p>
      <w:pPr>
        <w:pStyle w:val="TextBody"/>
        <w:bidi w:val="0"/>
        <w:spacing w:before="240" w:after="0"/>
        <w:jc w:val="left"/>
        <w:rPr>
          <w:rFonts w:ascii="Times New Roman" w:hAnsi="Times New Roman"/>
          <w:sz w:val="20"/>
        </w:rPr>
      </w:pPr>
      <w:r>
        <w:rPr>
          <w:rFonts w:ascii="Times New Roman" w:hAnsi="Times New Roman"/>
          <w:sz w:val="20"/>
        </w:rPr>
        <w:t xml:space="preserve">The American Taxpayer Relief Act of 2012 made other changes, including reduced Medicare payments to several types of providers and increased the statute of limitations period for the government to recover overpayments to providers from three to five years. If federal spending is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 Additionally, the Biden administration has already indicated a shift in direction from Trump administration policies by issuing orders and other documents rolling back regulations and Executive Orders from the Trump administration, and as noted, indicating that it will pursue policies strengthening the ACA.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in its enactment of the Consolidated Appropriations Act, Congress enacted the No Surprises Act. This law, which took effect January 1, 2022, bars out-of-network providers from billing patients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HHS to apply this exception to certain advanced tests. Regulations and subregulatory guidance were issued by HHS, the Department of Labor, and the Department of the Treasury in 2021 and 2022, with the first set of regulations was issued as an Interim Final Rule on July 1, 2021, a second set issued as an Interim Final Rule on September 30, 2021, and a third set issued as a Final Rule on August 19, 2022. These regulations and subregulatory guidance have provided additional information on the applicability of the No Surprises Act, the rules governing the independent dispute resolution process, and specific provider requirements (including the obligation to furnish a good faith estimates of expected charges to uninsured or self-pay patients), as well as areas of temporary enforcement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Health and Safety Regulations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potential bloodborne pathogens, hazardous materials and associated wastes. Our operations involve the generation, use, storage and disposal of hazardous materials as well as regulated medical waste, and the risk of injury, contamination or non-compliance with environmental, health and safety laws and regulations or permitting or licensing requirements cannot be eliminated. Compliance with environmental laws and regulations has not had a material effect on our capital expenditures, earning or competitive position. The Boulder, Colorado clinical laboratory passed an on-site inspection from the CDC in June 2021 due to COVID testing, which the Company no longer provides commercially. To date, there has not been a for cause Occupation Safety and Health Administration or Environmental Protection Agency inspection.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culture is underpinned by our cultural beliefs including an unwavering commitment to inclusion and diversity. We are committed to fostering a diverse and inclusive workplace that attracts and retains exceptional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talent offering opportunities for our team members to grow and develop in their careers, supported by a competitive suite of benefits and health and wellness programs. We regularly engage our team members in monthly all-hands meetings to align and focus on the current state of affairs of our business, our partnerships, new products, clinical trials, and other pertinent information about our business. We engage our team members in programs such as peer recognition and recruitment that focuses on recognizing outstanding individual contributions to company performance, cultural fit of new team members and acknowledging the diversity of our team to ensure our team members feel valued and can do their best work. We have a national annual community service initiative, Biodesix Gives Back that allows each team member to invest ten hours of paid community service to organizations of their choosing.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approximately 217 full-time and part-time employees, all of whom are located in the United States. The majority of our team member base is located in proximity to our corporate office and testing facilities located in Louisville, Colorado and our laboratory in De Soto, Kansas.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Diversity, Equity and Inclusion </w:t>
      </w:r>
    </w:p>
    <w:p>
      <w:pPr>
        <w:pStyle w:val="TextBody"/>
        <w:bidi w:val="0"/>
        <w:spacing w:before="120" w:after="0"/>
        <w:jc w:val="left"/>
        <w:rPr>
          <w:rFonts w:ascii="Times New Roman" w:hAnsi="Times New Roman"/>
          <w:sz w:val="20"/>
        </w:rPr>
      </w:pPr>
      <w:r>
        <w:rPr>
          <w:rFonts w:ascii="Times New Roman" w:hAnsi="Times New Roman"/>
          <w:sz w:val="20"/>
        </w:rPr>
        <w:t>We believe that a diverse employee population, including cultural background, gender, ethnicity, sexual orientation and lived experiences, is critical to our success. Our employees are encouraged to leverage their personal strengths and experiences to continually innovate and contribute to the development of new ideas and process improvements that drive better experiences for our partners.</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Engagement </w:t>
      </w:r>
    </w:p>
    <w:p>
      <w:pPr>
        <w:pStyle w:val="TextBody"/>
        <w:bidi w:val="0"/>
        <w:spacing w:before="120" w:after="0"/>
        <w:jc w:val="left"/>
        <w:rPr>
          <w:rFonts w:ascii="Times New Roman" w:hAnsi="Times New Roman"/>
          <w:sz w:val="20"/>
        </w:rPr>
      </w:pPr>
      <w:r>
        <w:rPr>
          <w:rFonts w:ascii="Times New Roman" w:hAnsi="Times New Roman"/>
          <w:sz w:val="20"/>
        </w:rPr>
        <w:t xml:space="preserve">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 engagement and retention. We regularly review feedback we receive on our current cultural beliefs to determine if any modifications are needed. During 2021, we updated our cultural beliefs to align with our core values that reflect our current focus on Teamwork, Innovation, Making an Impact and Excel. Additionally, the Company annually celebrates our top sales performers through our Presidents Club and other top company performers as nominated by fellow team members through our four (4) Performance Excellence Awards that recognize creativity and innovation, an entrepreneurial spirit, a strategic impact on the success of the Company and lastly, embodying the Biodesix cultural beliefs and goes above and beyond daily.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Training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We invest in our team members career growth and provide team members with a wide range of development opportunities, including face-to-face, virtual, and self-directed learning, mentoring, coaching, and external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 Safety and Wellness </w:t>
      </w:r>
    </w:p>
    <w:p>
      <w:pPr>
        <w:pStyle w:val="TextBody"/>
        <w:bidi w:val="0"/>
        <w:spacing w:before="120" w:after="0"/>
        <w:jc w:val="left"/>
        <w:rPr>
          <w:rFonts w:ascii="Times New Roman" w:hAnsi="Times New Roman"/>
          <w:sz w:val="20"/>
        </w:rPr>
      </w:pPr>
      <w:r>
        <w:rPr>
          <w:rFonts w:ascii="Times New Roman" w:hAnsi="Times New Roman"/>
          <w:sz w:val="20"/>
        </w:rPr>
        <w:t xml:space="preserve">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to enhance physical, financial, and mental well-being for all our team members.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 Equity </w:t>
      </w:r>
    </w:p>
    <w:p>
      <w:pPr>
        <w:pStyle w:val="TextBody"/>
        <w:bidi w:val="0"/>
        <w:spacing w:before="120" w:after="0"/>
        <w:jc w:val="left"/>
        <w:rPr>
          <w:rFonts w:ascii="Times New Roman" w:hAnsi="Times New Roman"/>
          <w:sz w:val="20"/>
        </w:rPr>
      </w:pPr>
      <w:r>
        <w:rPr>
          <w:rFonts w:ascii="Times New Roman" w:hAnsi="Times New Roman"/>
          <w:sz w:val="20"/>
        </w:rPr>
        <w:t xml:space="preserve">The main objective of our compensation program is to provide a compensation package that will attract, retain, motivate, and reward superior team members who operate in a highly competitive and technologically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 </w:t>
      </w:r>
    </w:p>
    <w:p>
      <w:pPr>
        <w:pStyle w:val="TextBody"/>
        <w:bidi w:val="0"/>
        <w:spacing w:before="240" w:after="0"/>
        <w:jc w:val="left"/>
        <w:rPr>
          <w:rFonts w:ascii="Times New Roman" w:hAnsi="Times New Roman"/>
          <w:sz w:val="20"/>
        </w:rPr>
      </w:pPr>
      <w:r>
        <w:rPr>
          <w:rFonts w:ascii="Times New Roman" w:hAnsi="Times New Roman"/>
          <w:sz w:val="20"/>
        </w:rPr>
        <w:t xml:space="preserve">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with, or furnish to, the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information provided on our website (or any other website referred to in this report) is not part of this prospectus and is not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827839_12"/>
      <w:bookmarkEnd w:id="14"/>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II, with a term expiring in 2025, Class III, with a term expiring in 2026 and Class I, with a term expiring in 2024. Each of our directors serve as a director until the election and qualification of his or her successor.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the brief biographies that follow provide information, as of April 16, 2024, about each director: </w:t>
      </w:r>
    </w:p>
    <w:p>
      <w:pPr>
        <w:pStyle w:val="TextBody"/>
        <w:bidi w:val="0"/>
        <w:spacing w:before="0" w:after="0"/>
        <w:jc w:val="left"/>
        <w:rPr/>
      </w:pPr>
      <w:r>
        <w:rPr/>
        <w:t> </w:t>
      </w:r>
    </w:p>
    <w:tbl>
      <w:tblPr>
        <w:tblW w:w="10300" w:type="dxa"/>
        <w:jc w:val="center"/>
        <w:tblInd w:w="0" w:type="dxa"/>
        <w:tblLayout w:type="fixed"/>
        <w:tblCellMar>
          <w:top w:w="0" w:type="dxa"/>
          <w:left w:w="0" w:type="dxa"/>
          <w:bottom w:w="0" w:type="dxa"/>
          <w:right w:w="0" w:type="dxa"/>
        </w:tblCellMar>
      </w:tblPr>
      <w:tblGrid>
        <w:gridCol w:w="1550"/>
        <w:gridCol w:w="60"/>
        <w:gridCol w:w="79"/>
        <w:gridCol w:w="346"/>
        <w:gridCol w:w="60"/>
        <w:gridCol w:w="60"/>
        <w:gridCol w:w="1205"/>
        <w:gridCol w:w="60"/>
        <w:gridCol w:w="93"/>
        <w:gridCol w:w="782"/>
        <w:gridCol w:w="60"/>
        <w:gridCol w:w="60"/>
        <w:gridCol w:w="560"/>
        <w:gridCol w:w="60"/>
        <w:gridCol w:w="860"/>
        <w:gridCol w:w="60"/>
        <w:gridCol w:w="1145"/>
        <w:gridCol w:w="60"/>
        <w:gridCol w:w="1310"/>
        <w:gridCol w:w="60"/>
        <w:gridCol w:w="545"/>
        <w:gridCol w:w="60"/>
        <w:gridCol w:w="545"/>
        <w:gridCol w:w="60"/>
        <w:gridCol w:w="560"/>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0" w:type="dxa"/>
            <w:gridSpan w:val="5"/>
            <w:tcBorders>
              <w:bottom w:val="single" w:sz="8" w:space="0" w:color="000000"/>
            </w:tcBorders>
            <w:tcMar>
              <w:bottom w:w="28" w:type="dxa"/>
            </w:tcMar>
            <w:vAlign w:val="bottom"/>
          </w:tcPr>
          <w:p>
            <w:pPr>
              <w:pStyle w:val="TableContents"/>
              <w:bidi w:val="0"/>
              <w:spacing w:before="0" w:after="283"/>
              <w:jc w:val="center"/>
              <w:rPr>
                <w:b/>
              </w:rPr>
            </w:pPr>
            <w:r>
              <w:rPr>
                <w:b/>
              </w:rPr>
              <w:t>Committee</w:t>
              <w:br/>
              <w:t>Membership*</w:t>
            </w:r>
          </w:p>
        </w:tc>
      </w:tr>
      <w:tr>
        <w:trPr/>
        <w:tc>
          <w:tcPr>
            <w:tcW w:w="15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bottom w:val="single" w:sz="8" w:space="0" w:color="000000"/>
            </w:tcBorders>
            <w:tcMar>
              <w:bottom w:w="28" w:type="dxa"/>
            </w:tcMar>
            <w:vAlign w:val="bottom"/>
          </w:tcPr>
          <w:p>
            <w:pPr>
              <w:pStyle w:val="TableContents"/>
              <w:bidi w:val="0"/>
              <w:spacing w:before="0" w:after="283"/>
              <w:jc w:val="center"/>
              <w:rPr>
                <w:b/>
              </w:rPr>
            </w:pPr>
            <w:r>
              <w:rPr>
                <w:b/>
              </w:rPr>
              <w:t>Position(s)</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Director</w:t>
              <w:br/>
              <w:t>Since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83"/>
              <w:jc w:val="center"/>
              <w:rPr>
                <w:b/>
              </w:rPr>
            </w:pPr>
            <w:r>
              <w:rPr>
                <w:b/>
              </w:rPr>
              <w:t>Class</w:t>
            </w:r>
          </w:p>
        </w:tc>
        <w:tc>
          <w:tcPr>
            <w:tcW w:w="60" w:type="dxa"/>
            <w:tcBorders/>
            <w:vAlign w:val="bottom"/>
          </w:tcPr>
          <w:p>
            <w:pPr>
              <w:pStyle w:val="TableContents"/>
              <w:bidi w:val="0"/>
              <w:spacing w:before="0" w:after="283"/>
              <w:jc w:val="left"/>
              <w:rPr/>
            </w:pPr>
            <w:r>
              <w:rPr/>
              <w:t> </w:t>
            </w:r>
          </w:p>
        </w:tc>
        <w:tc>
          <w:tcPr>
            <w:tcW w:w="860" w:type="dxa"/>
            <w:tcBorders>
              <w:bottom w:val="single" w:sz="8" w:space="0" w:color="000000"/>
            </w:tcBorders>
            <w:tcMar>
              <w:bottom w:w="28" w:type="dxa"/>
            </w:tcMar>
            <w:vAlign w:val="bottom"/>
          </w:tcPr>
          <w:p>
            <w:pPr>
              <w:pStyle w:val="TableContents"/>
              <w:bidi w:val="0"/>
              <w:spacing w:before="0" w:after="283"/>
              <w:jc w:val="center"/>
              <w:rPr>
                <w:b/>
              </w:rPr>
            </w:pPr>
            <w:r>
              <w:rPr>
                <w:b/>
              </w:rPr>
              <w:t>Current</w:t>
              <w:br/>
              <w:t>Term</w:t>
              <w:br/>
              <w:t>Expires</w:t>
            </w:r>
          </w:p>
        </w:tc>
        <w:tc>
          <w:tcPr>
            <w:tcW w:w="6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83"/>
              <w:jc w:val="center"/>
              <w:rPr/>
            </w:pPr>
            <w:r>
              <w:rPr>
                <w:b/>
              </w:rPr>
              <w:t>Expiration</w:t>
              <w:br/>
              <w:t>of Term</w:t>
            </w:r>
            <w:r>
              <w:rPr/>
              <w:br/>
            </w:r>
            <w:r>
              <w:rPr>
                <w:b/>
              </w:rPr>
              <w:t>for which</w:t>
              <w:br/>
              <w:t>Nominated</w:t>
            </w:r>
          </w:p>
        </w:tc>
        <w:tc>
          <w:tcPr>
            <w:tcW w:w="60" w:type="dxa"/>
            <w:tcBorders/>
            <w:vAlign w:val="bottom"/>
          </w:tcPr>
          <w:p>
            <w:pPr>
              <w:pStyle w:val="TableContents"/>
              <w:bidi w:val="0"/>
              <w:spacing w:before="0" w:after="283"/>
              <w:jc w:val="left"/>
              <w:rPr/>
            </w:pPr>
            <w:r>
              <w:rPr/>
              <w:t> </w:t>
            </w:r>
          </w:p>
        </w:tc>
        <w:tc>
          <w:tcPr>
            <w:tcW w:w="1310" w:type="dxa"/>
            <w:tcBorders>
              <w:bottom w:val="single" w:sz="8" w:space="0" w:color="000000"/>
            </w:tcBorders>
            <w:tcMar>
              <w:bottom w:w="28" w:type="dxa"/>
            </w:tcMar>
            <w:vAlign w:val="bottom"/>
          </w:tcPr>
          <w:p>
            <w:pPr>
              <w:pStyle w:val="TableContents"/>
              <w:bidi w:val="0"/>
              <w:spacing w:before="0" w:after="283"/>
              <w:jc w:val="center"/>
              <w:rPr>
                <w:b/>
              </w:rPr>
            </w:pPr>
            <w:r>
              <w:rPr>
                <w:b/>
              </w:rPr>
              <w:t>Independent</w:t>
            </w:r>
          </w:p>
        </w:tc>
        <w:tc>
          <w:tcPr>
            <w:tcW w:w="60" w:type="dxa"/>
            <w:tcBorders/>
            <w:vAlign w:val="bottom"/>
          </w:tcPr>
          <w:p>
            <w:pPr>
              <w:pStyle w:val="TableContents"/>
              <w:bidi w:val="0"/>
              <w:spacing w:before="0" w:after="283"/>
              <w:jc w:val="left"/>
              <w:rPr/>
            </w:pPr>
            <w:r>
              <w:rPr/>
              <w:t> </w:t>
            </w:r>
          </w:p>
        </w:tc>
        <w:tc>
          <w:tcPr>
            <w:tcW w:w="545" w:type="dxa"/>
            <w:tcBorders>
              <w:bottom w:val="single" w:sz="8" w:space="0" w:color="000000"/>
            </w:tcBorders>
            <w:tcMar>
              <w:bottom w:w="28" w:type="dxa"/>
            </w:tcMar>
            <w:vAlign w:val="bottom"/>
          </w:tcPr>
          <w:p>
            <w:pPr>
              <w:pStyle w:val="TableContents"/>
              <w:bidi w:val="0"/>
              <w:spacing w:before="0" w:after="283"/>
              <w:jc w:val="center"/>
              <w:rPr>
                <w:b/>
              </w:rPr>
            </w:pPr>
            <w:r>
              <w:rPr>
                <w:b/>
              </w:rPr>
              <w:t>AC</w:t>
            </w:r>
          </w:p>
        </w:tc>
        <w:tc>
          <w:tcPr>
            <w:tcW w:w="60" w:type="dxa"/>
            <w:tcBorders/>
            <w:vAlign w:val="bottom"/>
          </w:tcPr>
          <w:p>
            <w:pPr>
              <w:pStyle w:val="TableContents"/>
              <w:bidi w:val="0"/>
              <w:spacing w:before="0" w:after="283"/>
              <w:jc w:val="left"/>
              <w:rPr/>
            </w:pPr>
            <w:r>
              <w:rPr/>
              <w:t> </w:t>
            </w:r>
          </w:p>
        </w:tc>
        <w:tc>
          <w:tcPr>
            <w:tcW w:w="545" w:type="dxa"/>
            <w:tcBorders>
              <w:bottom w:val="single" w:sz="8" w:space="0" w:color="000000"/>
            </w:tcBorders>
            <w:tcMar>
              <w:bottom w:w="28" w:type="dxa"/>
            </w:tcMar>
            <w:vAlign w:val="bottom"/>
          </w:tcPr>
          <w:p>
            <w:pPr>
              <w:pStyle w:val="TableContents"/>
              <w:bidi w:val="0"/>
              <w:spacing w:before="0" w:after="283"/>
              <w:jc w:val="center"/>
              <w:rPr>
                <w:b/>
              </w:rPr>
            </w:pPr>
            <w:r>
              <w:rPr>
                <w:b/>
              </w:rPr>
              <w:t>CC</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83"/>
              <w:jc w:val="center"/>
              <w:rPr>
                <w:b/>
              </w:rPr>
            </w:pPr>
            <w:r>
              <w:rPr>
                <w:b/>
              </w:rPr>
              <w:t>NCG</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 Faiz Kayyem, Ph.D.</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60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tcPr>
          <w:p>
            <w:pPr>
              <w:pStyle w:val="TableContents"/>
              <w:bidi w:val="0"/>
              <w:spacing w:before="0" w:after="283"/>
              <w:jc w:val="center"/>
              <w:rPr/>
            </w:pPr>
            <w:r>
              <w:rPr/>
              <w:t>Director</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82" w:type="dxa"/>
            <w:tcBorders/>
            <w:shd w:fill="CCEEFF" w:val="clear"/>
          </w:tcPr>
          <w:p>
            <w:pPr>
              <w:pStyle w:val="TableContents"/>
              <w:bidi w:val="0"/>
              <w:spacing w:before="0" w:after="283"/>
              <w:jc w:val="right"/>
              <w:rPr/>
            </w:pPr>
            <w:r>
              <w:rPr/>
              <w:t>2021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center"/>
              <w:rPr/>
            </w:pPr>
            <w:r>
              <w:rPr/>
              <w:t>I</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center"/>
              <w:rPr/>
            </w:pPr>
            <w:r>
              <w:rPr/>
              <w:t>2024</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tcPr>
          <w:p>
            <w:pPr>
              <w:pStyle w:val="TableContents"/>
              <w:bidi w:val="0"/>
              <w:spacing w:before="0" w:after="283"/>
              <w:jc w:val="center"/>
              <w:rPr/>
            </w:pPr>
            <w:r>
              <w:rPr/>
              <w:t>2027</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tcPr>
          <w:p>
            <w:pPr>
              <w:pStyle w:val="TableContents"/>
              <w:bidi w:val="0"/>
              <w:spacing w:before="0" w:after="283"/>
              <w:jc w:val="center"/>
              <w:rPr/>
            </w:pPr>
            <w:r>
              <w:rPr/>
              <w:t>Yes</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center"/>
              <w:rPr/>
            </w:pPr>
            <w:r>
              <w:rPr/>
              <w:t>X</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20"/>
              </w:rPr>
            </w:pPr>
            <w:r>
              <w:rPr>
                <w:rFonts w:ascii="Times New Roman" w:hAnsi="Times New Roman"/>
                <w:sz w:val="20"/>
              </w:rPr>
              <w:t>Scott Hutton</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52</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tcPr>
          <w:p>
            <w:pPr>
              <w:pStyle w:val="TableContents"/>
              <w:bidi w:val="0"/>
              <w:jc w:val="center"/>
              <w:rPr/>
            </w:pPr>
            <w:r>
              <w:rPr/>
              <w:t>President,</w:t>
              <w:br/>
              <w:t>Chief</w:t>
            </w:r>
          </w:p>
          <w:p>
            <w:pPr>
              <w:pStyle w:val="TableContents"/>
              <w:bidi w:val="0"/>
              <w:spacing w:before="0" w:after="0"/>
              <w:jc w:val="center"/>
              <w:rPr>
                <w:rFonts w:ascii="Times New Roman" w:hAnsi="Times New Roman"/>
                <w:sz w:val="20"/>
              </w:rPr>
            </w:pPr>
            <w:r>
              <w:rPr>
                <w:rFonts w:ascii="Times New Roman" w:hAnsi="Times New Roman"/>
                <w:sz w:val="20"/>
              </w:rPr>
              <w:t>Executive</w:t>
              <w:br/>
              <w:t>Officer and</w:t>
            </w:r>
          </w:p>
          <w:p>
            <w:pPr>
              <w:pStyle w:val="TableContents"/>
              <w:bidi w:val="0"/>
              <w:spacing w:before="0" w:after="20"/>
              <w:jc w:val="center"/>
              <w:rPr>
                <w:rFonts w:ascii="Times New Roman" w:hAnsi="Times New Roman"/>
                <w:sz w:val="20"/>
              </w:rPr>
            </w:pPr>
            <w:r>
              <w:rPr>
                <w:rFonts w:ascii="Times New Roman" w:hAnsi="Times New Roman"/>
                <w:sz w:val="20"/>
              </w:rPr>
              <w:t>Director</w:t>
            </w:r>
          </w:p>
        </w:tc>
        <w:tc>
          <w:tcPr>
            <w:tcW w:w="60"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82" w:type="dxa"/>
            <w:tcBorders/>
          </w:tcPr>
          <w:p>
            <w:pPr>
              <w:pStyle w:val="TableContents"/>
              <w:bidi w:val="0"/>
              <w:spacing w:before="0" w:after="283"/>
              <w:jc w:val="right"/>
              <w:rPr/>
            </w:pPr>
            <w:r>
              <w:rPr/>
              <w:t>2020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tcPr>
          <w:p>
            <w:pPr>
              <w:pStyle w:val="TableContents"/>
              <w:bidi w:val="0"/>
              <w:spacing w:before="0" w:after="283"/>
              <w:jc w:val="center"/>
              <w:rPr/>
            </w:pPr>
            <w:r>
              <w:rPr/>
              <w:t>I</w:t>
            </w:r>
          </w:p>
        </w:tc>
        <w:tc>
          <w:tcPr>
            <w:tcW w:w="60"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2024</w:t>
            </w:r>
          </w:p>
        </w:tc>
        <w:tc>
          <w:tcPr>
            <w:tcW w:w="6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pPr>
            <w:r>
              <w:rPr/>
              <w:t>2027</w:t>
            </w:r>
          </w:p>
        </w:tc>
        <w:tc>
          <w:tcPr>
            <w:tcW w:w="6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No</w:t>
            </w:r>
          </w:p>
        </w:tc>
        <w:tc>
          <w:tcPr>
            <w:tcW w:w="60" w:type="dxa"/>
            <w:tcBorders/>
            <w:vAlign w:val="bottom"/>
          </w:tcPr>
          <w:p>
            <w:pPr>
              <w:pStyle w:val="TableContents"/>
              <w:bidi w:val="0"/>
              <w:spacing w:before="0" w:after="283"/>
              <w:jc w:val="left"/>
              <w:rPr/>
            </w:pPr>
            <w:r>
              <w:rPr/>
              <w:t> </w:t>
            </w:r>
          </w:p>
        </w:tc>
        <w:tc>
          <w:tcPr>
            <w:tcW w:w="5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Patience</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76</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tcPr>
          <w:p>
            <w:pPr>
              <w:pStyle w:val="TableContents"/>
              <w:bidi w:val="0"/>
              <w:spacing w:before="0" w:after="283"/>
              <w:jc w:val="center"/>
              <w:rPr/>
            </w:pPr>
            <w:r>
              <w:rPr/>
              <w:t>Chairman of</w:t>
              <w:br/>
              <w:t>the Board</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82" w:type="dxa"/>
            <w:tcBorders/>
            <w:shd w:fill="CCEEFF" w:val="clear"/>
          </w:tcPr>
          <w:p>
            <w:pPr>
              <w:pStyle w:val="TableContents"/>
              <w:bidi w:val="0"/>
              <w:spacing w:before="0" w:after="283"/>
              <w:jc w:val="right"/>
              <w:rPr/>
            </w:pPr>
            <w:r>
              <w:rPr/>
              <w:t>2008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center"/>
              <w:rPr/>
            </w:pPr>
            <w:r>
              <w:rPr/>
              <w:t>I</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center"/>
              <w:rPr/>
            </w:pPr>
            <w:r>
              <w:rPr/>
              <w:t>2024</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tcPr>
          <w:p>
            <w:pPr>
              <w:pStyle w:val="TableContents"/>
              <w:bidi w:val="0"/>
              <w:spacing w:before="0" w:after="283"/>
              <w:jc w:val="center"/>
              <w:rPr/>
            </w:pPr>
            <w:r>
              <w:rPr/>
              <w:t>2027</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tcPr>
          <w:p>
            <w:pPr>
              <w:pStyle w:val="TableContents"/>
              <w:bidi w:val="0"/>
              <w:spacing w:before="0" w:after="283"/>
              <w:jc w:val="center"/>
              <w:rPr/>
            </w:pPr>
            <w:r>
              <w:rPr/>
              <w:t>Yes</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center"/>
              <w:rPr/>
            </w:pPr>
            <w:r>
              <w:rPr/>
              <w:t>X</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20"/>
              </w:rPr>
            </w:pPr>
            <w:r>
              <w:rPr>
                <w:rFonts w:ascii="Times New Roman" w:hAnsi="Times New Roman"/>
                <w:sz w:val="20"/>
              </w:rPr>
              <w:t>Lawrence T. Kennedy, Jr.</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52</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tcPr>
          <w:p>
            <w:pPr>
              <w:pStyle w:val="TableContents"/>
              <w:bidi w:val="0"/>
              <w:spacing w:before="0" w:after="283"/>
              <w:jc w:val="center"/>
              <w:rPr/>
            </w:pPr>
            <w:r>
              <w:rPr/>
              <w:t>Director</w:t>
            </w:r>
          </w:p>
        </w:tc>
        <w:tc>
          <w:tcPr>
            <w:tcW w:w="60"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82"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tcPr>
          <w:p>
            <w:pPr>
              <w:pStyle w:val="TableContents"/>
              <w:bidi w:val="0"/>
              <w:spacing w:before="0" w:after="283"/>
              <w:jc w:val="center"/>
              <w:rPr/>
            </w:pPr>
            <w:r>
              <w:rPr/>
              <w:t>II</w:t>
            </w:r>
          </w:p>
        </w:tc>
        <w:tc>
          <w:tcPr>
            <w:tcW w:w="60"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Yes</w:t>
            </w:r>
          </w:p>
        </w:tc>
        <w:tc>
          <w:tcPr>
            <w:tcW w:w="60" w:type="dxa"/>
            <w:tcBorders/>
            <w:vAlign w:val="bottom"/>
          </w:tcPr>
          <w:p>
            <w:pPr>
              <w:pStyle w:val="TableContents"/>
              <w:bidi w:val="0"/>
              <w:spacing w:before="0" w:after="283"/>
              <w:jc w:val="left"/>
              <w:rPr/>
            </w:pPr>
            <w:r>
              <w:rPr/>
              <w:t> </w:t>
            </w:r>
          </w:p>
        </w:tc>
        <w:tc>
          <w:tcPr>
            <w:tcW w:w="545" w:type="dxa"/>
            <w:tcBorders/>
          </w:tcPr>
          <w:p>
            <w:pPr>
              <w:pStyle w:val="TableContents"/>
              <w:bidi w:val="0"/>
              <w:spacing w:before="0" w:after="283"/>
              <w:jc w:val="center"/>
              <w:rPr/>
            </w:pPr>
            <w:r>
              <w:rPr/>
              <w:t>X</w:t>
            </w:r>
          </w:p>
        </w:tc>
        <w:tc>
          <w:tcPr>
            <w:tcW w:w="60" w:type="dxa"/>
            <w:tcBorders/>
            <w:vAlign w:val="bottom"/>
          </w:tcPr>
          <w:p>
            <w:pPr>
              <w:pStyle w:val="TableContents"/>
              <w:bidi w:val="0"/>
              <w:spacing w:before="0" w:after="283"/>
              <w:jc w:val="left"/>
              <w:rPr/>
            </w:pPr>
            <w:r>
              <w:rPr/>
              <w:t> </w:t>
            </w:r>
          </w:p>
        </w:tc>
        <w:tc>
          <w:tcPr>
            <w:tcW w:w="5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Matthew Strobeck, Ph.D.</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51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tcPr>
          <w:p>
            <w:pPr>
              <w:pStyle w:val="TableContents"/>
              <w:bidi w:val="0"/>
              <w:spacing w:before="0" w:after="283"/>
              <w:jc w:val="center"/>
              <w:rPr/>
            </w:pPr>
            <w:r>
              <w:rPr/>
              <w:t>Director</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82" w:type="dxa"/>
            <w:tcBorders/>
            <w:shd w:fill="CCEEFF" w:val="clear"/>
          </w:tcPr>
          <w:p>
            <w:pPr>
              <w:pStyle w:val="TableContents"/>
              <w:bidi w:val="0"/>
              <w:spacing w:before="0" w:after="283"/>
              <w:jc w:val="right"/>
              <w:rPr/>
            </w:pPr>
            <w:r>
              <w:rPr/>
              <w:t>2012</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center"/>
              <w:rPr/>
            </w:pPr>
            <w:r>
              <w:rPr/>
              <w:t>II</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center"/>
              <w:rPr/>
            </w:pPr>
            <w:r>
              <w:rPr/>
              <w:t>2025</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tcPr>
          <w:p>
            <w:pPr>
              <w:pStyle w:val="TableContents"/>
              <w:bidi w:val="0"/>
              <w:spacing w:before="0" w:after="283"/>
              <w:jc w:val="center"/>
              <w:rPr/>
            </w:pPr>
            <w:r>
              <w:rPr/>
              <w:t>Yes</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center"/>
              <w:rPr/>
            </w:pPr>
            <w:r>
              <w:rPr/>
              <w:t>X</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center"/>
              <w:rPr/>
            </w:pPr>
            <w:r>
              <w:rPr/>
              <w:t>Chair</w:t>
            </w:r>
          </w:p>
        </w:tc>
      </w:tr>
      <w:tr>
        <w:trPr/>
        <w:tc>
          <w:tcPr>
            <w:tcW w:w="1550" w:type="dxa"/>
            <w:tcBorders/>
          </w:tcPr>
          <w:p>
            <w:pPr>
              <w:pStyle w:val="TableContents"/>
              <w:bidi w:val="0"/>
              <w:spacing w:before="0" w:after="0"/>
              <w:jc w:val="left"/>
              <w:rPr>
                <w:rFonts w:ascii="Times New Roman" w:hAnsi="Times New Roman"/>
                <w:sz w:val="20"/>
              </w:rPr>
            </w:pPr>
            <w:r>
              <w:rPr>
                <w:rFonts w:ascii="Times New Roman" w:hAnsi="Times New Roman"/>
                <w:sz w:val="20"/>
              </w:rPr>
              <w:t>Charles Watts, M.D.</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81</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tcPr>
          <w:p>
            <w:pPr>
              <w:pStyle w:val="TableContents"/>
              <w:bidi w:val="0"/>
              <w:spacing w:before="0" w:after="283"/>
              <w:jc w:val="center"/>
              <w:rPr/>
            </w:pPr>
            <w:r>
              <w:rPr/>
              <w:t>Director</w:t>
            </w:r>
          </w:p>
        </w:tc>
        <w:tc>
          <w:tcPr>
            <w:tcW w:w="60"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82" w:type="dxa"/>
            <w:tcBorders/>
          </w:tcPr>
          <w:p>
            <w:pPr>
              <w:pStyle w:val="TableContents"/>
              <w:bidi w:val="0"/>
              <w:spacing w:before="0" w:after="283"/>
              <w:jc w:val="right"/>
              <w:rPr/>
            </w:pPr>
            <w:r>
              <w:rPr/>
              <w:t>2019</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tcPr>
          <w:p>
            <w:pPr>
              <w:pStyle w:val="TableContents"/>
              <w:bidi w:val="0"/>
              <w:spacing w:before="0" w:after="283"/>
              <w:jc w:val="center"/>
              <w:rPr/>
            </w:pPr>
            <w:r>
              <w:rPr/>
              <w:t>II</w:t>
            </w:r>
          </w:p>
        </w:tc>
        <w:tc>
          <w:tcPr>
            <w:tcW w:w="60"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Yes</w:t>
            </w:r>
          </w:p>
        </w:tc>
        <w:tc>
          <w:tcPr>
            <w:tcW w:w="60" w:type="dxa"/>
            <w:tcBorders/>
            <w:vAlign w:val="bottom"/>
          </w:tcPr>
          <w:p>
            <w:pPr>
              <w:pStyle w:val="TableContents"/>
              <w:bidi w:val="0"/>
              <w:spacing w:before="0" w:after="283"/>
              <w:jc w:val="left"/>
              <w:rPr/>
            </w:pPr>
            <w:r>
              <w:rPr/>
              <w:t> </w:t>
            </w:r>
          </w:p>
        </w:tc>
        <w:tc>
          <w:tcPr>
            <w:tcW w:w="5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45" w:type="dxa"/>
            <w:tcBorders/>
          </w:tcPr>
          <w:p>
            <w:pPr>
              <w:pStyle w:val="TableContents"/>
              <w:bidi w:val="0"/>
              <w:spacing w:before="0" w:after="283"/>
              <w:jc w:val="center"/>
              <w:rPr/>
            </w:pPr>
            <w:r>
              <w:rPr/>
              <w:t>X</w:t>
            </w:r>
          </w:p>
        </w:tc>
        <w:tc>
          <w:tcPr>
            <w:tcW w:w="60" w:type="dxa"/>
            <w:tcBorders/>
            <w:vAlign w:val="bottom"/>
          </w:tcPr>
          <w:p>
            <w:pPr>
              <w:pStyle w:val="TableContents"/>
              <w:bidi w:val="0"/>
              <w:spacing w:before="0" w:after="283"/>
              <w:jc w:val="left"/>
              <w:rPr/>
            </w:pPr>
            <w:r>
              <w:rPr/>
              <w:t> </w:t>
            </w:r>
          </w:p>
        </w:tc>
        <w:tc>
          <w:tcPr>
            <w:tcW w:w="560" w:type="dxa"/>
            <w:tcBorders/>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Jean Franchi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57</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tcPr>
          <w:p>
            <w:pPr>
              <w:pStyle w:val="TableContents"/>
              <w:bidi w:val="0"/>
              <w:spacing w:before="0" w:after="283"/>
              <w:jc w:val="center"/>
              <w:rPr/>
            </w:pPr>
            <w:r>
              <w:rPr/>
              <w:t>Director</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82" w:type="dxa"/>
            <w:tcBorders/>
            <w:shd w:fill="CCEEFF" w:val="clear"/>
          </w:tcPr>
          <w:p>
            <w:pPr>
              <w:pStyle w:val="TableContents"/>
              <w:bidi w:val="0"/>
              <w:spacing w:before="0" w:after="283"/>
              <w:jc w:val="right"/>
              <w:rPr/>
            </w:pPr>
            <w:r>
              <w:rPr/>
              <w:t>2020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center"/>
              <w:rPr/>
            </w:pPr>
            <w:r>
              <w:rPr/>
              <w:t>III</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center"/>
              <w:rPr/>
            </w:pPr>
            <w:r>
              <w:rPr/>
              <w:t>2026</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tcPr>
          <w:p>
            <w:pPr>
              <w:pStyle w:val="TableContents"/>
              <w:bidi w:val="0"/>
              <w:spacing w:before="0" w:after="283"/>
              <w:jc w:val="center"/>
              <w:rPr/>
            </w:pPr>
            <w:r>
              <w:rPr/>
              <w:t>Yes</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center"/>
              <w:rPr/>
            </w:pPr>
            <w:r>
              <w:rPr/>
              <w:t>Chair</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center"/>
              <w:rPr/>
            </w:pPr>
            <w:r>
              <w:rPr/>
              <w:t>X</w:t>
            </w:r>
          </w:p>
        </w:tc>
      </w:tr>
      <w:tr>
        <w:trPr/>
        <w:tc>
          <w:tcPr>
            <w:tcW w:w="1550" w:type="dxa"/>
            <w:tcBorders/>
          </w:tcPr>
          <w:p>
            <w:pPr>
              <w:pStyle w:val="TableContents"/>
              <w:bidi w:val="0"/>
              <w:spacing w:before="0" w:after="0"/>
              <w:jc w:val="left"/>
              <w:rPr>
                <w:rFonts w:ascii="Times New Roman" w:hAnsi="Times New Roman"/>
                <w:sz w:val="20"/>
              </w:rPr>
            </w:pPr>
            <w:r>
              <w:rPr>
                <w:rFonts w:ascii="Times New Roman" w:hAnsi="Times New Roman"/>
                <w:sz w:val="20"/>
              </w:rPr>
              <w:t>Hany Massarany</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62</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tcPr>
          <w:p>
            <w:pPr>
              <w:pStyle w:val="TableContents"/>
              <w:bidi w:val="0"/>
              <w:spacing w:before="0" w:after="283"/>
              <w:jc w:val="center"/>
              <w:rPr/>
            </w:pPr>
            <w:r>
              <w:rPr/>
              <w:t>Director</w:t>
            </w:r>
          </w:p>
        </w:tc>
        <w:tc>
          <w:tcPr>
            <w:tcW w:w="60"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82" w:type="dxa"/>
            <w:tcBorders/>
          </w:tcPr>
          <w:p>
            <w:pPr>
              <w:pStyle w:val="TableContents"/>
              <w:bidi w:val="0"/>
              <w:spacing w:before="0" w:after="283"/>
              <w:jc w:val="right"/>
              <w:rPr/>
            </w:pPr>
            <w:r>
              <w:rPr/>
              <w:t>2020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tcPr>
          <w:p>
            <w:pPr>
              <w:pStyle w:val="TableContents"/>
              <w:bidi w:val="0"/>
              <w:spacing w:before="0" w:after="283"/>
              <w:jc w:val="center"/>
              <w:rPr/>
            </w:pPr>
            <w:r>
              <w:rPr/>
              <w:t>III</w:t>
            </w:r>
          </w:p>
        </w:tc>
        <w:tc>
          <w:tcPr>
            <w:tcW w:w="60"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Yes</w:t>
            </w:r>
          </w:p>
        </w:tc>
        <w:tc>
          <w:tcPr>
            <w:tcW w:w="60" w:type="dxa"/>
            <w:tcBorders/>
            <w:vAlign w:val="bottom"/>
          </w:tcPr>
          <w:p>
            <w:pPr>
              <w:pStyle w:val="TableContents"/>
              <w:bidi w:val="0"/>
              <w:spacing w:before="0" w:after="283"/>
              <w:jc w:val="left"/>
              <w:rPr/>
            </w:pPr>
            <w:r>
              <w:rPr/>
              <w:t> </w:t>
            </w:r>
          </w:p>
        </w:tc>
        <w:tc>
          <w:tcPr>
            <w:tcW w:w="545" w:type="dxa"/>
            <w:tcBorders/>
          </w:tcPr>
          <w:p>
            <w:pPr>
              <w:pStyle w:val="TableContents"/>
              <w:bidi w:val="0"/>
              <w:spacing w:before="0" w:after="283"/>
              <w:jc w:val="center"/>
              <w:rPr/>
            </w:pPr>
            <w:r>
              <w:rPr/>
              <w:t>X</w:t>
            </w:r>
          </w:p>
        </w:tc>
        <w:tc>
          <w:tcPr>
            <w:tcW w:w="60" w:type="dxa"/>
            <w:tcBorders/>
            <w:vAlign w:val="bottom"/>
          </w:tcPr>
          <w:p>
            <w:pPr>
              <w:pStyle w:val="TableContents"/>
              <w:bidi w:val="0"/>
              <w:spacing w:before="0" w:after="283"/>
              <w:jc w:val="left"/>
              <w:rPr/>
            </w:pPr>
            <w:r>
              <w:rPr/>
              <w:t> </w:t>
            </w:r>
          </w:p>
        </w:tc>
        <w:tc>
          <w:tcPr>
            <w:tcW w:w="545" w:type="dxa"/>
            <w:tcBorders/>
          </w:tcPr>
          <w:p>
            <w:pPr>
              <w:pStyle w:val="TableContents"/>
              <w:bidi w:val="0"/>
              <w:spacing w:before="0" w:after="283"/>
              <w:jc w:val="center"/>
              <w:rPr/>
            </w:pPr>
            <w:r>
              <w:rPr/>
              <w:t>Chair</w:t>
            </w:r>
          </w:p>
        </w:tc>
        <w:tc>
          <w:tcPr>
            <w:tcW w:w="60" w:type="dxa"/>
            <w:tcBorders/>
            <w:vAlign w:val="bottom"/>
          </w:tcPr>
          <w:p>
            <w:pPr>
              <w:pStyle w:val="TableContents"/>
              <w:bidi w:val="0"/>
              <w:spacing w:before="0" w:after="283"/>
              <w:jc w:val="left"/>
              <w:rPr/>
            </w:pPr>
            <w:r>
              <w:rPr/>
              <w:t> </w:t>
            </w:r>
          </w:p>
        </w:tc>
        <w:tc>
          <w:tcPr>
            <w:tcW w:w="560" w:type="dxa"/>
            <w:tcBorders/>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Jack Schuler</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83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tcPr>
          <w:p>
            <w:pPr>
              <w:pStyle w:val="TableContents"/>
              <w:bidi w:val="0"/>
              <w:spacing w:before="0" w:after="283"/>
              <w:jc w:val="center"/>
              <w:rPr/>
            </w:pPr>
            <w:r>
              <w:rPr/>
              <w:t>Director</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82" w:type="dxa"/>
            <w:tcBorders/>
            <w:shd w:fill="CCEEFF" w:val="clear"/>
          </w:tcPr>
          <w:p>
            <w:pPr>
              <w:pStyle w:val="TableContents"/>
              <w:bidi w:val="0"/>
              <w:spacing w:before="0" w:after="283"/>
              <w:jc w:val="right"/>
              <w:rPr/>
            </w:pPr>
            <w:r>
              <w:rPr/>
              <w:t>2008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center"/>
              <w:rPr/>
            </w:pPr>
            <w:r>
              <w:rPr/>
              <w:t>III</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center"/>
              <w:rPr/>
            </w:pPr>
            <w:r>
              <w:rPr/>
              <w:t>2026</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tcPr>
          <w:p>
            <w:pPr>
              <w:pStyle w:val="TableContents"/>
              <w:bidi w:val="0"/>
              <w:spacing w:before="0" w:after="283"/>
              <w:jc w:val="center"/>
              <w:rPr/>
            </w:pPr>
            <w:r>
              <w:rPr/>
              <w:t>Yes</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center"/>
              <w:rPr/>
            </w:pPr>
            <w:r>
              <w:rPr/>
              <w:t>X</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b/>
                <w:sz w:val="20"/>
              </w:rPr>
              <w:t>AC</w:t>
            </w:r>
            <w:r>
              <w:rPr>
                <w:rFonts w:ascii="Times New Roman" w:hAnsi="Times New Roman"/>
                <w:sz w:val="20"/>
              </w:rPr>
              <w:t xml:space="preserve">Audit Committee; </w:t>
            </w:r>
            <w:r>
              <w:rPr>
                <w:rFonts w:ascii="Times New Roman" w:hAnsi="Times New Roman"/>
                <w:b/>
                <w:sz w:val="20"/>
              </w:rPr>
              <w:t>CC</w:t>
            </w:r>
            <w:r>
              <w:rPr>
                <w:rFonts w:ascii="Times New Roman" w:hAnsi="Times New Roman"/>
                <w:sz w:val="20"/>
              </w:rPr>
              <w:t xml:space="preserve">Compensation Committee; </w:t>
            </w:r>
            <w:r>
              <w:rPr>
                <w:rFonts w:ascii="Times New Roman" w:hAnsi="Times New Roman"/>
                <w:b/>
                <w:sz w:val="20"/>
              </w:rPr>
              <w:t>NCG</w:t>
            </w:r>
            <w:r>
              <w:rPr>
                <w:rFonts w:ascii="Times New Roman" w:hAnsi="Times New Roman"/>
                <w:sz w:val="20"/>
              </w:rPr>
              <w:t xml:space="preserve">Nominating and Corporate Governance Committee </w:t>
            </w:r>
          </w:p>
        </w:tc>
      </w:tr>
    </w:tbl>
    <w:p>
      <w:pPr>
        <w:pStyle w:val="TextBody"/>
        <w:bidi w:val="0"/>
        <w:spacing w:before="240" w:after="0"/>
        <w:jc w:val="left"/>
        <w:rPr>
          <w:rFonts w:ascii="Times New Roman" w:hAnsi="Times New Roman"/>
          <w:sz w:val="20"/>
        </w:rPr>
      </w:pPr>
      <w:r>
        <w:rPr>
          <w:rFonts w:ascii="Times New Roman" w:hAnsi="Times New Roman"/>
          <w:b/>
          <w:i/>
          <w:sz w:val="20"/>
        </w:rPr>
        <w:t>Jon Faiz Kayyem, Ph.D.</w:t>
      </w:r>
      <w:r>
        <w:rPr>
          <w:rFonts w:ascii="Times New Roman" w:hAnsi="Times New Roman"/>
          <w:sz w:val="20"/>
        </w:rPr>
        <w:t xml:space="preserve"> has served as a Director of the Company since December 2021. Dr. Kayyem has over 20 years of experience inventing, patenting, licensing, developing, and commercializing novel solutions for molecular diagnostics and DNA detection opportunities. Dr. Kayyem has served in various leadership positions throughout his career. He held numerous roles at GenMark Diagnostics, Inc., including Founder, CEO and President, Chief Scientific Officer, Senior Vice President of Research and Development. Prior to his work at GenMark Diagnostics, Dr. Kayyem served as director and founder of Calimmune, Inc. and was Vice President of Life Sciences at Motorola Solutions, Inc.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Inhibrx, Inc.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Dr. Kayyem is qualified to serve on our board of directors because of his experience in leadership and management roles in the field of medicine, as well as his experience as a board member and investor in companies in the healthcare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Scott Hutton</w:t>
      </w:r>
      <w:r>
        <w:rPr>
          <w:rFonts w:ascii="Times New Roman" w:hAnsi="Times New Roman"/>
          <w:sz w:val="20"/>
        </w:rPr>
        <w:t xml:space="preserve"> has served as our President, Chief Executive Officer and Director since January 2020, and previously held the role of Chief Operating Officer from March 2018 to December 2019. Mr. Hutton also serves as a director and board secretary for the Coalition for 21st Century Medicine, a non-profit organization that advocates for high-quality diagnostic testing availability. Additionally, Mr. Hutton has served on the board of directors of Eximis Surgical, Inc. since February 2018 and was on the board of the Colorado Bioscience Association from April 2011 to April 2013. Mr. Hutton was an observer on the board of directors of Aqueduct Critical Care, Inc. from September 2014 to January 2017, and an observer on the Board of Visualase, Inc. from October 2012 to July 2014. Mr. Hutton joined Biodesix from Spectranetics Corp. (Spectranetics),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Medtronic plc </w:t>
      </w:r>
      <w:r>
        <w:rPr>
          <w:rFonts w:ascii="Times New Roman" w:hAnsi="Times New Roman"/>
          <w:i/>
          <w:sz w:val="20"/>
        </w:rPr>
        <w:t>Wallin Leadership Award</w:t>
      </w:r>
      <w:r>
        <w:rPr>
          <w:rFonts w:ascii="Times New Roman" w:hAnsi="Times New Roman"/>
          <w:sz w:val="20"/>
        </w:rPr>
        <w:t xml:space="preserve"> for his focus on talent development, business performance, and his personal and intentional demonstration of leadership.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Hutton is qualified to serve on our board of directors because of his experience in leadership and management roles at our Company, as well as his experience as a board member in the healthcare and medical device industries. </w:t>
      </w:r>
    </w:p>
    <w:p>
      <w:pPr>
        <w:pStyle w:val="TextBody"/>
        <w:bidi w:val="0"/>
        <w:spacing w:before="240" w:after="0"/>
        <w:jc w:val="left"/>
        <w:rPr>
          <w:rFonts w:ascii="Times New Roman" w:hAnsi="Times New Roman"/>
          <w:sz w:val="20"/>
        </w:rPr>
      </w:pPr>
      <w:r>
        <w:rPr>
          <w:rFonts w:ascii="Times New Roman" w:hAnsi="Times New Roman"/>
          <w:b/>
          <w:i/>
          <w:sz w:val="20"/>
        </w:rPr>
        <w:t>John Patience</w:t>
      </w:r>
      <w:r>
        <w:rPr>
          <w:rFonts w:ascii="Times New Roman" w:hAnsi="Times New Roman"/>
          <w:sz w:val="20"/>
        </w:rPr>
        <w:t xml:space="preserve"> has served as a Director of the Company since June 2008 and as Chairman of the Board since September 2020. Mr. Patience currently serves as a director (since 2012) of Accelerate Diagnostics, Inc., an </w:t>
      </w:r>
      <w:r>
        <w:rPr>
          <w:rFonts w:ascii="Times New Roman" w:hAnsi="Times New Roman"/>
          <w:i/>
          <w:sz w:val="20"/>
        </w:rPr>
        <w:t>in vitro</w:t>
      </w:r>
      <w:r>
        <w:rPr>
          <w:rFonts w:ascii="Times New Roman" w:hAnsi="Times New Roman"/>
          <w:sz w:val="20"/>
        </w:rPr>
        <w:t xml:space="preserve"> diagnostics company (Accelerate Diagnostics).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and an angel investor. He was also previously a partner of a venture capital investment firm that provided both Ventana and Stericycle, Inc. with early-stage funding. Mr. Patience was also previously a partner at the consulting firm McKinsey &amp; Company, Inc., specializing in healthcare. Mr. Patience holds a B.A. in Liberal Arts and an L.L.B. from the University of Sydney, Australia, and an M.B.A. from the University of Pennsylvanias Wharton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Patience is qualified to serve on our board of directors because of his experience in leadership and management roles in the field of medicine, as well as his experience as a board member and investor in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Lawrence T. Kennedy, Jr. </w:t>
      </w:r>
      <w:r>
        <w:rPr>
          <w:rFonts w:ascii="Times New Roman" w:hAnsi="Times New Roman"/>
          <w:sz w:val="20"/>
        </w:rPr>
        <w:t xml:space="preserve">has served as a Director of the Company since January 2023. Mr. Kennedy brings to Biodesix more than 25 years of broad operating, corporate finance, company creation and investment experience with a specific focus in the healthcare industry. Mr. Kennedy currently serves as the Managing Partner and Chief Executive Officer of Westwood Management, a private investment and wealth management firm directing a diverse investment portfolio across a range of alternative and traditional asset classes. Prior to his role at Westwood Management, Mr. Kennedy was the co-founder, Chief Financial Officer and chairman of Health Carousel, a talent management company with a leading portfolio of healthcare staffing and workforce solution businesses. Mr. Kennedy currently serves on the boards of directors of Healthcare for Kids, Caliber Healthcare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Solutions, Revolution 4.0 and Health Carousel. Mr. Kennedy has received an M.B.A. from Duke Universitys Fuqua School of Business and a B.A. from Colgate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Kennedy is qualified to serve on our board of directors because of his experience in leadership and management roles in the field of healthcare, as well as his experience as a board member and investor in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Matthew Strobeck, Ph.D</w:t>
      </w:r>
      <w:r>
        <w:rPr>
          <w:rFonts w:ascii="Times New Roman" w:hAnsi="Times New Roman"/>
          <w:sz w:val="20"/>
        </w:rPr>
        <w:t xml:space="preserve">. has served as a Director of the Company since January 2012. Dr. Strobeck is currently the Managing Partner of Birchview Capital LP, an investment management company. In addition, Dr. Strobeck is currently a director of QuidelOrtho Corporation (Quidel), Accelerate Diagnostics, Monteris Medical Corporation and the Schuler Education Foundation. Dr. Strobeck was a director of Yield 10 Biosciences from 2012 to 2017. Dr. Strobeck received a B.S. from St. Lawrence University, a Ph.D. from the University of Cincinnati, an M.S. from the Harvard University-MIT Health Sciences and Technology Program, and an M.S. from the MIT Sloan School of Management.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Dr. Strobeck is qualified to serve on our board of directors because of his experience in leadership and management roles at medical technology companies, as well as his experience as a board member and investor in the medical technology industry. </w:t>
      </w:r>
    </w:p>
    <w:p>
      <w:pPr>
        <w:pStyle w:val="TextBody"/>
        <w:bidi w:val="0"/>
        <w:spacing w:before="240" w:after="0"/>
        <w:jc w:val="left"/>
        <w:rPr>
          <w:rFonts w:ascii="Times New Roman" w:hAnsi="Times New Roman"/>
          <w:sz w:val="20"/>
        </w:rPr>
      </w:pPr>
      <w:r>
        <w:rPr>
          <w:rFonts w:ascii="Times New Roman" w:hAnsi="Times New Roman"/>
          <w:b/>
          <w:i/>
          <w:sz w:val="20"/>
        </w:rPr>
        <w:t>Charles Watts, M.D</w:t>
      </w:r>
      <w:r>
        <w:rPr>
          <w:rFonts w:ascii="Times New Roman" w:hAnsi="Times New Roman"/>
          <w:sz w:val="20"/>
        </w:rPr>
        <w:t xml:space="preserve">. has served as a Director of the Company since July 2019. Until his retirement, Dr. Watts served as Chief Medical Officer at Northwestern Memorial Hospital and Associate Dean for Clinical Affairs at the Feinberg School of Medicine, Northwestern University (Northwestern) from 2001 to 2011. Prior to his tenure at Northwestern, Dr. Watts served as Chief of Clinical Affairs and Associate Dean at the University of Michigan Medical Center. He also previously served as Executive in Residence for the Health Management Academy and as an active faculty member of a national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chairman of the Institute for Systems Biology board and served as a director of Accelerate Diagnostics until 2023. Dr. Watts received his medical degree from the University of Michigan.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Dr. Watts is qualified to serve on our board of directors because of his experience in leadership and management roles in the field of medicine, as well as his experience as a board member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Jean M. Franchi</w:t>
      </w:r>
      <w:r>
        <w:rPr>
          <w:rFonts w:ascii="Times New Roman" w:hAnsi="Times New Roman"/>
          <w:sz w:val="20"/>
        </w:rPr>
        <w:t xml:space="preserve"> has served as a Director of the Company since April 2020. Ms. Franchi is currently Chief Financial Officer of Disc Medicine, Inc., a clinical stage company focused on hematologic diseases, prior to which she served as Chief Financial Officer of Replimune Group, Inc. (Replimune) from 2019 to 2023, a biotechnology company developing oncolytic immuno-gene therapies. Prior to Replimune,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Corporate Finance, Senior Vice President of Business Unit Finance, and Vice President of Finance and Controller, Product Line and International Group. Ms. Franchi currently serves on the board of directors of VectorY Therapeutics. Ms. Franchi also served on the board of directors of Biophytis S.A. through July 2021, Visioneering Technologies, Inc. through December 2022 and Flamingo Therapeutics through March 2024. Ms. Franchi received her B.A. in Accounting from Hofstra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Ms. Franchi is qualified to serve on our board of directors because of her experience in leadership and management roles in the healthcare industry as well as her experience holding finance-related roles of increasing responsibility.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Hany Massarany</w:t>
      </w:r>
      <w:r>
        <w:rPr>
          <w:rFonts w:ascii="Times New Roman" w:hAnsi="Times New Roman"/>
          <w:sz w:val="20"/>
        </w:rPr>
        <w:t xml:space="preserve"> has served as a Director of the Company since July 2020. Mr. Massarany currently serves as both a director (since 2020) and chairman (since February 2023) of Accelerate Diagnostics. Mr. Massarany was President and Chief Executive Officer of GenMark Diagnostics, Inc.,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Massarany is qualified to serve on our board of directors because of his experience in leadership and management roles, and experience as a board member,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Jack Schuler</w:t>
      </w:r>
      <w:r>
        <w:rPr>
          <w:rFonts w:ascii="Times New Roman" w:hAnsi="Times New Roman"/>
          <w:sz w:val="20"/>
        </w:rPr>
        <w:t xml:space="preserve"> has served as a Director of the Company since June 2008. Mr. Schuler served as a director of Ventana from 1991 and as chairman of the board from 1995 until Ventanas acquisition by Roche in 2008. Prior to joining Ventana, Mr. Schuler was President and Chief Operating Officer of Abbott Laboratories, a diversified healthcare company, which he joined in 1972 and where he held a number of management and marketing positions, also serving as a director from April 1985 to August 1989. Mr. Schuler is the co-founder of Crabtree Partners, a private investment partnership based in Lake Forest, Illinois, and the president and co-founder of the Schuler Scholar Program. Additionally, Mr. Schuler has served as a director of Medtronic plc (lead director), Stericycle, Inc. (chairman), Hansen Medical, Inc. and Quidel, and currently serves as a director (since 2012) of Accelerate Diagnostics. Mr. Schuler holds a B.S. in Mechanical Engineering from Tufts University and an M.B.A. from Stanford University Graduate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Schuler is qualified to serve on our board of directors because of his experience in leadership and management roles in the healthcare industry, as well as his experience as a board member in the healthcare and medical device industries.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Schuler, Patience and Kennedy and Drs. Kayyem, Strobeck and Watts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Directors. </w:t>
      </w:r>
    </w:p>
    <w:p>
      <w:pPr>
        <w:pStyle w:val="TextBody"/>
        <w:bidi w:val="0"/>
        <w:spacing w:before="240" w:after="0"/>
        <w:jc w:val="left"/>
        <w:rPr>
          <w:rFonts w:ascii="Times New Roman" w:hAnsi="Times New Roman"/>
          <w:sz w:val="20"/>
        </w:rPr>
      </w:pPr>
      <w:r>
        <w:rPr>
          <w:rFonts w:ascii="Times New Roman" w:hAnsi="Times New Roman"/>
          <w:b/>
          <w:i/>
          <w:sz w:val="20"/>
        </w:rPr>
        <w:t>Robin Harper Cowie</w:t>
      </w:r>
      <w:r>
        <w:rPr>
          <w:rFonts w:ascii="Times New Roman" w:hAnsi="Times New Roman"/>
          <w:sz w:val="20"/>
        </w:rPr>
        <w:t xml:space="preserve">, age 44. Ms. Harper Cowie has served as our Chief Financial Officer since April 2017. She has been with the Company in multiple financial and reimbursement positions since March 2011, serving as 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has also served on the board of the Colorado Bioscience Association since 2023. Ms. Harper Cowie holds a B.S. in Molecular Biology from the University of Pittsburgh, and an M.B.A. in Finance from the Joseph M. Katz Graduate School of Business from the University of Pittsburgh. </w:t>
      </w:r>
    </w:p>
    <w:p>
      <w:pPr>
        <w:pStyle w:val="TextBody"/>
        <w:bidi w:val="0"/>
        <w:spacing w:before="240" w:after="0"/>
        <w:jc w:val="left"/>
        <w:rPr>
          <w:rFonts w:ascii="Times New Roman" w:hAnsi="Times New Roman"/>
          <w:sz w:val="20"/>
        </w:rPr>
      </w:pPr>
      <w:r>
        <w:rPr>
          <w:rFonts w:ascii="Times New Roman" w:hAnsi="Times New Roman"/>
          <w:b/>
          <w:i/>
          <w:sz w:val="20"/>
        </w:rPr>
        <w:t>Kieran OKane</w:t>
      </w:r>
      <w:r>
        <w:rPr>
          <w:rFonts w:ascii="Times New Roman" w:hAnsi="Times New Roman"/>
          <w:sz w:val="20"/>
        </w:rPr>
        <w:t xml:space="preserve">, age 47. Mr. OKane has served as our Chief Commercial Officer since March 2020 and has been with the Company in multiple marketing management roles since February 2018. From April 2016 to February 2018, prior to joining Biodesix, Mr. OKane led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827839_13"/>
      <w:bookmarkEnd w:id="15"/>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This section provides a discussion of the compensation paid or awarded to our Chief Executive Officer and our two other most highly compensated executive officers as of December 31, 2023. We refer to these individuals as our named executive officers. For 2023, our named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Scott Hutton,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Robin Harper Cowie, Chief Financial Officer, Secretary and Treasurer;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Kieran OKane, Chief Commercial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2023, the material elements of our executive compensation program were base salary, annual cash bonus and equity awards in the form of RSUs. </w:t>
      </w:r>
    </w:p>
    <w:p>
      <w:pPr>
        <w:pStyle w:val="TextBody"/>
        <w:bidi w:val="0"/>
        <w:spacing w:before="240" w:after="0"/>
        <w:jc w:val="left"/>
        <w:rPr>
          <w:rFonts w:ascii="Times New Roman" w:hAnsi="Times New Roman"/>
          <w:sz w:val="20"/>
        </w:rPr>
      </w:pPr>
      <w:r>
        <w:rPr>
          <w:rFonts w:ascii="Times New Roman" w:hAnsi="Times New Roman"/>
          <w:sz w:val="20"/>
        </w:rPr>
        <w:t xml:space="preserve">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(if any) depends on our stock price.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2023, the compensation committee utilized our independent executive compensation consultant to advise us on the elements of our executive compensation program.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Named Executive Officers </w:t>
      </w:r>
    </w:p>
    <w:p>
      <w:pPr>
        <w:pStyle w:val="TextBody"/>
        <w:bidi w:val="0"/>
        <w:spacing w:before="120" w:after="0"/>
        <w:jc w:val="left"/>
        <w:rPr>
          <w:rFonts w:ascii="Times New Roman" w:hAnsi="Times New Roman"/>
          <w:i/>
          <w:sz w:val="20"/>
        </w:rPr>
      </w:pPr>
      <w:r>
        <w:rPr>
          <w:rFonts w:ascii="Times New Roman" w:hAnsi="Times New Roman"/>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our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2022 and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 2023, Mr. Huttons annual base salary was $515,000, Ms. Harper Cowies annual base salary was $355,000, and Mr. OKanes annual base salary was $335,000. The compensation committee did not increase base salaries for the named executive officers in 2023 as the result of efforts to conserve cash resources. </w:t>
      </w:r>
    </w:p>
    <w:p>
      <w:pPr>
        <w:pStyle w:val="TextBody"/>
        <w:bidi w:val="0"/>
        <w:spacing w:before="360" w:after="0"/>
        <w:jc w:val="left"/>
        <w:rPr>
          <w:rFonts w:ascii="Times New Roman" w:hAnsi="Times New Roman"/>
          <w:i/>
          <w:sz w:val="20"/>
        </w:rPr>
      </w:pPr>
      <w:r>
        <w:rPr>
          <w:rFonts w:ascii="Times New Roman" w:hAnsi="Times New Roman"/>
          <w:i/>
          <w:sz w:val="20"/>
        </w:rPr>
        <w:t xml:space="preserve">Annual Cash Bonuses </w:t>
      </w:r>
    </w:p>
    <w:p>
      <w:pPr>
        <w:pStyle w:val="TextBody"/>
        <w:bidi w:val="0"/>
        <w:spacing w:before="120" w:after="0"/>
        <w:jc w:val="left"/>
        <w:rPr>
          <w:rFonts w:ascii="Times New Roman" w:hAnsi="Times New Roman"/>
          <w:sz w:val="20"/>
        </w:rPr>
      </w:pPr>
      <w:r>
        <w:rPr>
          <w:rFonts w:ascii="Times New Roman" w:hAnsi="Times New Roman"/>
          <w:sz w:val="20"/>
        </w:rPr>
        <w:t xml:space="preserve">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Generally, our compensation committee establishes a Company-based performance metric as a threshold vesting criterion for any payouts for a particular annual bonus period. For 2023, individual performance goals did not factor into determining payouts for the annual bonus period. </w:t>
      </w:r>
    </w:p>
    <w:p>
      <w:pPr>
        <w:pStyle w:val="TextBody"/>
        <w:bidi w:val="0"/>
        <w:spacing w:before="240" w:after="0"/>
        <w:jc w:val="left"/>
        <w:rPr>
          <w:rFonts w:ascii="Times New Roman" w:hAnsi="Times New Roman"/>
          <w:sz w:val="20"/>
        </w:rPr>
      </w:pPr>
      <w:r>
        <w:rPr>
          <w:rFonts w:ascii="Times New Roman" w:hAnsi="Times New Roman"/>
          <w:sz w:val="20"/>
        </w:rPr>
        <w:t xml:space="preserve">For 2023, the compensation committee determined that the Companys short-term incentive compensation would be based on the achievement of three financial objectives, (i) total revenue determined in accordance with U.S. GAAP, (ii) gross margin percentage and (iii) total operating expense (excluding certain non-cash expenses). Actual results were measured at year end against targeted outcomes. Mr. Huttons, Ms. Harper Cowies and Mr. OKanes 2023 bonus targets as a percentage of annual base salary were 100%, 50% and 60%, respectively. Based on our 2023 performance, our compensation committee determined, and our board of directors approved, a corporate funding percentage under our annual cash bonus program equal to approximately 38.1% of the target bonus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December 31, 2020, our compensation committee adopted the Companys 2021 Senior Management Bonus to Equity Plan, which permitted eligible executives, including each of our named executive officers, to elect to receive 25%, 50%, 75% or 100% of the annual bonus earned during 2023 in the form of a bonus-to-options award, subject to an individual cap equal to the executives target annual bonus or any maximum dollar amount approved by the Company or the executive for such year. Effective as of December 14, 2022, the plan was amended to further provide that the amount of the annual bonus an eligible executive may elect to receive in the form of a bonus-to-options award may also be subject to a maximum percentage approved by the Company for such year. The maximum percentage that applied for 2023 was 50%.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 </w:t>
      </w:r>
    </w:p>
    <w:p>
      <w:pPr>
        <w:pStyle w:val="TextBody"/>
        <w:bidi w:val="0"/>
        <w:spacing w:before="240" w:after="0"/>
        <w:jc w:val="left"/>
        <w:rPr>
          <w:rFonts w:ascii="Times New Roman" w:hAnsi="Times New Roman"/>
          <w:sz w:val="20"/>
        </w:rPr>
      </w:pPr>
      <w:r>
        <w:rPr>
          <w:rFonts w:ascii="Times New Roman" w:hAnsi="Times New Roman"/>
          <w:sz w:val="20"/>
        </w:rPr>
        <w:t xml:space="preserve">Pursuant to elections made in 2022, each named executive officer also received a portion of their respective annual bonuses earned in 2023 in the form of a bonus-to-options award instead of in cash. For annual bonuses earned in 2023, the number of shares of the Companys common stock subject to each bonus-to-options award granted in 2024 was determined by multiplying the cash value of the bonus that was elected to be received in the form of an option award by three, and then dividing the product of that calculation by $1.63 (the Companys average stock price during 2023, calculated based on the daily closing price of our publicly traded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Accordingly, each of Mr. Hutton, Ms. Harper Cowie and Mr. OKane received a payout under the 2023 annual cash bonus program in cash and/or a bonus-to-options award, as illustrated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09"/>
        <w:gridCol w:w="579"/>
        <w:gridCol w:w="227"/>
        <w:gridCol w:w="1113"/>
        <w:gridCol w:w="60"/>
        <w:gridCol w:w="579"/>
        <w:gridCol w:w="137"/>
        <w:gridCol w:w="1886"/>
        <w:gridCol w:w="65"/>
      </w:tblGrid>
      <w:tr>
        <w:trPr/>
        <w:tc>
          <w:tcPr>
            <w:tcW w:w="3109"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690" w:type="dxa"/>
            <w:gridSpan w:val="8"/>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2023</w:t>
            </w:r>
          </w:p>
        </w:tc>
        <w:tc>
          <w:tcPr>
            <w:tcW w:w="65" w:type="dxa"/>
            <w:tcBorders/>
            <w:vAlign w:val="bottom"/>
          </w:tcPr>
          <w:p>
            <w:pPr>
              <w:pStyle w:val="TableContents"/>
              <w:bidi w:val="0"/>
              <w:spacing w:before="0" w:after="283"/>
              <w:jc w:val="left"/>
              <w:rPr/>
            </w:pPr>
            <w:r>
              <w:rPr/>
              <w:t> </w:t>
            </w:r>
          </w:p>
        </w:tc>
      </w:tr>
      <w:tr>
        <w:trPr/>
        <w:tc>
          <w:tcPr>
            <w:tcW w:w="31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579"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Incentive</w:t>
              <w:br/>
              <w:t>Cash Payout</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2023" w:type="dxa"/>
            <w:gridSpan w:val="2"/>
            <w:tcBorders>
              <w:bottom w:val="single" w:sz="8" w:space="0" w:color="000000"/>
            </w:tcBorders>
            <w:tcMar>
              <w:bottom w:w="28" w:type="dxa"/>
            </w:tcMar>
            <w:vAlign w:val="bottom"/>
          </w:tcPr>
          <w:p>
            <w:pPr>
              <w:pStyle w:val="TableContents"/>
              <w:bidi w:val="0"/>
              <w:spacing w:before="0" w:after="283"/>
              <w:jc w:val="center"/>
              <w:rPr/>
            </w:pPr>
            <w:r>
              <w:rPr>
                <w:b/>
              </w:rPr>
              <w:t>Shares Subject</w:t>
            </w:r>
            <w:r>
              <w:rPr/>
              <w:br/>
            </w:r>
            <w:r>
              <w:rPr>
                <w:b/>
              </w:rPr>
              <w:t>to Bonus-to-Option</w:t>
              <w:br/>
              <w:t>Award</w:t>
            </w:r>
          </w:p>
        </w:tc>
        <w:tc>
          <w:tcPr>
            <w:tcW w:w="65" w:type="dxa"/>
            <w:tcBorders/>
            <w:vAlign w:val="bottom"/>
          </w:tcPr>
          <w:p>
            <w:pPr>
              <w:pStyle w:val="TableContents"/>
              <w:bidi w:val="0"/>
              <w:spacing w:before="0" w:after="283"/>
              <w:jc w:val="left"/>
              <w:rPr/>
            </w:pPr>
            <w:r>
              <w:rPr/>
              <w:t> </w:t>
            </w:r>
          </w:p>
        </w:tc>
      </w:tr>
      <w:tr>
        <w:trPr/>
        <w:tc>
          <w:tcPr>
            <w:tcW w:w="3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Hutton</w:t>
            </w:r>
          </w:p>
        </w:tc>
        <w:tc>
          <w:tcPr>
            <w:tcW w:w="579"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98,058</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180,926</w:t>
            </w:r>
          </w:p>
        </w:tc>
        <w:tc>
          <w:tcPr>
            <w:tcW w:w="65" w:type="dxa"/>
            <w:tcBorders/>
            <w:shd w:fill="CCEEFF" w:val="clear"/>
            <w:vAlign w:val="bottom"/>
          </w:tcPr>
          <w:p>
            <w:pPr>
              <w:pStyle w:val="TableContents"/>
              <w:bidi w:val="0"/>
              <w:spacing w:before="0" w:after="283"/>
              <w:jc w:val="left"/>
              <w:rPr/>
            </w:pPr>
            <w:r>
              <w:rPr/>
              <w:t> </w:t>
            </w:r>
          </w:p>
        </w:tc>
      </w:tr>
      <w:tr>
        <w:trPr/>
        <w:tc>
          <w:tcPr>
            <w:tcW w:w="3109" w:type="dxa"/>
            <w:tcBorders/>
          </w:tcPr>
          <w:p>
            <w:pPr>
              <w:pStyle w:val="TableContents"/>
              <w:bidi w:val="0"/>
              <w:spacing w:before="0" w:after="0"/>
              <w:jc w:val="left"/>
              <w:rPr>
                <w:rFonts w:ascii="Times New Roman" w:hAnsi="Times New Roman"/>
                <w:sz w:val="20"/>
              </w:rPr>
            </w:pPr>
            <w:r>
              <w:rPr>
                <w:rFonts w:ascii="Times New Roman" w:hAnsi="Times New Roman"/>
                <w:sz w:val="20"/>
              </w:rPr>
              <w:t>Robin Harper Cowie</w:t>
            </w:r>
          </w:p>
        </w:tc>
        <w:tc>
          <w:tcPr>
            <w:tcW w:w="57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33,797</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62,358</w:t>
            </w:r>
          </w:p>
        </w:tc>
        <w:tc>
          <w:tcPr>
            <w:tcW w:w="65" w:type="dxa"/>
            <w:tcBorders/>
            <w:vAlign w:val="bottom"/>
          </w:tcPr>
          <w:p>
            <w:pPr>
              <w:pStyle w:val="TableContents"/>
              <w:bidi w:val="0"/>
              <w:spacing w:before="0" w:after="283"/>
              <w:jc w:val="left"/>
              <w:rPr/>
            </w:pPr>
            <w:r>
              <w:rPr/>
              <w:t> </w:t>
            </w:r>
          </w:p>
        </w:tc>
      </w:tr>
      <w:tr>
        <w:trPr/>
        <w:tc>
          <w:tcPr>
            <w:tcW w:w="3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Kieran OKane</w:t>
            </w:r>
          </w:p>
        </w:tc>
        <w:tc>
          <w:tcPr>
            <w:tcW w:w="579"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57,407</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35,307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Awards </w:t>
      </w:r>
    </w:p>
    <w:p>
      <w:pPr>
        <w:pStyle w:val="TextBody"/>
        <w:bidi w:val="0"/>
        <w:spacing w:before="120" w:after="0"/>
        <w:jc w:val="left"/>
        <w:rPr>
          <w:rFonts w:ascii="Times New Roman" w:hAnsi="Times New Roman"/>
          <w:sz w:val="20"/>
        </w:rPr>
      </w:pPr>
      <w:r>
        <w:rPr>
          <w:rFonts w:ascii="Times New Roman" w:hAnsi="Times New Roman"/>
          <w:sz w:val="20"/>
        </w:rPr>
        <w:t xml:space="preserve">In the year ended December 31, 2023, the compensation committee awarded Mr. Hutton, Ms. Harper Cowie and Mr. OKane, 751,042 RSUs, 194,141 RSUs and 122,135 RSUs, respectively, which vest ratably on an annual basis for four years from the vesting commencement date, subject to continued service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For 2024, the compensation committee has determined to award a blend of stock options and RSUs to each of our named executive officers. </w:t>
      </w:r>
    </w:p>
    <w:p>
      <w:pPr>
        <w:pStyle w:val="TextBody"/>
        <w:bidi w:val="0"/>
        <w:spacing w:before="360" w:after="0"/>
        <w:jc w:val="left"/>
        <w:rPr>
          <w:rFonts w:ascii="Times New Roman" w:hAnsi="Times New Roman"/>
          <w:i/>
          <w:sz w:val="20"/>
        </w:rPr>
      </w:pPr>
      <w:r>
        <w:rPr>
          <w:rFonts w:ascii="Times New Roman" w:hAnsi="Times New Roman"/>
          <w:i/>
          <w:sz w:val="20"/>
        </w:rPr>
        <w:t xml:space="preserve">Stock Option Exchange Program </w:t>
      </w:r>
    </w:p>
    <w:p>
      <w:pPr>
        <w:pStyle w:val="TextBody"/>
        <w:bidi w:val="0"/>
        <w:spacing w:before="120" w:after="0"/>
        <w:jc w:val="left"/>
        <w:rPr>
          <w:rFonts w:ascii="Times New Roman" w:hAnsi="Times New Roman"/>
          <w:sz w:val="20"/>
        </w:rPr>
      </w:pPr>
      <w:r>
        <w:rPr>
          <w:rFonts w:ascii="Times New Roman" w:hAnsi="Times New Roman"/>
          <w:sz w:val="20"/>
        </w:rPr>
        <w:t xml:space="preserve">At the Companys 2023 Annual Meeting of Stockholders on May 23, 2023, shareholders approved a stock option exchange program. As a result, on June 23, 2023, the Company offered eligible employees the opportunity to participate in a stock option exchange program under which they could tender eligible stock options that were substantially out-of-the-money (those with an exercise price greater than $10.00 per share) for exchange and, if accepted, receive a grant of new stock options exercisable for fewer shares of our common stock with an exercise price equal to the closing price of our common stock reported on Nasdaq on the date the new option was granted. The new stock options had different vesting terms than the stock options that were tendered for exchange, as well as a new expiration date. The stock option exchange program closed in accordance with its terms on July 24, 2023 and the new stock options were granted on that date, after the program had closed, with an exercise price of $1.20 per share. Non-employee directors were not eligible to participate in the stock option exchange program. </w:t>
      </w:r>
    </w:p>
    <w:p>
      <w:pPr>
        <w:pStyle w:val="TextBody"/>
        <w:bidi w:val="0"/>
        <w:spacing w:before="240" w:after="0"/>
        <w:jc w:val="left"/>
        <w:rPr>
          <w:rFonts w:ascii="Times New Roman" w:hAnsi="Times New Roman"/>
          <w:sz w:val="20"/>
        </w:rPr>
      </w:pPr>
      <w:r>
        <w:rPr>
          <w:rFonts w:ascii="Times New Roman" w:hAnsi="Times New Roman"/>
          <w:sz w:val="20"/>
        </w:rPr>
        <w:t xml:space="preserve">Mr. Hutton, Ms. Harper Cowie and Mr. OKane tendered eligible stock options in respect of 370,891, 132,963, and 56,654 shares of our common stock, respectively, each with an exercise price of $20.67 per share, in exchange for new stock options in respect of 75,693, 27,138, and 11,564 shares of our common stock, respectively, each with an exercise price of $1.20 per share. The incremental fair value of the new stock options, computed in accordance with FASB ASC Topic 718 on the grant date of the new stock options, was $8,056 for Mr. Hutton, $3,575 for Ms. Harper Cowie and $1,537 for Mr. OKane. </w:t>
      </w:r>
    </w:p>
    <w:p>
      <w:pPr>
        <w:pStyle w:val="TextBody"/>
        <w:bidi w:val="0"/>
        <w:spacing w:before="240" w:after="0"/>
        <w:jc w:val="left"/>
        <w:rPr>
          <w:rFonts w:ascii="Times New Roman" w:hAnsi="Times New Roman"/>
          <w:sz w:val="20"/>
        </w:rPr>
      </w:pPr>
      <w:r>
        <w:rPr>
          <w:rFonts w:ascii="Times New Roman" w:hAnsi="Times New Roman"/>
          <w:sz w:val="20"/>
        </w:rPr>
        <w:t xml:space="preserve">Please see Outstanding Equity Awards at Fiscal 2023 Year-End below for a summary of the outstanding equity awards held by each of the named executive officers as of 2023 year-end.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2023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information regarding the compensation of our named executive officers for services performed during the years ended December 31, 2023 and 2022. </w:t>
      </w:r>
    </w:p>
    <w:p>
      <w:pPr>
        <w:pStyle w:val="TextBody"/>
        <w:bidi w:val="0"/>
        <w:spacing w:before="0" w:after="0"/>
        <w:jc w:val="left"/>
        <w:rPr/>
      </w:pPr>
      <w:r>
        <w:rPr/>
        <w:t> </w:t>
      </w:r>
    </w:p>
    <w:tbl>
      <w:tblPr>
        <w:tblW w:w="10455" w:type="dxa"/>
        <w:jc w:val="center"/>
        <w:tblInd w:w="0" w:type="dxa"/>
        <w:tblLayout w:type="fixed"/>
        <w:tblCellMar>
          <w:top w:w="0" w:type="dxa"/>
          <w:left w:w="0" w:type="dxa"/>
          <w:bottom w:w="0" w:type="dxa"/>
          <w:right w:w="0" w:type="dxa"/>
        </w:tblCellMar>
      </w:tblPr>
      <w:tblGrid>
        <w:gridCol w:w="1460"/>
        <w:gridCol w:w="120"/>
        <w:gridCol w:w="64"/>
        <w:gridCol w:w="541"/>
        <w:gridCol w:w="60"/>
        <w:gridCol w:w="120"/>
        <w:gridCol w:w="60"/>
        <w:gridCol w:w="800"/>
        <w:gridCol w:w="60"/>
        <w:gridCol w:w="120"/>
        <w:gridCol w:w="60"/>
        <w:gridCol w:w="980"/>
        <w:gridCol w:w="60"/>
        <w:gridCol w:w="120"/>
        <w:gridCol w:w="60"/>
        <w:gridCol w:w="800"/>
        <w:gridCol w:w="60"/>
        <w:gridCol w:w="120"/>
        <w:gridCol w:w="103"/>
        <w:gridCol w:w="1387"/>
        <w:gridCol w:w="470"/>
        <w:gridCol w:w="60"/>
        <w:gridCol w:w="144"/>
        <w:gridCol w:w="1346"/>
        <w:gridCol w:w="60"/>
        <w:gridCol w:w="120"/>
        <w:gridCol w:w="60"/>
        <w:gridCol w:w="980"/>
        <w:gridCol w:w="6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w:t>
              <w:br/>
              <w:t>Position</w:t>
            </w:r>
          </w:p>
        </w:tc>
        <w:tc>
          <w:tcPr>
            <w:tcW w:w="120" w:type="dxa"/>
            <w:tcBorders/>
            <w:vAlign w:val="bottom"/>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($)(4)</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Hutton</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tcPr>
          <w:p>
            <w:pPr>
              <w:pStyle w:val="TableContents"/>
              <w:bidi w:val="0"/>
              <w:spacing w:before="0" w:after="283"/>
              <w:jc w:val="left"/>
              <w:rPr/>
            </w:pPr>
            <w:r>
              <w:rPr/>
              <w:t> </w:t>
            </w:r>
          </w:p>
        </w:tc>
        <w:tc>
          <w:tcPr>
            <w:tcW w:w="541"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515,000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1,442,001</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233,622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98,058</w:t>
            </w:r>
          </w:p>
        </w:tc>
        <w:tc>
          <w:tcPr>
            <w:tcW w:w="470" w:type="dxa"/>
            <w:tcBorders/>
            <w:shd w:fill="CCEEFF" w:val="clear"/>
          </w:tcPr>
          <w:p>
            <w:pPr>
              <w:pStyle w:val="TableContents"/>
              <w:bidi w:val="0"/>
              <w:spacing w:before="0" w:after="283"/>
              <w:jc w:val="left"/>
              <w:rPr/>
            </w:pPr>
            <w:r>
              <w:rPr/>
              <w:t>(6)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tcPr>
          <w:p>
            <w:pPr>
              <w:pStyle w:val="TableContents"/>
              <w:bidi w:val="0"/>
              <w:spacing w:before="0" w:after="283"/>
              <w:jc w:val="left"/>
              <w:rPr/>
            </w:pPr>
            <w:r>
              <w:rPr/>
              <w:t> </w:t>
            </w:r>
          </w:p>
        </w:tc>
        <w:tc>
          <w:tcPr>
            <w:tcW w:w="1346" w:type="dxa"/>
            <w:tcBorders/>
            <w:shd w:fill="CCEEFF" w:val="clear"/>
          </w:tcPr>
          <w:p>
            <w:pPr>
              <w:pStyle w:val="TableContents"/>
              <w:bidi w:val="0"/>
              <w:spacing w:before="0" w:after="283"/>
              <w:jc w:val="right"/>
              <w:rPr/>
            </w:pPr>
            <w:r>
              <w:rPr/>
              <w:t>1,865</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2,290,546</w:t>
            </w:r>
          </w:p>
        </w:tc>
        <w:tc>
          <w:tcPr>
            <w:tcW w:w="60" w:type="dxa"/>
            <w:tcBorders/>
            <w:shd w:fill="CCEEFF" w:val="clear"/>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tcPr>
          <w:p>
            <w:pPr>
              <w:pStyle w:val="TableContents"/>
              <w:bidi w:val="0"/>
              <w:spacing w:before="0" w:after="283"/>
              <w:jc w:val="left"/>
              <w:rPr/>
            </w:pPr>
            <w:r>
              <w:rPr/>
              <w:t> </w:t>
            </w:r>
          </w:p>
        </w:tc>
        <w:tc>
          <w:tcPr>
            <w:tcW w:w="541"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515,000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1,441,997</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680,532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114,869</w:t>
            </w:r>
          </w:p>
        </w:tc>
        <w:tc>
          <w:tcPr>
            <w:tcW w:w="470" w:type="dxa"/>
            <w:tcBorders/>
            <w:shd w:fill="CCEEFF" w:val="clear"/>
          </w:tcPr>
          <w:p>
            <w:pPr>
              <w:pStyle w:val="TableContents"/>
              <w:bidi w:val="0"/>
              <w:spacing w:before="0" w:after="283"/>
              <w:jc w:val="left"/>
              <w:rPr/>
            </w:pPr>
            <w:r>
              <w:rPr/>
              <w:t>(7) </w:t>
              <w:b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tcPr>
          <w:p>
            <w:pPr>
              <w:pStyle w:val="TableContents"/>
              <w:bidi w:val="0"/>
              <w:spacing w:before="0" w:after="283"/>
              <w:jc w:val="left"/>
              <w:rPr/>
            </w:pPr>
            <w:r>
              <w:rPr/>
              <w:t> </w:t>
            </w:r>
          </w:p>
        </w:tc>
        <w:tc>
          <w:tcPr>
            <w:tcW w:w="1346" w:type="dxa"/>
            <w:tcBorders/>
            <w:shd w:fill="CCEEFF" w:val="clear"/>
          </w:tcPr>
          <w:p>
            <w:pPr>
              <w:pStyle w:val="TableContents"/>
              <w:bidi w:val="0"/>
              <w:spacing w:before="0" w:after="283"/>
              <w:jc w:val="right"/>
              <w:rPr/>
            </w:pPr>
            <w:r>
              <w:rPr/>
              <w:t>2,134</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2,754,532</w:t>
            </w:r>
          </w:p>
        </w:tc>
        <w:tc>
          <w:tcPr>
            <w:tcW w:w="60" w:type="dxa"/>
            <w:tcBorders/>
            <w:shd w:fill="CCEEFF" w:val="clear"/>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Robin Harper Cowie</w:t>
            </w:r>
          </w:p>
        </w:tc>
        <w:tc>
          <w:tcPr>
            <w:tcW w:w="120" w:type="dxa"/>
            <w:tcBorders/>
            <w:vAlign w:val="bottom"/>
          </w:tcPr>
          <w:p>
            <w:pPr>
              <w:pStyle w:val="TableContents"/>
              <w:bidi w:val="0"/>
              <w:spacing w:before="0" w:after="283"/>
              <w:jc w:val="left"/>
              <w:rPr/>
            </w:pPr>
            <w:r>
              <w:rPr/>
              <w:t>  </w:t>
            </w:r>
          </w:p>
        </w:tc>
        <w:tc>
          <w:tcPr>
            <w:tcW w:w="64" w:type="dxa"/>
            <w:tcBorders/>
          </w:tcPr>
          <w:p>
            <w:pPr>
              <w:pStyle w:val="TableContents"/>
              <w:bidi w:val="0"/>
              <w:spacing w:before="0" w:after="283"/>
              <w:jc w:val="left"/>
              <w:rPr/>
            </w:pPr>
            <w:r>
              <w:rPr/>
              <w:t> </w:t>
            </w:r>
          </w:p>
        </w:tc>
        <w:tc>
          <w:tcPr>
            <w:tcW w:w="541"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355,000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372,751</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81,319</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33,797</w:t>
            </w:r>
          </w:p>
        </w:tc>
        <w:tc>
          <w:tcPr>
            <w:tcW w:w="470" w:type="dxa"/>
            <w:tcBorders/>
          </w:tcPr>
          <w:p>
            <w:pPr>
              <w:pStyle w:val="TableContents"/>
              <w:bidi w:val="0"/>
              <w:spacing w:before="0" w:after="283"/>
              <w:jc w:val="left"/>
              <w:rPr/>
            </w:pPr>
            <w:r>
              <w:rPr/>
              <w:t>(8) </w:t>
            </w:r>
          </w:p>
        </w:tc>
        <w:tc>
          <w:tcPr>
            <w:tcW w:w="60" w:type="dxa"/>
            <w:tcBorders/>
            <w:vAlign w:val="bottom"/>
          </w:tcPr>
          <w:p>
            <w:pPr>
              <w:pStyle w:val="TableContents"/>
              <w:bidi w:val="0"/>
              <w:spacing w:before="0" w:after="283"/>
              <w:jc w:val="left"/>
              <w:rPr/>
            </w:pPr>
            <w:r>
              <w:rPr/>
              <w:t> </w:t>
            </w:r>
          </w:p>
        </w:tc>
        <w:tc>
          <w:tcPr>
            <w:tcW w:w="144" w:type="dxa"/>
            <w:tcBorders/>
          </w:tcPr>
          <w:p>
            <w:pPr>
              <w:pStyle w:val="TableContents"/>
              <w:bidi w:val="0"/>
              <w:spacing w:before="0" w:after="283"/>
              <w:jc w:val="left"/>
              <w:rPr/>
            </w:pPr>
            <w:r>
              <w:rPr/>
              <w:t> </w:t>
            </w:r>
          </w:p>
        </w:tc>
        <w:tc>
          <w:tcPr>
            <w:tcW w:w="1346" w:type="dxa"/>
            <w:tcBorders/>
          </w:tcPr>
          <w:p>
            <w:pPr>
              <w:pStyle w:val="TableContents"/>
              <w:bidi w:val="0"/>
              <w:spacing w:before="0" w:after="283"/>
              <w:jc w:val="right"/>
              <w:rPr/>
            </w:pPr>
            <w:r>
              <w:rPr/>
              <w:t>1,500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844,367</w:t>
            </w:r>
          </w:p>
        </w:tc>
        <w:tc>
          <w:tcPr>
            <w:tcW w:w="60" w:type="dxa"/>
            <w:tcBorders/>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Secretary and Treasurer</w:t>
            </w:r>
          </w:p>
        </w:tc>
        <w:tc>
          <w:tcPr>
            <w:tcW w:w="120" w:type="dxa"/>
            <w:tcBorders/>
            <w:vAlign w:val="bottom"/>
          </w:tcPr>
          <w:p>
            <w:pPr>
              <w:pStyle w:val="TableContents"/>
              <w:bidi w:val="0"/>
              <w:spacing w:before="0" w:after="283"/>
              <w:jc w:val="left"/>
              <w:rPr/>
            </w:pPr>
            <w:r>
              <w:rPr/>
              <w:t>  </w:t>
            </w:r>
          </w:p>
        </w:tc>
        <w:tc>
          <w:tcPr>
            <w:tcW w:w="64" w:type="dxa"/>
            <w:tcBorders/>
          </w:tcPr>
          <w:p>
            <w:pPr>
              <w:pStyle w:val="TableContents"/>
              <w:bidi w:val="0"/>
              <w:spacing w:before="0" w:after="283"/>
              <w:jc w:val="left"/>
              <w:rPr/>
            </w:pPr>
            <w:r>
              <w:rPr/>
              <w:t> </w:t>
            </w:r>
          </w:p>
        </w:tc>
        <w:tc>
          <w:tcPr>
            <w:tcW w:w="541" w:type="dxa"/>
            <w:tcBorders/>
          </w:tcPr>
          <w:p>
            <w:pPr>
              <w:pStyle w:val="TableContents"/>
              <w:bidi w:val="0"/>
              <w:spacing w:before="0" w:after="283"/>
              <w:jc w:val="right"/>
              <w:rPr/>
            </w:pPr>
            <w:r>
              <w:rPr/>
              <w:t>2022</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350,096</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372,749</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231,882</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39,140</w:t>
            </w:r>
          </w:p>
        </w:tc>
        <w:tc>
          <w:tcPr>
            <w:tcW w:w="470" w:type="dxa"/>
            <w:tcBorders/>
          </w:tcPr>
          <w:p>
            <w:pPr>
              <w:pStyle w:val="TableContents"/>
              <w:bidi w:val="0"/>
              <w:spacing w:before="0" w:after="283"/>
              <w:jc w:val="left"/>
              <w:rPr/>
            </w:pPr>
            <w:r>
              <w:rPr/>
              <w:t>(9) </w:t>
            </w:r>
          </w:p>
        </w:tc>
        <w:tc>
          <w:tcPr>
            <w:tcW w:w="60" w:type="dxa"/>
            <w:tcBorders/>
            <w:vAlign w:val="bottom"/>
          </w:tcPr>
          <w:p>
            <w:pPr>
              <w:pStyle w:val="TableContents"/>
              <w:bidi w:val="0"/>
              <w:spacing w:before="0" w:after="283"/>
              <w:jc w:val="left"/>
              <w:rPr/>
            </w:pPr>
            <w:r>
              <w:rPr/>
              <w:t> </w:t>
            </w:r>
          </w:p>
        </w:tc>
        <w:tc>
          <w:tcPr>
            <w:tcW w:w="144" w:type="dxa"/>
            <w:tcBorders/>
          </w:tcPr>
          <w:p>
            <w:pPr>
              <w:pStyle w:val="TableContents"/>
              <w:bidi w:val="0"/>
              <w:spacing w:before="0" w:after="283"/>
              <w:jc w:val="left"/>
              <w:rPr/>
            </w:pPr>
            <w:r>
              <w:rPr/>
              <w:t> </w:t>
            </w:r>
          </w:p>
        </w:tc>
        <w:tc>
          <w:tcPr>
            <w:tcW w:w="1346" w:type="dxa"/>
            <w:tcBorders/>
          </w:tcPr>
          <w:p>
            <w:pPr>
              <w:pStyle w:val="TableContents"/>
              <w:bidi w:val="0"/>
              <w:spacing w:before="0" w:after="283"/>
              <w:jc w:val="right"/>
              <w:rPr/>
            </w:pPr>
            <w:r>
              <w:rPr/>
              <w:t>1,633</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995,500</w:t>
            </w:r>
          </w:p>
        </w:tc>
        <w:tc>
          <w:tcPr>
            <w:tcW w:w="60" w:type="dxa"/>
            <w:tcBorders/>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Kieran OKane</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tcPr>
          <w:p>
            <w:pPr>
              <w:pStyle w:val="TableContents"/>
              <w:bidi w:val="0"/>
              <w:spacing w:before="0" w:after="283"/>
              <w:jc w:val="left"/>
              <w:rPr/>
            </w:pPr>
            <w:r>
              <w:rPr/>
              <w:t> </w:t>
            </w:r>
          </w:p>
        </w:tc>
        <w:tc>
          <w:tcPr>
            <w:tcW w:w="541"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335,000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234,449</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45,555</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57,407</w:t>
            </w:r>
          </w:p>
        </w:tc>
        <w:tc>
          <w:tcPr>
            <w:tcW w:w="470" w:type="dxa"/>
            <w:tcBorders/>
            <w:shd w:fill="CCEEFF" w:val="clear"/>
          </w:tcPr>
          <w:p>
            <w:pPr>
              <w:pStyle w:val="TableContents"/>
              <w:bidi w:val="0"/>
              <w:spacing w:before="0" w:after="283"/>
              <w:jc w:val="left"/>
              <w:rPr/>
            </w:pPr>
            <w:r>
              <w:rPr/>
              <w:t>(11)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tcPr>
          <w:p>
            <w:pPr>
              <w:pStyle w:val="TableContents"/>
              <w:bidi w:val="0"/>
              <w:spacing w:before="0" w:after="283"/>
              <w:jc w:val="left"/>
              <w:rPr/>
            </w:pPr>
            <w:r>
              <w:rPr/>
              <w:t> </w:t>
            </w:r>
          </w:p>
        </w:tc>
        <w:tc>
          <w:tcPr>
            <w:tcW w:w="1346" w:type="dxa"/>
            <w:tcBorders/>
            <w:shd w:fill="CCEEFF" w:val="clear"/>
          </w:tcPr>
          <w:p>
            <w:pPr>
              <w:pStyle w:val="TableContents"/>
              <w:bidi w:val="0"/>
              <w:spacing w:before="0" w:after="283"/>
              <w:jc w:val="right"/>
              <w:rPr/>
            </w:pPr>
            <w:r>
              <w:rPr/>
              <w:t>205</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672,666</w:t>
            </w:r>
          </w:p>
        </w:tc>
        <w:tc>
          <w:tcPr>
            <w:tcW w:w="60" w:type="dxa"/>
            <w:tcBorders/>
            <w:shd w:fill="CCEEFF" w:val="clear"/>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Commercial Officer(10)</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dollar value of base salary earned by the named executive officer as of December 31 of each applicable fiscal year.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These amounts do not correspond to the actual value that may be realized by the named executive officers upon vesting or exercise of the applicable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awards, including an estimate of the grant date fair value of bonus-to-options awards, as calculated in accordance with FASB ASC Topic 718 as well as the incremental fair value of the new stock options granted to each of the named executive officers on July 24, 2023 as a result of the stock option exchange program described under Compensation of Named Executive Officers  Equity Awards  Stock Option Exchange Program.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For the bonus-to-options awards, the estimated grant date fair value was used to correspond to the treatment of such expense under U.S. GAAP in the 2023 Annual Report on Form 10-K, as the service inception period precedes the grant date. These amounts do not correspond to the actual value that may be realized by the named executive officers upon vesting or exercise of the applicable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our 2022 and 2023 performance measured against the Companys achievement of three financial objectives, (i) total revenue determined in accordance with U.S. GAAP, (ii) gross margin percentage, and (iii) total operating expense (excluding certain non-cash expenses), and for 2022 only, one commercial catalyst objective intended to incentivize the advancement of certain major projects and commercial objectives of the Company, our compensation committee determined, and our board of directors approved, payouts under the 2022 and 2023 annual cash bonus program at a 65.5% and 38.1% achievement level, respectively. The Non-Equity Incentive Plan Compensation listed for each named executive officer represents the annual cash bonus award for the 2022 and 2023 fiscal years after taking into consideration the election of each individual to participate in the bonus-to-options program.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Mr. Hutton was entitled to a payout under the 2023 annual cash bonus program of $196,116. However, Mr. Hutton elected to receive a portion of his 2023 annual cash bonus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the form of an option award under the bonus-to-options program. In accordance with Mr. Huttons election and the terms of the bonus-to-options program, Mr. Hutton received a cash payment of $98,058 in respect of his 2023 annual cash bonus, as reflected in this column, and in place of the remaining amount, received an option award representing the right to purchase 180,926 shares of our common stock, the value of which is reflected in the Option Awards column.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65.5% achievement level, Mr. Hutton was entitled to a payout under the 2022 annual cash bonus program of $337,202. However, Mr. Hutton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Mr. Huttons election and the terms of the bonus-to-options program, Mr. Hutton received a cash payment of $114,869 in respect of his 2022 annual cash bonus, as reflected in this column, and in place of the remaining amount, received an option award representing the right to purchase 435,668 shares of our common stock, the value of which is reflected in the Option Awards column.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Ms. Harper Cowie was entitled to a payout under the 2023 annual cash bonus program of $67,593. However, Mr. Harper Cowie elected to receive a portion of her 2023 annual cash bonus in the form of an option award under the bonus-to-options program. In accordance with Ms. Harper Cowies election and the terms of the bonus-to-options program, Ms. Harper Cowie received a cash payment of $33,797 in respect of her 2023 annual cash bonus, as reflected in this column, and in place of the remaining amount, received an option award representing the right to purchase 62,358 shares of our common stock, the value of which is reflected in the Option Awards column.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65.5% achievement level, Ms. Harper Cowie was entitled to a payout under the 2022 annual cash bonus program of $114,897. However, Ms. Harper Cowie elected to receive a portion of her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Ms. Harper Cowies election and the terms of the bonus-to-options program, Ms. Harper Cowie received a cash payment of $39,140 in respect of her 2022 annual cash bonus, as reflected in this column, and in place of the remaining amount, received an option award representing the right to purchase 148,448 shares of our common stock, the value of which is reflected in the Option Awards column.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OKane was not a named executive officer for the 2022 fiscal year.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Mr. OKane was entitled to a payout under the 2023 annual cash bonus program of $76,542. However, Mr. OKane elected to receive a portion of his 2023 annual cash bonus in the form of an option award under the bonus-to-options program. In accordance with Mr. OKanes election and the terms of the bonus-to-options program, Mr. OKane received a cash payment of $57,407 in respect of his 2023 annual cash bonus, as reflected in this column, and in place of the remaining amount, received an option award representing the right to purchase 35,307 shares of our common stock, the value of which is reflected in the Option Awards column.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2023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outstanding equity awards held by each of the named executive officers as of December 31, 2023. As of the year ended December 31, 2023, none of the named executive officers held any outstanding stock awards other than options and RSUs. </w:t>
      </w:r>
    </w:p>
    <w:p>
      <w:pPr>
        <w:pStyle w:val="TextBody"/>
        <w:bidi w:val="0"/>
        <w:spacing w:before="0" w:after="0"/>
        <w:jc w:val="left"/>
        <w:rPr/>
      </w:pPr>
      <w:r>
        <w:rPr/>
        <w:t> </w:t>
      </w:r>
    </w:p>
    <w:tbl>
      <w:tblPr>
        <w:tblW w:w="12900" w:type="dxa"/>
        <w:jc w:val="center"/>
        <w:tblInd w:w="0" w:type="dxa"/>
        <w:tblLayout w:type="fixed"/>
        <w:tblCellMar>
          <w:top w:w="0" w:type="dxa"/>
          <w:left w:w="0" w:type="dxa"/>
          <w:bottom w:w="0" w:type="dxa"/>
          <w:right w:w="0" w:type="dxa"/>
        </w:tblCellMar>
      </w:tblPr>
      <w:tblGrid>
        <w:gridCol w:w="1445"/>
        <w:gridCol w:w="60"/>
        <w:gridCol w:w="60"/>
        <w:gridCol w:w="980"/>
        <w:gridCol w:w="60"/>
        <w:gridCol w:w="60"/>
        <w:gridCol w:w="88"/>
        <w:gridCol w:w="1177"/>
        <w:gridCol w:w="350"/>
        <w:gridCol w:w="60"/>
        <w:gridCol w:w="117"/>
        <w:gridCol w:w="1328"/>
        <w:gridCol w:w="350"/>
        <w:gridCol w:w="60"/>
        <w:gridCol w:w="379"/>
        <w:gridCol w:w="886"/>
        <w:gridCol w:w="60"/>
        <w:gridCol w:w="60"/>
        <w:gridCol w:w="105"/>
        <w:gridCol w:w="770"/>
        <w:gridCol w:w="60"/>
        <w:gridCol w:w="60"/>
        <w:gridCol w:w="60"/>
        <w:gridCol w:w="1100"/>
        <w:gridCol w:w="60"/>
        <w:gridCol w:w="60"/>
        <w:gridCol w:w="78"/>
        <w:gridCol w:w="1052"/>
        <w:gridCol w:w="350"/>
        <w:gridCol w:w="60"/>
        <w:gridCol w:w="83"/>
        <w:gridCol w:w="1362"/>
        <w:gridCol w:w="60"/>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0" w:type="dxa"/>
            <w:gridSpan w:val="10"/>
            <w:tcBorders/>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85" w:type="dxa"/>
            <w:gridSpan w:val="6"/>
            <w:tcBorders/>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144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Securities</w:t>
              <w:br/>
              <w:t>Underlying</w:t>
              <w:br/>
              <w:t>Unexercised</w:t>
              <w:br/>
              <w:t>Options</w:t>
              <w:br/>
              <w:t>(#)</w:t>
            </w:r>
            <w:r>
              <w:rPr/>
              <w:br/>
            </w:r>
            <w:r>
              <w:rPr>
                <w:b/>
              </w:rPr>
              <w:t>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Securities</w:t>
              <w:br/>
              <w:t>Underlying</w:t>
              <w:br/>
              <w:t>Unexercised</w:t>
              <w:br/>
              <w:t>Options</w:t>
              <w:br/>
              <w:t>(#)</w:t>
            </w:r>
            <w:r>
              <w:rPr/>
              <w:br/>
            </w:r>
            <w:r>
              <w:rPr>
                <w:b/>
              </w:rPr>
              <w:t>Unexercisable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br/>
              <w:t>Incentive</w:t>
            </w:r>
            <w:r>
              <w:rPr/>
              <w:br/>
            </w:r>
            <w:r>
              <w:rPr>
                <w:b/>
              </w:rPr>
              <w:t>Plan</w:t>
              <w:br/>
              <w:t>Awards:</w:t>
              <w:br/>
              <w:t>Number of</w:t>
              <w:br/>
              <w:t>Securities</w:t>
              <w:br/>
              <w:t>Underlying</w:t>
            </w:r>
            <w:r>
              <w:rPr/>
              <w:br/>
            </w:r>
            <w:r>
              <w:rPr>
                <w:b/>
              </w:rPr>
              <w:t>Unexercised</w:t>
            </w:r>
            <w:r>
              <w:rPr/>
              <w:br/>
            </w:r>
            <w:r>
              <w:rPr>
                <w:b/>
              </w:rPr>
              <w:t>Unearned</w:t>
              <w:br/>
              <w:t>Options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 or</w:t>
              <w:br/>
              <w:t>Units</w:t>
              <w:br/>
              <w:t>of Stock</w:t>
              <w:br/>
              <w:t>That</w:t>
              <w:br/>
              <w:t>Have Not</w:t>
              <w:br/>
              <w:t>Vested</w:t>
            </w:r>
            <w:r>
              <w:rPr/>
              <w:br/>
            </w:r>
            <w:r>
              <w:rPr>
                <w:b/>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Market Value</w:t>
              <w:br/>
              <w:t>of Shares or</w:t>
              <w:br/>
              <w:t>Units of Stock</w:t>
              <w:br/>
              <w:t>That Have</w:t>
              <w:br/>
              <w:t>Not Vested</w:t>
            </w:r>
            <w:r>
              <w:rPr/>
              <w:br/>
            </w:r>
            <w:r>
              <w:rPr>
                <w:b/>
              </w:rPr>
              <w:t>($)(7)</w:t>
            </w:r>
          </w:p>
        </w:tc>
        <w:tc>
          <w:tcPr>
            <w:tcW w:w="60" w:type="dxa"/>
            <w:tcBorders/>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Scott Hutton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84,231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3/22/2019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41,414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701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12/31/2028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3/22/2019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16,846</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12/31/2028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4/15/2020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118,769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32,848</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4/14/2030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109,908</w:t>
            </w:r>
          </w:p>
        </w:tc>
        <w:tc>
          <w:tcPr>
            <w:tcW w:w="350" w:type="dxa"/>
            <w:tcBorders/>
            <w:shd w:fill="CCEEFF" w:val="clear"/>
            <w:vAlign w:val="bottom"/>
          </w:tcPr>
          <w:p>
            <w:pPr>
              <w:pStyle w:val="TableContents"/>
              <w:bidi w:val="0"/>
              <w:spacing w:before="0" w:after="283"/>
              <w:jc w:val="left"/>
              <w:rPr/>
            </w:pPr>
            <w:r>
              <w:rPr/>
              <w:t>(6)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202,231</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85,875</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751,042</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1,381,917</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435,668</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48,733</w:t>
            </w:r>
          </w:p>
        </w:tc>
        <w:tc>
          <w:tcPr>
            <w:tcW w:w="350" w:type="dxa"/>
            <w:tcBorders/>
            <w:shd w:fill="CCEEFF" w:val="clear"/>
            <w:vAlign w:val="bottom"/>
          </w:tcPr>
          <w:p>
            <w:pPr>
              <w:pStyle w:val="TableContents"/>
              <w:bidi w:val="0"/>
              <w:spacing w:before="0" w:after="283"/>
              <w:jc w:val="left"/>
              <w:rPr/>
            </w:pPr>
            <w:r>
              <w:rPr/>
              <w:t>(8)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7/23/2033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26,960</w:t>
            </w:r>
          </w:p>
        </w:tc>
        <w:tc>
          <w:tcPr>
            <w:tcW w:w="350" w:type="dxa"/>
            <w:tcBorders/>
            <w:shd w:fill="CCEEFF" w:val="clear"/>
            <w:vAlign w:val="bottom"/>
          </w:tcPr>
          <w:p>
            <w:pPr>
              <w:pStyle w:val="TableContents"/>
              <w:bidi w:val="0"/>
              <w:spacing w:before="0" w:after="283"/>
              <w:jc w:val="left"/>
              <w:rPr/>
            </w:pPr>
            <w:r>
              <w:rPr/>
              <w:t>(9)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7/23/2033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16"/>
              </w:rPr>
            </w:pPr>
            <w:r>
              <w:rPr>
                <w:rFonts w:ascii="Times New Roman" w:hAnsi="Times New Roman"/>
                <w:sz w:val="16"/>
              </w:rPr>
              <w:t>Robin Harper Cowie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2/4/2014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10,107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4/8/2015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6,738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4/7/2016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35,377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4/6/2026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4,209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0.42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4/3/2028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3/22/2019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34,788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589</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3/22/2019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11,792</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4/15/2020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23,758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6,565</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28,411</w:t>
            </w:r>
          </w:p>
        </w:tc>
        <w:tc>
          <w:tcPr>
            <w:tcW w:w="350" w:type="dxa"/>
            <w:tcBorders/>
            <w:vAlign w:val="bottom"/>
          </w:tcPr>
          <w:p>
            <w:pPr>
              <w:pStyle w:val="TableContents"/>
              <w:bidi w:val="0"/>
              <w:spacing w:before="0" w:after="283"/>
              <w:jc w:val="left"/>
              <w:rPr/>
            </w:pPr>
            <w:r>
              <w:rPr/>
              <w:t>(6)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52,276</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3/10/2022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27,758</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194,141</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357,219</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148,448</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2/28/2033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20,659</w:t>
            </w:r>
          </w:p>
        </w:tc>
        <w:tc>
          <w:tcPr>
            <w:tcW w:w="350" w:type="dxa"/>
            <w:tcBorders/>
            <w:vAlign w:val="bottom"/>
          </w:tcPr>
          <w:p>
            <w:pPr>
              <w:pStyle w:val="TableContents"/>
              <w:bidi w:val="0"/>
              <w:spacing w:before="0" w:after="283"/>
              <w:jc w:val="left"/>
              <w:rPr/>
            </w:pPr>
            <w:r>
              <w:rPr/>
              <w:t>(8)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7/23/2033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6,479</w:t>
            </w:r>
          </w:p>
        </w:tc>
        <w:tc>
          <w:tcPr>
            <w:tcW w:w="350" w:type="dxa"/>
            <w:tcBorders/>
            <w:vAlign w:val="bottom"/>
          </w:tcPr>
          <w:p>
            <w:pPr>
              <w:pStyle w:val="TableContents"/>
              <w:bidi w:val="0"/>
              <w:spacing w:before="0" w:after="283"/>
              <w:jc w:val="left"/>
              <w:rPr/>
            </w:pPr>
            <w:r>
              <w:rPr/>
              <w:t>(9)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7/23/2033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Kieran OKane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12,634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3/22/2019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12,424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210</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12/31/2028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4/15/2020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29,511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5,865</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4/14/2030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13,405</w:t>
            </w:r>
          </w:p>
        </w:tc>
        <w:tc>
          <w:tcPr>
            <w:tcW w:w="350" w:type="dxa"/>
            <w:tcBorders/>
            <w:shd w:fill="CCEEFF" w:val="clear"/>
            <w:vAlign w:val="bottom"/>
          </w:tcPr>
          <w:p>
            <w:pPr>
              <w:pStyle w:val="TableContents"/>
              <w:bidi w:val="0"/>
              <w:spacing w:before="0" w:after="283"/>
              <w:jc w:val="left"/>
              <w:rPr/>
            </w:pPr>
            <w:r>
              <w:rPr/>
              <w:t>(6)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24,665</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6,162</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122,135</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224,728</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52,531</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2/28/2033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8,864</w:t>
            </w:r>
          </w:p>
        </w:tc>
        <w:tc>
          <w:tcPr>
            <w:tcW w:w="350" w:type="dxa"/>
            <w:tcBorders/>
            <w:shd w:fill="CCEEFF" w:val="clear"/>
            <w:vAlign w:val="bottom"/>
          </w:tcPr>
          <w:p>
            <w:pPr>
              <w:pStyle w:val="TableContents"/>
              <w:bidi w:val="0"/>
              <w:spacing w:before="0" w:after="283"/>
              <w:jc w:val="left"/>
              <w:rPr/>
            </w:pPr>
            <w:r>
              <w:rPr/>
              <w:t>(8)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7/23/2033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2,700</w:t>
            </w:r>
          </w:p>
        </w:tc>
        <w:tc>
          <w:tcPr>
            <w:tcW w:w="350" w:type="dxa"/>
            <w:tcBorders/>
            <w:shd w:fill="CCEEFF" w:val="clear"/>
            <w:vAlign w:val="bottom"/>
          </w:tcPr>
          <w:p>
            <w:pPr>
              <w:pStyle w:val="TableContents"/>
              <w:bidi w:val="0"/>
              <w:spacing w:before="0" w:after="283"/>
              <w:jc w:val="left"/>
              <w:rPr/>
            </w:pPr>
            <w:r>
              <w:rPr/>
              <w:t>(9)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7/23/2033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These stock options vest in a series of 60 successive, equal monthly installments measured from the vesting commencement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These time-vested RSUs vest in a series of four successive equal annual installments measured from the vesting commencement date, subject to the award recipients continued employment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100% vested at Date of Grant.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These time-vested RSUs vest in a series of 16 successive equal quarterly installments measured from the vesting commencement date, subject to the award recipients continued employment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dollar amount is calculated based on $1.84 per share, the closing price of our common stock on December 30,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These time-vested options vest on August 1, 2024 (the first day of the month following the first anniversary of the month of grant under the stock option exchange program described under Compensation of Named Executive Officers  Equity Awards  Stock Option Exchange Program).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These time-vested options vest in a series of 31 successive equal monthly installments beginning on August 1, 2024 (the first day of the month following the first anniversary of the month of grant under the stock option exchange program described under Compensation of Named Executive Officers  Equity Awards  Stock Option Exchange Program). The number of installments is equal to the number of months that were remaining the in the vesting schedule of the stock options that were tendered under the stock option exchange program as of immediately prior to the exchange.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Offer Letter Agreements </w:t>
      </w:r>
    </w:p>
    <w:p>
      <w:pPr>
        <w:pStyle w:val="TextBody"/>
        <w:bidi w:val="0"/>
        <w:spacing w:before="120" w:after="0"/>
        <w:jc w:val="left"/>
        <w:rPr>
          <w:rFonts w:ascii="Times New Roman" w:hAnsi="Times New Roman"/>
          <w:sz w:val="20"/>
        </w:rPr>
      </w:pPr>
      <w:r>
        <w:rPr>
          <w:rFonts w:ascii="Times New Roman" w:hAnsi="Times New Roman"/>
          <w:sz w:val="20"/>
        </w:rPr>
        <w:t xml:space="preserve">We entered in an offer letter agreement with each of Mr. Hutton and Ms. Harper Cowie on February 23, 2020. The offer letter agreements, as amended in November of 2020, provide for annual salary subject to the discretion of our board of directors, an annual cash incentive opportunity targeted at 100% of annual base salary for Mr. Hutton and 50% of annual base salary for Ms. Harper Cowie, and eligibility to participate in our employee benefit plans, subject to the terms of those plans. The offer letter agreements also provide for certain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2024, each of Mr. Hutton and Ms. Harper Cowie entered into an Executive Severance and Change in Control Agreement which replaces and supersedes their offer letter agreement. Please see Executive Severance and Change in Control Agreements below for a summary of the terms of such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Severance and Change in Control Agreements </w:t>
      </w:r>
    </w:p>
    <w:p>
      <w:pPr>
        <w:pStyle w:val="TextBody"/>
        <w:bidi w:val="0"/>
        <w:spacing w:before="120" w:after="0"/>
        <w:jc w:val="left"/>
        <w:rPr>
          <w:rFonts w:ascii="Times New Roman" w:hAnsi="Times New Roman"/>
          <w:sz w:val="20"/>
        </w:rPr>
      </w:pPr>
      <w:r>
        <w:rPr>
          <w:rFonts w:ascii="Times New Roman" w:hAnsi="Times New Roman"/>
          <w:sz w:val="20"/>
        </w:rPr>
        <w:t xml:space="preserve">On April 16, 2024, the Company approved a form of Executive Severance and Change in Control Agreement that it intends to enter into with each of its executive officers. On April 23, 2024, each of Mr. Hutton, Ms. Harper Cowie and Mr. OKane entered into an Executive Severance and Change in Control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 executive who is party to an Executive Severance and Change in Control Agreement experiences a termination of employment without cause (as defined in the Executive Severance and Change in Control Agreement), other than within three months prior to, or one year following, the consummation of a change in control (as defined in the Executive Severance and Change in Control Agreement), the executive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 salary continuation for a period of nine months or, in the case of the chief executive officer,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chief executive officer only, a lump sum cash payment equal to 100% of his or her target annual cash incentive for the year in which the qualifying termination of employment occurs;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premium payments for the executive and his or her covered dependents for up to 12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the executives employment is terminated without cause or the executive resigns for good reason (as defined in the Executive Severance and Change in Control Agreement) within three months prior to, or one year following, the consummation of a change in control, the executive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100%, or in the case of the chief executive officer, 150%, of his or her then-current annual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100%, or in the case of the chief executive officer, 150%, of his or her target annual cash incentive for the year in which the qualifying termination of employment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12 months, or in the case of the chief executive officer, 18 months, of COBRA premium payments for the executive and his or her covered dependents;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equity awards which vest based solely on the executives continued service with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chief executive officer and chief financial officer only, a lump sum cash payment of $15,000 to help defray legal fees, tax and accounting fees, executive outplacement services, and other costs associated with transitional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payment of severance benefits under the Executive Severance and Change in Control Agreements is subject to a general release of claims by the executive in favor of the Company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severance benefits payable under the Executive Severance and Change in Control Agreements provide reasonable compensation in the form of severance pay and certain limited benefits to our executive officers in the event of a qualifying termination of employment to facilitate the transition to new employment. In addition, we believe that these benefits help maintain our executive officers continued focus on their assigned duties to maximize stockholder value in the event of a potential change in control transaction, and mitigate the risk of subsequent disputes or litigation. The terms and conditions of these agreements were approved by the compensation committee after an analysis of competitive market data in consultation with our independent executive compensation consultant.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an accounting restatement.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the compensation committee is currently, or has been at any time during 2023, one of our officers or employees. None of our executive officers currently serve, or has served during 2023, as a member of the board of directors or compensation committee of any entity that has one or more executive officers serving as a member of our board of directors or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827839_14"/>
      <w:bookmarkEnd w:id="16"/>
      <w:r>
        <w:rPr>
          <w:rFonts w:ascii="Times New Roman" w:hAnsi="Times New Roman"/>
          <w:b/>
          <w:sz w:val="20"/>
        </w:rPr>
        <w:t xml:space="preserve">SECURITY OWNERSHIP OF CERTAIN BENEFICIAL OWNERS AND MANAGEMENT AND RELATED STOCKHOLDER MATTERS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our common stock as of March 1,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1, 2024 and RSUs representing the right to receive shares of common stock that were deferred under the 2021 Non-Employee Director Deferred Compensation Plan (the Director Deferred Compensation Plan) or that vest within 60 days of March 1, 2024,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We have based percentage ownership of common stock on 97,158,580 shares of common stock outstanding as of March 1, 2024. Unless otherwise indicated, the address for each beneficial owner listed in the table below is c/o Biodesix, Inc., 919 West Dillon Rd., Louisville, CO 80027.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76"/>
        <w:gridCol w:w="252"/>
        <w:gridCol w:w="60"/>
        <w:gridCol w:w="1168"/>
        <w:gridCol w:w="60"/>
        <w:gridCol w:w="252"/>
        <w:gridCol w:w="60"/>
        <w:gridCol w:w="442"/>
        <w:gridCol w:w="285"/>
      </w:tblGrid>
      <w:tr>
        <w:trPr/>
        <w:tc>
          <w:tcPr>
            <w:tcW w:w="51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252" w:type="dxa"/>
            <w:tcBorders/>
            <w:vAlign w:val="bottom"/>
          </w:tcPr>
          <w:p>
            <w:pPr>
              <w:pStyle w:val="TableContents"/>
              <w:bidi w:val="0"/>
              <w:spacing w:before="0" w:after="283"/>
              <w:jc w:val="left"/>
              <w:rPr/>
            </w:pPr>
            <w:r>
              <w:rPr/>
              <w:t>  </w:t>
            </w:r>
          </w:p>
        </w:tc>
        <w:tc>
          <w:tcPr>
            <w:tcW w:w="20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w:t>
            </w:r>
          </w:p>
        </w:tc>
        <w:tc>
          <w:tcPr>
            <w:tcW w:w="285"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pPr>
            <w:r>
              <w:rPr/>
              <w:t>Shares</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85"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Principal Stockholders:</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Jack Schuler and entities affiliated with Jack Schuler(1)</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31,038,797</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31.8</w:t>
            </w:r>
          </w:p>
        </w:tc>
        <w:tc>
          <w:tcPr>
            <w:tcW w:w="285"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Lawrence T. Kennedy, Jr. and entities affiliated with Lawrence T. Kennedy, Jr.(2)</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21,253,376</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21.8</w:t>
            </w:r>
          </w:p>
        </w:tc>
        <w:tc>
          <w:tcPr>
            <w:tcW w:w="285"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John Patience and entities affiliated with John Patience(3)</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7,412,498</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7.6</w:t>
            </w:r>
          </w:p>
        </w:tc>
        <w:tc>
          <w:tcPr>
            <w:tcW w:w="285"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Matthew Strobeck and entities affiliated with Matthew Strobeck(4)</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5,672,000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5.8</w:t>
            </w:r>
          </w:p>
        </w:tc>
        <w:tc>
          <w:tcPr>
            <w:tcW w:w="285"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Jack Schuler(5)</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31,038,797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31.8</w:t>
            </w:r>
          </w:p>
        </w:tc>
        <w:tc>
          <w:tcPr>
            <w:tcW w:w="285"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Lawrence T. Kennedy, Jr.(6)</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21,253,376</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21.8</w:t>
            </w:r>
          </w:p>
        </w:tc>
        <w:tc>
          <w:tcPr>
            <w:tcW w:w="285"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Patience(7)</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7,412,498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7.6</w:t>
            </w:r>
          </w:p>
        </w:tc>
        <w:tc>
          <w:tcPr>
            <w:tcW w:w="285"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Matthew Strobeck, Ph.D.(8)</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5,672,000</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5.8</w:t>
            </w:r>
          </w:p>
        </w:tc>
        <w:tc>
          <w:tcPr>
            <w:tcW w:w="285"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Hutton(9)</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1,476,198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1.5</w:t>
            </w:r>
          </w:p>
        </w:tc>
        <w:tc>
          <w:tcPr>
            <w:tcW w:w="285"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Jon Faiz Kayyem, Ph.D.(10)</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547,220</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w:t>
            </w:r>
          </w:p>
        </w:tc>
        <w:tc>
          <w:tcPr>
            <w:tcW w:w="285"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Hany Massarany(11)</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544,985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w:t>
            </w:r>
          </w:p>
        </w:tc>
        <w:tc>
          <w:tcPr>
            <w:tcW w:w="285"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Robin Harper Cowie(12)</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535,386</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w:t>
            </w:r>
          </w:p>
        </w:tc>
        <w:tc>
          <w:tcPr>
            <w:tcW w:w="285"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Watts, M.D.(13)</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469,612</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w:t>
            </w:r>
          </w:p>
        </w:tc>
        <w:tc>
          <w:tcPr>
            <w:tcW w:w="285"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Jean Franchi(14)</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431,192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w:t>
            </w:r>
          </w:p>
        </w:tc>
        <w:tc>
          <w:tcPr>
            <w:tcW w:w="285"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Kieran OKane(15)</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233,126</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w:t>
            </w:r>
          </w:p>
        </w:tc>
        <w:tc>
          <w:tcPr>
            <w:tcW w:w="285"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named executive officers as a group (13 persons)</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69,946,274</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69.2</w:t>
            </w:r>
          </w:p>
        </w:tc>
        <w:tc>
          <w:tcPr>
            <w:tcW w:w="28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46,102 shares of common stock issuable upon the exercise of options held by Jack Schuler that are vested and exercisable within 60 days of March 1, 2024, (b) RSUs held by Mr. Schuler representing the right to receive 284,973 shares of common stock that will vest within 60 days of March 1, 2024 and be deferred under the Director Deferred Compensation Plan until separation from service to the Company, and (c) 30,707,722 shares of common stock held by Jack W. Schuler Living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9,582,783 shares of common stock held by Lawrence T. Kennedy, Jr. Revocable Trust UAD 6/19/01 and as amended from time to time, (b) 10,528,753 shares of common stock held by Lawrence T. Kennedy, Jr. Perpetuity Trust UAD 6/30/16, (c) 166,666 shares of common stock held by KFDI-B LLC, (d) 722,041 shares of common stock held by Lair BDSX GRAT 2022-03-02, and (e) RSUs held by Mr. Kennedy representing the right to receive 253,133 shares of common stock that will vest within 60 days of March 1, 2024 and be deferred under the Director Deferred Compensation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337,926 shares of common stock held directly by John Patience, (b) 46,102 shares of common stock issuable upon the exercise of options held by Mr. Patience that are vested and exercisable within 60 days of March 1, 2024, (c) RSUs held by Mr. Patience representing the right to receive 284,973 shares of common stock that will vest within 60 days of March 1, 2024 and be deferred under the Director Deferred Compensation Plan until separation from service to the Company, (d) 2,078,298 shares of common stock held by Patience Enterprises LP, (e) 4,612,211 shares of common stock held by John Patience Living Trust, dated July 23, 1993, and (f) 52,988 shares of common stock held by Diane Patience.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11,717 shares of common stock issuable upon the exercise of options held by Dr. Matthew Strobeck that are vested and exercisable within 60 days of March 1, 2024, (b) RSUs held by Dr. Strobeck representing the right to receive 291,966 shares of common stock that will vest within 60 days of March 1, 2024 and be deferred under the Director Deferred Compensation Plan until separation from service to the Company, (c) 2,542,928 shares of common stock held by Dr. Strobeck, (d) 2,275,199 shares of common stock held by Birchview Fund LLC, (e) 33,513 shares of common stock held by Birchview Capital Separately Managed Account, (f) 40,665 shares of common stock held by Clajer Capital LLC and (g) 119,003 shares of common stock held in each of four UTMA accounts (for an aggregate amount of 476,012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31,038,797 shares beneficially owned by Jack Schuler and entities affiliated with Mr. Schuler, as set forth in footnote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21,253,376 shares beneficially owned by Lawrence T. Kennedy, Jr. and entities affiliated with Mr. Kennedy, as set forth in footnote (2).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7,412,498 shares beneficially owned by John Patience and entities affiliated with Mr. Patience, as set forth in footnote (3).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5,672,000 shares beneficially owned by Dr. Matthew Strobeck and entities affiliated with Dr. Strobeck, as set forth in footnote (4).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1,000,866 shares of common stock issuable upon the exercise of options held by Scott Hutton that are vested and exercisable within 60 days of March 1, 2024, and (b) 475,332 shares of common stock held by Mr. Hutton.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50,543 shares of common stock issuable upon the exercise of options held by Dr. Jon Faiz Kayyem that are vested and exercisable within 60 days of March 1, 2024, (b) RSUs held by Dr. Kayyem representing the right to receive 139,140 shares of common stock that will vest within 60 days of March 1, 2024 and be deferred under the Director Deferred Compensation Plan until separation from service to the Company, (c) 180,085 shares of common stock held by The Jon Faiz Kayyem Revocable Trust, for which Dr. Kayyem and his spouse serve as co-trustees, and (d) 177,452 shares of common stock held by Dr. Kayyem. Dr. Kayyem disclaims beneficial ownership of the shares held by The Jon Faiz Kayyem Revocable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60,946 shares of common stock issuable upon the exercise of options held by Hany Massarany that are vested and exercisable within 60 days of March 1, 2024, (b) RSUs held by Mr. Massarany representing the right to receive 149,631 shares of common stock that will vest within 60 days of March 1, 2024 and be deferred under the Director Deferred Compensation Plan until separation from service to the Company, (c) RSUs held by Mr. Massarany representing the right to receive 19,777 shares of common stock which are vested and will generally settle in shares of common stock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earlier of July 1, 2025 and separation from service to the Company, and (d) 283,767 shares of common stock held by Mr. Massarany.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365,883 shares of common stock issuable upon the exercise of options held by Robin Harper Cowie that are vested and exercisable within 60 days of March 1, 2024, and (b) 169,503 shares of common stock held by Ms. Harper Cowie.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95,913 shares of common stock issuable upon the exercise of options held by Dr. Charles Watts that are vested and exercisable within 60 days of March 1, 2024, (b) RSUs held by Dr. Watts representing the right to receive 134,262 shares of common stock that will vest within 60 days of March 1, 2024, (c) RSUs held by Dr. Watts representing the right to receive 25,051 shares of common stock which are vested and will generally settle in shares of common stock on the earlier of July 16, 2024 and separation from service to the Company, and (d) 214,389 shares of common stock held by Dr. Watts.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29,363 shares of common stock issuable upon the exercise of options held by Jean Franchi that are vested and exercisable within 60 days of March 1, 2024, (b) RSUs held by Ms. Franchi representing the right to receive 298,961 shares of common stock that will vest within 60 days of March 1, 2024 and be deferred under the Director Deferred Compensation Plan until separation from service to the Company, (c) RSUs held by Ms. Franchi representing the right to receive 21,096 shares of common stock which are vested and will generally settle in shares of common stock on the earlier of April 1, 2025 and separation from service to the Company, and (d) 81,772 shares of common stock held by Ms. Franchi.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158,623 shares of common stock issuable upon the exercise of options held by Kieran OKane that are vested and exercisable within 60 days of March 1, 2024, and (b) 74,503 shares of common stock held by Mr. OKane.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827839_15"/>
      <w:bookmarkEnd w:id="17"/>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transactions since January 1, 2023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August 3, 2023, we entered into subscription agreements with various investors, including all members of our board of directors, certain members of the Companys management team, including our Chief Executive Officer, Chief Financial Officer and Chief Commercial Officer, for the issuance and sale by the Company of an aggregate of 16,975,298 shares at a purchase price of $1.62 per share in a private placement offering, for an aggregate purchase price of $27.5 million. The net proceeds were used, among other things, to fund the commercial expansion of the Companys sales and research and development business units, and for general corporate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April 5, 2024, we entered into securities purchase agreements with various investors, including members of our board of directors, certain members of the Companys management team, including our Chief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Chief Financial Officer and Chief Commercial Officer, for the issuance and sale by the Company of 760,857 shares of Series A Preferred Stock at a price of $46.00 per share. On April 5, 2024 we also entered into a registration rights agreement with such investors (the April 2024 RRA), pursuant to which the investors are entitled to certain resale registration rights with respect to shares of our common stock underlying the Series A Preferred Stock that will be held by such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827839_16"/>
      <w:bookmarkEnd w:id="1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the resale or other disposition from time to time by the Selling Stockholders identified in the table below of up to an aggregate of 30,434,280 shares of our Common Stock. The Selling Stockholders may from time to time offer and sell any or all of the Resale Shares set forth below pursuant to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On April 5, 2024, we entered into the April 2024 SPAs, pursuant to which we sold 760,857 shares of our Series A Preferred Stock, which, subject to stockholder approval and certain beneficial ownership limitations set by each holder pursuant to the Series A Certificate of Designation, will automatically convert into 40 shares of Common Stock for each share of Series A Preferred Stock, for an aggregate of up to 30,434,280 shares of our common stock and an aggregate purchase price of $35.0 million. This prospectus covers the resale or other disposition by the Selling Stockholders or their pledgees, donees, transferees or other successors-in-interest that receive their shares after the date of this prospectus of up to the total number of shares of Common Stock issuable upon the conversion of the Series A Preferred Stock sold to the Selling Stockholders pursuant to the April 2024 SPAs. Throughout this prospectus, when we refer to the Selling Stockholders, we are referring to the purchasers under the April 2024 SPAs listed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herein, the Selling Stockholders do not have, and within the past three years have not had, any position, office or other material relationship with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of the Selling Stockholders, the number of shares of our Common Stock owned by the Selling Stockholders, the number of shares of our Common Stock that may be offered under this prospectus and the number of shares of our Common Stock that will be owned after this offering by the Selling Stockholders assuming all of the shares registered for resale hereby are sold.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other than as contemplated by the April 2024 RRA. The Resale Shares covered hereby may be offered from time to time by the Selling Stockholders, provided that Resale Shares issued upon conversion of Series A Preferred Stock may only be offered after such shares of Series A Preferred Stock are converted to Common Stock pursuant to the terms of the Series A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below is based upon information obtained from the Selling Stockholders and upon information in our possession regarding the issuance of the Series A Preferred Stock and Private Placement Conversion Shares in connection with the Concurrent Private Placement. The percentages of Common Stock owned after the offering by each Selling Stockholder below are based on 114,685,542 shares of Common Stock outstanding as of April 9, 2024, and, for each Selling Stockholder, assumes the conversion of only the Series A Preferred Stock owned by such Selling Stockholder but not the Series A Preferred Stock owned by any other Selling Stockholder. The numbers of shares of Common Stock beneficially owned before and after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 below do not give effect to any Beneficial Ownership Limitations with respect to the Series A Preferred Stock.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83"/>
        <w:gridCol w:w="196"/>
        <w:gridCol w:w="61"/>
        <w:gridCol w:w="1217"/>
        <w:gridCol w:w="60"/>
        <w:gridCol w:w="196"/>
        <w:gridCol w:w="65"/>
        <w:gridCol w:w="1130"/>
        <w:gridCol w:w="60"/>
        <w:gridCol w:w="196"/>
        <w:gridCol w:w="86"/>
        <w:gridCol w:w="1713"/>
        <w:gridCol w:w="86"/>
        <w:gridCol w:w="243"/>
        <w:gridCol w:w="109"/>
        <w:gridCol w:w="1104"/>
        <w:gridCol w:w="283"/>
      </w:tblGrid>
      <w:tr>
        <w:trPr/>
        <w:tc>
          <w:tcPr>
            <w:tcW w:w="258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58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Selling</w:t>
              <w:br/>
              <w:t>Stockholders(1)</w:t>
            </w:r>
          </w:p>
        </w:tc>
        <w:tc>
          <w:tcPr>
            <w:tcW w:w="196" w:type="dxa"/>
            <w:tcBorders/>
            <w:vAlign w:val="bottom"/>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br/>
              <w:t>Beneficially</w:t>
              <w:br/>
              <w:t>Owned</w:t>
              <w:br/>
              <w:t>Before</w:t>
              <w:br/>
              <w:t>Offering(2)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that</w:t>
              <w:br/>
              <w:t>May</w:t>
              <w:br/>
              <w:t>Be Offered</w:t>
              <w:br/>
              <w:t>Pursuant</w:t>
              <w:br/>
              <w:t>to</w:t>
              <w:br/>
              <w:t>Prospectus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33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 Beneficially</w:t>
              <w:br/>
              <w:t>Owned After Offering(2)</w:t>
            </w:r>
          </w:p>
        </w:tc>
        <w:tc>
          <w:tcPr>
            <w:tcW w:w="283" w:type="dxa"/>
            <w:tcBorders/>
            <w:vAlign w:val="bottom"/>
          </w:tcPr>
          <w:p>
            <w:pPr>
              <w:pStyle w:val="TableContents"/>
              <w:bidi w:val="0"/>
              <w:spacing w:before="0" w:after="283"/>
              <w:jc w:val="left"/>
              <w:rPr/>
            </w:pPr>
            <w:r>
              <w:rPr/>
              <w:t> </w:t>
            </w:r>
          </w:p>
        </w:tc>
      </w:tr>
      <w:tr>
        <w:trPr/>
        <w:tc>
          <w:tcPr>
            <w:tcW w:w="25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Telemark Fund, LP(3)</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8,282,490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5,217,360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3,065,130</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2.67</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Soleus Capital Master Fund, L.P.(4)</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6,086,964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3,895,760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2,191,204</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1.91</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associated with Farallon Capital Management, L.L.C.(5)</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5,217,415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3,339,240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1,878,175</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1.64</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Entities associated with Sio(6)</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4,347,855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1,739,160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2,608,695</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2.27</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Opaleye, L.P.(7)</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4,554,657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2,620,000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1,934,657</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1.69</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Entities associated with Monashee(8)</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3,260,899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2,087,040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1,173,859</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1.02</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associated with SilverArc(9)</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3,031,113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1,947,880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1,083,233</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Entities associated with AIGH Capital Management, LLC (10)</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5,979,812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1,669,640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4,310,172</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3.76</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associated with Perceptive(11)</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6,673,880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2,173,880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4,500,000</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3.92</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CVI Investments, Inc.(12)</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730,350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556,520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173,830</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 Global Health LP(13)</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343,703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116,280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227,423</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Entities associated with Lawrence T. Kennedy, Jr.(14)</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25,601,216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4,347,840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21,253,376</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18.53</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associated with Matthew Strobeck(15)</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6,019,840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347,840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5,672,000</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4.95</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Entities associated with John Patience(16)</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7,629,898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217,400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7,412,498</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6.46</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Jack Schuler(17)</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31,125,757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86,960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31,038,797</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27.06</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Scott Hutton(18)</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1,528,360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26,120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1,502,240</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1.31</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Robin Harper Cowie(19)</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555,315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13,080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542,235</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Kieran OKane(20)</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251,275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13,080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238,195</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 Springmeyer(21)</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54,827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8,720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46,107</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Robert Lunt(22)</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66,049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8,720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57,329</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2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Gary Pestano(23)</w:t>
            </w:r>
          </w:p>
        </w:tc>
        <w:tc>
          <w:tcPr>
            <w:tcW w:w="1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243,131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880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242,251</w:t>
            </w:r>
          </w:p>
        </w:tc>
        <w:tc>
          <w:tcPr>
            <w:tcW w:w="8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2583"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Vazquez(24)</w:t>
            </w:r>
          </w:p>
        </w:tc>
        <w:tc>
          <w:tcPr>
            <w:tcW w:w="1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97,209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880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96,329</w:t>
            </w:r>
          </w:p>
        </w:tc>
        <w:tc>
          <w:tcPr>
            <w:tcW w:w="8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our knowledge, unless otherwise indicated, all persons named in the table above have sole voting and investment power with respect to their shares of Common Stock. Unless an address is provided below, the address for the holder is c/o Biodesix, Inc., 919 West Dillon Rd., Louisville, CO 80027.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A Preferred Stock is prohibited from converting shares of Series A Preferred Stock into shares of Common Stock (i) prior to the affirmative vote of the shareholders of a majority of the then outstanding shares of the Series A Preferred Stock, or (ii) if, as a result of such conversion, such holder, together with its affiliates, would beneficially own more than a specified percentage (established by the holder between 0.00% and 19.99%) (the Beneficial Ownership Limitation) of the total number of shares of Common Stock issued and outstanding immediately after giving effect to such conversion.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5,217,360 shares of Common Stock to be issuable upon the conversion of 130,434 shares of Series A Preferred Stock. Telemark Asset Management, LLC (Telemark Asset Management) is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investment adviser of Telemark Fund, LP (Telemark Fund). Colin McNay is the President and sole owner of Telemark Asset Management. He disclaims beneficial ownership of any of the shares of Common Stock held by Telemark Fund except to the extent of his pecuniary interest therein. The address of the foregoing entities is One International Place, Suite 4620 Boston MA, 02110.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3,895,760 shares of Common Stock issuable upon the conversion of 97,394 shares of Series A Preferred Stock to be held directly by Soleus Capital Master Fund, L.P. (Master Fund). Soleus Capital, LLC (Soleus Capital) is the sole general partner of Master Fund and thus holds voting and dispositive power over the shares held by Master Fund. Soleus Capital Group, LLC (SCG) is the sole managing member of Soleus Capital. Guy Levy is the sole managing member of SCG. Each of SCG, Soleus Capital and Mr. Guy Levy disclaims beneficial ownership of these securities held by the Master Fund, except to the extent of his or their respective pecuniary interests therein. The address for Master Fund and Soleus Capital is 104 Field Point Road, 2nd Floor, Greenwich, CT, 06830. The Common Stock held by Master Fund issuable upon conversion of the shares of Series A Preferred Stock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that are the subject of this resale registration statement are the shares of Common Stock issuable to the Farallon Funds (as defined below) upon the conversion of the shares of Series A Preferred Stock currently held by the Farallon Funds. Such shares of Series A Preferred Stock currently are held, and upon such conversion such shares of Common Stock will be held, directly by the Farallon Funds as follows: (i) Farallon Capital Partners, L.P. (FCP) currently holds 17,089 shares of Series A Preferred Stock convertible into 683,560 shares of Common Stock; (ii) Farallon Capital Institutional Partners, L.P. (FCIP) currently holds 14,926 shares of Series A Preferred Stock convertible into 597,040 shares of Common Stock; (iii) Farallon Capital Institutional Partners II, L.P. (FCIP II) currently holds 3,840 shares of Series A Preferred Stock convertible into 153,600 shares of Common Stock; (iv) Farallon Capital Institutional Partners III, L.P. (FCIP III) currently holds 735 shares of Series A Preferred Stock convertible into 29,400 shares of Common Stock; (v) Four Crossings Institutional Partners V, L.P. (FCIP V) currently holds 2,772 shares of Series A Preferred Stock convertible into 110,880 shares of Common Stock; (vi) Farallon Capital Offshore Investors II, L.P. (FCOI II) currently holds 32,290 shares of Series A Preferred Stock convertible into 1,291,600 shares of Common Stock; (vii) Farallon Capital (AM) Investors, L.P. (FCAMI) currently holds 2,120 shares of Series A Preferred Stock convertible into 84,800 shares of Common Stock; and (viii) Farallon Capital F5 Master I, L.P. (F5MI and, together with FCP, FCIP, FCIP II, FCIP III, FCIP V, FCOI II and FCAMI, the Farallon Funds) currently holds 9,709 shares of Series A Preferred Stock convertible into 388,360 shares of Common Stock. Farallon Partners, L.L.C. (the Farallon General Partner), as the general partner of each of FCP, FCIP, FCIP II, FCIP III, FCOI II and FCAMI, may be deemed a beneficial owner, upon their issuance, of the shares of Common Stock issuable upon the conversion of the Series A Preferred Stock currently held by FCP, FCIP, FCIP II, FCIP III, FCOI II and FCAMI. Farallon Institutional (GP) V, L.L.C. (the FCIP V General Partner), as the general partner of FCIP V, may be deemed a beneficial owner, upon their issuance, of the shares of Common Stock issuable upon the conversion of the Series A Preferred Stock currently held by FCIP V. Farallon F5 (GP), L.L.C. (the F5MI General Partner), as the general partner of F5MI, may be deemed a beneficial owner, upon their issuance, of the shares of Common Stock issuable upon the conversion of the Series A Preferred Stock currently held by F5MI. Each of Joshua J. Dapice, Philip D. Dreyfuss, Hannah E. Dunn, Richard B. Fried, Varun N. Gehani, Nicolas Giauque, David T. Kim, Michael G. Linn, Rajiv A. Patel, Thomas G. Roberts, Jr., Edric C. Saito, William Seybold, Daniel S. Short, Andrew J. M. Spokes, John R. Warren and Mark C. Wehrly (collectively, the Farallon Managing Members), as a senior managing member or managing member, as the case may be, of the Farallon General Partner, and a senior manager or manager, as the case may be, of the FCIP V General Partner and the F5MI General Partner, in each case with the power to exercise investment discretion, may be deemed a beneficial owner, upon their issuance, of all such shares of Common Stock issuable upon the conversion of the Series A Preferred Stock currently held by the Farallon Funds. Each of the Farallon General Partner, the FCIP V General Partner, the F5MI General Partner, and the Farallon Managing Members hereby disclaims any beneficial ownership of any such shares. The address of each of the entities and individuals referenced in this note is c/o Farallon Capital Management, L.L.C., One Maritime Plaza, Suite 2100, San Francisco, CA 94111. The number of shares of Common Stock issuable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Farallon Funds upon conversion of the Series A Preferred Stock currently held by the Farallon Funds is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1,095,680 shares of Common Stock issuable upon the conversion of 27,392 shares of Series A Preferred Stock held by Sio Partners LP (Partners) and (ii) 643,480 shares of Common Stock issuable upon the conversion of 16,087 shares of Series A Preferred Stock held by Sio Partners Offshore, Ltd. (Offshore). Sio GP LLC is the General Partner of Partners. Sio Capital Management, LLC (Sio Management) is the investment manager of Partners and Offshore, and Michael Castor is the sole owner and Managing Member of Sio Management and Sio GP LLC. Sio Management, Sio GP LLC, and Mr. Castor may be deemed to beneficially own the securities held by Partners and Offshore. Each of Sio Management, Sio GP LLC, and Mr. Castor disclaim beneficial ownership of any of the shares of our Common Stock they may be deemed to beneficially own except to the extent of their respective pecuniary interest therein. The address for Sio Management, Sio GP LLC, Mr. Castor, Partners, and Offshore is 600 Third Avenue, New York, New York 10016.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4,554,657 shares held of record by Opaleye Management Inc. including 2,620,000 shares of Common Stock issuable upon the conversion of 65,500 shares of Series A Preferred Stock. Opaleye Management Inc. is an investment manager for Opaleye L.P. and James Silverman is the President of Opaleye Management Inc. Mr. Silverman shares voting and investment power with respect to the shares held by Opaleye, L.P. The address for Opaleye L.P. is Attention: James Silverman, One Boston Place, 26th Floor, Boston, MA 02108.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aggregate of 2,087,040 shares of common stock issuable upon the conversion of 52,176 shares of Series A Preferred Stock held collectively by (i) BEMAP Master Fund LTD (BEMAP), (ii) Mission Pure Alpha LP (Mission), (iii) Monashee Pure Alpha SPV I LP (Pure Alpha) and (iv) Blackstone CSP-MST FMAP Fund (FMAP), which are managed by Monashee Investment Management, LLC (Monashee Management). Jeff Muller is CCO of Monashee Management and has voting and investment control over Monashee Management and, accordingly, may be deemed to have beneficial ownership of the shares held by BEMAP, Pure Alpha, Mission, and FMAP. Jeff Muller, however, disclaims any beneficial ownership of the shares held by these entities. The address of, BEMAP, Pure Alpha, Mission, FMAP and Mr. Muller is c/o Monashee Investment Management, LLC, 75 Park Plaza, 4th Floor, Boston, Massachusetts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64,080 shares of Common Stock issuable upon the conversion of 1,602 shares of Series A Preferred Stock held by SilverArc Capital Alpha Fund I, L.P. (SilverArc Fund I), (ii) 1,390,400 shares of Common Stock issuable upon the conversion of 34,760 shares of Series A Preferred Stock held by SilverArc Capital Alpha Fund II, L.P. (SilverArc Fund II) and (iii) 493,400 shares of Common Stock issuable upon the conversion of 12,335 shares of Series A Preferred Stock held by Squarepoint Diversified Partners Fund Limited (Squarepoint). SilverArc Capital Management, LLC is the controlling entity of SilverArc Fund I, SilverArc Fund II and Squarepoint, and is solely owned by Devesh Gandhi, or Mr. Gandhi. Mr. Gandhi may be deemed to have shared voting and investment power of the securities managed by SilverArc Capital Management, LLC. Mr. Gandhi disclaims beneficial ownership of such securities, except to the extent of his pecuniary interest therein. The address of these persons and entities is 20 Park Plaza, 4th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1,243,800 shares of Common Stock issuable upon the conversion of 31,095 shares of Series A Preferred Stock held by AIGH Investment Partners, LP (AIGH LP); (ii) 330,440 shares of Common Stock issuable upon the conversion of 8,261 shares of Series A Preferred Stock held by WVP Emerging Manager Onshore Fund, LLCAIGH Series (Onshore  AIGH); and (iii) 95,400 shares of Common Stock issuable upon the conversion of 2,385 shares of Series A Preferred Stock held by WVP Emerging Manager Onshore Fund, LLCOptimized Equity Series (Onshore  Optimized Equity). AIGH Capital Management, LLC serves as an advisor or sub-advisor with respect to shares securities held by AIGH LP, OnshoreAIGH and OnshoreOptimized Equity. Orin Hirschman is the Managing Member of AIGH Capital Management, LLC (AIGH CM). The address of AIGH CM, AIGH LP, OnshoreAIGH and OnshoreOptimized Equity is 6006 Berkeley Avenue, Baltimore, MD 21209. The shares of Common Stock issuable upon conversion of the shares of Series A Preferred Stock held by AIGH LP, OnshoreAIGH and OnshoreOptimized Equity are each subject to a Beneficial Ownership Limitation of 4.99%.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1,036,560 shares of Common Stock issued upon the conversion of 25,914 shares of Series A Preferred Stock held by Perceptive Credit Holdings IV, LP (Perceptive Credit) and (ii) 1,137,320 shares of Common Stock issued upon the conversion of 28,433 shares of Series A Preferred Stock held by PCOF EQ AIV IV, LP (PCOF). The address of Perceptive Credit and PCOF is 51 Astor Place, 10th Floor, New York, NY 10003. The shares of Common Stock issuable upon conversion of the shares of Series A Preferred Stock held by Perceptive Credit and PCOF are subject to a Beneficial Ownership Limitation of 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556,520 shares of Common Stock issued upon the conversion of 13,913 shares of Series A Preferred Stock held by CVI Investments, Inc. Heights Capital Management, Inc. (Heights),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Investments, Inc.is affiliated with one or more FINRA members, none of whom are currently expected to participate in any sale pursuant to the prospectus contained in this registration statement. The address for CVI and Heights is 101 California Street, Suite 3250, San Francisco, CA 94111. The shares of Common Stock issuable upon conversion of the shares of Series A Preferred Stock held by CVI are subject to a Beneficial Ownership Limitation of 4.99%.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116,280 shares of Common Stock issued upon the conversion of 2,907 shares of Series A Preferred Stock held by ST Global Health LP (ST Global). The address for ST Global is 66 West Flagler StreetSuite 900, Miami, FL 33130.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9,582,783 shares of Common Stock held by Lawrence T. Kennedy, Jr. Revocable Trust UAD 6/19/01 and as amended from time to time, (ii) 10,528,753 shares of Common Stock held by Lawrence T. Kennedy, Jr. Perpetuity Trust UAD 6/30/16, (iii) 166,666 shares of Common Stock held by KFDI-B LLC, (iv) 722,041 shares of Common Stock held by Lair BDSX GRAT 2022-03-02, (v) 4,347,840 shares of Common Stock issuable upon the conversion of 108,696 shares of Series A Preferred Stock and (vi) RSUs representing the right to receive 253,133 shares of Common Stock that will vest within 60 days of April 9, 2024 and be deferred under the Director Deferred Compensation Plan. Mr. Kennedy, Jr. is a director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2,542,928 shares of Common Stock held by Dr. Strobeck, (ii) 2,275,199 shares of Common Stock held by Birchview Fund LLC, (iii) 33,513 shares of Common Stock held by Birchview Capital Separately Managed Account, (iv) 40,665 shares of Common Stock held by Clajer Capital LLC, (v) 119,003 shares of Common Stock held in each of four UTMA accounts (for an aggregate amount of 476,012 shares), (vi) 347,840 shares of Common Stock issuable upon the conversion of 8,696 shares of Series A Preferred Stock, (vii) 11,717 shares of Common Stock issuable upon the exercise of options that are vested and exercisable within 60 days of April 9, 2024 and (viii) RSUs representing the right to receive 291,966 shares of Common Stock that will vest within 60 days of April 9, 2024 and be deferred under the Director Deferred Compensation Plan until separation from service to the Company. Dr. Strobeck is a director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337,926 shares of Common Stock held directly by John Patience, (ii) 2,078,298 shares of Common Stock held by Patience Enterprises LP, (iii) 4,612,211 shares of Common Stock held by John Patience Living Trust, dated July 23, 1993, (iv) 52,988 shares of Common Stock held by Diane Patience, (v) 217,400 shares of Common Stock issuable upon the conversion of 5,435 shares of Series A Preferred Stock, (vii) 46,102 shares of Common Stock issuable upon the exercise of options held by Mr. Patience that are vested and exercisable within 60 days of April 9, 2024, and (viii) RSUs representing the right to receive 284,973 shares of Common Stock that will vest within 60 days of April 9, 2024 and be deferred under the Director Deferred Compensation Plan until separation from service to the Company. Mr. Patience is a director of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30,707,722 shares of Common Stock held by Jack W. Schuler Living Trust, (ii) 86,960 shares of Common Stock issuable upon the conversion of 2,174 shares of Series A Preferred Stock, (iii) 46,102 shares of Common Stock issuable upon the exercise of options held by Mr. Schuler that are vested and exercisable within 60 days of April 9, 2024 and (iv) RSUs held by Mr. Schuler representing the right to receive 284,973 shares of Common Stock that will vest within 60 days of April 9, 2024 and be deferred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under the Director Deferred Compensation Plan until separation from service to the Company. Mr. Schuler is a director of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475,332 shares of Common Stock held by Mr. Hutton, (ii) 26,120 shares of Common Stock issuable upon the conversion of 653 shares of Series A Preferred Stock, (iii) 1,014,696 shares of Common Stock issuable upon the exercise of options held by Mr. Hutton that are vested and exercisable within 60 days of April 9, 2024 and (iv) RSUs representing the right to receive 12,212 shares of Common Stock that will vest within 60 days of April 9, 2024. Mr. Hutton is the President and Chief Executive Officer of the Company and a director.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169,503 shares of Common Stock held by Ms. Harper Cowie, (ii) 13,080 shares of Common Stock issuable upon the conversion of 327 shares of Series A Preferred Stock, (iii) 369,575 shares of Common Stock issuable upon the exercise of options held by Ms. Harper Cowie that are vested and exercisable within 60 days of April 9, 2024 and (iv) RSUs representing the right to receive 3,157 shares of Common Stock that will vest within 60 days of April 9, 2024. Ms. Harper Cowie is the Chief Financial Officer of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74,503 shares of Common Stock held by Mr. OKane, (ii) 13,080 shares of Common Stock issuable upon the conversion of 327 shares of Series A Preferred Stock, (iii) 162,203 shares of Common Stock issuable upon the exercise of options held by Kieran OKane that are vested and exercisable within 60 days of April 9, 2024 and (iv) RSUs representing the right to receive 1,489 shares of Common Stock that will vest within 60 days of April 9, 2024. Mr. OKane is the Chief Commercial Officer of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45,967 shares of Common Stock held by Dr. Springmeyer, (ii) 8,720 shares of Common Stock issuable upon the conversion of 218 shares of Series A Preferred Stock and (iii) 140 shares of Common Stock issuable upon the exercise of options held by Dr. Springmeyer that are vested and exercisable within 60 days of April 9, 2024. Dr. Springmeyer is Co-Chief Medical Officer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31,109 shares of Common Stock held by Mr. Lunt, (ii) 8,720 shares of Common Stock issuable upon the conversion of 218 shares of Series A Preferred Stock and (iii) 26,220 shares of Common Stock issuable upon the exercise of options held by Mr. Lunt that are vested and exercisable within 60 days of April 9, 2024. Mr. Lunt is the Senior Director of Marketing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123,304 shares of Common Stock held by Mr. Pestano, (ii) 880 shares of Common Stock issuable upon the conversion of 22 shares of Series A Preferred Stock, (iii) 117,569 shares of Common Stock issuable upon the exercise of options held by Mr. Pestano that are vested and exercisable within 60 days of April 9, 2024 and (iv) RSUs representing the right to receive 1,378 shares of Common Stock that will vest within 60 days of April 9, 2024. Mr. Pestano is the Chief Development Officer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9,558 shares of Common Stock held by Mr. Vazquez, (ii) 880 shares of Common Stock issuable upon the conversion of 22 shares of Series A Preferred Stock, (iii) 86,170 shares of Common Stock issuable upon the exercise of options held by Mr. Vazquez that are vested and exercisable within 60 days of April 9, 2024 and (iv) RSUs representing the right to receive 601 shares of Common Stock that will vest within 60 days of April 9, 2024. Mr. Vazquez is the Chief Accounting Officer of the Company.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our April 2024 RRA, we agreed to prepare and file with the SEC a registration statement that permits the resale or other disposition of the Selling Stockholders shares of Common Stock issued upon conversion of the Series A Preferred Stock issued to such Selling Stockholders pursuant to the April 2024 SPAs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April 2024 RRA). This registration statement is being filed in order to satisfy our obligations under the April 2024 RRA. </w:t>
      </w:r>
    </w:p>
    <w:p>
      <w:pPr>
        <w:pStyle w:val="TextBody"/>
        <w:bidi w:val="0"/>
        <w:spacing w:before="240" w:after="0"/>
        <w:jc w:val="left"/>
        <w:rPr>
          <w:rFonts w:ascii="Times New Roman" w:hAnsi="Times New Roman"/>
          <w:sz w:val="20"/>
        </w:rPr>
      </w:pPr>
      <w:r>
        <w:rPr>
          <w:rFonts w:ascii="Times New Roman" w:hAnsi="Times New Roman"/>
          <w:sz w:val="20"/>
        </w:rPr>
        <w:t xml:space="preserve">We have also agreed, among other things, to indemnify the Selling Stockholders and each of their respective officers, directors, members, employees, partners, managers, stockholders, affiliates, investment advisors and agents, each person who controls any such Selling Stockholder and the officers, directors, members, employees, partners, managers, stockholders, affiliates, investment advisors and agents of each such controlling person from certain liabilities and pay all fees and expenses (excluding any legal fees of the selling holder(s), and any underwriting discounts and selling commissions) incident to our obligations under the April 2024 RRA.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827839_17"/>
      <w:bookmarkEnd w:id="1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Resale Shares issued to the Selling Stockholders to permit the sale, transfer or other disposition of these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all or a portion of the Resale Shares beneficially owned by them and offered hereby from time to time, and in the case of the Private Placement Conversion Shares, may only be offered after such shares are converted to Common Stock pursuant to the terms of the Series A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a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market or through market makers or into an existing market for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shares by any Selling Stockholders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broker-dealers that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Resale Shares in open market transactions in reliance upon Rule 144, as permitted by that rule, or Section 4(a)(1) under the Securities Act, if available, rather than under this prospectus, provided that they meet the criteria and conform to the requirements of those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concessions allowed to such broker-dealer(s), where applicable, (v) that such broker-dealer(s) did not conduct any investigation to verify the information set out in this prospectus, and (vi) other facts material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Selling Stockholder will sell any or all of the Resale Shares registered pursuant to the shelf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 </w:t>
      </w:r>
    </w:p>
    <w:p>
      <w:pPr>
        <w:pStyle w:val="TextBody"/>
        <w:bidi w:val="0"/>
        <w:spacing w:before="240" w:after="0"/>
        <w:jc w:val="left"/>
        <w:rPr>
          <w:rFonts w:ascii="Times New Roman" w:hAnsi="Times New Roman"/>
          <w:sz w:val="20"/>
        </w:rPr>
      </w:pPr>
      <w:r>
        <w:rPr>
          <w:rFonts w:ascii="Times New Roman" w:hAnsi="Times New Roman"/>
          <w:sz w:val="20"/>
        </w:rPr>
        <w:t xml:space="preserve">We will pay all expenses of the registration of the Resale Shares pursuant to the April 2024 RRA,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April 2024 RRA, or the Selling Stockholders will be entitled to contribution. We may be indemnified by the Selling Stockholders against certain civil liabilities set forth in the April 2024 RRA, including liabilities under the Securities Act, that may arise from any written information furnished to us by the Selling Stockholders specifically for use in this prospectus, in accordance with the related registration rights agreements, or we may be entitled to contribution.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827839_18"/>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200,000,000 shares of Common Stock, $0.001 par value per share, and 5,000,000 shares of preferred stock (Preferred Stock), of which 760,857 shares have been designated as Series A Preferred Stock, $0.001 par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were 96,253,883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most important terms of our capital stock. Because it is only a summary, it does not contain all the information that may be important to you. For a complete description, you should refer to our Certificate of Incorporation (the Certificate of Incorporation) and Bylaws (the Bylaws), which are included as exhibits to this prospectus, and to the applicable provisions of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per share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All other matters brought before any meeting of stockholders shall be decided by the affirmative vote of the holders of a majority of the voting power of the Companys capital stock present in person or by proxy at the meeting and entitled to vote on such matter, voting as a single class. Our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i/>
          <w:sz w:val="20"/>
        </w:rPr>
      </w:pPr>
      <w:r>
        <w:rPr>
          <w:rFonts w:ascii="Times New Roman" w:hAnsi="Times New Roman"/>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not entitled to preemptive rights, and is not subject to conversion, redemption or sinking fund provisions. </w:t>
      </w:r>
    </w:p>
    <w:p>
      <w:pPr>
        <w:pStyle w:val="TextBody"/>
        <w:bidi w:val="0"/>
        <w:spacing w:before="360" w:after="0"/>
        <w:jc w:val="left"/>
        <w:rPr>
          <w:rFonts w:ascii="Times New Roman" w:hAnsi="Times New Roman"/>
          <w:i/>
          <w:sz w:val="20"/>
        </w:rPr>
      </w:pPr>
      <w:r>
        <w:rPr>
          <w:rFonts w:ascii="Times New Roman" w:hAnsi="Times New Roman"/>
          <w:i/>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Upon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Preferred Stock may be issued from time to time in one or more series. Our Board is authorized to fix the voting rights, if any, designations, powers, preferences and relative, participating, optional, special and other rights, if any, of the shares of each series,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qualifications, limitations or restrictions thereof. Our Board may, without stockholder approval, issue Preferred Stock with voting and other rights that could adversely affect the voting power or other rights of the holders of our Common Stock and could have anti-takeover effects. The ability of our Board to issue Preferred Stock without stockholder approval could have the effect of delaying, deferring or preventing a change in control of our company or removal of existing management. We have no current plan to issue any shares of Preferred Stock other than the shares of our Series A Preferred Stock issued in connection with the April 2024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A Preferred Stock are entitled to receive dividends on shares of Series A Preferred Stock equal to, on an as-if-converted-to-common-stock basis, and in the same form as dividends actually paid on shares of our Common Stock. Except as provided in the Series A Certificate of Designation or as otherwise required by law,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or alter or amend the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of the Series A Preferred Stock into shares of Common Stock in accordance with Nasdaq Stock Market Rules (the Series A Conversion Proposal) or at any time while at least 30% of the originally issued Series A Preferred Stock remains issued and outstanding, consummate (x) any Fundamental Transaction (as defined in the Series A Certificate of Designation) or (y)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or (d) enter into any agreement with respect to any of the foregoing. The Series A Preferred Stock does not have a preference upon any liquidation, dissolution or winding-up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Following stockholder approval of the Series A Conversion Proposal, each share of Series A Preferred Stock will automatically convert into 40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(established by the holder between 0% and 19.99%) of the total number of shares of Common Stock issued and outstanding immediately after giving effect to such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Series A Preferred Stock are entitled to certain rights with respect to the registration of such securities as further provided under the heading Selling StockholdersRegistration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of Delaware Law, the Companys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of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Certificate of Incorporation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Board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 </w:t>
      </w:r>
    </w:p>
    <w:p>
      <w:pPr>
        <w:pStyle w:val="TextBody"/>
        <w:bidi w:val="0"/>
        <w:spacing w:before="360" w:after="0"/>
        <w:jc w:val="left"/>
        <w:rPr>
          <w:rFonts w:ascii="Times New Roman" w:hAnsi="Times New Roman"/>
          <w:i/>
          <w:sz w:val="20"/>
        </w:rPr>
      </w:pPr>
      <w:r>
        <w:rPr>
          <w:rFonts w:ascii="Times New Roman" w:hAnsi="Times New Roman"/>
          <w:i/>
          <w:sz w:val="20"/>
        </w:rPr>
        <w:t xml:space="preserve">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w:t>
      </w:r>
    </w:p>
    <w:p>
      <w:pPr>
        <w:pStyle w:val="TextBody"/>
        <w:bidi w:val="0"/>
        <w:spacing w:before="360" w:after="0"/>
        <w:jc w:val="left"/>
        <w:rPr>
          <w:rFonts w:ascii="Times New Roman" w:hAnsi="Times New Roman"/>
          <w:i/>
          <w:sz w:val="20"/>
        </w:rPr>
      </w:pPr>
      <w:r>
        <w:rPr>
          <w:rFonts w:ascii="Times New Roman" w:hAnsi="Times New Roman"/>
          <w:i/>
          <w:sz w:val="20"/>
        </w:rPr>
        <w:t xml:space="preserve">Directors Removed Only for Cause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may remove directors only for cause. </w:t>
      </w:r>
    </w:p>
    <w:p>
      <w:pPr>
        <w:pStyle w:val="TextBody"/>
        <w:bidi w:val="0"/>
        <w:spacing w:before="360" w:after="0"/>
        <w:jc w:val="left"/>
        <w:rPr>
          <w:rFonts w:ascii="Times New Roman" w:hAnsi="Times New Roman"/>
          <w:i/>
          <w:sz w:val="20"/>
        </w:rPr>
      </w:pPr>
      <w:r>
        <w:rPr>
          <w:rFonts w:ascii="Times New Roman" w:hAnsi="Times New Roman"/>
          <w:i/>
          <w:sz w:val="20"/>
        </w:rPr>
        <w:t xml:space="preserve">Supermajority Requirements for Amendments of Our Amended and Restated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further provide that the affirmative vote of holders of at least two-thirds of the voting power of our outstanding common stock is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is required to amend or repeal our bylaws, although our bylaws may be amended by a simple majority vote of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stockholders may not take action by written consent, but may only take action at annual or special meetings of our stockholders. As a result, holders of our capital stock are not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proposing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as to the ownership by the proposing persons of our capital stock and any derivative interest or short interest in any of our securities held by the proposing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as to any material relationships and interest between the proposing persons and us, any of our affiliates and any of our principal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the stockholder is a holder of record of our stock entitled to vote at that meeting and that the stockholder intends to appear in person or by proxy at the meeting to propose such nomination or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whether the proposing persons intend or are part of a group which intends to deliver a proxy statement or form of proxy to holders of at least the percentage of our outstanding capital stock required to elect the nominee or carry the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that stockholders are not entitled to the right to cumulate votes in the election of directors unless a corporations certificate of incorporation provides otherwise. Our amended and restated certificate of incorporation and bylaws will not provide for cumulative voting. </w:t>
      </w:r>
    </w:p>
    <w:p>
      <w:pPr>
        <w:pStyle w:val="TextBody"/>
        <w:bidi w:val="0"/>
        <w:spacing w:before="360" w:after="0"/>
        <w:jc w:val="left"/>
        <w:rPr>
          <w:rFonts w:ascii="Times New Roman" w:hAnsi="Times New Roman"/>
          <w:i/>
          <w:sz w:val="20"/>
        </w:rPr>
      </w:pPr>
      <w:r>
        <w:rPr>
          <w:rFonts w:ascii="Times New Roman" w:hAnsi="Times New Roman"/>
          <w:i/>
          <w:sz w:val="20"/>
        </w:rPr>
        <w:t xml:space="preserve">Issuance of 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the authority, without further action by the stockholders, to issue up to 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 </w:t>
      </w:r>
    </w:p>
    <w:p>
      <w:pPr>
        <w:pStyle w:val="TextBody"/>
        <w:bidi w:val="0"/>
        <w:spacing w:before="360" w:after="0"/>
        <w:jc w:val="left"/>
        <w:rPr>
          <w:rFonts w:ascii="Times New Roman" w:hAnsi="Times New Roman"/>
          <w:i/>
          <w:sz w:val="20"/>
        </w:rPr>
      </w:pPr>
      <w:r>
        <w:rPr>
          <w:rFonts w:ascii="Times New Roman" w:hAnsi="Times New Roman"/>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DGCL or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for the District of Delaware) in all cases subject to the court having jurisdiction over indispensable parties named as defendants.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such claims may be based upon federal law claims, Section 27 of the Exchange Act creates exclusive federal jurisdiction over all suits brought to enforce any duty or liability created by the Exchange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which will become effective immediately prior to the completion of this offering,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agents address 150 Royall Street, Canton, Massachusetts 02021, and its telephone number is (800) 962-4284.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BDSX.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827839_19"/>
      <w:bookmarkEnd w:id="2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being offered hereby will be passed upon for us by Sidley Austin LLP, San Francisco, California. Partners of Sidley Austin LLP own less than 1% of our outstanding Common Stock. Additional legal matters may be passed upon for us or any underwriters, dealers or agents, by counsel that we will name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827839_20"/>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Biodesix, Inc. as of December 31, 2023 and 2022, and for the years then ended,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827839_21"/>
      <w:bookmarkEnd w:id="2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oc827839_22"/>
      <w:bookmarkEnd w:id="2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 No. 001-39659),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Annual Report on </w:t>
            </w:r>
            <w:hyperlink r:id="rId9">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March 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 on </w:t>
            </w:r>
            <w:hyperlink r:id="rId10">
              <w:r>
                <w:rPr>
                  <w:rStyle w:val="InternetLink"/>
                  <w:rFonts w:ascii="Times New Roman" w:hAnsi="Times New Roman"/>
                  <w:sz w:val="20"/>
                </w:rPr>
                <w:t>Form 8-K</w:t>
              </w:r>
            </w:hyperlink>
            <w:r>
              <w:rPr>
                <w:rFonts w:ascii="Times New Roman" w:hAnsi="Times New Roman"/>
                <w:sz w:val="20"/>
              </w:rPr>
              <w:t xml:space="preserve">, filed with the SEC on April 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11">
              <w:r>
                <w:rPr>
                  <w:rStyle w:val="InternetLink"/>
                  <w:rFonts w:ascii="Times New Roman" w:hAnsi="Times New Roman"/>
                  <w:sz w:val="20"/>
                </w:rPr>
                <w:t>Schedule 14A</w:t>
              </w:r>
            </w:hyperlink>
            <w:r>
              <w:rPr>
                <w:rFonts w:ascii="Times New Roman" w:hAnsi="Times New Roman"/>
                <w:sz w:val="20"/>
              </w:rPr>
              <w:t xml:space="preserve">, filed with the SEC on April 12,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2">
              <w:r>
                <w:rPr>
                  <w:rStyle w:val="InternetLink"/>
                  <w:rFonts w:ascii="Times New Roman" w:hAnsi="Times New Roman"/>
                  <w:sz w:val="20"/>
                </w:rPr>
                <w:t>Form 8-A</w:t>
              </w:r>
            </w:hyperlink>
            <w:r>
              <w:rPr>
                <w:rFonts w:ascii="Times New Roman" w:hAnsi="Times New Roman"/>
                <w:sz w:val="20"/>
              </w:rPr>
              <w:t xml:space="preserve">, dated October 26, 2020.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 </w:t>
      </w:r>
    </w:p>
    <w:p>
      <w:pPr>
        <w:pStyle w:val="TextBody"/>
        <w:bidi w:val="0"/>
        <w:spacing w:before="240" w:after="0"/>
        <w:jc w:val="center"/>
        <w:rPr>
          <w:rFonts w:ascii="Times New Roman" w:hAnsi="Times New Roman"/>
          <w:sz w:val="20"/>
        </w:rPr>
      </w:pPr>
      <w:r>
        <w:rPr>
          <w:rFonts w:ascii="Times New Roman" w:hAnsi="Times New Roman"/>
          <w:sz w:val="20"/>
        </w:rPr>
        <w:t xml:space="preserve">Biodesix, Inc. </w:t>
      </w:r>
    </w:p>
    <w:p>
      <w:pPr>
        <w:pStyle w:val="TextBody"/>
        <w:bidi w:val="0"/>
        <w:spacing w:before="0" w:after="0"/>
        <w:jc w:val="center"/>
        <w:rPr>
          <w:rFonts w:ascii="Times New Roman" w:hAnsi="Times New Roman"/>
          <w:sz w:val="20"/>
        </w:rPr>
      </w:pPr>
      <w:r>
        <w:rPr>
          <w:rFonts w:ascii="Times New Roman" w:hAnsi="Times New Roman"/>
          <w:sz w:val="20"/>
        </w:rPr>
        <w:t xml:space="preserve">919 West Dillon Rd. </w:t>
      </w:r>
    </w:p>
    <w:p>
      <w:pPr>
        <w:pStyle w:val="TextBody"/>
        <w:bidi w:val="0"/>
        <w:spacing w:before="0" w:after="0"/>
        <w:jc w:val="center"/>
        <w:rPr>
          <w:rFonts w:ascii="Times New Roman" w:hAnsi="Times New Roman"/>
          <w:sz w:val="20"/>
        </w:rPr>
      </w:pPr>
      <w:r>
        <w:rPr>
          <w:rFonts w:ascii="Times New Roman" w:hAnsi="Times New Roman"/>
          <w:sz w:val="20"/>
        </w:rPr>
        <w:t xml:space="preserve">Louisville, Colorado 80027 </w:t>
      </w:r>
    </w:p>
    <w:p>
      <w:pPr>
        <w:pStyle w:val="TextBody"/>
        <w:bidi w:val="0"/>
        <w:spacing w:before="0" w:after="0"/>
        <w:jc w:val="center"/>
        <w:rPr>
          <w:rFonts w:ascii="Times New Roman" w:hAnsi="Times New Roman"/>
          <w:sz w:val="20"/>
        </w:rPr>
      </w:pPr>
      <w:r>
        <w:rPr>
          <w:rFonts w:ascii="Times New Roman" w:hAnsi="Times New Roman"/>
          <w:sz w:val="20"/>
        </w:rPr>
        <w:t xml:space="preserve">(303) 417 0500 </w:t>
      </w:r>
    </w:p>
    <w:p>
      <w:pPr>
        <w:pStyle w:val="TextBody"/>
        <w:bidi w:val="0"/>
        <w:spacing w:before="24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above) is not incorporated by reference into this prospectus or any applicable prospectus supplement and you should not consider it a part of this prospectus, any applicable prospectus supplement, or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805" cy="41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217805" cy="412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30,434,280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Offered by the Selling Stockholders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400" w:after="0"/>
        <w:jc w:val="center"/>
        <w:rPr>
          <w:rFonts w:ascii="Times New Roman" w:hAnsi="Times New Roman"/>
          <w:b/>
          <w:sz w:val="20"/>
        </w:rPr>
      </w:pPr>
      <w:r>
        <w:rPr>
          <w:rFonts w:ascii="Times New Roman" w:hAnsi="Times New Roman"/>
          <w:b/>
          <w:sz w:val="20"/>
        </w:rPr>
        <w:t xml:space="preserve">April 23,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bookmarkStart w:id="25" w:name="toc827839_23"/>
      <w:bookmarkEnd w:id="25"/>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expenses payable by us in connection with the issuance and distribution of the securities being registered hereunder on Form S-1 (other than underwriting discounts and commissions, if any) are set forth below. The Selling Stockholders will not bear any portion of such expenses. Each item listed is estimated,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6"/>
        <w:gridCol w:w="461"/>
        <w:gridCol w:w="141"/>
        <w:gridCol w:w="937"/>
        <w:gridCol w:w="64"/>
      </w:tblGrid>
      <w:tr>
        <w:trPr/>
        <w:tc>
          <w:tcPr>
            <w:tcW w:w="53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5,435</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30,000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200,000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20,000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4,565</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260,000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No director of the Company shall be personally liable to the Company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Company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its directors and officers to the fullest extent authorized or permitted by the DGCL, as now or hereafter in effect, and such right to indemnification shall continue as to a person who has ceased to be a director or officer of the Company and shall inure to the benefit of such persons heirs, executors and personal and legal representatives. A directors or officers right to indemnification shall include the right to be paid by the Company the expenses incurred in defending or otherwise participating in any proceeding in advance of its final disposition, provided that such director or officer presents to the Company a written undertaking to repay such amount if it shall ultimately be determined that such director or officer is not entitled to be indemnified by the Company. Notwithstanding the foregoing, except for proceedings to enforce any directors or officers rights to indemnification or rights to advancement of expenses, the Company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advancement of expenses shall neither be exclusive of, nor be deemed in limitation of, any rights to which any person may otherwise be or become entitled or permitted under the Certificate of Incorporation, the Bylaws, any statute,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authorized or permitted by the DGCL, the Company may purchase and maintain insurance on behalf of any current or former director or officer of the Company against any liability asserted against such person, whether or not the Company would have the power to indemnify such person against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to be filed by an amendment to this registration statement, will provide for indemnification of us and our directors and officers by the underwriters against certain liabilities under the Securities Act and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On April 5, 2024, we entered into the April 2024 SPAs, pursuant to which we sold 760,857 shares of our Series A Preferred Stock, which will automatically convert into 40 shares of Common Stock for each share of Series A Preferred Stock, subject to stockholder approval and certain beneficial ownership limitations set by each holder, pursuant to the Series A Certificate of Designation, at an aggregate purchase price of $35.0 million. The Private Placement Preferred Shares were offered and sold in transactions exempt from registration under the Securities Act, in reliance on Section 4(a)(2) thereof.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(a)</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2"/>
        <w:gridCol w:w="684"/>
        <w:gridCol w:w="8619"/>
      </w:tblGrid>
      <w:tr>
        <w:trPr/>
        <w:tc>
          <w:tcPr>
            <w:tcW w:w="902" w:type="dxa"/>
            <w:tcBorders/>
            <w:vAlign w:val="center"/>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8619" w:type="dxa"/>
            <w:tcBorders/>
            <w:vAlign w:val="center"/>
          </w:tcPr>
          <w:p>
            <w:pPr>
              <w:pStyle w:val="TableContents"/>
              <w:bidi w:val="0"/>
              <w:spacing w:before="0" w:after="283"/>
              <w:jc w:val="left"/>
              <w:rPr>
                <w:sz w:val="4"/>
                <w:szCs w:val="4"/>
              </w:rPr>
            </w:pPr>
            <w:r>
              <w:rPr>
                <w:sz w:val="4"/>
                <w:szCs w:val="4"/>
              </w:rPr>
            </w:r>
          </w:p>
        </w:tc>
      </w:tr>
      <w:tr>
        <w:trPr/>
        <w:tc>
          <w:tcPr>
            <w:tcW w:w="90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684" w:type="dxa"/>
            <w:tcBorders/>
            <w:vAlign w:val="bottom"/>
          </w:tcPr>
          <w:p>
            <w:pPr>
              <w:pStyle w:val="TableContents"/>
              <w:bidi w:val="0"/>
              <w:spacing w:before="0" w:after="283"/>
              <w:jc w:val="left"/>
              <w:rPr/>
            </w:pPr>
            <w:r>
              <w:rPr/>
              <w:t>  </w:t>
            </w:r>
          </w:p>
        </w:tc>
        <w:tc>
          <w:tcPr>
            <w:tcW w:w="86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3.1**</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14">
              <w:r>
                <w:rPr>
                  <w:rStyle w:val="InternetLink"/>
                </w:rPr>
                <w:t>Amended and Restated Certificate of Incorporation of Biodesix, Inc., dated October  30, 2020 (incorporated by reference to Exhibit 3.1 to the Companys Quarterly Report on Form 10-Q filed with the SEC on December 10, 2020).</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3.2**</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15">
              <w:r>
                <w:rPr>
                  <w:rStyle w:val="InternetLink"/>
                </w:rPr>
                <w:t>Amended and Restated Bylaws of Biodesix, Inc. (incorporated by reference to Exhibit 3.2 to the Companys Quarterly Report on Form 10-Q filed with the SEC on October 12, 2020).</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3.3**</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16">
              <w:r>
                <w:rPr>
                  <w:rStyle w:val="InternetLink"/>
                </w:rPr>
                <w:t xml:space="preserve">Certificate of Designation for the Series A Non-Voting Convertible Preferred Stock (incorporated by reference to Exhibit 10.3 to the Companys Current Report on Form 8-K dated April 9, 2024). </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4.1**</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17">
              <w:r>
                <w:rPr>
                  <w:rStyle w:val="InternetLink"/>
                </w:rPr>
                <w:t>Specimen stock certificate evidencing shares of Common Stock (incorporated by reference to Exhibit 4.1 to the Companys Registration Statement on Form S-1/A filed with the SEC on October 21, 2020).</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4.2**</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18">
              <w:r>
                <w:rPr>
                  <w:rStyle w:val="InternetLink"/>
                </w:rPr>
                <w:t>Eleventh Amended and Restated Investor Rights Agreement, by and among Biodesix, Inc. and the investors listed on Exhibit A thereto, dated October 10, 2018 (incorporated by reference to Exhibit 4.2 to the Companys Registration Statement on Form S-1 filed with the SEC on October 2, 2020).</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4.3**</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19">
              <w:r>
                <w:rPr>
                  <w:rStyle w:val="InternetLink"/>
                </w:rPr>
                <w:t>Warrant held by Innovatus Life Sciences Lending Fund I, LP, to Purchase Series G Preferred Stock, dated February  23, 3018 (incorporated by reference to Exhibit 4.3 to the Companys Registration Statement on Form S-1 filed with the SEC on October 2, 2020).</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4.4**</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20">
              <w:r>
                <w:rPr>
                  <w:rStyle w:val="InternetLink"/>
                </w:rPr>
                <w:t>Description of Securities Registered under Section  12 of the Securities Exchange Act of 1934 (incorporated by reference to Exhibit 4.5 to the Companys Form 10-K filed with the SEC on March 16, 2021).</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4.5**</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21">
              <w:r>
                <w:rPr>
                  <w:rStyle w:val="InternetLink"/>
                </w:rPr>
                <w:t>Form of Note, dated November  21, 2022, issued by the Company to Perceptive Credit Holdings IV, LP. (incorporated by reference to Exhibit 4.1 and Exhibit 10.1 in the Companys current report on Form 8-K filed with the SEC on November 21, 2022).</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4.6**</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22">
              <w:r>
                <w:rPr>
                  <w:rStyle w:val="InternetLink"/>
                </w:rPr>
                <w:t>Warrant to Purchase Stock, dated November  21, 2022, issued by the Company to Perceptive Credit Holdings IV, LP. (incorporated by reference to Exhibit 4.2 in the Companys current report on Form 8-K filed with the SEC on November  21, 2022).</w:t>
              </w:r>
            </w:hyperlink>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pPr>
            <w:r>
              <w:rPr/>
              <w:t>  </w:t>
            </w:r>
            <w:r>
              <w:rPr/>
              <w:t>4.7**</w:t>
            </w:r>
          </w:p>
        </w:tc>
        <w:tc>
          <w:tcPr>
            <w:tcW w:w="684" w:type="dxa"/>
            <w:tcBorders/>
            <w:vAlign w:val="bottom"/>
          </w:tcPr>
          <w:p>
            <w:pPr>
              <w:pStyle w:val="TableContents"/>
              <w:bidi w:val="0"/>
              <w:spacing w:before="0" w:after="283"/>
              <w:jc w:val="left"/>
              <w:rPr/>
            </w:pPr>
            <w:r>
              <w:rPr/>
              <w:t>  </w:t>
            </w:r>
          </w:p>
        </w:tc>
        <w:tc>
          <w:tcPr>
            <w:tcW w:w="8619" w:type="dxa"/>
            <w:tcBorders/>
          </w:tcPr>
          <w:p>
            <w:pPr>
              <w:pStyle w:val="TableContents"/>
              <w:bidi w:val="0"/>
              <w:spacing w:before="0" w:after="283"/>
              <w:jc w:val="left"/>
              <w:rPr/>
            </w:pPr>
            <w:hyperlink r:id="rId23">
              <w:r>
                <w:rPr>
                  <w:rStyle w:val="InternetLink"/>
                </w:rPr>
                <w:t>Warrant to Purchase Stock, dated May  10, 2023, issued by the Company to Perceptive Credit Holdings IV, LP (incorporated by reference to Exhibit 4.1 to the Companys Quarterly Report on Form 10-Q filed with the SEC on May 11, 2023).</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144"/>
        <w:gridCol w:w="454"/>
        <w:gridCol w:w="8607"/>
      </w:tblGrid>
      <w:tr>
        <w:trPr/>
        <w:tc>
          <w:tcPr>
            <w:tcW w:w="1144"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8607" w:type="dxa"/>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5.1***</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r>
              <w:rPr/>
              <w:t>Opinion of Sidley Austin LLP.</w:t>
            </w:r>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10.1+**</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24">
              <w:r>
                <w:rPr>
                  <w:rStyle w:val="InternetLink"/>
                </w:rPr>
                <w:t>Biodesix, Inc. Amended and Restated 2006 Employee, Director and Consultant Stock Plan, as amended to date (incorporated by reference to Exhibit 10.1 to the Companys Registration Statement on Form S-1/A filed with the SEC on October 9,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10.2.1+**</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25">
              <w:r>
                <w:rPr>
                  <w:rStyle w:val="InternetLink"/>
                </w:rPr>
                <w:t>Form of Stock Option Grant Notice under the Amended and Restated 2006 Employee, Director and Consultant Stock Plan (incorporated by reference to Exhibit 10.2.1 to the Companys Registration Statement on Form S-1/A filed with the SEC on October 9,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10.2.2+**</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26">
              <w:r>
                <w:rPr>
                  <w:rStyle w:val="InternetLink"/>
                </w:rPr>
                <w:t>Form of Option Agreement under the Amended and Restated 2006 Employee, Director and Consultant Stock Plan (incorporated by reference to Exhibit 10.2.2 to the Companys Registration Statement on Form S-1/A filed with the SEC on October 9,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10.2.3+**</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27">
              <w:r>
                <w:rPr>
                  <w:rStyle w:val="InternetLink"/>
                </w:rPr>
                <w:t>Form of Notice of Exercise under the Amended and Restated 2006 Employee, Director and Consultant Stock Plan (incorporated by reference to Exhibit 10.2.3 to the Companys Registration Statement on Form S-1/A filed with the SEC on October 9,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10.3+**</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28">
              <w:r>
                <w:rPr>
                  <w:rStyle w:val="InternetLink"/>
                </w:rPr>
                <w:t>Biodesix, Inc. 2016 Equity Incentive Plan, as amended to date (incorporated by reference to Exhibit  10.3 to the Companys Registration Statement on Form S-1 filed with the SEC on October 2,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10.4.1+**</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29">
              <w:r>
                <w:rPr>
                  <w:rStyle w:val="InternetLink"/>
                </w:rPr>
                <w:t>Form of Stock Option Grant Notice under the 2016 Equity Incentive Plan (incorporated by reference to Exhibit 10.4.1 to the Companys Registration Statement on Form S-1/A filed with the SEC on October 9,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10.4.2+**</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0">
              <w:r>
                <w:rPr>
                  <w:rStyle w:val="InternetLink"/>
                </w:rPr>
                <w:t>Form of Option Agreement under the 2016 Equity Incentive Plan (incorporated by reference to Exhibit 10.4.2 to the Companys Registration Statement on Form S-1/A filed with the SEC on October 9,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10.4.3+**</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1">
              <w:r>
                <w:rPr>
                  <w:rStyle w:val="InternetLink"/>
                </w:rPr>
                <w:t>Form of Notice of Exercise under the 2016 Equity Incentive Plan (incorporated by reference to Exhibit 10.4.3 to the Companys Registration Statement on Form S-1/A filed with the SEC on October 9,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10.5+**</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2">
              <w:r>
                <w:rPr>
                  <w:rStyle w:val="InternetLink"/>
                </w:rPr>
                <w:t>Biodesix, Inc. 2020 Equity Incentive Plan (incorporated by reference to Exhibit 10.5 to the Companys Registration Statement on Form S-1/A filed with the SEC on October 26,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10.5.1+**</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3">
              <w:r>
                <w:rPr>
                  <w:rStyle w:val="InternetLink"/>
                </w:rPr>
                <w:t>Forms of Stock Option Grant Notice, Option Agreement and Notice of Exercise under the 2020 Equity Incentive Plan (incorporated by reference to Exhibit 10.5.1 to the Companys Form 10-K filed with the SEC on March 16, 2021).</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10.5.2+**</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4">
              <w:r>
                <w:rPr>
                  <w:rStyle w:val="InternetLink"/>
                </w:rPr>
                <w:t>Forms of Restricted Stock Unit Award Grant Notice and Award Agreement under the 2020 Equity Incentive Plan (incorporated by reference to Exhibit 10.5.2 to the Companys Form 10-Q filed with the SEC on August 10, 2021).</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10.6+**</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5">
              <w:r>
                <w:rPr>
                  <w:rStyle w:val="InternetLink"/>
                </w:rPr>
                <w:t>Biodesix, Inc. 2020 Employee Stock Purchase Plan (incorporated by reference to Exhibit 10.6 to the Companys Registration Statement on Form S-1/A filed with the SEC on October 26,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10.7.1+**</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6">
              <w:r>
                <w:rPr>
                  <w:rStyle w:val="InternetLink"/>
                </w:rPr>
                <w:t>Biodesix, Inc., First Amended Bonus-to-Options Program, adopted by the Board of Directors on October 15, 2010 (incorporated by reference to Exhibit 10.5.1 to the Companys Registration Statement on Form S-1 filed with the SEC on October 2,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10.7.2+**</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7">
              <w:r>
                <w:rPr>
                  <w:rStyle w:val="InternetLink"/>
                </w:rPr>
                <w:t>Biodesix, Inc., Second Amended Bonus-to-Options Program, adopted by the Board of Directors on June 21, 2011 (incorporated by reference to Exhibit 10.5.2 to the Companys Registration Statement on Form S-1 filed with the SEC on October 2, 2020).</w:t>
              </w:r>
            </w:hyperlink>
          </w:p>
        </w:tc>
      </w:tr>
      <w:tr>
        <w:trPr>
          <w:trHeight w:val="120" w:hRule="atLeast"/>
        </w:trPr>
        <w:tc>
          <w:tcPr>
            <w:tcW w:w="1144" w:type="dxa"/>
            <w:tcBorders/>
            <w:vAlign w:val="center"/>
          </w:tcPr>
          <w:p>
            <w:pPr>
              <w:pStyle w:val="TableContents"/>
              <w:bidi w:val="0"/>
              <w:spacing w:before="0" w:after="283"/>
              <w:jc w:val="left"/>
              <w:rPr>
                <w:sz w:val="4"/>
                <w:szCs w:val="4"/>
              </w:rPr>
            </w:pPr>
            <w:r>
              <w:rPr>
                <w:sz w:val="4"/>
                <w:szCs w:val="4"/>
              </w:rPr>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pPr>
            <w:r>
              <w:rPr/>
              <w:t> </w:t>
            </w:r>
            <w:r>
              <w:rPr/>
              <w:t>10.7.3+**</w:t>
            </w:r>
          </w:p>
        </w:tc>
        <w:tc>
          <w:tcPr>
            <w:tcW w:w="454" w:type="dxa"/>
            <w:tcBorders/>
            <w:vAlign w:val="bottom"/>
          </w:tcPr>
          <w:p>
            <w:pPr>
              <w:pStyle w:val="TableContents"/>
              <w:bidi w:val="0"/>
              <w:spacing w:before="0" w:after="283"/>
              <w:jc w:val="left"/>
              <w:rPr/>
            </w:pPr>
            <w:r>
              <w:rPr/>
              <w:t> </w:t>
            </w:r>
          </w:p>
        </w:tc>
        <w:tc>
          <w:tcPr>
            <w:tcW w:w="8607" w:type="dxa"/>
            <w:tcBorders/>
          </w:tcPr>
          <w:p>
            <w:pPr>
              <w:pStyle w:val="TableContents"/>
              <w:bidi w:val="0"/>
              <w:spacing w:before="0" w:after="283"/>
              <w:jc w:val="left"/>
              <w:rPr/>
            </w:pPr>
            <w:hyperlink r:id="rId38">
              <w:r>
                <w:rPr>
                  <w:rStyle w:val="InternetLink"/>
                </w:rPr>
                <w:t>Biodesix, Inc., Third Amended Bonus-to-Options Program, adopted by the Board of Directors on December 31, 2015 (incorporated by reference to Exhibit 10.5.3 to the Companys Registration Statement on Form S-1 filed with the SEC on October 2, 2020).</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140"/>
        <w:gridCol w:w="316"/>
        <w:gridCol w:w="8749"/>
      </w:tblGrid>
      <w:tr>
        <w:trPr/>
        <w:tc>
          <w:tcPr>
            <w:tcW w:w="114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749" w:type="dxa"/>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10.8.1+**</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39">
              <w:r>
                <w:rPr>
                  <w:rStyle w:val="InternetLink"/>
                </w:rPr>
                <w:t>Biodesix, Inc. 2021 Senior Management Bonus to Equity Plan (incorporated by reference to Exhibit 10.1 to the Companys Quarterly Report on Form 10-Q filed with the SEC on August 4, 2022).</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10.8.2+**</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0">
              <w:r>
                <w:rPr>
                  <w:rStyle w:val="InternetLink"/>
                </w:rPr>
                <w:t>Amendment No.  1 to the Biodesix, Inc. 2021 Senior Management Bonus to Equity Plan (incorporated by reference to Exhibit 10.2 to the Companys Quarterly Report on Form 10-Q filed with the SEC on August 4, 2022).</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10.8.3+**</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1">
              <w:r>
                <w:rPr>
                  <w:rStyle w:val="InternetLink"/>
                </w:rPr>
                <w:t>Amendment No.  2 to the Biodesix, Inc. 2021 Senior Management Bonus to Equity Plan (incorporated by reference to Exhibit 10.8.3 to the Companys Annual Report on Form 10-K filed with the SEC on March 6, 2023).</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10.9.1+**</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2">
              <w:r>
                <w:rPr>
                  <w:rStyle w:val="InternetLink"/>
                </w:rPr>
                <w:t>Form of Stock Option Grant Notice under the Biodesix, Inc. Bonus-To-Options Program (incorporated by reference to Exhibit 10.6.1 to the Companys Registration Statement on Form S-1/A filed with the SEC on October 9, 2020).</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10.9.2+**</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3">
              <w:r>
                <w:rPr>
                  <w:rStyle w:val="InternetLink"/>
                </w:rPr>
                <w:t>Form of Option Agreement under the Biodesix, Inc. Bonus-To-Options Program (incorporated by reference to Exhibit 10.6.2 to the Companys Registration Statement on Form S-1/A filed with the SEC on October 9, 2020).</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10.10+**</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4">
              <w:r>
                <w:rPr>
                  <w:rStyle w:val="InternetLink"/>
                </w:rPr>
                <w:t>Form of Indemnification Agreement, by and between Biodesix, Inc. and each of its directors and executive officers (incorporated by reference to Exhibit 10.7 to the Companys Registration Statement on Form S-1/A filed with the SEC on October 14, 2020).</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10.11+**</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5">
              <w:r>
                <w:rPr>
                  <w:rStyle w:val="InternetLink"/>
                </w:rPr>
                <w:t>Executive Employment Letter, by and between Biodesix, Inc. and Scott Hutton, dated February  23, 2020 (incorporated by reference to Exhibit 10.9.2 to the Companys Registration Statement on Form S-1 filed with the SEC on October 2, 2020).</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10.12+**</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6">
              <w:r>
                <w:rPr>
                  <w:rStyle w:val="InternetLink"/>
                </w:rPr>
                <w:t>Executive Employment Letter, by and between Biodesix, Inc. and Robin Harper Cowie, dated February  23, 2020 (incorporated by reference to Exhibit 10.10.2 to the Companys Registration Statement on Form S-1 filed with the SEC on October 2, 2020).</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10.13.1**</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7">
              <w:r>
                <w:rPr>
                  <w:rStyle w:val="InternetLink"/>
                </w:rPr>
                <w:t>Office Lease between Aero-Tech Investments, LLC and Biodesix, Inc., dated October  5, 2011 (incorporated by reference to Exhibit 10.11 to the Companys Registration Statement on Form S-1/A filed with the SEC on October 9, 2020).</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10.13.2**</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8">
              <w:r>
                <w:rPr>
                  <w:rStyle w:val="InternetLink"/>
                </w:rPr>
                <w:t>Office Lease between Aero-Tech Investments, LLC and Biodesix, Inc., dated January  24, 2022 (incorporated by reference to Exhibit 10.13.2 to the Companys Annual Report on Form 10-K filed with the SEC on March 14, 2022).</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10.14.1**</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9">
              <w:r>
                <w:rPr>
                  <w:rStyle w:val="InternetLink"/>
                </w:rPr>
                <w:t>Lease Assignment of De Soto Facility, dated November  1, 2019 (incorporated by reference to Exhibit 10.13 to the Companys Registration Statement on Form S-1 filed with the SEC on October 2, 2020).</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10.14.2**</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50">
              <w:r>
                <w:rPr>
                  <w:rStyle w:val="InternetLink"/>
                </w:rPr>
                <w:t>De Soto Amendment to Commercial Lease Agreement, effective April  4, 2023, by and between Biodesix, Inc. and De Soto Investments, LLC (incorporated by reference to Exhibit 10.2 to the Companys Quarterly Report on Form 10-Q filed with the SEC on May 11, 2023).</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10.15.1**</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51">
              <w:r>
                <w:rPr>
                  <w:rStyle w:val="InternetLink"/>
                </w:rPr>
                <w:t>Lease agreement by and between Centennial Valley Properties I, LLC and Biodesix, Inc. dated March  11, 2022 (incorporated by reference to Exhibit 10.1 to the Companys Quarterly Report on Form 10-Q filed with the SEC on May 11, 2022). </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10.15.2**</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52">
              <w:r>
                <w:rPr>
                  <w:rStyle w:val="InternetLink"/>
                </w:rPr>
                <w:t>First Amendment to Lease Agreement by and between Centennial Valley Properties I, LLC and Biodesix, Inc. dated March  11, 2022 (incorporated by reference to Exhibit 10.2 to the Companys Quarterly Report on Form 10-Q filed with the SEC on May 11, 2022).</w:t>
              </w:r>
            </w:hyperlink>
          </w:p>
        </w:tc>
      </w:tr>
      <w:tr>
        <w:trPr>
          <w:trHeight w:val="120" w:hRule="atLeast"/>
        </w:trPr>
        <w:tc>
          <w:tcPr>
            <w:tcW w:w="1140" w:type="dxa"/>
            <w:tcBorders/>
            <w:vAlign w:val="center"/>
          </w:tcPr>
          <w:p>
            <w:pPr>
              <w:pStyle w:val="TableContents"/>
              <w:bidi w:val="0"/>
              <w:spacing w:before="0" w:after="283"/>
              <w:jc w:val="left"/>
              <w:rPr>
                <w:sz w:val="4"/>
                <w:szCs w:val="4"/>
              </w:rPr>
            </w:pPr>
            <w:r>
              <w:rPr>
                <w:sz w:val="4"/>
                <w:szCs w:val="4"/>
              </w:rPr>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 </w:t>
            </w:r>
            <w:r>
              <w:rPr/>
              <w:t>10.16**</w:t>
            </w:r>
          </w:p>
        </w:tc>
        <w:tc>
          <w:tcPr>
            <w:tcW w:w="31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53">
              <w:r>
                <w:rPr>
                  <w:rStyle w:val="InternetLink"/>
                </w:rPr>
                <w:t>Patent Assignment between Biodesix, Inc., and Integrated Diagnostics, Inc., dated June  30, 2018 (incorporated by reference to Exhibit 10.15 to the Companys Registration Statement on Form S-1 filed with the SEC on October 2, 2020).</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130"/>
        <w:gridCol w:w="318"/>
        <w:gridCol w:w="8757"/>
      </w:tblGrid>
      <w:tr>
        <w:trPr/>
        <w:tc>
          <w:tcPr>
            <w:tcW w:w="113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8757" w:type="dxa"/>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10.17**</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54">
              <w:r>
                <w:rPr>
                  <w:rStyle w:val="InternetLink"/>
                </w:rPr>
                <w:t>IP Assignment Agreement between Oncimmune Limited, and Biodesix, Inc., dated October  31, 2019 (incorporated by reference to Exhibit 10.15 to the Companys Registration Statement on Form S-1/A filed with the SEC on October 9, 2020).</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10.18**</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55">
              <w:r>
                <w:rPr>
                  <w:rStyle w:val="InternetLink"/>
                </w:rPr>
                <w:t>IP License Agreement between Oncimmune Limited, and Biodesix, Inc., dated October  31, 2019 (incorporated by reference to Exhibit 10.16 to the Companys Registration Statement on Form S-1/A filed with the SEC on October 9, 2020).</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10.19**</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56">
              <w:r>
                <w:rPr>
                  <w:rStyle w:val="InternetLink"/>
                </w:rPr>
                <w:t>Non-Exclusive License Agreement between Bio-Rad Laboratories, Inc., and Biodesix, Inc., dated August 1, 2019 (incorporated by reference to Exhibit 10.17 to the Companys Registration Statement on Form S-1/A filed with the SEC on October 9, 2020).</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10.20**</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57">
              <w:r>
                <w:rPr>
                  <w:rStyle w:val="InternetLink"/>
                </w:rPr>
                <w:t>Supply Agreement between Biodesix, Inc., and Oncimmune, dated October  31, 2019 (incorporated by reference to Exhibit 10.18 to the Companys Registration Statement on Form S-1/A filed with the SEC on October 9, 2020).</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10.21**</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58">
              <w:r>
                <w:rPr>
                  <w:rStyle w:val="InternetLink"/>
                </w:rPr>
                <w:t>Supply Agreement between Bio-Rad Laboratories, Inc., and Biodesix, Inc., dated August  1, 2019 (incorporated by reference to Exhibit 10.19 to the Companys Registration Statement on Form S-1/A filed with the SEC on October 9, 2020).</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10.22**</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59">
              <w:r>
                <w:rPr>
                  <w:rStyle w:val="InternetLink"/>
                </w:rPr>
                <w:t>Co-Development and Collaboration Agreement between AVEO Pharmaceuticals, Inc., and Biodesix, Inc., dated April 9, 2014, as amended October 14, 2016 (incorporated by reference to Exhibit 10.20 to the Companys Registration Statement on Form S-1/A filed with the SEC on October 9, 2020).</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10.23.1**</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0">
              <w:r>
                <w:rPr>
                  <w:rStyle w:val="InternetLink"/>
                </w:rPr>
                <w:t>Asset Purchase Agreement among Biodesix, Inc., Integrated Diagnostics, Inc., and the stockholders of Integrated Diagnostics, Inc., listed therein, dated June 30, 2018 (incorporated by reference to Exhibit 10.23 to the Companys Registration Statement on Form S-1 filed with the SEC on October 2, 2020).</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10.23.2**</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1">
              <w:r>
                <w:rPr>
                  <w:rStyle w:val="InternetLink"/>
                </w:rPr>
                <w:t>Amendment No.  2 to Asset Purchase Agreement and Plan of Reorganization (incorporated by reference to Exhibit 10.38 to the Companys Form 10-Q filed with the SEC on August 10, 2021).</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10.23.3**</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2">
              <w:r>
                <w:rPr>
                  <w:rStyle w:val="InternetLink"/>
                </w:rPr>
                <w:t>Amendment No.  3 to Asset Purchase Agreement and Plan of Reorganization (incorporated by reference to Exhibit 10.6 to the Companys Form 10-Q filed with the SEC on May 11, 2022).</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10.24**</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3">
              <w:r>
                <w:rPr>
                  <w:rStyle w:val="InternetLink"/>
                </w:rPr>
                <w:t>Asset Purchase Agreement between Oncimmune Limited and Biodesix, Inc., dated June  27, 2019, as amended to date (incorporated by reference to Exhibit 10.24 to the Companys Registration Statement on Form S-1 filed with the SEC on October 2, 2020).</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10.25**</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4">
              <w:r>
                <w:rPr>
                  <w:rStyle w:val="InternetLink"/>
                </w:rPr>
                <w:t>First Amendment to the Non-Exclusive License Agreement between Bio-Rad Laboratories, Inc., and Biodesix, Inc., dated May 24, 2021 (incorporated by reference to Exhibit 10.37 to the Companys Form 10-Q filed with the SEC on August 10, 2021).</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10.26**</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5">
              <w:r>
                <w:rPr>
                  <w:rStyle w:val="InternetLink"/>
                </w:rPr>
                <w:t>Purchase Agreement, dated March  7, 2022, by and between Biodesix, Inc. and Lincoln Park Capital Fund, LLC (incorporated by reference to Exhibit 10.1 to the Companys current report on Form 8-K filed with the SEC on March 7, 2022).</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10.27**</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6">
              <w:r>
                <w:rPr>
                  <w:rStyle w:val="InternetLink"/>
                </w:rPr>
                <w:t>Registration Rights Agreement, dated March  7, 2022, by and between Biodesix, Inc. and Lincoln Park Capital Fund, LLC (incorporated by reference to Exhibit 10.2 to the Companys current report on Form 8-K filed with the SEC on March 7, 2022).</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10.28**</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7">
              <w:r>
                <w:rPr>
                  <w:rStyle w:val="InternetLink"/>
                </w:rPr>
                <w:t>Form of Subscription Agreement with resale registration rights provision, dated April  7, 2022 (incorporated by reference to Exhibit 10.1 to the Companys current report on Form 8-K filed with the SEC on April 11, 2022).</w:t>
              </w:r>
            </w:hyperlink>
          </w:p>
        </w:tc>
      </w:tr>
      <w:tr>
        <w:trPr>
          <w:trHeight w:val="120" w:hRule="atLeast"/>
        </w:trPr>
        <w:tc>
          <w:tcPr>
            <w:tcW w:w="1130" w:type="dxa"/>
            <w:tcBorders/>
            <w:vAlign w:val="center"/>
          </w:tcPr>
          <w:p>
            <w:pPr>
              <w:pStyle w:val="TableContents"/>
              <w:bidi w:val="0"/>
              <w:spacing w:before="0" w:after="283"/>
              <w:jc w:val="left"/>
              <w:rPr>
                <w:sz w:val="4"/>
                <w:szCs w:val="4"/>
              </w:rPr>
            </w:pPr>
            <w:r>
              <w:rPr>
                <w:sz w:val="4"/>
                <w:szCs w:val="4"/>
              </w:rPr>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283"/>
              <w:jc w:val="left"/>
              <w:rPr/>
            </w:pPr>
            <w:r>
              <w:rPr/>
              <w:t> </w:t>
            </w:r>
            <w:r>
              <w:rPr/>
              <w:t>10.29**</w:t>
            </w:r>
          </w:p>
        </w:tc>
        <w:tc>
          <w:tcPr>
            <w:tcW w:w="318" w:type="dxa"/>
            <w:tcBorders/>
            <w:vAlign w:val="bottom"/>
          </w:tcPr>
          <w:p>
            <w:pPr>
              <w:pStyle w:val="TableContents"/>
              <w:bidi w:val="0"/>
              <w:spacing w:before="0" w:after="283"/>
              <w:jc w:val="left"/>
              <w:rPr/>
            </w:pPr>
            <w:r>
              <w:rPr/>
              <w:t>  </w:t>
            </w:r>
          </w:p>
        </w:tc>
        <w:tc>
          <w:tcPr>
            <w:tcW w:w="8757" w:type="dxa"/>
            <w:tcBorders/>
          </w:tcPr>
          <w:p>
            <w:pPr>
              <w:pStyle w:val="TableContents"/>
              <w:bidi w:val="0"/>
              <w:spacing w:before="0" w:after="283"/>
              <w:jc w:val="left"/>
              <w:rPr/>
            </w:pPr>
            <w:hyperlink r:id="rId68">
              <w:r>
                <w:rPr>
                  <w:rStyle w:val="InternetLink"/>
                </w:rPr>
                <w:t>Form of Subscription Agreement without registration rights, entered by the three members of our Board of Directors, dated April  7, 2022 (incorporated by reference to Exhibit 10.2 to the Companys current report on Form 8-K filed with the SEC on April 11, 2022).</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28"/>
        <w:gridCol w:w="560"/>
        <w:gridCol w:w="8717"/>
      </w:tblGrid>
      <w:tr>
        <w:trPr/>
        <w:tc>
          <w:tcPr>
            <w:tcW w:w="928"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8717" w:type="dxa"/>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10.30**</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69">
              <w:r>
                <w:rPr>
                  <w:rStyle w:val="InternetLink"/>
                </w:rPr>
                <w:t>Credit Agreement and Guaranty, dated as of November  16, 2022, by and among the Company and Perceptive Credit Holdings IV, LP. (incorporated by reference to Exhibit 10.1 to the Companys current report on Form 8-K filed with the SEC on November  21, 2022).</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10.31**</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0">
              <w:r>
                <w:rPr>
                  <w:rStyle w:val="InternetLink"/>
                </w:rPr>
                <w:t>Limited Waiver, dated April  7, 2023, by and between Biodesix, Inc. and Perceptive Credit Holdings IV, LP (incorporated by reference to Exhibit 10.1 to the Companys Quarterly Report on Form 10-Q filed with the SEC on May  11, 2023).</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10.32**</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1">
              <w:r>
                <w:rPr>
                  <w:rStyle w:val="InternetLink"/>
                </w:rPr>
                <w:t>First Amendment to Credit Agreement and Guaranty, dated May  10, 2023, by and among the Company and Perceptive Credit Holdings IV, LP (incorporated by reference to Exhibit 10.3 to the Companys Quarterly Report on Form 10-Q filed with the SEC on May 11, 2023).</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10.33**</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2">
              <w:r>
                <w:rPr>
                  <w:rStyle w:val="InternetLink"/>
                </w:rPr>
                <w:t>Second Amendment to Credit Agreement and Guaranty, dated August  4, 2023, by and among the Company and Perceptive Credit Holdings IV, LP (incorporated by reference to Exhibit 10.2 to the Companys Quarterly Report on Form 10-Q filed with the SEC on August 7, 2023).</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10.34**</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3">
              <w:r>
                <w:rPr>
                  <w:rStyle w:val="InternetLink"/>
                </w:rPr>
                <w:t xml:space="preserve">Limited Waiver, dated February  14, 2024, by and between Biodesix, Inc. and Perceptive Credit Holdings IV, LP (incorporated by reference to Exhibit 10.34 to the Companys Annual Report on Form 10-K filed with the SEC on March 1, 2024). </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10.35**</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4">
              <w:r>
                <w:rPr>
                  <w:rStyle w:val="InternetLink"/>
                </w:rPr>
                <w:t>Third Amendment to Credit Agreement and Guaranty, dated February  29, 2024, by and among the Company and Perceptive Credit Holdings IV, LP. (incorporated by reference to Exhibit 10.35 to the Companys Annual Report on Form 10-K filed with the SEC on March 1, 2024).</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10.36**</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5">
              <w:r>
                <w:rPr>
                  <w:rStyle w:val="InternetLink"/>
                </w:rPr>
                <w:t>Security Agreement, dated as of November  21, 2022, by and among the Company and Perceptive Credit Holdings IV, LP. (incorporated by reference to Exhibit 10.2 to the Companys current report on Form 8-K filed with the SEC on November  21, 2022).</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10.37**</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6">
              <w:r>
                <w:rPr>
                  <w:rStyle w:val="InternetLink"/>
                </w:rPr>
                <w:t>Form of Subscription Agreement, dated November 21, 2022 (incorporated by reference to Exhibit  10.3 to the Companys current report on Form 8-K filed with the SEC on November 21, 2022).</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10.38**</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7">
              <w:r>
                <w:rPr>
                  <w:rStyle w:val="InternetLink"/>
                </w:rPr>
                <w:t>Form of Subscription Agreement, dated August  3, 2023 (incorporated by reference to Exhibit 10.1 to the Companys Quarterly Report on Form 10-Q filed with the SEC on August 7, 2023).</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10.39**</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8">
              <w:r>
                <w:rPr>
                  <w:rStyle w:val="InternetLink"/>
                </w:rPr>
                <w:t xml:space="preserve">Securities Purchase Agreement, dated as of April  5, 2024 between the Company and certain investors (incorporated by reference to Exhibit 10.1 to the Companys Current Report on Form 8-K dated April 9, 2024). </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10.40**</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79">
              <w:r>
                <w:rPr>
                  <w:rStyle w:val="InternetLink"/>
                </w:rPr>
                <w:t xml:space="preserve">Securities Purchase Agreement, dated as of April  5, 2024 between the Company and certain members of management, certain of its directors and funds affiliated with those directors (incorporated by reference to Exhibit 10.2 to the Companys Current Report on Form 8-K dated April 9, 2024). </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10.41**</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r:id="rId80">
              <w:r>
                <w:rPr>
                  <w:rStyle w:val="InternetLink"/>
                </w:rPr>
                <w:t xml:space="preserve">Registration Rights Agreement (incorporated by reference to Exhibit 10.3 to the Companys Current Report on Form 8-K dated April 9, 2024). </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10.42*</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w:anchor="d827839dex1042.htm">
              <w:r>
                <w:rPr>
                  <w:rStyle w:val="InternetLink"/>
                </w:rPr>
                <w:t xml:space="preserve">Form of Executive Severance and Change in Control Agreement, dated April 23, 2024 by and among the Company and each of its executive officers. </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23.1*</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w:anchor="d827839dex231.htm">
              <w:r>
                <w:rPr>
                  <w:rStyle w:val="InternetLink"/>
                </w:rPr>
                <w:t xml:space="preserve">Consent of independent registered public accounting firm. </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23.2***</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r>
              <w:rPr/>
              <w:t>Consent of Sidley Austin LLP (included in Exhibit 5.1).</w:t>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24.1*</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w:anchor="sig">
              <w:r>
                <w:rPr>
                  <w:rStyle w:val="InternetLink"/>
                </w:rPr>
                <w:t>Power of Attorney (included on the signature page to this registration statement). </w:t>
              </w:r>
            </w:hyperlink>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9277"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107*</w:t>
            </w:r>
          </w:p>
        </w:tc>
        <w:tc>
          <w:tcPr>
            <w:tcW w:w="560" w:type="dxa"/>
            <w:tcBorders/>
            <w:vAlign w:val="bottom"/>
          </w:tcPr>
          <w:p>
            <w:pPr>
              <w:pStyle w:val="TableContents"/>
              <w:bidi w:val="0"/>
              <w:spacing w:before="0" w:after="283"/>
              <w:jc w:val="left"/>
              <w:rPr/>
            </w:pPr>
            <w:r>
              <w:rPr/>
              <w:t> </w:t>
            </w:r>
          </w:p>
        </w:tc>
        <w:tc>
          <w:tcPr>
            <w:tcW w:w="8717" w:type="dxa"/>
            <w:tcBorders/>
          </w:tcPr>
          <w:p>
            <w:pPr>
              <w:pStyle w:val="TableContents"/>
              <w:bidi w:val="0"/>
              <w:spacing w:before="0" w:after="283"/>
              <w:jc w:val="left"/>
              <w:rPr/>
            </w:pPr>
            <w:hyperlink w:anchor="d827839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as the Registrant has determined that the omitted information (i) is not material and (ii) would likely cause competitive harm to the Registrant if publicly disclosed.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their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further undertakes that, for the purposes of determining any liability under the Securities Act, each filing of the annual report of the registrant pursuant to Section 13(a) or Section 15(d) of the Exchange Act that are incorporated by reference in this registration statement shall be deemed to be a new registration statement relating to the securities offered 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provisions described under Item 15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sig"/>
      <w:bookmarkEnd w:id="2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S-1 and has duly caused this registration statement to be signed on its behalf by the undersigned, thereunto duly authorized, in the City of Louisville, State of Colorado, on the 23rd day of April,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Biodesix,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Scott Hutton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Scott Hutton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 xml:space="preserve">President and Chief Executive Officer </w:t>
              <w:br/>
              <w:t>(Principal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545"/>
        <w:gridCol w:w="122"/>
        <w:gridCol w:w="4301"/>
        <w:gridCol w:w="203"/>
        <w:gridCol w:w="2034"/>
      </w:tblGrid>
      <w:tr>
        <w:trPr/>
        <w:tc>
          <w:tcPr>
            <w:tcW w:w="354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0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430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3" w:type="dxa"/>
            <w:tcBorders/>
            <w:vAlign w:val="bottom"/>
          </w:tcPr>
          <w:p>
            <w:pPr>
              <w:pStyle w:val="TableContents"/>
              <w:bidi w:val="0"/>
              <w:spacing w:before="0" w:after="283"/>
              <w:jc w:val="left"/>
              <w:rPr/>
            </w:pPr>
            <w:r>
              <w:rPr/>
              <w:t> </w:t>
            </w:r>
          </w:p>
        </w:tc>
        <w:tc>
          <w:tcPr>
            <w:tcW w:w="203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545" w:type="dxa"/>
            <w:tcBorders/>
            <w:vAlign w:val="center"/>
          </w:tcPr>
          <w:p>
            <w:pPr>
              <w:pStyle w:val="TableContents"/>
              <w:bidi w:val="0"/>
              <w:spacing w:before="0" w:after="283"/>
              <w:jc w:val="left"/>
              <w:rPr>
                <w:sz w:val="4"/>
                <w:szCs w:val="4"/>
              </w:rPr>
            </w:pPr>
            <w:r>
              <w:rPr>
                <w:sz w:val="4"/>
                <w:szCs w:val="4"/>
              </w:rPr>
            </w:r>
          </w:p>
        </w:tc>
        <w:tc>
          <w:tcPr>
            <w:tcW w:w="4423" w:type="dxa"/>
            <w:gridSpan w:val="2"/>
            <w:tcBorders/>
            <w:vAlign w:val="center"/>
          </w:tcPr>
          <w:p>
            <w:pPr>
              <w:pStyle w:val="TableContents"/>
              <w:bidi w:val="0"/>
              <w:spacing w:before="0" w:after="283"/>
              <w:jc w:val="left"/>
              <w:rPr>
                <w:sz w:val="4"/>
                <w:szCs w:val="4"/>
              </w:rPr>
            </w:pPr>
            <w:r>
              <w:rPr>
                <w:sz w:val="4"/>
                <w:szCs w:val="4"/>
              </w:rPr>
            </w:r>
          </w:p>
        </w:tc>
        <w:tc>
          <w:tcPr>
            <w:tcW w:w="2237" w:type="dxa"/>
            <w:gridSpan w:val="2"/>
            <w:tcBorders/>
            <w:vAlign w:val="center"/>
          </w:tcPr>
          <w:p>
            <w:pPr>
              <w:pStyle w:val="TableContents"/>
              <w:bidi w:val="0"/>
              <w:spacing w:before="0" w:after="283"/>
              <w:jc w:val="left"/>
              <w:rPr>
                <w:sz w:val="4"/>
                <w:szCs w:val="4"/>
              </w:rPr>
            </w:pPr>
            <w:r>
              <w:rPr>
                <w:sz w:val="4"/>
                <w:szCs w:val="4"/>
              </w:rPr>
            </w:r>
          </w:p>
        </w:tc>
      </w:tr>
      <w:tr>
        <w:trPr/>
        <w:tc>
          <w:tcPr>
            <w:tcW w:w="35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Scott Hutton</w:t>
            </w:r>
          </w:p>
          <w:p>
            <w:pPr>
              <w:pStyle w:val="TableContents"/>
              <w:bidi w:val="0"/>
              <w:spacing w:before="0" w:after="20"/>
              <w:jc w:val="center"/>
              <w:rPr>
                <w:rFonts w:ascii="Times New Roman" w:hAnsi="Times New Roman"/>
                <w:sz w:val="20"/>
              </w:rPr>
            </w:pPr>
            <w:r>
              <w:rPr>
                <w:rFonts w:ascii="Times New Roman" w:hAnsi="Times New Roman"/>
                <w:sz w:val="20"/>
              </w:rPr>
              <w:t>Scott Hutton</w:t>
            </w:r>
          </w:p>
        </w:tc>
        <w:tc>
          <w:tcPr>
            <w:tcW w:w="122" w:type="dxa"/>
            <w:tcBorders/>
            <w:vAlign w:val="bottom"/>
          </w:tcPr>
          <w:p>
            <w:pPr>
              <w:pStyle w:val="TableContents"/>
              <w:bidi w:val="0"/>
              <w:spacing w:before="0" w:after="283"/>
              <w:jc w:val="left"/>
              <w:rPr/>
            </w:pPr>
            <w:r>
              <w:rPr/>
              <w:t>  </w:t>
            </w:r>
          </w:p>
        </w:tc>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203"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April 23, 2024</w:t>
            </w:r>
          </w:p>
        </w:tc>
      </w:tr>
      <w:tr>
        <w:trPr>
          <w:trHeight w:val="240" w:hRule="atLeast"/>
        </w:trPr>
        <w:tc>
          <w:tcPr>
            <w:tcW w:w="3545" w:type="dxa"/>
            <w:tcBorders/>
            <w:vAlign w:val="center"/>
          </w:tcPr>
          <w:p>
            <w:pPr>
              <w:pStyle w:val="TableContents"/>
              <w:bidi w:val="0"/>
              <w:spacing w:before="0" w:after="283"/>
              <w:jc w:val="left"/>
              <w:rPr>
                <w:sz w:val="4"/>
                <w:szCs w:val="4"/>
              </w:rPr>
            </w:pPr>
            <w:r>
              <w:rPr>
                <w:sz w:val="4"/>
                <w:szCs w:val="4"/>
              </w:rPr>
            </w:r>
          </w:p>
        </w:tc>
        <w:tc>
          <w:tcPr>
            <w:tcW w:w="4423" w:type="dxa"/>
            <w:gridSpan w:val="2"/>
            <w:tcBorders/>
            <w:vAlign w:val="center"/>
          </w:tcPr>
          <w:p>
            <w:pPr>
              <w:pStyle w:val="TableContents"/>
              <w:bidi w:val="0"/>
              <w:spacing w:before="0" w:after="283"/>
              <w:jc w:val="left"/>
              <w:rPr>
                <w:sz w:val="4"/>
                <w:szCs w:val="4"/>
              </w:rPr>
            </w:pPr>
            <w:r>
              <w:rPr>
                <w:sz w:val="4"/>
                <w:szCs w:val="4"/>
              </w:rPr>
            </w:r>
          </w:p>
        </w:tc>
        <w:tc>
          <w:tcPr>
            <w:tcW w:w="2237" w:type="dxa"/>
            <w:gridSpan w:val="2"/>
            <w:tcBorders/>
            <w:vAlign w:val="center"/>
          </w:tcPr>
          <w:p>
            <w:pPr>
              <w:pStyle w:val="TableContents"/>
              <w:bidi w:val="0"/>
              <w:spacing w:before="0" w:after="283"/>
              <w:jc w:val="left"/>
              <w:rPr>
                <w:sz w:val="4"/>
                <w:szCs w:val="4"/>
              </w:rPr>
            </w:pPr>
            <w:r>
              <w:rPr>
                <w:sz w:val="4"/>
                <w:szCs w:val="4"/>
              </w:rPr>
            </w:r>
          </w:p>
        </w:tc>
      </w:tr>
      <w:tr>
        <w:trPr/>
        <w:tc>
          <w:tcPr>
            <w:tcW w:w="35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Robin Harper Cowie</w:t>
            </w:r>
          </w:p>
          <w:p>
            <w:pPr>
              <w:pStyle w:val="TableContents"/>
              <w:bidi w:val="0"/>
              <w:spacing w:before="0" w:after="20"/>
              <w:jc w:val="center"/>
              <w:rPr>
                <w:rFonts w:ascii="Times New Roman" w:hAnsi="Times New Roman"/>
                <w:sz w:val="20"/>
              </w:rPr>
            </w:pPr>
            <w:r>
              <w:rPr>
                <w:rFonts w:ascii="Times New Roman" w:hAnsi="Times New Roman"/>
                <w:sz w:val="20"/>
              </w:rPr>
              <w:t>Robin Harper Cowie</w:t>
            </w:r>
          </w:p>
        </w:tc>
        <w:tc>
          <w:tcPr>
            <w:tcW w:w="122" w:type="dxa"/>
            <w:tcBorders/>
            <w:vAlign w:val="bottom"/>
          </w:tcPr>
          <w:p>
            <w:pPr>
              <w:pStyle w:val="TableContents"/>
              <w:bidi w:val="0"/>
              <w:spacing w:before="0" w:after="283"/>
              <w:jc w:val="left"/>
              <w:rPr/>
            </w:pPr>
            <w:r>
              <w:rPr/>
              <w:t>  </w:t>
            </w:r>
          </w:p>
        </w:tc>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203"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April 23, 2024</w:t>
            </w:r>
          </w:p>
        </w:tc>
      </w:tr>
      <w:tr>
        <w:trPr>
          <w:trHeight w:val="240" w:hRule="atLeast"/>
        </w:trPr>
        <w:tc>
          <w:tcPr>
            <w:tcW w:w="3545" w:type="dxa"/>
            <w:tcBorders/>
            <w:vAlign w:val="center"/>
          </w:tcPr>
          <w:p>
            <w:pPr>
              <w:pStyle w:val="TableContents"/>
              <w:bidi w:val="0"/>
              <w:spacing w:before="0" w:after="283"/>
              <w:jc w:val="left"/>
              <w:rPr>
                <w:sz w:val="4"/>
                <w:szCs w:val="4"/>
              </w:rPr>
            </w:pPr>
            <w:r>
              <w:rPr>
                <w:sz w:val="4"/>
                <w:szCs w:val="4"/>
              </w:rPr>
            </w:r>
          </w:p>
        </w:tc>
        <w:tc>
          <w:tcPr>
            <w:tcW w:w="4423" w:type="dxa"/>
            <w:gridSpan w:val="2"/>
            <w:tcBorders/>
            <w:vAlign w:val="center"/>
          </w:tcPr>
          <w:p>
            <w:pPr>
              <w:pStyle w:val="TableContents"/>
              <w:bidi w:val="0"/>
              <w:spacing w:before="0" w:after="283"/>
              <w:jc w:val="left"/>
              <w:rPr>
                <w:sz w:val="4"/>
                <w:szCs w:val="4"/>
              </w:rPr>
            </w:pPr>
            <w:r>
              <w:rPr>
                <w:sz w:val="4"/>
                <w:szCs w:val="4"/>
              </w:rPr>
            </w:r>
          </w:p>
        </w:tc>
        <w:tc>
          <w:tcPr>
            <w:tcW w:w="2237" w:type="dxa"/>
            <w:gridSpan w:val="2"/>
            <w:tcBorders/>
            <w:vAlign w:val="center"/>
          </w:tcPr>
          <w:p>
            <w:pPr>
              <w:pStyle w:val="TableContents"/>
              <w:bidi w:val="0"/>
              <w:spacing w:before="0" w:after="283"/>
              <w:jc w:val="left"/>
              <w:rPr>
                <w:sz w:val="4"/>
                <w:szCs w:val="4"/>
              </w:rPr>
            </w:pPr>
            <w:r>
              <w:rPr>
                <w:sz w:val="4"/>
                <w:szCs w:val="4"/>
              </w:rPr>
            </w:r>
          </w:p>
        </w:tc>
      </w:tr>
      <w:tr>
        <w:trPr/>
        <w:tc>
          <w:tcPr>
            <w:tcW w:w="35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Vazquez</w:t>
            </w:r>
          </w:p>
          <w:p>
            <w:pPr>
              <w:pStyle w:val="TableContents"/>
              <w:bidi w:val="0"/>
              <w:spacing w:before="0" w:after="20"/>
              <w:jc w:val="center"/>
              <w:rPr>
                <w:rFonts w:ascii="Times New Roman" w:hAnsi="Times New Roman"/>
                <w:sz w:val="20"/>
              </w:rPr>
            </w:pPr>
            <w:r>
              <w:rPr>
                <w:rFonts w:ascii="Times New Roman" w:hAnsi="Times New Roman"/>
                <w:sz w:val="20"/>
              </w:rPr>
              <w:t>Christopher Vazquez</w:t>
            </w:r>
          </w:p>
        </w:tc>
        <w:tc>
          <w:tcPr>
            <w:tcW w:w="122" w:type="dxa"/>
            <w:tcBorders/>
            <w:vAlign w:val="bottom"/>
          </w:tcPr>
          <w:p>
            <w:pPr>
              <w:pStyle w:val="TableContents"/>
              <w:bidi w:val="0"/>
              <w:spacing w:before="0" w:after="283"/>
              <w:jc w:val="left"/>
              <w:rPr/>
            </w:pPr>
            <w:r>
              <w:rPr/>
              <w:t>  </w:t>
            </w:r>
          </w:p>
        </w:tc>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203"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April 23, 2024</w:t>
            </w:r>
          </w:p>
        </w:tc>
      </w:tr>
      <w:tr>
        <w:trPr>
          <w:trHeight w:val="240" w:hRule="atLeast"/>
        </w:trPr>
        <w:tc>
          <w:tcPr>
            <w:tcW w:w="3545" w:type="dxa"/>
            <w:tcBorders/>
            <w:vAlign w:val="center"/>
          </w:tcPr>
          <w:p>
            <w:pPr>
              <w:pStyle w:val="TableContents"/>
              <w:bidi w:val="0"/>
              <w:spacing w:before="0" w:after="283"/>
              <w:jc w:val="left"/>
              <w:rPr>
                <w:sz w:val="4"/>
                <w:szCs w:val="4"/>
              </w:rPr>
            </w:pPr>
            <w:r>
              <w:rPr>
                <w:sz w:val="4"/>
                <w:szCs w:val="4"/>
              </w:rPr>
            </w:r>
          </w:p>
        </w:tc>
        <w:tc>
          <w:tcPr>
            <w:tcW w:w="4423" w:type="dxa"/>
            <w:gridSpan w:val="2"/>
            <w:tcBorders/>
            <w:vAlign w:val="center"/>
          </w:tcPr>
          <w:p>
            <w:pPr>
              <w:pStyle w:val="TableContents"/>
              <w:bidi w:val="0"/>
              <w:spacing w:before="0" w:after="283"/>
              <w:jc w:val="left"/>
              <w:rPr>
                <w:sz w:val="4"/>
                <w:szCs w:val="4"/>
              </w:rPr>
            </w:pPr>
            <w:r>
              <w:rPr>
                <w:sz w:val="4"/>
                <w:szCs w:val="4"/>
              </w:rPr>
            </w:r>
          </w:p>
        </w:tc>
        <w:tc>
          <w:tcPr>
            <w:tcW w:w="2237" w:type="dxa"/>
            <w:gridSpan w:val="2"/>
            <w:tcBorders/>
            <w:vAlign w:val="center"/>
          </w:tcPr>
          <w:p>
            <w:pPr>
              <w:pStyle w:val="TableContents"/>
              <w:bidi w:val="0"/>
              <w:spacing w:before="0" w:after="283"/>
              <w:jc w:val="left"/>
              <w:rPr>
                <w:sz w:val="4"/>
                <w:szCs w:val="4"/>
              </w:rPr>
            </w:pPr>
            <w:r>
              <w:rPr>
                <w:sz w:val="4"/>
                <w:szCs w:val="4"/>
              </w:rPr>
            </w:r>
          </w:p>
        </w:tc>
      </w:tr>
      <w:tr>
        <w:trPr/>
        <w:tc>
          <w:tcPr>
            <w:tcW w:w="35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Patience</w:t>
            </w:r>
          </w:p>
          <w:p>
            <w:pPr>
              <w:pStyle w:val="TableContents"/>
              <w:bidi w:val="0"/>
              <w:spacing w:before="0" w:after="20"/>
              <w:jc w:val="center"/>
              <w:rPr>
                <w:rFonts w:ascii="Times New Roman" w:hAnsi="Times New Roman"/>
                <w:sz w:val="20"/>
              </w:rPr>
            </w:pPr>
            <w:r>
              <w:rPr>
                <w:rFonts w:ascii="Times New Roman" w:hAnsi="Times New Roman"/>
                <w:sz w:val="20"/>
              </w:rPr>
              <w:t>John Patience</w:t>
            </w:r>
          </w:p>
        </w:tc>
        <w:tc>
          <w:tcPr>
            <w:tcW w:w="122" w:type="dxa"/>
            <w:tcBorders/>
            <w:vAlign w:val="bottom"/>
          </w:tcPr>
          <w:p>
            <w:pPr>
              <w:pStyle w:val="TableContents"/>
              <w:bidi w:val="0"/>
              <w:spacing w:before="0" w:after="283"/>
              <w:jc w:val="left"/>
              <w:rPr/>
            </w:pPr>
            <w:r>
              <w:rPr/>
              <w:t>  </w:t>
            </w:r>
          </w:p>
        </w:tc>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April 23, 2024</w:t>
            </w:r>
          </w:p>
        </w:tc>
      </w:tr>
      <w:tr>
        <w:trPr>
          <w:trHeight w:val="240" w:hRule="atLeast"/>
        </w:trPr>
        <w:tc>
          <w:tcPr>
            <w:tcW w:w="3545" w:type="dxa"/>
            <w:tcBorders/>
            <w:vAlign w:val="center"/>
          </w:tcPr>
          <w:p>
            <w:pPr>
              <w:pStyle w:val="TableContents"/>
              <w:bidi w:val="0"/>
              <w:spacing w:before="0" w:after="283"/>
              <w:jc w:val="left"/>
              <w:rPr>
                <w:sz w:val="4"/>
                <w:szCs w:val="4"/>
              </w:rPr>
            </w:pPr>
            <w:r>
              <w:rPr>
                <w:sz w:val="4"/>
                <w:szCs w:val="4"/>
              </w:rPr>
            </w:r>
          </w:p>
        </w:tc>
        <w:tc>
          <w:tcPr>
            <w:tcW w:w="4423" w:type="dxa"/>
            <w:gridSpan w:val="2"/>
            <w:tcBorders/>
            <w:vAlign w:val="center"/>
          </w:tcPr>
          <w:p>
            <w:pPr>
              <w:pStyle w:val="TableContents"/>
              <w:bidi w:val="0"/>
              <w:spacing w:before="0" w:after="283"/>
              <w:jc w:val="left"/>
              <w:rPr>
                <w:sz w:val="4"/>
                <w:szCs w:val="4"/>
              </w:rPr>
            </w:pPr>
            <w:r>
              <w:rPr>
                <w:sz w:val="4"/>
                <w:szCs w:val="4"/>
              </w:rPr>
            </w:r>
          </w:p>
        </w:tc>
        <w:tc>
          <w:tcPr>
            <w:tcW w:w="2237" w:type="dxa"/>
            <w:gridSpan w:val="2"/>
            <w:tcBorders/>
            <w:vAlign w:val="center"/>
          </w:tcPr>
          <w:p>
            <w:pPr>
              <w:pStyle w:val="TableContents"/>
              <w:bidi w:val="0"/>
              <w:spacing w:before="0" w:after="283"/>
              <w:jc w:val="left"/>
              <w:rPr>
                <w:sz w:val="4"/>
                <w:szCs w:val="4"/>
              </w:rPr>
            </w:pPr>
            <w:r>
              <w:rPr>
                <w:sz w:val="4"/>
                <w:szCs w:val="4"/>
              </w:rPr>
            </w:r>
          </w:p>
        </w:tc>
      </w:tr>
      <w:tr>
        <w:trPr/>
        <w:tc>
          <w:tcPr>
            <w:tcW w:w="35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Jean Franchi</w:t>
            </w:r>
          </w:p>
          <w:p>
            <w:pPr>
              <w:pStyle w:val="TableContents"/>
              <w:bidi w:val="0"/>
              <w:spacing w:before="0" w:after="20"/>
              <w:jc w:val="center"/>
              <w:rPr>
                <w:rFonts w:ascii="Times New Roman" w:hAnsi="Times New Roman"/>
                <w:sz w:val="20"/>
              </w:rPr>
            </w:pPr>
            <w:r>
              <w:rPr>
                <w:rFonts w:ascii="Times New Roman" w:hAnsi="Times New Roman"/>
                <w:sz w:val="20"/>
              </w:rPr>
              <w:t>Jean Franchi</w:t>
            </w:r>
          </w:p>
        </w:tc>
        <w:tc>
          <w:tcPr>
            <w:tcW w:w="122" w:type="dxa"/>
            <w:tcBorders/>
            <w:vAlign w:val="bottom"/>
          </w:tcPr>
          <w:p>
            <w:pPr>
              <w:pStyle w:val="TableContents"/>
              <w:bidi w:val="0"/>
              <w:spacing w:before="0" w:after="283"/>
              <w:jc w:val="left"/>
              <w:rPr/>
            </w:pPr>
            <w:r>
              <w:rPr/>
              <w:t>  </w:t>
            </w:r>
          </w:p>
        </w:tc>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April 23,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573"/>
        <w:gridCol w:w="120"/>
        <w:gridCol w:w="4281"/>
        <w:gridCol w:w="204"/>
        <w:gridCol w:w="2027"/>
      </w:tblGrid>
      <w:tr>
        <w:trPr/>
        <w:tc>
          <w:tcPr>
            <w:tcW w:w="35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8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28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4" w:type="dxa"/>
            <w:tcBorders/>
            <w:vAlign w:val="bottom"/>
          </w:tcPr>
          <w:p>
            <w:pPr>
              <w:pStyle w:val="TableContents"/>
              <w:bidi w:val="0"/>
              <w:spacing w:before="0" w:after="283"/>
              <w:jc w:val="left"/>
              <w:rPr/>
            </w:pPr>
            <w:r>
              <w:rPr/>
              <w:t> </w:t>
            </w:r>
          </w:p>
        </w:tc>
        <w:tc>
          <w:tcPr>
            <w:tcW w:w="202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573"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Lawrence T. Kennedy, Jr.</w:t>
            </w:r>
          </w:p>
          <w:p>
            <w:pPr>
              <w:pStyle w:val="TableContents"/>
              <w:bidi w:val="0"/>
              <w:spacing w:before="0" w:after="20"/>
              <w:jc w:val="center"/>
              <w:rPr>
                <w:rFonts w:ascii="Times New Roman" w:hAnsi="Times New Roman"/>
                <w:sz w:val="20"/>
              </w:rPr>
            </w:pPr>
            <w:r>
              <w:rPr>
                <w:rFonts w:ascii="Times New Roman" w:hAnsi="Times New Roman"/>
                <w:sz w:val="20"/>
              </w:rPr>
              <w:t>Lawrence T. Kennedy, Jr.</w:t>
            </w:r>
          </w:p>
        </w:tc>
        <w:tc>
          <w:tcPr>
            <w:tcW w:w="120" w:type="dxa"/>
            <w:tcBorders/>
            <w:vAlign w:val="bottom"/>
          </w:tcPr>
          <w:p>
            <w:pPr>
              <w:pStyle w:val="TableContents"/>
              <w:bidi w:val="0"/>
              <w:spacing w:before="0" w:after="283"/>
              <w:jc w:val="left"/>
              <w:rPr/>
            </w:pPr>
            <w:r>
              <w:rPr/>
              <w:t>  </w:t>
            </w:r>
          </w:p>
        </w:tc>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April 23 2024</w:t>
            </w:r>
          </w:p>
        </w:tc>
      </w:tr>
      <w:tr>
        <w:trPr>
          <w:trHeight w:val="240" w:hRule="atLeast"/>
        </w:trPr>
        <w:tc>
          <w:tcPr>
            <w:tcW w:w="3573"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 Faiz Kayyem, Ph.D.</w:t>
            </w:r>
          </w:p>
          <w:p>
            <w:pPr>
              <w:pStyle w:val="TableContents"/>
              <w:bidi w:val="0"/>
              <w:spacing w:before="0" w:after="20"/>
              <w:jc w:val="center"/>
              <w:rPr>
                <w:rFonts w:ascii="Times New Roman" w:hAnsi="Times New Roman"/>
                <w:sz w:val="20"/>
              </w:rPr>
            </w:pPr>
            <w:r>
              <w:rPr>
                <w:rFonts w:ascii="Times New Roman" w:hAnsi="Times New Roman"/>
                <w:sz w:val="20"/>
              </w:rPr>
              <w:t>Jon Faiz Kayyem, Ph.D.</w:t>
            </w:r>
          </w:p>
        </w:tc>
        <w:tc>
          <w:tcPr>
            <w:tcW w:w="120" w:type="dxa"/>
            <w:tcBorders/>
            <w:vAlign w:val="bottom"/>
          </w:tcPr>
          <w:p>
            <w:pPr>
              <w:pStyle w:val="TableContents"/>
              <w:bidi w:val="0"/>
              <w:spacing w:before="0" w:after="283"/>
              <w:jc w:val="left"/>
              <w:rPr/>
            </w:pPr>
            <w:r>
              <w:rPr/>
              <w:t>  </w:t>
            </w:r>
          </w:p>
        </w:tc>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April 23, 2024</w:t>
            </w:r>
          </w:p>
        </w:tc>
      </w:tr>
      <w:tr>
        <w:trPr>
          <w:trHeight w:val="240" w:hRule="atLeast"/>
        </w:trPr>
        <w:tc>
          <w:tcPr>
            <w:tcW w:w="3573"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Hany Massarany</w:t>
            </w:r>
          </w:p>
          <w:p>
            <w:pPr>
              <w:pStyle w:val="TableContents"/>
              <w:bidi w:val="0"/>
              <w:spacing w:before="0" w:after="20"/>
              <w:jc w:val="center"/>
              <w:rPr>
                <w:rFonts w:ascii="Times New Roman" w:hAnsi="Times New Roman"/>
                <w:sz w:val="20"/>
              </w:rPr>
            </w:pPr>
            <w:r>
              <w:rPr>
                <w:rFonts w:ascii="Times New Roman" w:hAnsi="Times New Roman"/>
                <w:sz w:val="20"/>
              </w:rPr>
              <w:t>Hany Massarany</w:t>
            </w:r>
          </w:p>
        </w:tc>
        <w:tc>
          <w:tcPr>
            <w:tcW w:w="120" w:type="dxa"/>
            <w:tcBorders/>
            <w:vAlign w:val="bottom"/>
          </w:tcPr>
          <w:p>
            <w:pPr>
              <w:pStyle w:val="TableContents"/>
              <w:bidi w:val="0"/>
              <w:spacing w:before="0" w:after="283"/>
              <w:jc w:val="left"/>
              <w:rPr/>
            </w:pPr>
            <w:r>
              <w:rPr/>
              <w:t>  </w:t>
            </w:r>
          </w:p>
        </w:tc>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April 23, 2024</w:t>
            </w:r>
          </w:p>
        </w:tc>
      </w:tr>
      <w:tr>
        <w:trPr>
          <w:trHeight w:val="240" w:hRule="atLeast"/>
        </w:trPr>
        <w:tc>
          <w:tcPr>
            <w:tcW w:w="3573"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Jack Schuler</w:t>
            </w:r>
          </w:p>
          <w:p>
            <w:pPr>
              <w:pStyle w:val="TableContents"/>
              <w:bidi w:val="0"/>
              <w:spacing w:before="0" w:after="20"/>
              <w:jc w:val="center"/>
              <w:rPr>
                <w:rFonts w:ascii="Times New Roman" w:hAnsi="Times New Roman"/>
                <w:sz w:val="20"/>
              </w:rPr>
            </w:pPr>
            <w:r>
              <w:rPr>
                <w:rFonts w:ascii="Times New Roman" w:hAnsi="Times New Roman"/>
                <w:sz w:val="20"/>
              </w:rPr>
              <w:t>Jack Schuler</w:t>
            </w:r>
          </w:p>
        </w:tc>
        <w:tc>
          <w:tcPr>
            <w:tcW w:w="120" w:type="dxa"/>
            <w:tcBorders/>
            <w:vAlign w:val="bottom"/>
          </w:tcPr>
          <w:p>
            <w:pPr>
              <w:pStyle w:val="TableContents"/>
              <w:bidi w:val="0"/>
              <w:spacing w:before="0" w:after="283"/>
              <w:jc w:val="left"/>
              <w:rPr/>
            </w:pPr>
            <w:r>
              <w:rPr/>
              <w:t>  </w:t>
            </w:r>
          </w:p>
        </w:tc>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April 23, 2024</w:t>
            </w:r>
          </w:p>
        </w:tc>
      </w:tr>
      <w:tr>
        <w:trPr>
          <w:trHeight w:val="240" w:hRule="atLeast"/>
        </w:trPr>
        <w:tc>
          <w:tcPr>
            <w:tcW w:w="3573"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Strobeck, Ph.D.</w:t>
            </w:r>
          </w:p>
          <w:p>
            <w:pPr>
              <w:pStyle w:val="TableContents"/>
              <w:bidi w:val="0"/>
              <w:spacing w:before="0" w:after="20"/>
              <w:jc w:val="center"/>
              <w:rPr>
                <w:rFonts w:ascii="Times New Roman" w:hAnsi="Times New Roman"/>
                <w:sz w:val="20"/>
              </w:rPr>
            </w:pPr>
            <w:r>
              <w:rPr>
                <w:rFonts w:ascii="Times New Roman" w:hAnsi="Times New Roman"/>
                <w:sz w:val="20"/>
              </w:rPr>
              <w:t>Matthew Strobeck, Ph.D.</w:t>
            </w:r>
          </w:p>
        </w:tc>
        <w:tc>
          <w:tcPr>
            <w:tcW w:w="120" w:type="dxa"/>
            <w:tcBorders/>
            <w:vAlign w:val="bottom"/>
          </w:tcPr>
          <w:p>
            <w:pPr>
              <w:pStyle w:val="TableContents"/>
              <w:bidi w:val="0"/>
              <w:spacing w:before="0" w:after="283"/>
              <w:jc w:val="left"/>
              <w:rPr/>
            </w:pPr>
            <w:r>
              <w:rPr/>
              <w:t>  </w:t>
            </w:r>
          </w:p>
        </w:tc>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April 23, 2024</w:t>
            </w:r>
          </w:p>
        </w:tc>
      </w:tr>
      <w:tr>
        <w:trPr>
          <w:trHeight w:val="240" w:hRule="atLeast"/>
        </w:trPr>
        <w:tc>
          <w:tcPr>
            <w:tcW w:w="3573"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Charles Watts, M.D.</w:t>
            </w:r>
          </w:p>
          <w:p>
            <w:pPr>
              <w:pStyle w:val="TableContents"/>
              <w:bidi w:val="0"/>
              <w:spacing w:before="0" w:after="20"/>
              <w:jc w:val="center"/>
              <w:rPr>
                <w:rFonts w:ascii="Times New Roman" w:hAnsi="Times New Roman"/>
                <w:sz w:val="20"/>
              </w:rPr>
            </w:pPr>
            <w:r>
              <w:rPr>
                <w:rFonts w:ascii="Times New Roman" w:hAnsi="Times New Roman"/>
                <w:sz w:val="20"/>
              </w:rPr>
              <w:t>Charles Watts, M.D.</w:t>
            </w:r>
          </w:p>
        </w:tc>
        <w:tc>
          <w:tcPr>
            <w:tcW w:w="120" w:type="dxa"/>
            <w:tcBorders/>
            <w:vAlign w:val="bottom"/>
          </w:tcPr>
          <w:p>
            <w:pPr>
              <w:pStyle w:val="TableContents"/>
              <w:bidi w:val="0"/>
              <w:spacing w:before="0" w:after="283"/>
              <w:jc w:val="left"/>
              <w:rPr/>
            </w:pPr>
            <w:r>
              <w:rPr/>
              <w:t>  </w:t>
            </w:r>
          </w:p>
        </w:tc>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April 23,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p>
    <w:p>
      <w:pPr>
        <w:pStyle w:val="TextBody"/>
        <w:bidi w:val="0"/>
        <w:spacing w:before="0" w:after="0"/>
        <w:jc w:val="right"/>
        <w:rPr>
          <w:rFonts w:ascii="Times New Roman" w:hAnsi="Times New Roman"/>
          <w:b/>
          <w:sz w:val="20"/>
        </w:rPr>
      </w:pPr>
      <w:bookmarkStart w:id="27" w:name="d827839dex1042.htm"/>
      <w:bookmarkStart w:id="28" w:name="ksd827839dex1042"/>
      <w:bookmarkEnd w:id="27"/>
      <w:bookmarkEnd w:id="28"/>
      <w:r>
        <w:rPr>
          <w:rFonts w:ascii="Times New Roman" w:hAnsi="Times New Roman"/>
          <w:b/>
          <w:sz w:val="20"/>
        </w:rPr>
        <w:t xml:space="preserve">Exhibit 10.42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Form of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BIODESIX, INC.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SEVERANCE AND CHANGE IN CONTROL AGREEMENT </w:t>
      </w:r>
    </w:p>
    <w:p>
      <w:pPr>
        <w:pStyle w:val="TextBody"/>
        <w:bidi w:val="0"/>
        <w:spacing w:before="240" w:after="0"/>
        <w:jc w:val="left"/>
        <w:rPr>
          <w:rFonts w:ascii="Times New Roman" w:hAnsi="Times New Roman"/>
          <w:sz w:val="20"/>
        </w:rPr>
      </w:pPr>
      <w:r>
        <w:rPr>
          <w:rFonts w:ascii="Times New Roman" w:hAnsi="Times New Roman"/>
          <w:sz w:val="20"/>
        </w:rPr>
        <w:t>This Executive Severance and Change in Control Agreement (</w:t>
      </w:r>
      <w:r>
        <w:rPr>
          <w:rFonts w:ascii="Times New Roman" w:hAnsi="Times New Roman"/>
          <w:sz w:val="20"/>
          <w:u w:val="single"/>
        </w:rPr>
        <w:t>Agreement</w:t>
      </w:r>
      <w:r>
        <w:rPr>
          <w:rFonts w:ascii="Times New Roman" w:hAnsi="Times New Roman"/>
          <w:sz w:val="20"/>
        </w:rPr>
        <w:t>) is made and entered into as of this  day of ,  (the </w:t>
      </w:r>
      <w:r>
        <w:rPr>
          <w:rFonts w:ascii="Times New Roman" w:hAnsi="Times New Roman"/>
          <w:sz w:val="20"/>
          <w:u w:val="single"/>
        </w:rPr>
        <w:t>Effective Date</w:t>
      </w:r>
      <w:r>
        <w:rPr>
          <w:rFonts w:ascii="Times New Roman" w:hAnsi="Times New Roman"/>
          <w:sz w:val="20"/>
        </w:rPr>
        <w:t>), by and between Biodesix, Inc. (the </w:t>
      </w:r>
      <w:r>
        <w:rPr>
          <w:rFonts w:ascii="Times New Roman" w:hAnsi="Times New Roman"/>
          <w:sz w:val="20"/>
          <w:u w:val="single"/>
        </w:rPr>
        <w:t>Company</w:t>
      </w:r>
      <w:r>
        <w:rPr>
          <w:rFonts w:ascii="Times New Roman" w:hAnsi="Times New Roman"/>
          <w:sz w:val="20"/>
        </w:rPr>
        <w:t>) and  (the </w:t>
      </w:r>
      <w:r>
        <w:rPr>
          <w:rFonts w:ascii="Times New Roman" w:hAnsi="Times New Roman"/>
          <w:sz w:val="20"/>
          <w:u w:val="single"/>
        </w:rPr>
        <w:t>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has approved the Company entering into executive severance and change in control agreements with certain key executives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Executive is a key executive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to assure the Company that it will have the continued dedication of the Executive and the availability of the Executives advice and counsel notwithstanding the possibility, threat, or occurrence of a Change in Control of the Company, and to induce the Executive to remain in the employ of the Company, and for other good and valuable consideration, the Company and the Executive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Term</w:t>
      </w:r>
      <w:r>
        <w:rPr>
          <w:rFonts w:ascii="Times New Roman" w:hAnsi="Times New Roman"/>
          <w:sz w:val="20"/>
        </w:rPr>
        <w:t xml:space="preserve">. This Agreement will commence on the Effective Date and will continue in effect until (i) the Executives termination of employment under circumstances that do not entitle the Executive to benefits under this Agreement or (ii) in the event of the Executives termination of employment under circumstances entitling the Executive to benefits under this Agreement, until all obligations of the Company hereunder have been fulfilled, and until all benefits required hereunder have been paid to the Executive.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Definitions</w:t>
      </w:r>
      <w:r>
        <w:rPr>
          <w:rFonts w:ascii="Times New Roman" w:hAnsi="Times New Roman"/>
          <w:sz w:val="20"/>
        </w:rPr>
        <w:t xml:space="preserve">. The following terms will have the meanings set forth below when capitalized in this Agreement. </w:t>
      </w:r>
    </w:p>
    <w:p>
      <w:pPr>
        <w:pStyle w:val="TextBody"/>
        <w:bidi w:val="0"/>
        <w:spacing w:before="120" w:after="0"/>
        <w:jc w:val="left"/>
        <w:rPr>
          <w:rFonts w:ascii="Times New Roman" w:hAnsi="Times New Roman"/>
          <w:sz w:val="20"/>
        </w:rPr>
      </w:pPr>
      <w:r>
        <w:rPr>
          <w:rFonts w:ascii="Times New Roman" w:hAnsi="Times New Roman"/>
          <w:sz w:val="20"/>
          <w:u w:val="single"/>
        </w:rPr>
        <w:t>Agreement</w:t>
      </w:r>
      <w:r>
        <w:rPr>
          <w:rFonts w:ascii="Times New Roman" w:hAnsi="Times New Roman"/>
          <w:sz w:val="20"/>
        </w:rPr>
        <w:t xml:space="preserve"> means this Executive Severance and Change in Control Agreement. </w:t>
      </w:r>
    </w:p>
    <w:p>
      <w:pPr>
        <w:pStyle w:val="TextBody"/>
        <w:bidi w:val="0"/>
        <w:spacing w:before="120" w:after="0"/>
        <w:jc w:val="left"/>
        <w:rPr>
          <w:rFonts w:ascii="Times New Roman" w:hAnsi="Times New Roman"/>
          <w:sz w:val="20"/>
        </w:rPr>
      </w:pPr>
      <w:r>
        <w:rPr>
          <w:rFonts w:ascii="Times New Roman" w:hAnsi="Times New Roman"/>
          <w:sz w:val="20"/>
          <w:u w:val="single"/>
        </w:rPr>
        <w:t>Accrued Obligations</w:t>
      </w:r>
      <w:r>
        <w:rPr>
          <w:rFonts w:ascii="Times New Roman" w:hAnsi="Times New Roman"/>
          <w:sz w:val="20"/>
        </w:rPr>
        <w:t xml:space="preserve"> means the aggregate of: (i) the Executives earned but unpaid Base Salary through the date of the Executives Termination of Employment; (ii) payment in respect of any paid time off days accrued but unused through the Executives Termination of Employment, to the extent provided by Company policy; and (iii) reimbursement for all business expenses properly incurred in accordance with Company policy prior to the Executives Termination of Employment and not reimbursed by the Company as of such date. </w:t>
      </w:r>
    </w:p>
    <w:p>
      <w:pPr>
        <w:pStyle w:val="TextBody"/>
        <w:bidi w:val="0"/>
        <w:spacing w:before="120" w:after="0"/>
        <w:jc w:val="left"/>
        <w:rPr>
          <w:rFonts w:ascii="Times New Roman" w:hAnsi="Times New Roman"/>
          <w:sz w:val="20"/>
        </w:rPr>
      </w:pPr>
      <w:r>
        <w:rPr>
          <w:rFonts w:ascii="Times New Roman" w:hAnsi="Times New Roman"/>
          <w:sz w:val="20"/>
          <w:u w:val="single"/>
        </w:rPr>
        <w:t>Base Salary</w:t>
      </w:r>
      <w:r>
        <w:rPr>
          <w:rFonts w:ascii="Times New Roman" w:hAnsi="Times New Roman"/>
          <w:sz w:val="20"/>
        </w:rPr>
        <w:t xml:space="preserve"> means the salary of record paid to the Executive as annual salary, excluding amounts received under incentive or other bonus plans, whether or not deferred; </w:t>
      </w:r>
      <w:r>
        <w:rPr>
          <w:rFonts w:ascii="Times New Roman" w:hAnsi="Times New Roman"/>
          <w:sz w:val="20"/>
          <w:u w:val="single"/>
        </w:rPr>
        <w:t>provided</w:t>
      </w:r>
      <w:r>
        <w:rPr>
          <w:rFonts w:ascii="Times New Roman" w:hAnsi="Times New Roman"/>
          <w:sz w:val="20"/>
        </w:rPr>
        <w:t xml:space="preserve">, that if the Executives annual salary is reduced under circumstances constituting Good Reason, Base Salary shall be determined based on the Executives annual salary as in effect prior to such reduction. </w:t>
      </w:r>
    </w:p>
    <w:p>
      <w:pPr>
        <w:pStyle w:val="TextBody"/>
        <w:bidi w:val="0"/>
        <w:spacing w:before="120" w:after="0"/>
        <w:jc w:val="left"/>
        <w:rPr>
          <w:rFonts w:ascii="Times New Roman" w:hAnsi="Times New Roman"/>
          <w:sz w:val="20"/>
        </w:rPr>
      </w:pP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Cause</w:t>
      </w:r>
      <w:r>
        <w:rPr>
          <w:rFonts w:ascii="Times New Roman" w:hAnsi="Times New Roman"/>
          <w:sz w:val="20"/>
        </w:rPr>
        <w:t xml:space="preserve"> means the occurrence of any of the following events by the Executive: (i) commission of any felony or any crime involving fraud, dishonesty or moral turpitude under the laws of the United States or any state thereof; (ii) attempted commission of, or participation in, a fraud or act of dishonesty against the Company, or any of its employees or directors; (iii) intentional, material violation of any contract or agreement between the Executive and the Company, the Companys employment policies, or of any statutory or other duty owed to the Company, (iv) unauthorized use or disclosure of the Companys confidential information or trade secrets; or (v) gross misconduct. The determination that the Executives Termination of Employment is either for Cause or without Cause will be made by the Company (or, if the Executive is subject to Section 16 of the Exchange Act, the Compensation Committee), in its sole discretion. Any determination by the Company that the Executives Termination of Employment was with or without Cause for the purposes of this Agreement will have no effect upon any determination of the rights or obligations of the Company or the Executive for any other purpose. Notwithstanding anything in this Agreement to the contrary, the Company (or Compensation Committee, as applicable) may deem a Termination of Employment to be for Cause if, after such termination (regardless of how originally designated), it discovers facts, circumstances or omissions that would constitute Cause if the Executive were still employed. </w:t>
      </w:r>
    </w:p>
    <w:p>
      <w:pPr>
        <w:pStyle w:val="TextBody"/>
        <w:bidi w:val="0"/>
        <w:spacing w:before="120" w:after="0"/>
        <w:jc w:val="left"/>
        <w:rPr>
          <w:rFonts w:ascii="Times New Roman" w:hAnsi="Times New Roman"/>
          <w:sz w:val="20"/>
        </w:rPr>
      </w:pPr>
      <w:r>
        <w:rPr>
          <w:rFonts w:ascii="Times New Roman" w:hAnsi="Times New Roman"/>
          <w:sz w:val="20"/>
          <w:u w:val="single"/>
        </w:rPr>
        <w:t>Change in Control</w:t>
      </w:r>
      <w:r>
        <w:rPr>
          <w:rFonts w:ascii="Times New Roman" w:hAnsi="Times New Roman"/>
          <w:sz w:val="20"/>
        </w:rPr>
        <w:t xml:space="preserve"> has the meaning set forth in the Companys 2020 Equity Incentive Plan. </w:t>
      </w:r>
    </w:p>
    <w:p>
      <w:pPr>
        <w:pStyle w:val="TextBody"/>
        <w:bidi w:val="0"/>
        <w:spacing w:before="120" w:after="0"/>
        <w:jc w:val="left"/>
        <w:rPr>
          <w:rFonts w:ascii="Times New Roman" w:hAnsi="Times New Roman"/>
          <w:sz w:val="20"/>
        </w:rPr>
      </w:pPr>
      <w:r>
        <w:rPr>
          <w:rFonts w:ascii="Times New Roman" w:hAnsi="Times New Roman"/>
          <w:sz w:val="20"/>
          <w:u w:val="single"/>
        </w:rPr>
        <w:t>Change in Control Covered Period</w:t>
      </w:r>
      <w:r>
        <w:rPr>
          <w:rFonts w:ascii="Times New Roman" w:hAnsi="Times New Roman"/>
          <w:sz w:val="20"/>
        </w:rPr>
        <w:t xml:space="preserve"> means the period of time beginning on the date that is three months prior to a Change in Control and lasting through the one-year anniversary of the occurrence of such Change in Control. </w:t>
      </w:r>
    </w:p>
    <w:p>
      <w:pPr>
        <w:pStyle w:val="TextBody"/>
        <w:bidi w:val="0"/>
        <w:spacing w:before="120" w:after="0"/>
        <w:jc w:val="left"/>
        <w:rPr>
          <w:rFonts w:ascii="Times New Roman" w:hAnsi="Times New Roman"/>
          <w:sz w:val="20"/>
        </w:rPr>
      </w:pPr>
      <w:r>
        <w:rPr>
          <w:rFonts w:ascii="Times New Roman" w:hAnsi="Times New Roman"/>
          <w:sz w:val="20"/>
          <w:u w:val="single"/>
        </w:rPr>
        <w:t>Code</w:t>
      </w:r>
      <w:r>
        <w:rPr>
          <w:rFonts w:ascii="Times New Roman" w:hAnsi="Times New Roman"/>
          <w:sz w:val="20"/>
        </w:rPr>
        <w:t xml:space="preserve"> means the Internal Revenue Code of 1986, as amended from time to time, and any successor thereto. </w:t>
      </w:r>
    </w:p>
    <w:p>
      <w:pPr>
        <w:pStyle w:val="TextBody"/>
        <w:bidi w:val="0"/>
        <w:spacing w:before="12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means Biodesix, Inc. </w:t>
      </w:r>
    </w:p>
    <w:p>
      <w:pPr>
        <w:pStyle w:val="TextBody"/>
        <w:bidi w:val="0"/>
        <w:spacing w:before="120" w:after="0"/>
        <w:jc w:val="left"/>
        <w:rPr>
          <w:rFonts w:ascii="Times New Roman" w:hAnsi="Times New Roman"/>
          <w:sz w:val="20"/>
        </w:rPr>
      </w:pPr>
      <w:r>
        <w:rPr>
          <w:rFonts w:ascii="Times New Roman" w:hAnsi="Times New Roman"/>
          <w:sz w:val="20"/>
          <w:u w:val="single"/>
        </w:rPr>
        <w:t>Compensation Committee</w:t>
      </w:r>
      <w:r>
        <w:rPr>
          <w:rFonts w:ascii="Times New Roman" w:hAnsi="Times New Roman"/>
          <w:sz w:val="20"/>
        </w:rPr>
        <w:t xml:space="preserve"> means the Compensation Committee of the Board. </w:t>
      </w:r>
    </w:p>
    <w:p>
      <w:pPr>
        <w:pStyle w:val="TextBody"/>
        <w:bidi w:val="0"/>
        <w:spacing w:before="120" w:after="0"/>
        <w:jc w:val="left"/>
        <w:rPr>
          <w:rFonts w:ascii="Times New Roman" w:hAnsi="Times New Roman"/>
          <w:sz w:val="20"/>
        </w:rPr>
      </w:pPr>
      <w:r>
        <w:rPr>
          <w:rFonts w:ascii="Times New Roman" w:hAnsi="Times New Roman"/>
          <w:sz w:val="20"/>
          <w:u w:val="single"/>
        </w:rPr>
        <w:t>Effective Date</w:t>
      </w:r>
      <w:r>
        <w:rPr>
          <w:rFonts w:ascii="Times New Roman" w:hAnsi="Times New Roman"/>
          <w:sz w:val="20"/>
        </w:rPr>
        <w:t xml:space="preserve"> has the meaning set forth in the recitals to this Agreement. </w:t>
      </w:r>
    </w:p>
    <w:p>
      <w:pPr>
        <w:pStyle w:val="TextBody"/>
        <w:bidi w:val="0"/>
        <w:spacing w:before="120" w:after="0"/>
        <w:jc w:val="left"/>
        <w:rPr>
          <w:rFonts w:ascii="Times New Roman" w:hAnsi="Times New Roman"/>
          <w:sz w:val="20"/>
        </w:rPr>
      </w:pP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u w:val="single"/>
        </w:rPr>
        <w:t>Executive</w:t>
      </w:r>
      <w:r>
        <w:rPr>
          <w:rFonts w:ascii="Times New Roman" w:hAnsi="Times New Roman"/>
          <w:sz w:val="20"/>
        </w:rPr>
        <w:t xml:space="preserve"> has the meaning set forth in the recitals to this Agreement. </w:t>
      </w:r>
    </w:p>
    <w:p>
      <w:pPr>
        <w:pStyle w:val="TextBody"/>
        <w:bidi w:val="0"/>
        <w:spacing w:before="120" w:after="0"/>
        <w:jc w:val="left"/>
        <w:rPr>
          <w:rFonts w:ascii="Times New Roman" w:hAnsi="Times New Roman"/>
          <w:sz w:val="20"/>
        </w:rPr>
      </w:pPr>
      <w:r>
        <w:rPr>
          <w:rFonts w:ascii="Times New Roman" w:hAnsi="Times New Roman"/>
          <w:sz w:val="20"/>
          <w:u w:val="single"/>
        </w:rPr>
        <w:t>Good Reason</w:t>
      </w:r>
      <w:r>
        <w:rPr>
          <w:rFonts w:ascii="Times New Roman" w:hAnsi="Times New Roman"/>
          <w:sz w:val="20"/>
        </w:rPr>
        <w:t xml:space="preserve"> for termination by the Executive of the Executives employment means the occurrence, without the Executives express written consent, of any one of the following acts by the Company: (i) a reduction in the Executives Base Salary by more than 10% other than a general reduction in annual salary that affects all similarly situated executives in substantially the same proportions and that occurs outside of a Change in Control Covered Period; (ii) a material diminution in the Executives authority, duties or responsibilities; or (iii) the Executives required relocation to offices more than fifty (50) miles from the Executives then-current principal place of conducting business for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in order for a condition to constitute Good Reason for termination by the Executive of the Executives employment, (i) the Executive must give the Company written notice of the condition within 90 days after the Executive first becomes, or reasonably should have become, aware of the condition, with the notice stating in detail the particular act or acts or the failure or failures to act that constitute the grounds on which the Executives Good Reason is based, (ii) the Company must fail to remedy the condition within 30 days after receiving the Executives written notice and (iii) the Executive must terminate his or her employment effective not later than 30 days after the expiration of the Companys cure period. </w:t>
      </w:r>
    </w:p>
    <w:p>
      <w:pPr>
        <w:pStyle w:val="TextBody"/>
        <w:bidi w:val="0"/>
        <w:spacing w:before="120" w:after="0"/>
        <w:jc w:val="left"/>
        <w:rPr>
          <w:rFonts w:ascii="Times New Roman" w:hAnsi="Times New Roman"/>
          <w:sz w:val="20"/>
        </w:rPr>
      </w:pPr>
      <w:r>
        <w:rPr>
          <w:rFonts w:ascii="Times New Roman" w:hAnsi="Times New Roman"/>
          <w:sz w:val="20"/>
          <w:u w:val="single"/>
        </w:rPr>
        <w:t>Termination of Employment</w:t>
      </w:r>
      <w:r>
        <w:rPr>
          <w:rFonts w:ascii="Times New Roman" w:hAnsi="Times New Roman"/>
          <w:sz w:val="20"/>
        </w:rPr>
        <w:t xml:space="preserve"> means a termination by the Company or by the Executive of the Executives employment with the Company that constitutes a separation from service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Severance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Employment without Cause Not Involving a Change in Control</w:t>
      </w:r>
      <w:r>
        <w:rPr>
          <w:rFonts w:ascii="Times New Roman" w:hAnsi="Times New Roman"/>
          <w:sz w:val="20"/>
        </w:rPr>
        <w:t xml:space="preserve">. If the Executive experiences a Termination of Employment by the Company without Cause (other than for death or disability) outside of a Change in Control Covered Period, and the Executive satisfies the conditions set forth in this Section 3, then the Executive shall be entitled to payment in respect of Accrued Obligations and the following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i. Base Salary continuation for a period of [nine]1[12]2 months; [and] </w:t>
      </w:r>
    </w:p>
    <w:p>
      <w:pPr>
        <w:pStyle w:val="TextBody"/>
        <w:bidi w:val="0"/>
        <w:spacing w:before="240" w:after="0"/>
        <w:jc w:val="left"/>
        <w:rPr>
          <w:rFonts w:ascii="Times New Roman" w:hAnsi="Times New Roman"/>
          <w:sz w:val="20"/>
        </w:rPr>
      </w:pPr>
      <w:r>
        <w:rPr>
          <w:rFonts w:ascii="Times New Roman" w:hAnsi="Times New Roman"/>
          <w:sz w:val="20"/>
        </w:rPr>
        <w:t xml:space="preserve">ii. [a lump sum cash payment equal to 100% of the Executives target annual cash incentive for the year in which the Termination of Employment occurs; and]3 </w:t>
      </w:r>
    </w:p>
    <w:p>
      <w:pPr>
        <w:pStyle w:val="TextBody"/>
        <w:bidi w:val="0"/>
        <w:spacing w:before="240" w:after="0"/>
        <w:jc w:val="left"/>
        <w:rPr>
          <w:rFonts w:ascii="Times New Roman" w:hAnsi="Times New Roman"/>
          <w:sz w:val="20"/>
        </w:rPr>
      </w:pPr>
      <w:r>
        <w:rPr>
          <w:rFonts w:ascii="Times New Roman" w:hAnsi="Times New Roman"/>
          <w:sz w:val="20"/>
        </w:rPr>
        <w:t xml:space="preserve">iii. Company-paid COBRA premium payments for the Executive and his or her covered dependents 12 months or such shorter period during which the Executive is eligible for COBRA coverage.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of Employment without Cause or for Good Reason Involving a Change in Control</w:t>
      </w:r>
      <w:r>
        <w:rPr>
          <w:rFonts w:ascii="Times New Roman" w:hAnsi="Times New Roman"/>
          <w:sz w:val="20"/>
        </w:rPr>
        <w:t xml:space="preserve">. If the Executive experiences a Termination of Employment by the Company without Cause (other than for death or disability) or due to the Executives resignation for Good Reason, in each case, during a Change in Control Covered Period, and the Executive satisfies the conditions set forth in this Section 3, then the Executive shall be entitled to payment in respect of Accrued Obligations and the following severance benefits: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Entitlement for all participants other than the CEO.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CEO entitlement only.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CEO entitlement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lump sum cash payment equal to [100]4[150]5% of the Executives then current Base Salary; </w:t>
      </w:r>
    </w:p>
    <w:p>
      <w:pPr>
        <w:pStyle w:val="TextBody"/>
        <w:bidi w:val="0"/>
        <w:spacing w:before="240" w:after="0"/>
        <w:jc w:val="left"/>
        <w:rPr>
          <w:rFonts w:ascii="Times New Roman" w:hAnsi="Times New Roman"/>
          <w:sz w:val="20"/>
        </w:rPr>
      </w:pPr>
      <w:r>
        <w:rPr>
          <w:rFonts w:ascii="Times New Roman" w:hAnsi="Times New Roman"/>
          <w:sz w:val="20"/>
        </w:rPr>
        <w:t xml:space="preserve">ii. a lump sum cash payment equal to [100]6[150]7% of the Executives target annual cash incentive for the year in which the Termination of Employment occurs; </w:t>
      </w:r>
    </w:p>
    <w:p>
      <w:pPr>
        <w:pStyle w:val="TextBody"/>
        <w:bidi w:val="0"/>
        <w:spacing w:before="240" w:after="0"/>
        <w:jc w:val="left"/>
        <w:rPr>
          <w:rFonts w:ascii="Times New Roman" w:hAnsi="Times New Roman"/>
          <w:sz w:val="20"/>
        </w:rPr>
      </w:pPr>
      <w:r>
        <w:rPr>
          <w:rFonts w:ascii="Times New Roman" w:hAnsi="Times New Roman"/>
          <w:sz w:val="20"/>
        </w:rPr>
        <w:t xml:space="preserve">iii. a lump sum cash payment equal to [12]8[18]9 months of COBRA premium payments for the Executive and his or her covered dependents; [and] </w:t>
      </w:r>
    </w:p>
    <w:p>
      <w:pPr>
        <w:pStyle w:val="TextBody"/>
        <w:bidi w:val="0"/>
        <w:spacing w:before="240" w:after="0"/>
        <w:jc w:val="left"/>
        <w:rPr>
          <w:rFonts w:ascii="Times New Roman" w:hAnsi="Times New Roman"/>
          <w:sz w:val="20"/>
        </w:rPr>
      </w:pPr>
      <w:r>
        <w:rPr>
          <w:rFonts w:ascii="Times New Roman" w:hAnsi="Times New Roman"/>
          <w:sz w:val="20"/>
        </w:rPr>
        <w:t xml:space="preserve">iv. accelerated vesting of all equity awards which vest based solely on the Executives continued service to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v. [a lump sum cash payment of $15,000 to help defray legal fees, tax and accounting fees, executive outplacement services, and other costs associated with transitional matters]10.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Preconditions to Receipt of Severance Benefits</w:t>
      </w:r>
      <w:r>
        <w:rPr>
          <w:rFonts w:ascii="Times New Roman" w:hAnsi="Times New Roman"/>
          <w:sz w:val="20"/>
        </w:rPr>
        <w:t xml:space="preserve">. Notwithstanding any other provision of this Agreement to the contrary, the Executive acknowledges and agrees that any and all severance benefits to which the Executive is entitled under this Section 3 are conditioned upon and shall not be payable unless (i) the Executive complies with his or her continuing obligations to the Company, including the return of Company property and including under any agreement by and between the Company and the Executive, (ii) the Executive or, if applicable, the Executives estate, executes a general release and waiver, in the Companys then-standard form or such reasonable and customary form as shall be prepared by the Company in its sole discretion, of all claims the Executive may have against the Company and its directors, officers, subsidiaries and affiliates, except as to (A) matters covered by provisions of this Agreement that expressly survive the termination of this Agreement and (B) rights to which the Executive is entitled by virtue of participation in the Companys employee benefit plans, policies and arrangements, within the minimum time period required under applicable state and federal laws, or if no such period exists, ten business days following the date of the Executives Termination of Employment and (iii) the Executive or, if applicable, the Executives estate, has not revoked such release agreement within the time period permitted under applicable law for such revocation. Upon the Executives Termination of Employment for any reason, the Executive shall be deemed to have resigned from all positions the Executive holds with the Company, including as a member of the Board or as a member of the board of directors of any subsidiary or affiliate of the Company, except to the extent otherwise provided by the Board.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Entitlement for all participants other than the CEO.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CEO entitlement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Entitlement for all participants other than the CEO.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CEO entitlement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Entitlement for all participants other than the CEO.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CEO entitlement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CEO and CFO entitlement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Payments</w:t>
      </w:r>
      <w:r>
        <w:rPr>
          <w:rFonts w:ascii="Times New Roman" w:hAnsi="Times New Roman"/>
          <w:sz w:val="20"/>
        </w:rPr>
        <w:t xml:space="preserve">. Subject to Section 3(c) and Section 4 (if applicable), payments under this Section 3 shall commence or be made, as applicable, within 60 days after the Termination of Employment, with any payment scheduled to occur between the Termination of Employment and such 60th day provided on such 60th day. If severance benefits are paid under this Agreement, no severance benefits under any other program of the Company will be paid to the Executive. If the Termination of Employment occurs within three months prior to a Change in Control, then the payments made pursuant to Section 3(b) shall be made within 60 days after the date of such Change in Control, and shall be reduced by any payments made pursuant to Section 3(a) prior to such payment date. Notwithstanding the foregoing, if the amounts paid under this Agreement are viewed as a substitute for other severance payments and benefits that constitute nonqualified deferred compensation under Section 409A of the Code, then such other agreement governing the other severance payments and benefits shall control the timing and form of payment of the benefits provided under this Agreement to the extent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Section 409A of the Code</w:t>
      </w:r>
      <w:r>
        <w:rPr>
          <w:rFonts w:ascii="Times New Roman" w:hAnsi="Times New Roman"/>
          <w:sz w:val="20"/>
        </w:rPr>
        <w:t xml:space="preserve">. The Company intends that all payments and benefits provided under this Agreement are exempt from the requirements of Section 409A of the Code (including the Treasury regulations and other published guidance relating thereto) so that none of the payments or benefits will be subject to the additional tax imposed under Section 409A of the Code, and any ambiguities herein will be interpreted in accordance with such intent. To the extent any amount payable under this Agreement would trigger the additional tax imposed by Section 409A of the Code, the Company may modify the Agreement to avoid such additional tax. For purposes of Section 409A of the Code, each payment, installment or benefit payable under this Agreement is hereby designated as a separate payment. To the extent the Company determines that any payment or benefit provided hereunder is subject to Section 409A of the Code, this Agreement will be interpreted in accordance with Section 409A of the Code, and if the Executive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Executives separation from service (as defined in Section 409A of the Code without regard to alternative definitions thereunder) or, if earlier, the date of the Executives death, unless such distribution or payment can be made in a manner that complies with Section 409A of the Code,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Section 280G of the Code</w:t>
      </w:r>
      <w:r>
        <w:rPr>
          <w:rFonts w:ascii="Times New Roman" w:hAnsi="Times New Roman"/>
          <w:sz w:val="20"/>
        </w:rPr>
        <w:t>. Notwithstanding anything contained in this Agreement to the contrary, in the event that the payments and benefits provided pursuant to this Agreement, together with all other payments and benefits received or to be received by the Executive (the </w:t>
      </w:r>
      <w:r>
        <w:rPr>
          <w:rFonts w:ascii="Times New Roman" w:hAnsi="Times New Roman"/>
          <w:sz w:val="20"/>
          <w:u w:val="single"/>
        </w:rPr>
        <w:t>Payments</w:t>
      </w:r>
      <w:r>
        <w:rPr>
          <w:rFonts w:ascii="Times New Roman" w:hAnsi="Times New Roman"/>
          <w:sz w:val="20"/>
        </w:rPr>
        <w:t>), constitute parachute payments within the meaning of Section 280G of the Code, and, but for this Section 5, would be subject to the excise tax imposed by Code Section 4999 (the </w:t>
      </w:r>
      <w:r>
        <w:rPr>
          <w:rFonts w:ascii="Times New Roman" w:hAnsi="Times New Roman"/>
          <w:sz w:val="20"/>
          <w:u w:val="single"/>
        </w:rPr>
        <w:t>Excise Tax</w:t>
      </w:r>
      <w:r>
        <w:rPr>
          <w:rFonts w:ascii="Times New Roman" w:hAnsi="Times New Roman"/>
          <w:sz w:val="20"/>
        </w:rPr>
        <w:t>), then the Payments shall be made to the Executive either (i) in full or (ii) as to such lesser amount as would result in no portion of the Payments being subject to the Excise Tax (a </w:t>
      </w:r>
      <w:r>
        <w:rPr>
          <w:rFonts w:ascii="Times New Roman" w:hAnsi="Times New Roman"/>
          <w:sz w:val="20"/>
          <w:u w:val="single"/>
        </w:rPr>
        <w:t>Reduced Payment</w:t>
      </w:r>
      <w:r>
        <w:rPr>
          <w:rFonts w:ascii="Times New Roman" w:hAnsi="Times New Roman"/>
          <w:sz w:val="20"/>
        </w:rPr>
        <w:t xml:space="preserve">), whichever of the foregoing amounts, taking into account applicable federal, state and local income taxes and the Excise Tax, results in the Executives receipt on an after-tax basis of the greatest amount of benefits, notwithstanding that all or some portion of the Payments may be subject to the Excise Tax. If a Reduced Payment is to be made under this Section 5, then reduction of Payments will occur in the following order: reduction of cash payments,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cancellation of equity-based payments and accelerated vesting of equity awards, and then reduction of other employee benefits. If accelerated vesting of equity awards is to be reduced, such acceleration of vesting will be canceled first with respect to performance-based awards and then with respect to time-based awards, and in each case in the reverse order of the applicable vesting date. In the event that cash payments or other employee benefits are reduced, such reduction shall occur in reverse order beginning with the payments and benefits which are to be paid furthest away in time. All determinations required to made under this Section 5 (including whether any of the Payments are parachute payments and whether to make a Reduced Payment) will be made by an independent accounting firm selected by the Company. For purposes of making the calculations required by this Section 5, the accounting firm may make reasonable assumptions and approximations concerning applicable taxes and may rely on reasonable good faith interpretations concerning the application of Sections 280G and 4999 of the Code. The Company will bear the costs that the accounting firm may reasonably incur in connection with the calculations contemplated by this Section 5. The accounting firms determination will be binding on both the Executive and the Company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Modification or Waiver</w:t>
      </w:r>
      <w:r>
        <w:rPr>
          <w:rFonts w:ascii="Times New Roman" w:hAnsi="Times New Roman"/>
          <w:sz w:val="20"/>
        </w:rPr>
        <w:t xml:space="preserve">. No provision of this Agreement may be modified, waived or discharged unless the modification, waiver or discharge is agreed to in writing and signed by the Executive and by an authorized officer of the Company other than the Executive. No waiver by either party of any breach of, or compliance with, any condition or provision of this Agreement by the other party shall be considered a waiver of any other condition or provision or of the same condition or provision at another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Successors</w:t>
      </w:r>
      <w:r>
        <w:rPr>
          <w:rFonts w:ascii="Times New Roman" w:hAnsi="Times New Roman"/>
          <w:sz w:val="20"/>
        </w:rPr>
        <w:t xml:space="preserve">. This Agreement is personal to the Executive and shall not be assignable by the Executive other than by will or the laws of descent and distribution. This Agreement shall inure to the benefit of and be binding upon the Company and its successors and assigns. The Company shall require that any successor (whether direct or indirect, by purchase, merger, reorganization, consolidation, acquisition of property or stock, liquidation or otherwise) to all or a substantial portion of its business and/or assets, expressly assume and agree to perform this Agreement in the same manner and to the same extent that the Company would be required to perform this agreement if no such succession had taken place. Any successor shall be deemed the Company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Death of Executive</w:t>
      </w:r>
      <w:r>
        <w:rPr>
          <w:rFonts w:ascii="Times New Roman" w:hAnsi="Times New Roman"/>
          <w:sz w:val="20"/>
        </w:rPr>
        <w:t xml:space="preserve">. Subject to the provisions of Sections 3 and 4, in the event of the Executives death prior to the full payment of benefits due or owing to the Executive hereunder, any payments still remaining to be made in cash shall be made to the Executives estate in a single, lump sum amount within 60 days following the Executives date of death.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Integration</w:t>
      </w:r>
      <w:r>
        <w:rPr>
          <w:rFonts w:ascii="Times New Roman" w:hAnsi="Times New Roman"/>
          <w:sz w:val="20"/>
        </w:rPr>
        <w:t xml:space="preserve">. This Agreement represents the entire agreement and understanding between the parties as to the subject matter herein and supersedes all prior or contemporaneous agreements, whether written or oral, with respect to the subject matter of this Agreement. [This Agreement expressly replaces and supersedes that certain [] by and between the Company and the Executive, dated [].]11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Governing Law</w:t>
      </w:r>
      <w:r>
        <w:rPr>
          <w:rFonts w:ascii="Times New Roman" w:hAnsi="Times New Roman"/>
          <w:sz w:val="20"/>
        </w:rPr>
        <w:t xml:space="preserve">. This Agreement and all determinations made and actions taken pursuant to this Agreement, to the extent not otherwise governed by the Code or the laws of the United States, shall be governed by the laws of the State of Delaware and construed in accordance therewith without giving effect to principles of conflicts of laws.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Tax Withholding</w:t>
      </w:r>
      <w:r>
        <w:rPr>
          <w:rFonts w:ascii="Times New Roman" w:hAnsi="Times New Roman"/>
          <w:sz w:val="20"/>
        </w:rPr>
        <w:t xml:space="preserve">. The Company will be entitled to withhold from any amounts payable under this Agreement all taxes as may be legally required (including, without limitation, any federal taxes and any other state, city or local taxes) and other reductions required under federal,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Notices</w:t>
      </w:r>
      <w:r>
        <w:rPr>
          <w:rFonts w:ascii="Times New Roman" w:hAnsi="Times New Roman"/>
          <w:sz w:val="20"/>
        </w:rPr>
        <w:t xml:space="preserve">. Any notice required by the terms of this Agreement shall be given in writing and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with attention to the Chief Executive Officer (or, if the Executive is the Chief Executive Officer, with attention to the Chief Financial Officer) and to the Executive at the address that he or she most recently provided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The invalidity or unenforceability of any provision or provisions of this Agreement shall not affect the validity or enforceability of any other provision hereof, which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Counterparts</w:t>
      </w:r>
      <w:r>
        <w:rPr>
          <w:rFonts w:ascii="Times New Roman" w:hAnsi="Times New Roman"/>
          <w:sz w:val="20"/>
        </w:rPr>
        <w:t xml:space="preserve">. This Agreement may be executed in counterparts, each of which shall be deemed an original, but all of which together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At-Will Employment</w:t>
      </w:r>
      <w:r>
        <w:rPr>
          <w:rFonts w:ascii="Times New Roman" w:hAnsi="Times New Roman"/>
          <w:sz w:val="20"/>
        </w:rPr>
        <w:t xml:space="preserve">. Nothing in this Agreement shall (i) confer upon the Executive any right to continue in the employ of the Company, (ii) constitute any contract or agreement of employment or (iii) interfere in any way with the at-will nature of the Executives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executed this Agreement on this ___ day of _______,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
        <w:gridCol w:w="191"/>
        <w:gridCol w:w="3176"/>
        <w:gridCol w:w="146"/>
        <w:gridCol w:w="444"/>
        <w:gridCol w:w="146"/>
        <w:gridCol w:w="5154"/>
      </w:tblGrid>
      <w:tr>
        <w:trPr/>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5154"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Pr>
          <w:p>
            <w:pPr>
              <w:pStyle w:val="TableContents"/>
              <w:bidi w:val="0"/>
              <w:spacing w:before="0" w:after="283"/>
              <w:jc w:val="left"/>
              <w:rPr/>
            </w:pPr>
            <w:r>
              <w:rPr/>
              <w:t>BIODESIX, INC.</w:t>
            </w:r>
          </w:p>
        </w:tc>
        <w:tc>
          <w:tcPr>
            <w:tcW w:w="146"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54" w:type="dxa"/>
            <w:tcBorders/>
          </w:tcPr>
          <w:p>
            <w:pPr>
              <w:pStyle w:val="TableContents"/>
              <w:bidi w:val="0"/>
              <w:spacing w:before="0" w:after="283"/>
              <w:jc w:val="left"/>
              <w:rPr/>
            </w:pPr>
            <w:r>
              <w:rPr/>
              <w:t>[______________] (EXECUTIVE):</w:t>
            </w:r>
          </w:p>
        </w:tc>
      </w:tr>
      <w:tr>
        <w:trPr>
          <w:trHeight w:val="240" w:hRule="atLeast"/>
        </w:trPr>
        <w:tc>
          <w:tcPr>
            <w:tcW w:w="948" w:type="dxa"/>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5300" w:type="dxa"/>
            <w:gridSpan w:val="2"/>
            <w:tcBorders/>
            <w:vAlign w:val="center"/>
          </w:tcPr>
          <w:p>
            <w:pPr>
              <w:pStyle w:val="TableContents"/>
              <w:bidi w:val="0"/>
              <w:spacing w:before="0" w:after="283"/>
              <w:jc w:val="left"/>
              <w:rPr>
                <w:sz w:val="4"/>
                <w:szCs w:val="4"/>
              </w:rPr>
            </w:pPr>
            <w:r>
              <w:rPr>
                <w:sz w:val="4"/>
                <w:szCs w:val="4"/>
              </w:rPr>
            </w:r>
          </w:p>
        </w:tc>
      </w:tr>
      <w:tr>
        <w:trPr/>
        <w:tc>
          <w:tcPr>
            <w:tcW w:w="948" w:type="dxa"/>
            <w:tcBorders/>
          </w:tcPr>
          <w:p>
            <w:pPr>
              <w:pStyle w:val="TableContents"/>
              <w:bidi w:val="0"/>
              <w:spacing w:before="0" w:after="283"/>
              <w:jc w:val="left"/>
              <w:rPr/>
            </w:pPr>
            <w:r>
              <w:rPr/>
              <w:t>By:</w:t>
            </w:r>
          </w:p>
        </w:tc>
        <w:tc>
          <w:tcPr>
            <w:tcW w:w="191" w:type="dxa"/>
            <w:tcBorders/>
            <w:vAlign w:val="bottom"/>
          </w:tcPr>
          <w:p>
            <w:pPr>
              <w:pStyle w:val="TableContents"/>
              <w:bidi w:val="0"/>
              <w:spacing w:before="0" w:after="283"/>
              <w:jc w:val="left"/>
              <w:rPr/>
            </w:pPr>
            <w:r>
              <w:rPr/>
              <w:t>  </w:t>
            </w:r>
          </w:p>
        </w:tc>
        <w:tc>
          <w:tcPr>
            <w:tcW w:w="3176" w:type="dxa"/>
            <w:tcBorders/>
          </w:tcPr>
          <w:p>
            <w:pPr>
              <w:pStyle w:val="TableContents"/>
              <w:pBdr>
                <w:bottom w:val="single" w:sz="2" w:space="1" w:color="000000"/>
              </w:pBdr>
              <w:bidi w:val="0"/>
              <w:spacing w:before="0" w:after="20"/>
              <w:jc w:val="left"/>
              <w:rPr/>
            </w:pPr>
            <w:r>
              <w:rPr/>
              <w:t> </w:t>
            </w:r>
          </w:p>
        </w:tc>
        <w:tc>
          <w:tcPr>
            <w:tcW w:w="146"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54" w:type="dxa"/>
            <w:tcBorders/>
          </w:tcPr>
          <w:p>
            <w:pPr>
              <w:pStyle w:val="TableContents"/>
              <w:pBdr>
                <w:bottom w:val="single" w:sz="2" w:space="1" w:color="000000"/>
              </w:pBdr>
              <w:bidi w:val="0"/>
              <w:spacing w:before="0" w:after="20"/>
              <w:jc w:val="left"/>
              <w:rPr/>
            </w:pPr>
            <w:r>
              <w:rPr/>
              <w:t> </w:t>
            </w:r>
          </w:p>
        </w:tc>
      </w:tr>
      <w:tr>
        <w:trPr/>
        <w:tc>
          <w:tcPr>
            <w:tcW w:w="948" w:type="dxa"/>
            <w:tcBorders/>
          </w:tcPr>
          <w:p>
            <w:pPr>
              <w:pStyle w:val="TableContents"/>
              <w:bidi w:val="0"/>
              <w:spacing w:before="0" w:after="283"/>
              <w:jc w:val="left"/>
              <w:rPr/>
            </w:pPr>
            <w:r>
              <w:rPr/>
              <w:t>Name:</w:t>
            </w:r>
          </w:p>
        </w:tc>
        <w:tc>
          <w:tcPr>
            <w:tcW w:w="191" w:type="dxa"/>
            <w:tcBorders/>
            <w:vAlign w:val="bottom"/>
          </w:tcPr>
          <w:p>
            <w:pPr>
              <w:pStyle w:val="TableContents"/>
              <w:bidi w:val="0"/>
              <w:spacing w:before="0" w:after="283"/>
              <w:jc w:val="left"/>
              <w:rPr/>
            </w:pPr>
            <w:r>
              <w:rPr/>
              <w:t>  </w:t>
            </w:r>
          </w:p>
        </w:tc>
        <w:tc>
          <w:tcPr>
            <w:tcW w:w="3176" w:type="dxa"/>
            <w:tcBorders/>
          </w:tcPr>
          <w:p>
            <w:pPr>
              <w:pStyle w:val="TableContents"/>
              <w:pBdr>
                <w:bottom w:val="single" w:sz="2" w:space="1" w:color="000000"/>
              </w:pBdr>
              <w:bidi w:val="0"/>
              <w:spacing w:before="0" w:after="20"/>
              <w:jc w:val="left"/>
              <w:rPr/>
            </w:pPr>
            <w:r>
              <w:rPr/>
              <w:t> </w:t>
            </w:r>
          </w:p>
        </w:tc>
        <w:tc>
          <w:tcPr>
            <w:tcW w:w="146"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54" w:type="dxa"/>
            <w:tcBorders/>
          </w:tcPr>
          <w:p>
            <w:pPr>
              <w:pStyle w:val="TableContents"/>
              <w:bidi w:val="0"/>
              <w:spacing w:before="0" w:after="283"/>
              <w:jc w:val="left"/>
              <w:rPr>
                <w:sz w:val="4"/>
                <w:szCs w:val="4"/>
              </w:rPr>
            </w:pPr>
            <w:r>
              <w:rPr>
                <w:sz w:val="4"/>
                <w:szCs w:val="4"/>
              </w:rPr>
            </w:r>
          </w:p>
        </w:tc>
      </w:tr>
      <w:tr>
        <w:trPr/>
        <w:tc>
          <w:tcPr>
            <w:tcW w:w="948" w:type="dxa"/>
            <w:tcBorders/>
          </w:tcPr>
          <w:p>
            <w:pPr>
              <w:pStyle w:val="TableContents"/>
              <w:bidi w:val="0"/>
              <w:spacing w:before="0" w:after="283"/>
              <w:jc w:val="left"/>
              <w:rPr/>
            </w:pPr>
            <w:r>
              <w:rPr/>
              <w:t>Its:</w:t>
            </w:r>
          </w:p>
        </w:tc>
        <w:tc>
          <w:tcPr>
            <w:tcW w:w="191" w:type="dxa"/>
            <w:tcBorders/>
            <w:vAlign w:val="bottom"/>
          </w:tcPr>
          <w:p>
            <w:pPr>
              <w:pStyle w:val="TableContents"/>
              <w:bidi w:val="0"/>
              <w:spacing w:before="0" w:after="283"/>
              <w:jc w:val="left"/>
              <w:rPr/>
            </w:pPr>
            <w:r>
              <w:rPr/>
              <w:t>  </w:t>
            </w:r>
          </w:p>
        </w:tc>
        <w:tc>
          <w:tcPr>
            <w:tcW w:w="3176" w:type="dxa"/>
            <w:tcBorders/>
          </w:tcPr>
          <w:p>
            <w:pPr>
              <w:pStyle w:val="TableContents"/>
              <w:pBdr>
                <w:bottom w:val="single" w:sz="2" w:space="1" w:color="000000"/>
              </w:pBdr>
              <w:bidi w:val="0"/>
              <w:spacing w:before="0" w:after="20"/>
              <w:jc w:val="left"/>
              <w:rPr/>
            </w:pPr>
            <w:r>
              <w:rPr/>
              <w:t> </w:t>
            </w:r>
          </w:p>
        </w:tc>
        <w:tc>
          <w:tcPr>
            <w:tcW w:w="146"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center"/>
        <w:rPr>
          <w:rFonts w:ascii="Times New Roman" w:hAnsi="Times New Roman"/>
          <w:b/>
          <w:sz w:val="20"/>
        </w:rPr>
      </w:pPr>
      <w:bookmarkStart w:id="29" w:name="d827839dex231.htm"/>
      <w:bookmarkStart w:id="30" w:name="ksd827839dex231"/>
      <w:bookmarkEnd w:id="29"/>
      <w:bookmarkEnd w:id="30"/>
      <w:r>
        <w:rPr>
          <w:rFonts w:ascii="Times New Roman" w:hAnsi="Times New Roman"/>
          <w:b/>
          <w:sz w:val="20"/>
        </w:rPr>
        <w:t xml:space="preserve">Consent of Independent Registered Public Accounting Firm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 2024, with respect to the financial statements of Biodesix, Inc., incorporated herein by reference, and to the reference to our firm under the heading Experts in the registration statement.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Denver, Colorado </w:t>
      </w:r>
    </w:p>
    <w:p>
      <w:pPr>
        <w:pStyle w:val="TextBody"/>
        <w:bidi w:val="0"/>
        <w:spacing w:before="0" w:after="0"/>
        <w:jc w:val="left"/>
        <w:rPr>
          <w:rFonts w:ascii="Times New Roman" w:hAnsi="Times New Roman"/>
          <w:sz w:val="20"/>
        </w:rPr>
      </w:pPr>
      <w:r>
        <w:rPr>
          <w:rFonts w:ascii="Times New Roman" w:hAnsi="Times New Roman"/>
          <w:sz w:val="20"/>
        </w:rPr>
        <w:t xml:space="preserve">April 23, 2024 </w:t>
      </w:r>
    </w:p>
    <w:p>
      <w:pPr>
        <w:pStyle w:val="TextBody"/>
        <w:bidi w:val="0"/>
        <w:spacing w:before="0" w:after="0"/>
        <w:jc w:val="right"/>
        <w:rPr>
          <w:rFonts w:ascii="Times New Roman" w:hAnsi="Times New Roman"/>
          <w:b/>
          <w:sz w:val="20"/>
        </w:rPr>
      </w:pPr>
      <w:bookmarkStart w:id="31" w:name="d827839dexfilingfees.htm"/>
      <w:bookmarkStart w:id="32" w:name="ksd827839dexfilingfees"/>
      <w:bookmarkEnd w:id="31"/>
      <w:bookmarkEnd w:id="32"/>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S-1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Biodesix,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Newly Registered and Carry Forward Securities </w:t>
      </w:r>
    </w:p>
    <w:p>
      <w:pPr>
        <w:pStyle w:val="TextBody"/>
        <w:bidi w:val="0"/>
        <w:spacing w:before="0" w:after="0"/>
        <w:jc w:val="left"/>
        <w:rPr/>
      </w:pPr>
      <w:r>
        <w:rPr/>
        <w:t> </w:t>
      </w:r>
    </w:p>
    <w:tbl>
      <w:tblPr>
        <w:tblW w:w="14450" w:type="dxa"/>
        <w:jc w:val="center"/>
        <w:tblInd w:w="0" w:type="dxa"/>
        <w:tblLayout w:type="fixed"/>
        <w:tblCellMar>
          <w:top w:w="0" w:type="dxa"/>
          <w:left w:w="0" w:type="dxa"/>
          <w:bottom w:w="0" w:type="dxa"/>
          <w:right w:w="0" w:type="dxa"/>
        </w:tblCellMar>
      </w:tblPr>
      <w:tblGrid>
        <w:gridCol w:w="680"/>
        <w:gridCol w:w="60"/>
        <w:gridCol w:w="860"/>
        <w:gridCol w:w="60"/>
        <w:gridCol w:w="695"/>
        <w:gridCol w:w="60"/>
        <w:gridCol w:w="1190"/>
        <w:gridCol w:w="60"/>
        <w:gridCol w:w="1370"/>
        <w:gridCol w:w="60"/>
        <w:gridCol w:w="1070"/>
        <w:gridCol w:w="60"/>
        <w:gridCol w:w="1850"/>
        <w:gridCol w:w="60"/>
        <w:gridCol w:w="1040"/>
        <w:gridCol w:w="60"/>
        <w:gridCol w:w="980"/>
        <w:gridCol w:w="60"/>
        <w:gridCol w:w="935"/>
        <w:gridCol w:w="60"/>
        <w:gridCol w:w="935"/>
        <w:gridCol w:w="60"/>
        <w:gridCol w:w="935"/>
        <w:gridCol w:w="60"/>
        <w:gridCol w:w="1190"/>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6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b/>
              </w:rPr>
            </w:pPr>
            <w:r>
              <w:rPr>
                <w:b/>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Security</w:t>
              <w:br/>
              <w:t>Class</w:t>
            </w:r>
          </w:p>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b/>
              </w:rPr>
            </w:pPr>
            <w:r>
              <w:rPr>
                <w:b/>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Maximum</w:t>
            </w:r>
          </w:p>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20"/>
              <w:jc w:val="center"/>
              <w:rPr/>
            </w:pPr>
            <w:r>
              <w:rPr/>
              <w:t> </w:t>
            </w:r>
            <w:r>
              <w:rPr>
                <w:rFonts w:ascii="Times New Roman" w:hAnsi="Times New Roman"/>
                <w:b/>
                <w:sz w:val="16"/>
              </w:rPr>
              <w:t>Offering Price 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b/>
              </w:rPr>
            </w:pPr>
            <w:r>
              <w:rPr>
                <w:b/>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0"/>
              <w:jc w:val="center"/>
              <w:rPr>
                <w:rFonts w:ascii="Times New Roman" w:hAnsi="Times New Roman"/>
                <w:b/>
                <w:sz w:val="16"/>
              </w:rPr>
            </w:pPr>
            <w:r>
              <w:rPr>
                <w:rFonts w:ascii="Times New Roman" w:hAnsi="Times New Roman"/>
                <w:b/>
                <w:sz w:val="16"/>
              </w:rPr>
              <w:t>Registration</w:t>
            </w:r>
          </w:p>
          <w:p>
            <w:pPr>
              <w:pStyle w:val="TableContents"/>
              <w:bidi w:val="0"/>
              <w:spacing w:before="0" w:after="20"/>
              <w:jc w:val="center"/>
              <w:rPr>
                <w:rFonts w:ascii="Times New Roman" w:hAnsi="Times New Roman"/>
                <w:b/>
                <w:sz w:val="16"/>
              </w:rPr>
            </w:pPr>
            <w:r>
              <w:rPr>
                <w:rFonts w:ascii="Times New Roman" w:hAnsi="Times New Roman"/>
                <w:b/>
                <w:sz w:val="16"/>
              </w:rP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b/>
              </w:rPr>
            </w:pPr>
            <w:r>
              <w:rPr>
                <w:b/>
              </w:rPr>
              <w:t>Filing Fee</w:t>
              <w:br/>
              <w:t>Previously</w:t>
              <w:br/>
              <w:t>Paid In</w:t>
              <w:br/>
              <w:t>Connection</w:t>
              <w:br/>
              <w:t>with</w:t>
              <w:br/>
              <w:t>Unsold</w:t>
              <w:br/>
              <w:t>Securities</w:t>
              <w:br/>
              <w:t>to be</w:t>
              <w:br/>
              <w:t>Carried</w:t>
            </w:r>
          </w:p>
        </w:tc>
      </w:tr>
      <w:tr>
        <w:trPr>
          <w:trHeight w:val="15" w:hRule="atLeast"/>
        </w:trPr>
        <w:tc>
          <w:tcPr>
            <w:tcW w:w="1445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450" w:type="dxa"/>
            <w:gridSpan w:val="25"/>
            <w:tcBorders>
              <w:left w:val="single" w:sz="2" w:space="0" w:color="000000"/>
              <w:right w:val="single" w:sz="2" w:space="0" w:color="000000"/>
            </w:tcBorders>
            <w:tcMar>
              <w:left w:w="160" w:type="dxa"/>
              <w:right w:w="40" w:type="dxa"/>
            </w:tcMar>
          </w:tcPr>
          <w:p>
            <w:pPr>
              <w:pStyle w:val="TableContents"/>
              <w:bidi w:val="0"/>
              <w:spacing w:before="0" w:after="283"/>
              <w:jc w:val="center"/>
              <w:rPr>
                <w:b/>
              </w:rPr>
            </w:pPr>
            <w:r>
              <w:rPr>
                <w:b/>
              </w:rPr>
              <w:t>Newly Registered Securities</w:t>
            </w:r>
          </w:p>
        </w:tc>
      </w:tr>
      <w:tr>
        <w:trPr>
          <w:trHeight w:val="15" w:hRule="atLeast"/>
        </w:trPr>
        <w:tc>
          <w:tcPr>
            <w:tcW w:w="6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tcBorders>
            <w:tcMar>
              <w:left w:w="160" w:type="dxa"/>
            </w:tcMar>
          </w:tcPr>
          <w:p>
            <w:pPr>
              <w:pStyle w:val="TableContents"/>
              <w:bidi w:val="0"/>
              <w:spacing w:before="0" w:after="0"/>
              <w:jc w:val="center"/>
              <w:rPr>
                <w:rFonts w:ascii="Times New Roman" w:hAnsi="Times New Roman"/>
                <w:sz w:val="16"/>
              </w:rPr>
            </w:pPr>
            <w:r>
              <w:rPr>
                <w:rFonts w:ascii="Times New Roman" w:hAnsi="Times New Roman"/>
                <w:sz w:val="16"/>
              </w:rPr>
              <w:t>Fees to Be</w:t>
            </w:r>
          </w:p>
          <w:p>
            <w:pPr>
              <w:pStyle w:val="TableContents"/>
              <w:bidi w:val="0"/>
              <w:spacing w:before="0" w:after="20"/>
              <w:jc w:val="center"/>
              <w:rPr>
                <w:rFonts w:ascii="Times New Roman" w:hAnsi="Times New Roman"/>
                <w:sz w:val="16"/>
              </w:rPr>
            </w:pPr>
            <w:r>
              <w:rPr>
                <w:rFonts w:ascii="Times New Roman" w:hAnsi="Times New Roman"/>
                <w:sz w:val="16"/>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Common</w:t>
            </w:r>
          </w:p>
          <w:p>
            <w:pPr>
              <w:pStyle w:val="TableContents"/>
              <w:bidi w:val="0"/>
              <w:spacing w:before="0" w:after="0"/>
              <w:jc w:val="center"/>
              <w:rPr>
                <w:rFonts w:ascii="Times New Roman" w:hAnsi="Times New Roman"/>
                <w:sz w:val="16"/>
              </w:rPr>
            </w:pPr>
            <w:r>
              <w:rPr>
                <w:rFonts w:ascii="Times New Roman" w:hAnsi="Times New Roman"/>
                <w:sz w:val="16"/>
              </w:rPr>
              <w:t>stock, par</w:t>
            </w:r>
          </w:p>
          <w:p>
            <w:pPr>
              <w:pStyle w:val="TableContents"/>
              <w:bidi w:val="0"/>
              <w:spacing w:before="0" w:after="0"/>
              <w:jc w:val="center"/>
              <w:rPr>
                <w:rFonts w:ascii="Times New Roman" w:hAnsi="Times New Roman"/>
                <w:sz w:val="16"/>
              </w:rPr>
            </w:pPr>
            <w:r>
              <w:rPr>
                <w:rFonts w:ascii="Times New Roman" w:hAnsi="Times New Roman"/>
                <w:sz w:val="16"/>
              </w:rPr>
              <w:t>value</w:t>
            </w:r>
          </w:p>
          <w:p>
            <w:pPr>
              <w:pStyle w:val="TableContents"/>
              <w:bidi w:val="0"/>
              <w:spacing w:before="0" w:after="0"/>
              <w:jc w:val="center"/>
              <w:rPr>
                <w:rFonts w:ascii="Times New Roman" w:hAnsi="Times New Roman"/>
                <w:sz w:val="16"/>
              </w:rPr>
            </w:pPr>
            <w:r>
              <w:rPr>
                <w:rFonts w:ascii="Times New Roman" w:hAnsi="Times New Roman"/>
                <w:sz w:val="16"/>
              </w:rPr>
              <w:t>$0.001</w:t>
            </w:r>
          </w:p>
          <w:p>
            <w:pPr>
              <w:pStyle w:val="TableContents"/>
              <w:bidi w:val="0"/>
              <w:spacing w:before="0" w:after="0"/>
              <w:jc w:val="center"/>
              <w:rPr>
                <w:rFonts w:ascii="Times New Roman" w:hAnsi="Times New Roman"/>
                <w:sz w:val="16"/>
              </w:rPr>
            </w:pPr>
            <w:r>
              <w:rPr>
                <w:rFonts w:ascii="Times New Roman" w:hAnsi="Times New Roman"/>
                <w:sz w:val="16"/>
              </w:rPr>
              <w:t>per</w:t>
            </w:r>
          </w:p>
          <w:p>
            <w:pPr>
              <w:pStyle w:val="TableContents"/>
              <w:bidi w:val="0"/>
              <w:spacing w:before="0" w:after="20"/>
              <w:jc w:val="center"/>
              <w:rPr>
                <w:rFonts w:ascii="Times New Roman" w:hAnsi="Times New Roman"/>
                <w:sz w:val="16"/>
              </w:rPr>
            </w:pPr>
            <w:r>
              <w:rPr>
                <w:rFonts w:ascii="Times New Roman" w:hAnsi="Times New Roman"/>
                <w:sz w:val="16"/>
              </w:rPr>
              <w:t>share(1)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Rule 457(c)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pPr>
            <w:r>
              <w:rPr/>
              <w:t>30,434,280(2)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$1.21(3)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center"/>
              <w:rPr/>
            </w:pPr>
            <w:r>
              <w:rPr/>
              <w:t>$36,825,478.80 (3)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0.0001476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$5,435.44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445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450" w:type="dxa"/>
            <w:gridSpan w:val="25"/>
            <w:tcBorders>
              <w:left w:val="single" w:sz="2" w:space="0" w:color="000000"/>
              <w:right w:val="single" w:sz="2" w:space="0" w:color="000000"/>
            </w:tcBorders>
            <w:tcMar>
              <w:left w:w="160" w:type="dxa"/>
              <w:right w:w="40" w:type="dxa"/>
            </w:tcMar>
          </w:tcPr>
          <w:p>
            <w:pPr>
              <w:pStyle w:val="TableContents"/>
              <w:bidi w:val="0"/>
              <w:spacing w:before="0" w:after="283"/>
              <w:jc w:val="center"/>
              <w:rPr>
                <w:b/>
              </w:rPr>
            </w:pPr>
            <w:r>
              <w:rPr>
                <w:b/>
              </w:rPr>
              <w:t>Carry Forward Securities</w:t>
            </w:r>
          </w:p>
        </w:tc>
      </w:tr>
      <w:tr>
        <w:trPr>
          <w:trHeight w:val="15" w:hRule="atLeast"/>
        </w:trPr>
        <w:tc>
          <w:tcPr>
            <w:tcW w:w="6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tcBorders>
            <w:tcMar>
              <w:left w:w="160" w:type="dxa"/>
            </w:tcMar>
          </w:tcPr>
          <w:p>
            <w:pPr>
              <w:pStyle w:val="TableContents"/>
              <w:bidi w:val="0"/>
              <w:spacing w:before="0" w:after="0"/>
              <w:jc w:val="center"/>
              <w:rPr>
                <w:rFonts w:ascii="Times New Roman" w:hAnsi="Times New Roman"/>
                <w:sz w:val="16"/>
              </w:rPr>
            </w:pPr>
            <w:r>
              <w:rPr>
                <w:rFonts w:ascii="Times New Roman" w:hAnsi="Times New Roman"/>
                <w:sz w:val="16"/>
              </w:rPr>
              <w:t>Carry</w:t>
            </w:r>
          </w:p>
          <w:p>
            <w:pPr>
              <w:pStyle w:val="TableContents"/>
              <w:bidi w:val="0"/>
              <w:spacing w:before="0" w:after="0"/>
              <w:jc w:val="center"/>
              <w:rPr>
                <w:rFonts w:ascii="Times New Roman" w:hAnsi="Times New Roman"/>
                <w:sz w:val="16"/>
              </w:rPr>
            </w:pPr>
            <w:r>
              <w:rPr>
                <w:rFonts w:ascii="Times New Roman" w:hAnsi="Times New Roman"/>
                <w:sz w:val="16"/>
              </w:rPr>
              <w:t>Forward</w:t>
            </w:r>
          </w:p>
          <w:p>
            <w:pPr>
              <w:pStyle w:val="TableContents"/>
              <w:bidi w:val="0"/>
              <w:spacing w:before="0" w:after="20"/>
              <w:jc w:val="center"/>
              <w:rPr>
                <w:rFonts w:ascii="Times New Roman" w:hAnsi="Times New Roman"/>
                <w:sz w:val="16"/>
              </w:rPr>
            </w:pPr>
            <w:r>
              <w:rPr>
                <w:rFonts w:ascii="Times New Roman" w:hAnsi="Times New Roman"/>
                <w:sz w:val="16"/>
              </w:rP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N/A</w:t>
            </w:r>
          </w:p>
        </w:tc>
      </w:tr>
      <w:tr>
        <w:trPr>
          <w:trHeight w:val="15" w:hRule="atLeast"/>
        </w:trPr>
        <w:tc>
          <w:tcPr>
            <w:tcW w:w="6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3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295" w:type="dxa"/>
            <w:gridSpan w:val="7"/>
            <w:tcBorders/>
            <w:vAlign w:val="bottom"/>
          </w:tcPr>
          <w:p>
            <w:pPr>
              <w:pStyle w:val="TableContents"/>
              <w:bidi w:val="0"/>
              <w:spacing w:before="0" w:after="283"/>
              <w:jc w:val="right"/>
              <w:rPr/>
            </w:pPr>
            <w:r>
              <w:rPr>
                <w:b/>
              </w:rPr>
              <w:t>Total Offering Amounts</w:t>
            </w: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$5,435.44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6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3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295" w:type="dxa"/>
            <w:gridSpan w:val="7"/>
            <w:tcBorders/>
            <w:vAlign w:val="bottom"/>
          </w:tcPr>
          <w:p>
            <w:pPr>
              <w:pStyle w:val="TableContents"/>
              <w:bidi w:val="0"/>
              <w:spacing w:before="0" w:after="283"/>
              <w:jc w:val="right"/>
              <w:rPr/>
            </w:pPr>
            <w:r>
              <w:rPr>
                <w:b/>
              </w:rPr>
              <w:t>Total Fees Previously Paid</w:t>
            </w: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6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3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295" w:type="dxa"/>
            <w:gridSpan w:val="7"/>
            <w:tcBorders/>
            <w:vAlign w:val="bottom"/>
          </w:tcPr>
          <w:p>
            <w:pPr>
              <w:pStyle w:val="TableContents"/>
              <w:bidi w:val="0"/>
              <w:spacing w:before="0" w:after="283"/>
              <w:jc w:val="right"/>
              <w:rPr/>
            </w:pPr>
            <w:r>
              <w:rPr>
                <w:b/>
              </w:rPr>
              <w:t>Total Fee Offsets</w:t>
            </w: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6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3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95" w:type="dxa"/>
            <w:gridSpan w:val="7"/>
            <w:tcBorders>
              <w:bottom w:val="single" w:sz="2" w:space="0" w:color="000000"/>
            </w:tcBorders>
            <w:tcMar>
              <w:bottom w:w="28" w:type="dxa"/>
            </w:tcMar>
            <w:vAlign w:val="bottom"/>
          </w:tcPr>
          <w:p>
            <w:pPr>
              <w:pStyle w:val="TableContents"/>
              <w:bidi w:val="0"/>
              <w:spacing w:before="0" w:after="283"/>
              <w:jc w:val="right"/>
              <w:rPr/>
            </w:pPr>
            <w:r>
              <w:rPr>
                <w:b/>
              </w:rPr>
              <w:t>Net Fee Due</w:t>
            </w: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vAlign w:val="bottom"/>
          </w:tcPr>
          <w:p>
            <w:pPr>
              <w:pStyle w:val="TableContents"/>
              <w:bidi w:val="0"/>
              <w:spacing w:before="0" w:after="283"/>
              <w:jc w:val="center"/>
              <w:rPr/>
            </w:pPr>
            <w:r>
              <w:rPr/>
              <w:t>$5,435.44</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 under the Securities Act of 1933, as amended, this registration statement also covers such an indeterminate amount of shares of common stock as may become issuable to prevent dilution resulting from stock splits, stock dividends and similar events.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registered consists of up to 30,434,280 shares of Common Stock issuable upon the conversion of 760,857 shares of Series A Non-Voting Convertible Preferred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based on the average of the high and low prices of the shares of common stock on The NASDAQ Global Market on April 17, 2024 (such date being within five business days of the date that this registration statement was first filed with the Securities and Exchange Commission, in accordance with Rule 457(c) under the Securities Act).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www.sec.gov/Archives/edgar/data/../../../ix?doc=/Archives/edgar/data/1439725/000095017024023513/bdsx-20231231.htm" TargetMode="External"/><Relationship Id="rId10" Type="http://schemas.openxmlformats.org/officeDocument/2006/relationships/hyperlink" Target="http://www.sec.gov/Archives/edgar/data/../../../ix?doc=/Archives/edgar/data/1439725/000119312524090787/d779805d8k.htm" TargetMode="External"/><Relationship Id="rId11" Type="http://schemas.openxmlformats.org/officeDocument/2006/relationships/hyperlink" Target="http://www.sec.gov/Archives/edgar/data/1439725/000119312523099181/d425141ddef14a.htm" TargetMode="External"/><Relationship Id="rId12" Type="http://schemas.openxmlformats.org/officeDocument/2006/relationships/hyperlink" Target="http://www.sec.gov/Archives/edgar/data/1439725/000119312520275716/d94177d8a12b.htm" TargetMode="External"/><Relationship Id="rId13" Type="http://schemas.openxmlformats.org/officeDocument/2006/relationships/image" Target="media/image1.jpeg"/><Relationship Id="rId14" Type="http://schemas.openxmlformats.org/officeDocument/2006/relationships/hyperlink" Target="http://www.sec.gov/Archives/edgar/data/1439725/000156459020056735/bdsx-ex31_716.htm" TargetMode="External"/><Relationship Id="rId15" Type="http://schemas.openxmlformats.org/officeDocument/2006/relationships/hyperlink" Target="http://www.sec.gov/Archives/edgar/data/1439725/000156459020056735/bdsx-ex32_717.htm" TargetMode="External"/><Relationship Id="rId16" Type="http://schemas.openxmlformats.org/officeDocument/2006/relationships/hyperlink" Target="http://www.sec.gov/Archives/edgar/data/1439725/000119312524090787/d779805dex103.htm" TargetMode="External"/><Relationship Id="rId17" Type="http://schemas.openxmlformats.org/officeDocument/2006/relationships/hyperlink" Target="http://www.sec.gov/Archives/edgar/data/1439725/000119312520273369/d937421dex41.htm" TargetMode="External"/><Relationship Id="rId18" Type="http://schemas.openxmlformats.org/officeDocument/2006/relationships/hyperlink" Target="http://www.sec.gov/Archives/edgar/data/1439725/000119312520262422/d937421dex42.htm" TargetMode="External"/><Relationship Id="rId19" Type="http://schemas.openxmlformats.org/officeDocument/2006/relationships/hyperlink" Target="http://www.sec.gov/Archives/edgar/data/1439725/000119312520262422/d937421dex43.htm" TargetMode="External"/><Relationship Id="rId20" Type="http://schemas.openxmlformats.org/officeDocument/2006/relationships/hyperlink" Target="http://www.sec.gov/Archives/edgar/data/1439725/000156459021013512/bdsx-ex45_270.htm" TargetMode="External"/><Relationship Id="rId21" Type="http://schemas.openxmlformats.org/officeDocument/2006/relationships/hyperlink" Target="http://www.sec.gov/Archives/edgar/data/1439725/000095017022025530/bdsx-ex10_1.htm" TargetMode="External"/><Relationship Id="rId22" Type="http://schemas.openxmlformats.org/officeDocument/2006/relationships/hyperlink" Target="http://www.sec.gov/Archives/edgar/data/1439725/000095017022025530/bdsx-ex4_2.htm" TargetMode="External"/><Relationship Id="rId23" Type="http://schemas.openxmlformats.org/officeDocument/2006/relationships/hyperlink" Target="http://www.sec.gov/Archives/edgar/data/1439725/000095017023021238/bdsx-ex4_1.htm" TargetMode="External"/><Relationship Id="rId24" Type="http://schemas.openxmlformats.org/officeDocument/2006/relationships/hyperlink" Target="http://www.sec.gov/Archives/edgar/data/1439725/000119312520266992/d937421dex101.htm" TargetMode="External"/><Relationship Id="rId25" Type="http://schemas.openxmlformats.org/officeDocument/2006/relationships/hyperlink" Target="http://www.sec.gov/Archives/edgar/data/1439725/000119312520266992/d937421dex1021.htm" TargetMode="External"/><Relationship Id="rId26" Type="http://schemas.openxmlformats.org/officeDocument/2006/relationships/hyperlink" Target="http://www.sec.gov/Archives/edgar/data/1439725/000119312520266992/d937421dex1022.htm" TargetMode="External"/><Relationship Id="rId27" Type="http://schemas.openxmlformats.org/officeDocument/2006/relationships/hyperlink" Target="http://www.sec.gov/Archives/edgar/data/1439725/000119312520266992/d937421dex1023.htm" TargetMode="External"/><Relationship Id="rId28" Type="http://schemas.openxmlformats.org/officeDocument/2006/relationships/hyperlink" Target="http://www.sec.gov/Archives/edgar/data/1439725/000119312520262422/d937421dex103.htm" TargetMode="External"/><Relationship Id="rId29" Type="http://schemas.openxmlformats.org/officeDocument/2006/relationships/hyperlink" Target="http://www.sec.gov/Archives/edgar/data/1439725/000119312520266992/d937421dex1041.htm" TargetMode="External"/><Relationship Id="rId30" Type="http://schemas.openxmlformats.org/officeDocument/2006/relationships/hyperlink" Target="http://www.sec.gov/Archives/edgar/data/1439725/000119312520266992/d937421dex1042.htm" TargetMode="External"/><Relationship Id="rId31" Type="http://schemas.openxmlformats.org/officeDocument/2006/relationships/hyperlink" Target="http://www.sec.gov/Archives/edgar/data/1439725/000119312520266992/d937421dex1043.htm" TargetMode="External"/><Relationship Id="rId32" Type="http://schemas.openxmlformats.org/officeDocument/2006/relationships/hyperlink" Target="http://www.sec.gov/Archives/edgar/data/1439725/000119312520275630/d937421dex105.htm" TargetMode="External"/><Relationship Id="rId33" Type="http://schemas.openxmlformats.org/officeDocument/2006/relationships/hyperlink" Target="http://www.sec.gov/Archives/edgar/data/1439725/000156459021013512/bdsx-ex1051_388.htm" TargetMode="External"/><Relationship Id="rId34" Type="http://schemas.openxmlformats.org/officeDocument/2006/relationships/hyperlink" Target="http://www.sec.gov/Archives/edgar/data/1439725/000156459021043081/bdsx-ex1052_236.htm" TargetMode="External"/><Relationship Id="rId35" Type="http://schemas.openxmlformats.org/officeDocument/2006/relationships/hyperlink" Target="http://www.sec.gov/Archives/edgar/data/1439725/000119312520275630/d937421dex106.htm" TargetMode="External"/><Relationship Id="rId36" Type="http://schemas.openxmlformats.org/officeDocument/2006/relationships/hyperlink" Target="http://www.sec.gov/Archives/edgar/data/1439725/000119312520262422/d937421dex1051.htm" TargetMode="External"/><Relationship Id="rId37" Type="http://schemas.openxmlformats.org/officeDocument/2006/relationships/hyperlink" Target="http://www.sec.gov/Archives/edgar/data/1439725/000119312520262422/d937421dex1052.htm" TargetMode="External"/><Relationship Id="rId38" Type="http://schemas.openxmlformats.org/officeDocument/2006/relationships/hyperlink" Target="http://www.sec.gov/Archives/edgar/data/1439725/000119312520262422/d937421dex1053.htm" TargetMode="External"/><Relationship Id="rId39" Type="http://schemas.openxmlformats.org/officeDocument/2006/relationships/hyperlink" Target="http://www.sec.gov/Archives/edgar/data/1439725/000095017022014433/bdsx-ex10_1.htm" TargetMode="External"/><Relationship Id="rId40" Type="http://schemas.openxmlformats.org/officeDocument/2006/relationships/hyperlink" Target="http://www.sec.gov/Archives/edgar/data/1439725/000095017022014433/bdsx-ex10_2.htm" TargetMode="External"/><Relationship Id="rId41" Type="http://schemas.openxmlformats.org/officeDocument/2006/relationships/hyperlink" Target="http://www.sec.gov/Archives/edgar/data/1439725/000095017023006092/bdsx-ex10_83.htm" TargetMode="External"/><Relationship Id="rId42" Type="http://schemas.openxmlformats.org/officeDocument/2006/relationships/hyperlink" Target="http://www.sec.gov/Archives/edgar/data/1439725/000119312520266992/d937421dex1061.htm" TargetMode="External"/><Relationship Id="rId43" Type="http://schemas.openxmlformats.org/officeDocument/2006/relationships/hyperlink" Target="http://www.sec.gov/Archives/edgar/data/1439725/000119312520266992/d937421dex1062.htm" TargetMode="External"/><Relationship Id="rId44" Type="http://schemas.openxmlformats.org/officeDocument/2006/relationships/hyperlink" Target="http://www.sec.gov/Archives/edgar/data/1439725/000119312520268763/d937421dex107.htm" TargetMode="External"/><Relationship Id="rId45" Type="http://schemas.openxmlformats.org/officeDocument/2006/relationships/hyperlink" Target="http://www.sec.gov/Archives/edgar/data/1439725/000119312520262422/d937421dex1092.htm" TargetMode="External"/><Relationship Id="rId46" Type="http://schemas.openxmlformats.org/officeDocument/2006/relationships/hyperlink" Target="http://www.sec.gov/Archives/edgar/data/1439725/000119312520262422/d937421dex10102.htm" TargetMode="External"/><Relationship Id="rId47" Type="http://schemas.openxmlformats.org/officeDocument/2006/relationships/hyperlink" Target="http://www.sec.gov/Archives/edgar/data/1439725/000119312520266992/d937421dex1011.htm" TargetMode="External"/><Relationship Id="rId48" Type="http://schemas.openxmlformats.org/officeDocument/2006/relationships/hyperlink" Target="http://www.sec.gov/Archives/edgar/data/1439725/000095017022003495/bdsx-ex10_132.htm" TargetMode="External"/><Relationship Id="rId49" Type="http://schemas.openxmlformats.org/officeDocument/2006/relationships/hyperlink" Target="http://www.sec.gov/Archives/edgar/data/1439725/000119312520262422/d937421dex1013.htm" TargetMode="External"/><Relationship Id="rId50" Type="http://schemas.openxmlformats.org/officeDocument/2006/relationships/hyperlink" Target="http://www.sec.gov/Archives/edgar/data/1439725/000095017023021238/bdsx-ex10_2.htm" TargetMode="External"/><Relationship Id="rId51" Type="http://schemas.openxmlformats.org/officeDocument/2006/relationships/hyperlink" Target="http://www.sec.gov/Archives/edgar/data/1439725/000095017022009126/bdsx-ex10_1.htm" TargetMode="External"/><Relationship Id="rId52" Type="http://schemas.openxmlformats.org/officeDocument/2006/relationships/hyperlink" Target="http://www.sec.gov/Archives/edgar/data/1439725/000095017022009126/bdsx-ex10_2.htm" TargetMode="External"/><Relationship Id="rId53" Type="http://schemas.openxmlformats.org/officeDocument/2006/relationships/hyperlink" Target="http://www.sec.gov/Archives/edgar/data/1439725/000119312520262422/d937421dex1015.htm" TargetMode="External"/><Relationship Id="rId54" Type="http://schemas.openxmlformats.org/officeDocument/2006/relationships/hyperlink" Target="http://www.sec.gov/Archives/edgar/data/1439725/000119312520266992/d937421dex1015.htm" TargetMode="External"/><Relationship Id="rId55" Type="http://schemas.openxmlformats.org/officeDocument/2006/relationships/hyperlink" Target="http://www.sec.gov/Archives/edgar/data/1439725/000119312520266992/d937421dex1016.htm" TargetMode="External"/><Relationship Id="rId56" Type="http://schemas.openxmlformats.org/officeDocument/2006/relationships/hyperlink" Target="http://www.sec.gov/Archives/edgar/data/1439725/000119312520266992/d937421dex1017.htm" TargetMode="External"/><Relationship Id="rId57" Type="http://schemas.openxmlformats.org/officeDocument/2006/relationships/hyperlink" Target="http://www.sec.gov/Archives/edgar/data/1439725/000119312520266992/d937421dex1018.htm" TargetMode="External"/><Relationship Id="rId58" Type="http://schemas.openxmlformats.org/officeDocument/2006/relationships/hyperlink" Target="http://www.sec.gov/Archives/edgar/data/1439725/000119312520266992/d937421dex1019.htm" TargetMode="External"/><Relationship Id="rId59" Type="http://schemas.openxmlformats.org/officeDocument/2006/relationships/hyperlink" Target="http://www.sec.gov/Archives/edgar/data/1439725/000119312520266992/d937421dex1020.htm" TargetMode="External"/><Relationship Id="rId60" Type="http://schemas.openxmlformats.org/officeDocument/2006/relationships/hyperlink" Target="http://www.sec.gov/Archives/edgar/data/1439725/000119312520262422/d937421dex1023.htm" TargetMode="External"/><Relationship Id="rId61" Type="http://schemas.openxmlformats.org/officeDocument/2006/relationships/hyperlink" Target="http://www.sec.gov/Archives/edgar/data/1439725/000156459021043081/bdsx-ex1038_489.htm" TargetMode="External"/><Relationship Id="rId62" Type="http://schemas.openxmlformats.org/officeDocument/2006/relationships/hyperlink" Target="http://www.sec.gov/Archives/edgar/data/1439725/000095017022009126/bdsx-ex10_6.htm" TargetMode="External"/><Relationship Id="rId63" Type="http://schemas.openxmlformats.org/officeDocument/2006/relationships/hyperlink" Target="http://www.sec.gov/Archives/edgar/data/1439725/000119312520262422/d937421dex1024.htm" TargetMode="External"/><Relationship Id="rId64" Type="http://schemas.openxmlformats.org/officeDocument/2006/relationships/hyperlink" Target="http://www.sec.gov/Archives/edgar/data/1439725/000156459021043081/bdsx-ex1037_47.htm" TargetMode="External"/><Relationship Id="rId65" Type="http://schemas.openxmlformats.org/officeDocument/2006/relationships/hyperlink" Target="http://www.sec.gov/Archives/edgar/data/1439725/000095017022003002/bdsx-ex10_1.htm" TargetMode="External"/><Relationship Id="rId66" Type="http://schemas.openxmlformats.org/officeDocument/2006/relationships/hyperlink" Target="http://www.sec.gov/Archives/edgar/data/1439725/000095017022003002/bdsx-ex10_2.htm" TargetMode="External"/><Relationship Id="rId67" Type="http://schemas.openxmlformats.org/officeDocument/2006/relationships/hyperlink" Target="http://www.sec.gov/Archives/edgar/data/1439725/000095017022005536/bdsx-ex10_1.htm" TargetMode="External"/><Relationship Id="rId68" Type="http://schemas.openxmlformats.org/officeDocument/2006/relationships/hyperlink" Target="http://www.sec.gov/Archives/edgar/data/1439725/000095017022005536/bdsx-ex10_2.htm" TargetMode="External"/><Relationship Id="rId69" Type="http://schemas.openxmlformats.org/officeDocument/2006/relationships/hyperlink" Target="http://www.sec.gov/Archives/edgar/data/1439725/000095017022025530/bdsx-ex10_1.htm" TargetMode="External"/><Relationship Id="rId70" Type="http://schemas.openxmlformats.org/officeDocument/2006/relationships/hyperlink" Target="http://www.sec.gov/Archives/edgar/data/1439725/000095017023021238/bdsx-ex10_1.htm" TargetMode="External"/><Relationship Id="rId71" Type="http://schemas.openxmlformats.org/officeDocument/2006/relationships/hyperlink" Target="http://www.sec.gov/Archives/edgar/data/1439725/000095017023021238/bdsx-ex10_3.htm" TargetMode="External"/><Relationship Id="rId72" Type="http://schemas.openxmlformats.org/officeDocument/2006/relationships/hyperlink" Target="http://www.sec.gov/Archives/edgar/data/1439725/000095017023039073/bdsx-ex10_2.htm" TargetMode="External"/><Relationship Id="rId73" Type="http://schemas.openxmlformats.org/officeDocument/2006/relationships/hyperlink" Target="http://www.sec.gov/Archives/edgar/data/1439725/000095017024023513/bdsx-ex10_34.htm" TargetMode="External"/><Relationship Id="rId74" Type="http://schemas.openxmlformats.org/officeDocument/2006/relationships/hyperlink" Target="http://www.sec.gov/Archives/edgar/data/1439725/000095017024023513/bdsx-ex10_35.htm" TargetMode="External"/><Relationship Id="rId75" Type="http://schemas.openxmlformats.org/officeDocument/2006/relationships/hyperlink" Target="http://www.sec.gov/Archives/edgar/data/1439725/000095017022025530/bdsx-ex10_2.htm" TargetMode="External"/><Relationship Id="rId76" Type="http://schemas.openxmlformats.org/officeDocument/2006/relationships/hyperlink" Target="http://www.sec.gov/Archives/edgar/data/1439725/000095017022025530/bdsx-ex10_3.htm" TargetMode="External"/><Relationship Id="rId77" Type="http://schemas.openxmlformats.org/officeDocument/2006/relationships/hyperlink" Target="http://www.sec.gov/Archives/edgar/data/1439725/000095017023039073/bdsx-ex10_1.htm" TargetMode="External"/><Relationship Id="rId78" Type="http://schemas.openxmlformats.org/officeDocument/2006/relationships/hyperlink" Target="http://www.sec.gov/Archives/edgar/data/1439725/000119312524090787/d779805dex101.htm" TargetMode="External"/><Relationship Id="rId79" Type="http://schemas.openxmlformats.org/officeDocument/2006/relationships/hyperlink" Target="http://www.sec.gov/Archives/edgar/data/1439725/000119312524090787/d779805dex102.htm" TargetMode="External"/><Relationship Id="rId80" Type="http://schemas.openxmlformats.org/officeDocument/2006/relationships/hyperlink" Target="http://www.sec.gov/Archives/edgar/data/1439725/000119312524090787/d779805dex103.htm" TargetMode="External"/><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188</Pages>
  <Words>111817</Words>
  <Characters>606733</Characters>
  <CharactersWithSpaces>719416</CharactersWithSpaces>
  <Paragraphs>7589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