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4, 2026</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13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001-39659</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20-3986492</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420" w:space="720"/>
            <w:col w:w="2840" w:space="720"/>
            <w:col w:w="2540"/>
          </w:cols>
          <w:pgMar w:left="320" w:top="1440" w:right="33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919 West Dillon Rd</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Louisville, Colorado</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80027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147" w:lineRule="exact"/>
        <w:rPr>
          <w:sz w:val="24"/>
          <w:szCs w:val="24"/>
          <w:color w:val="auto"/>
        </w:rPr>
      </w:pPr>
    </w:p>
    <w:p>
      <w:pPr>
        <w:sectPr>
          <w:pgSz w:w="11900" w:h="16838" w:orient="portrait"/>
          <w:cols w:equalWidth="0" w:num="2">
            <w:col w:w="7320" w:space="720"/>
            <w:col w:w="3200"/>
          </w:cols>
          <w:pgMar w:left="320" w:top="1440"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250"/>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860" w:firstLine="183"/>
        <w:spacing w:after="0" w:line="404" w:lineRule="auto"/>
        <w:tabs>
          <w:tab w:leader="none" w:pos="40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$0.001 per share</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10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2.02. Results of Operations and Financial Condition.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4, 2026, Biodesix, Inc. (the Company) issued a press release announcing the financial and operating results of the Company for the first quarter ended March 31, 2026. A copy of the press release is furnished as Exhibit 99.1 to this report and is incorporated herein by reference.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to this Current Report on Form 8-K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5"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7"/>
          <w:szCs w:val="17"/>
          <w:b w:val="1"/>
          <w:bCs w:val="1"/>
          <w:color w:val="auto"/>
        </w:rPr>
        <w:t>Exhibit</w:t>
      </w:r>
    </w:p>
    <w:p>
      <w:pPr>
        <w:spacing w:after="0" w:line="31" w:lineRule="exact"/>
        <w:rPr>
          <w:rFonts w:ascii="Times New Roman" w:cs="Times New Roman" w:eastAsia="Times New Roman" w:hAnsi="Times New Roman"/>
          <w:sz w:val="18"/>
          <w:szCs w:val="18"/>
          <w:i w:val="1"/>
          <w:iCs w:val="1"/>
          <w:color w:val="auto"/>
        </w:rPr>
      </w:pPr>
    </w:p>
    <w:p>
      <w:pPr>
        <w:ind w:left="2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issued by Biodesix, Inc. dated May 4, 2026</w:t>
      </w:r>
    </w:p>
    <w:p>
      <w:pPr>
        <w:spacing w:after="0" w:line="22"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-156210</wp:posOffset>
            </wp:positionV>
            <wp:extent cx="2633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39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Dated: May 4, 2026</w:t>
            </w:r>
          </w:p>
        </w:tc>
        <w:tc>
          <w:tcPr>
            <w:tcW w:w="740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BIODESIX, INC.</w:t>
            </w:r>
          </w:p>
        </w:tc>
      </w:tr>
      <w:tr>
        <w:trPr>
          <w:trHeight w:val="432"/>
        </w:trPr>
        <w:tc>
          <w:tcPr>
            <w:tcW w:w="3840" w:type="dxa"/>
            <w:vAlign w:val="bottom"/>
          </w:tcPr>
          <w:p>
            <w:pPr>
              <w:spacing w:after="0"/>
              <w:rPr>
                <w:sz w:val="24"/>
                <w:szCs w:val="24"/>
                <w:color w:val="auto"/>
              </w:rPr>
            </w:pPr>
          </w:p>
        </w:tc>
        <w:tc>
          <w:tcPr>
            <w:tcW w:w="31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191"/>
        </w:trPr>
        <w:tc>
          <w:tcPr>
            <w:tcW w:w="3840" w:type="dxa"/>
            <w:vAlign w:val="bottom"/>
          </w:tcPr>
          <w:p>
            <w:pPr>
              <w:spacing w:after="0"/>
              <w:rPr>
                <w:sz w:val="16"/>
                <w:szCs w:val="16"/>
                <w:color w:val="auto"/>
              </w:rPr>
            </w:pPr>
          </w:p>
        </w:tc>
        <w:tc>
          <w:tcPr>
            <w:tcW w:w="3180" w:type="dxa"/>
            <w:vAlign w:val="bottom"/>
          </w:tcPr>
          <w:p>
            <w:pPr>
              <w:ind w:left="23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3840" w:type="dxa"/>
            <w:vAlign w:val="bottom"/>
          </w:tcPr>
          <w:p>
            <w:pPr>
              <w:spacing w:after="0"/>
              <w:rPr>
                <w:sz w:val="20"/>
                <w:szCs w:val="20"/>
                <w:color w:val="auto"/>
              </w:rPr>
            </w:pPr>
          </w:p>
        </w:tc>
        <w:tc>
          <w:tcPr>
            <w:tcW w:w="31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8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4305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Biodesix Announces First Quarter 2026 Results and Highlights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Delivered $25.6 million in revenue representing 42% growth in Q1 2026;</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Achieved 84% gross margin in Q1 2026;</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Increased FY 2026 Revenue Guidance to $108-114 million, mid-point reflects 25% growth;</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Conference Call and Webcast Today at 4:30 p.m. ET</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LOUISVILLE, CO, May 4, 2026 – </w:t>
      </w:r>
      <w:r>
        <w:rPr>
          <w:rFonts w:ascii="Times New Roman" w:cs="Times New Roman" w:eastAsia="Times New Roman" w:hAnsi="Times New Roman"/>
          <w:sz w:val="20"/>
          <w:szCs w:val="20"/>
          <w:color w:val="auto"/>
        </w:rPr>
        <w:t>Biodesix, Inc. (Nasdaq: BDSX), a leading diagnostic solutions company, today announced its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operating results for the first quarter ended March 31, 2026.</w:t>
      </w:r>
    </w:p>
    <w:p>
      <w:pPr>
        <w:spacing w:after="0" w:line="129"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20"/>
          <w:szCs w:val="20"/>
          <w:color w:val="auto"/>
        </w:rPr>
        <w:t>"Biodesix delivered exceptional first quarter results that reflect strong momentum across both our Diagnostic Testing and our Development Services business,” said Scott Hutton, Chief Executive Officer. “Test volumes grew 29%, Development Services revenue doubled, and average revenue per test increased through expanded payer coverage and improved revenue cycle management, driving total revenue growth of 42% year over year. We were also recognized as a Top Workplace for the third consecutive year, reinforcing that our culture is not aspirational, its operational. Our first quarter results reflect a disciplined culture of execution in service to our partners, healthcare providers, and the patients they serve. With strong performance across both business lines and continued operational leverage, we are raising our full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2026 guidance and remain on a clear path toward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Financial Highlights for the First Quarter 2026</w:t>
      </w:r>
    </w:p>
    <w:p>
      <w:pPr>
        <w:spacing w:after="0" w:line="220" w:lineRule="exact"/>
        <w:rPr>
          <w:sz w:val="20"/>
          <w:szCs w:val="20"/>
          <w:color w:val="auto"/>
        </w:rPr>
      </w:pPr>
    </w:p>
    <w:p>
      <w:pPr>
        <w:jc w:val="both"/>
        <w:ind w:left="1020" w:hanging="503"/>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Diagnostic Testing revenue was $22.3 million in the first quarter, representing 37% year-over-year growth, driven by a 29% increase in test volumes to 17,800 and higher average revenue per test. The improvement in average revenue per test was primarily attributable to expanded payer coverage and enhancements to revenue cycle management;</w:t>
      </w:r>
    </w:p>
    <w:p>
      <w:pPr>
        <w:spacing w:after="0" w:line="66"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Services revenue of $3.3 million in the first quarter 2026, representing a 99% increase year over year, driven by continued execution on existing contracts and the addition of new Development Services agreements;</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$25.6 million in the first quarter 2026, an increase of 42% over the respective prior year comparable period;</w:t>
      </w:r>
    </w:p>
    <w:p>
      <w:pPr>
        <w:spacing w:after="0" w:line="75" w:lineRule="exact"/>
        <w:rPr>
          <w:rFonts w:ascii="Times New Roman" w:cs="Times New Roman" w:eastAsia="Times New Roman" w:hAnsi="Times New Roman"/>
          <w:sz w:val="20"/>
          <w:szCs w:val="20"/>
          <w:color w:val="auto"/>
        </w:rPr>
      </w:pPr>
    </w:p>
    <w:p>
      <w:pPr>
        <w:jc w:val="both"/>
        <w:ind w:left="1020" w:hanging="503"/>
        <w:spacing w:after="0" w:line="252" w:lineRule="exact"/>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was 84% in the first quarter, including a one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time recovery of $0.4 million related to previously paid sales and use taxes. Excluding this one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time item, gross margin was 82%, representing a 300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basis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point improvement over the prior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period. Margin expansion was driven by higher Diagnostic Testing volumes, improved average revenue per test, and continued optimization of laboratory workflows, resulting in a lower cost per test;</w:t>
      </w:r>
    </w:p>
    <w:p>
      <w:pPr>
        <w:spacing w:after="0" w:line="80" w:lineRule="exact"/>
        <w:rPr>
          <w:rFonts w:ascii="Times New Roman" w:cs="Times New Roman" w:eastAsia="Times New Roman" w:hAnsi="Times New Roman"/>
          <w:sz w:val="20"/>
          <w:szCs w:val="20"/>
          <w:color w:val="auto"/>
        </w:rPr>
      </w:pPr>
    </w:p>
    <w:p>
      <w:pPr>
        <w:jc w:val="both"/>
        <w:ind w:left="1020" w:hanging="503"/>
        <w:spacing w:after="0" w:line="24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expenses (excluding direct costs and expenses) of $27.6 million for the first quarter 2026, an increase of 18% over the respective prior year comparable period. Sales, marketing, and general administrative investment increased 19% to support the 42% revenue growth delivered in the first quarter. The Company expects continued operating leverage as our expanded sales team advances along the productivity curve and converts growing experience into sustained performance.</w:t>
      </w:r>
    </w:p>
    <w:p>
      <w:pPr>
        <w:spacing w:after="0" w:line="67" w:lineRule="exact"/>
        <w:rPr>
          <w:rFonts w:ascii="Times New Roman" w:cs="Times New Roman" w:eastAsia="Times New Roman" w:hAnsi="Times New Roman"/>
          <w:sz w:val="20"/>
          <w:szCs w:val="20"/>
          <w:color w:val="auto"/>
        </w:rPr>
      </w:pPr>
    </w:p>
    <w:p>
      <w:pPr>
        <w:ind w:left="1540" w:right="2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Includes non-cash stock compensation expense of $1.1 million during the first quarter 2026, an increase of 15% over the respective prior year comparable period;</w:t>
      </w:r>
    </w:p>
    <w:p>
      <w:pPr>
        <w:spacing w:after="0" w:line="4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$7.8 million for the first quarter 2026, an improvement of 30% over the respective prior year comparable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 w:name="page5"/>
    <w:bookmarkEnd w:id="4"/>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a loss of $4.1 million in Q1 2026, 35% improvement from Q1 2025;</w:t>
      </w:r>
    </w:p>
    <w:p>
      <w:pPr>
        <w:spacing w:after="0" w:line="107"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 of $25.6 million, an increase of 35% over the period ending December 31, 2025. Change in cash included $16.8 million of at-the-market net proceeds, partially offset by the planned cash outflows that occur annually during the first quarter of the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Financial Outlook</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full year 2026, the Company expects total revenue of $108–114 million, with the midpoint representing approximately 25% growth over 2025. Biodesix expects continued progress toward achieving and maintaining Adjusted EBITDA profitability, driven by increasing sales productivity, expanded clinical evidence supporting the Nodify Lung tests, growth in the Development Services pipeline, and demonstrated operating leverage.</w:t>
      </w:r>
    </w:p>
    <w:p>
      <w:pPr>
        <w:spacing w:after="0" w:line="193" w:lineRule="exact"/>
        <w:rPr>
          <w:sz w:val="20"/>
          <w:szCs w:val="20"/>
          <w:color w:val="auto"/>
        </w:rPr>
      </w:pPr>
    </w:p>
    <w:tbl>
      <w:tblPr>
        <w:tblLayout w:type="fixed"/>
        <w:tblInd w:w="810" w:type="dxa"/>
        <w:tblCellMar>
          <w:top w:w="0" w:type="dxa"/>
          <w:left w:w="0" w:type="dxa"/>
          <w:bottom w:w="0" w:type="dxa"/>
          <w:right w:w="0" w:type="dxa"/>
        </w:tblCellMar>
      </w:tblPr>
      <w:tr>
        <w:trPr>
          <w:trHeight w:val="352"/>
        </w:trPr>
        <w:tc>
          <w:tcPr>
            <w:tcW w:w="3240" w:type="dxa"/>
            <w:vAlign w:val="bottom"/>
            <w:tcBorders>
              <w:top w:val="single" w:sz="8" w:color="CCCCCC"/>
              <w:left w:val="single" w:sz="8" w:color="CCCCCC"/>
              <w:bottom w:val="single" w:sz="8" w:color="1F3864"/>
              <w:right w:val="single" w:sz="8" w:color="CCCCCC"/>
            </w:tcBorders>
            <w:shd w:val="clear" w:color="auto" w:fill="1F3864"/>
          </w:tcPr>
          <w:p>
            <w:pPr>
              <w:ind w:left="1320"/>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3220" w:type="dxa"/>
            <w:vAlign w:val="bottom"/>
            <w:tcBorders>
              <w:top w:val="single" w:sz="8" w:color="1F3864"/>
              <w:bottom w:val="single" w:sz="8" w:color="1F3864"/>
              <w:right w:val="single" w:sz="8" w:color="CCCCCC"/>
            </w:tcBorders>
            <w:shd w:val="clear" w:color="auto" w:fill="1F3864"/>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Prior FY 2026 Guidance</w:t>
            </w:r>
          </w:p>
        </w:tc>
        <w:tc>
          <w:tcPr>
            <w:tcW w:w="3200" w:type="dxa"/>
            <w:vAlign w:val="bottom"/>
            <w:tcBorders>
              <w:top w:val="single" w:sz="8" w:color="1F3864"/>
              <w:bottom w:val="single" w:sz="8" w:color="1F3864"/>
              <w:right w:val="single" w:sz="8" w:color="CCCCCC"/>
            </w:tcBorders>
            <w:shd w:val="clear" w:color="auto" w:fill="1F3864"/>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Updated FY 2026 Guidance</w:t>
            </w:r>
          </w:p>
        </w:tc>
        <w:tc>
          <w:tcPr>
            <w:tcW w:w="0" w:type="dxa"/>
            <w:vAlign w:val="bottom"/>
          </w:tcPr>
          <w:p>
            <w:pPr>
              <w:spacing w:after="0"/>
              <w:rPr>
                <w:sz w:val="1"/>
                <w:szCs w:val="1"/>
                <w:color w:val="auto"/>
              </w:rPr>
            </w:pPr>
          </w:p>
        </w:tc>
      </w:tr>
      <w:tr>
        <w:trPr>
          <w:trHeight w:val="221"/>
        </w:trPr>
        <w:tc>
          <w:tcPr>
            <w:tcW w:w="3240" w:type="dxa"/>
            <w:vAlign w:val="bottom"/>
            <w:tcBorders>
              <w:top w:val="single" w:sz="8" w:color="CCCCCC"/>
              <w:left w:val="single" w:sz="8" w:color="CCCCCC"/>
              <w:right w:val="single" w:sz="8" w:color="CCCCCC"/>
            </w:tcBorders>
            <w:vMerge w:val="restart"/>
            <w:shd w:val="clear" w:color="auto" w:fill="F5F8FC"/>
          </w:tcPr>
          <w:p>
            <w:pPr>
              <w:ind w:left="100"/>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3220" w:type="dxa"/>
            <w:vAlign w:val="bottom"/>
            <w:tcBorders>
              <w:top w:val="single" w:sz="8" w:color="CCCCCC"/>
              <w:right w:val="single" w:sz="8" w:color="CCCCCC"/>
            </w:tcBorders>
            <w:shd w:val="clear" w:color="auto" w:fill="F5F8FC"/>
          </w:tcPr>
          <w:p>
            <w:pPr>
              <w:jc w:val="center"/>
              <w:ind w:right="1"/>
              <w:spacing w:after="0" w:line="221" w:lineRule="exact"/>
              <w:rPr>
                <w:sz w:val="20"/>
                <w:szCs w:val="20"/>
                <w:color w:val="auto"/>
              </w:rPr>
            </w:pPr>
            <w:r>
              <w:rPr>
                <w:rFonts w:ascii="Times New Roman" w:cs="Times New Roman" w:eastAsia="Times New Roman" w:hAnsi="Times New Roman"/>
                <w:sz w:val="20"/>
                <w:szCs w:val="20"/>
                <w:color w:val="auto"/>
                <w:w w:val="99"/>
              </w:rPr>
              <w:t>$106-112M (mid-point is 23%</w:t>
            </w:r>
          </w:p>
        </w:tc>
        <w:tc>
          <w:tcPr>
            <w:tcW w:w="3200" w:type="dxa"/>
            <w:vAlign w:val="bottom"/>
            <w:tcBorders>
              <w:top w:val="single" w:sz="8" w:color="CCCCCC"/>
              <w:right w:val="single" w:sz="8" w:color="CCCCCC"/>
            </w:tcBorders>
            <w:shd w:val="clear" w:color="auto" w:fill="F5F8FC"/>
          </w:tcPr>
          <w:p>
            <w:pPr>
              <w:jc w:val="center"/>
              <w:spacing w:after="0" w:line="221" w:lineRule="exact"/>
              <w:rPr>
                <w:sz w:val="20"/>
                <w:szCs w:val="20"/>
                <w:color w:val="auto"/>
              </w:rPr>
            </w:pPr>
            <w:r>
              <w:rPr>
                <w:rFonts w:ascii="Times New Roman" w:cs="Times New Roman" w:eastAsia="Times New Roman" w:hAnsi="Times New Roman"/>
                <w:sz w:val="20"/>
                <w:szCs w:val="20"/>
                <w:color w:val="auto"/>
                <w:w w:val="98"/>
              </w:rPr>
              <w:t>$108-114M (raised midpoint reflects</w:t>
            </w:r>
          </w:p>
        </w:tc>
        <w:tc>
          <w:tcPr>
            <w:tcW w:w="0" w:type="dxa"/>
            <w:vAlign w:val="bottom"/>
          </w:tcPr>
          <w:p>
            <w:pPr>
              <w:spacing w:after="0"/>
              <w:rPr>
                <w:sz w:val="1"/>
                <w:szCs w:val="1"/>
                <w:color w:val="auto"/>
              </w:rPr>
            </w:pPr>
          </w:p>
        </w:tc>
      </w:tr>
      <w:tr>
        <w:trPr>
          <w:trHeight w:val="137"/>
        </w:trPr>
        <w:tc>
          <w:tcPr>
            <w:tcW w:w="3240" w:type="dxa"/>
            <w:vAlign w:val="bottom"/>
            <w:tcBorders>
              <w:left w:val="single" w:sz="8" w:color="CCCCCC"/>
              <w:right w:val="single" w:sz="8" w:color="CCCCCC"/>
            </w:tcBorders>
            <w:vMerge w:val="continue"/>
            <w:shd w:val="clear" w:color="auto" w:fill="F5F8FC"/>
          </w:tcPr>
          <w:p>
            <w:pPr>
              <w:spacing w:after="0"/>
              <w:rPr>
                <w:sz w:val="11"/>
                <w:szCs w:val="11"/>
                <w:color w:val="auto"/>
              </w:rPr>
            </w:pPr>
          </w:p>
        </w:tc>
        <w:tc>
          <w:tcPr>
            <w:tcW w:w="3220" w:type="dxa"/>
            <w:vAlign w:val="bottom"/>
            <w:tcBorders>
              <w:right w:val="single" w:sz="8" w:color="CCCCCC"/>
            </w:tcBorders>
            <w:vMerge w:val="restart"/>
            <w:shd w:val="clear" w:color="auto" w:fill="F5F8FC"/>
          </w:tcPr>
          <w:p>
            <w:pPr>
              <w:jc w:val="center"/>
              <w:spacing w:after="0"/>
              <w:rPr>
                <w:sz w:val="20"/>
                <w:szCs w:val="20"/>
                <w:color w:val="auto"/>
              </w:rPr>
            </w:pPr>
            <w:r>
              <w:rPr>
                <w:rFonts w:ascii="Times New Roman" w:cs="Times New Roman" w:eastAsia="Times New Roman" w:hAnsi="Times New Roman"/>
                <w:sz w:val="20"/>
                <w:szCs w:val="20"/>
                <w:color w:val="auto"/>
                <w:w w:val="97"/>
              </w:rPr>
              <w:t>growth)</w:t>
            </w:r>
          </w:p>
        </w:tc>
        <w:tc>
          <w:tcPr>
            <w:tcW w:w="3200" w:type="dxa"/>
            <w:vAlign w:val="bottom"/>
            <w:tcBorders>
              <w:right w:val="single" w:sz="8" w:color="CCCCCC"/>
            </w:tcBorders>
            <w:vMerge w:val="restart"/>
            <w:shd w:val="clear" w:color="auto" w:fill="F5F8FC"/>
          </w:tcPr>
          <w:p>
            <w:pPr>
              <w:jc w:val="center"/>
              <w:spacing w:after="0"/>
              <w:rPr>
                <w:sz w:val="20"/>
                <w:szCs w:val="20"/>
                <w:color w:val="auto"/>
              </w:rPr>
            </w:pPr>
            <w:r>
              <w:rPr>
                <w:rFonts w:ascii="Times New Roman" w:cs="Times New Roman" w:eastAsia="Times New Roman" w:hAnsi="Times New Roman"/>
                <w:sz w:val="20"/>
                <w:szCs w:val="20"/>
                <w:color w:val="auto"/>
                <w:w w:val="99"/>
              </w:rPr>
              <w:t>25% growth)</w:t>
            </w:r>
          </w:p>
        </w:tc>
        <w:tc>
          <w:tcPr>
            <w:tcW w:w="0" w:type="dxa"/>
            <w:vAlign w:val="bottom"/>
          </w:tcPr>
          <w:p>
            <w:pPr>
              <w:spacing w:after="0"/>
              <w:rPr>
                <w:sz w:val="1"/>
                <w:szCs w:val="1"/>
                <w:color w:val="auto"/>
              </w:rPr>
            </w:pPr>
          </w:p>
        </w:tc>
      </w:tr>
      <w:tr>
        <w:trPr>
          <w:trHeight w:val="156"/>
        </w:trPr>
        <w:tc>
          <w:tcPr>
            <w:tcW w:w="3240" w:type="dxa"/>
            <w:vAlign w:val="bottom"/>
            <w:tcBorders>
              <w:left w:val="single" w:sz="8" w:color="CCCCCC"/>
              <w:bottom w:val="single" w:sz="8" w:color="F5F8FC"/>
              <w:right w:val="single" w:sz="8" w:color="CCCCCC"/>
            </w:tcBorders>
            <w:shd w:val="clear" w:color="auto" w:fill="F5F8FC"/>
          </w:tcPr>
          <w:p>
            <w:pPr>
              <w:spacing w:after="0"/>
              <w:rPr>
                <w:sz w:val="13"/>
                <w:szCs w:val="13"/>
                <w:color w:val="auto"/>
              </w:rPr>
            </w:pPr>
          </w:p>
        </w:tc>
        <w:tc>
          <w:tcPr>
            <w:tcW w:w="3220" w:type="dxa"/>
            <w:vAlign w:val="bottom"/>
            <w:tcBorders>
              <w:bottom w:val="single" w:sz="8" w:color="F5F8FC"/>
              <w:right w:val="single" w:sz="8" w:color="CCCCCC"/>
            </w:tcBorders>
            <w:vMerge w:val="continue"/>
            <w:shd w:val="clear" w:color="auto" w:fill="F5F8FC"/>
          </w:tcPr>
          <w:p>
            <w:pPr>
              <w:spacing w:after="0"/>
              <w:rPr>
                <w:sz w:val="13"/>
                <w:szCs w:val="13"/>
                <w:color w:val="auto"/>
              </w:rPr>
            </w:pPr>
          </w:p>
        </w:tc>
        <w:tc>
          <w:tcPr>
            <w:tcW w:w="3200" w:type="dxa"/>
            <w:vAlign w:val="bottom"/>
            <w:tcBorders>
              <w:bottom w:val="single" w:sz="8" w:color="F5F8FC"/>
              <w:right w:val="single" w:sz="8" w:color="CCCCCC"/>
            </w:tcBorders>
            <w:vMerge w:val="continue"/>
            <w:shd w:val="clear" w:color="auto" w:fill="F5F8FC"/>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3240" w:type="dxa"/>
            <w:vAlign w:val="bottom"/>
            <w:tcBorders>
              <w:top w:val="single" w:sz="8" w:color="CCCCCC"/>
              <w:left w:val="single" w:sz="8" w:color="CCCCCC"/>
              <w:right w:val="single" w:sz="8" w:color="CCCCCC"/>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Gross Margin</w:t>
            </w:r>
          </w:p>
        </w:tc>
        <w:tc>
          <w:tcPr>
            <w:tcW w:w="3220" w:type="dxa"/>
            <w:vAlign w:val="bottom"/>
            <w:tcBorders>
              <w:top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20"/>
                <w:szCs w:val="20"/>
                <w:color w:val="auto"/>
                <w:w w:val="99"/>
              </w:rPr>
              <w:t>Maintain ~80%</w:t>
            </w:r>
          </w:p>
        </w:tc>
        <w:tc>
          <w:tcPr>
            <w:tcW w:w="3200" w:type="dxa"/>
            <w:vAlign w:val="bottom"/>
            <w:tcBorders>
              <w:top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20"/>
                <w:szCs w:val="20"/>
                <w:color w:val="auto"/>
                <w:w w:val="99"/>
              </w:rPr>
              <w:t>Maintain ~80%</w:t>
            </w:r>
          </w:p>
        </w:tc>
        <w:tc>
          <w:tcPr>
            <w:tcW w:w="0" w:type="dxa"/>
            <w:vAlign w:val="bottom"/>
          </w:tcPr>
          <w:p>
            <w:pPr>
              <w:spacing w:after="0"/>
              <w:rPr>
                <w:sz w:val="1"/>
                <w:szCs w:val="1"/>
                <w:color w:val="auto"/>
              </w:rPr>
            </w:pPr>
          </w:p>
        </w:tc>
      </w:tr>
      <w:tr>
        <w:trPr>
          <w:trHeight w:val="35"/>
        </w:trPr>
        <w:tc>
          <w:tcPr>
            <w:tcW w:w="3240" w:type="dxa"/>
            <w:vAlign w:val="bottom"/>
            <w:tcBorders>
              <w:left w:val="single" w:sz="8" w:color="CCCCCC"/>
              <w:bottom w:val="single" w:sz="8" w:color="CCCCCC"/>
              <w:right w:val="single" w:sz="8" w:color="CCCCCC"/>
            </w:tcBorders>
          </w:tcPr>
          <w:p>
            <w:pPr>
              <w:spacing w:after="0"/>
              <w:rPr>
                <w:sz w:val="3"/>
                <w:szCs w:val="3"/>
                <w:color w:val="auto"/>
              </w:rPr>
            </w:pPr>
          </w:p>
        </w:tc>
        <w:tc>
          <w:tcPr>
            <w:tcW w:w="3220" w:type="dxa"/>
            <w:vAlign w:val="bottom"/>
            <w:tcBorders>
              <w:bottom w:val="single" w:sz="8" w:color="CCCCCC"/>
              <w:right w:val="single" w:sz="8" w:color="CCCCCC"/>
            </w:tcBorders>
          </w:tcPr>
          <w:p>
            <w:pPr>
              <w:spacing w:after="0"/>
              <w:rPr>
                <w:sz w:val="3"/>
                <w:szCs w:val="3"/>
                <w:color w:val="auto"/>
              </w:rPr>
            </w:pPr>
          </w:p>
        </w:tc>
        <w:tc>
          <w:tcPr>
            <w:tcW w:w="3200" w:type="dxa"/>
            <w:vAlign w:val="bottom"/>
            <w:tcBorders>
              <w:bottom w:val="single" w:sz="8" w:color="CCCCCC"/>
              <w:right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3240" w:type="dxa"/>
            <w:vAlign w:val="bottom"/>
            <w:tcBorders>
              <w:left w:val="single" w:sz="8" w:color="CCCCCC"/>
              <w:right w:val="single" w:sz="8" w:color="CCCCCC"/>
            </w:tcBorders>
            <w:vMerge w:val="restart"/>
            <w:shd w:val="clear" w:color="auto" w:fill="F5F8FC"/>
          </w:tcPr>
          <w:p>
            <w:pPr>
              <w:ind w:left="100"/>
              <w:spacing w:after="0"/>
              <w:rPr>
                <w:sz w:val="20"/>
                <w:szCs w:val="20"/>
                <w:color w:val="auto"/>
              </w:rPr>
            </w:pPr>
            <w:r>
              <w:rPr>
                <w:rFonts w:ascii="Times New Roman" w:cs="Times New Roman" w:eastAsia="Times New Roman" w:hAnsi="Times New Roman"/>
                <w:sz w:val="20"/>
                <w:szCs w:val="20"/>
                <w:b w:val="1"/>
                <w:bCs w:val="1"/>
                <w:color w:val="auto"/>
              </w:rPr>
              <w:t>Adj. EBITDA</w:t>
            </w:r>
          </w:p>
        </w:tc>
        <w:tc>
          <w:tcPr>
            <w:tcW w:w="3220" w:type="dxa"/>
            <w:vAlign w:val="bottom"/>
            <w:tcBorders>
              <w:right w:val="single" w:sz="8" w:color="CCCCCC"/>
            </w:tcBorders>
            <w:shd w:val="clear" w:color="auto" w:fill="F5F8FC"/>
          </w:tcPr>
          <w:p>
            <w:pPr>
              <w:jc w:val="center"/>
              <w:ind w:right="1"/>
              <w:spacing w:after="0"/>
              <w:rPr>
                <w:sz w:val="20"/>
                <w:szCs w:val="20"/>
                <w:color w:val="auto"/>
              </w:rPr>
            </w:pPr>
            <w:r>
              <w:rPr>
                <w:rFonts w:ascii="Times New Roman" w:cs="Times New Roman" w:eastAsia="Times New Roman" w:hAnsi="Times New Roman"/>
                <w:sz w:val="20"/>
                <w:szCs w:val="20"/>
                <w:color w:val="auto"/>
                <w:w w:val="98"/>
              </w:rPr>
              <w:t>Continued improvement on path to</w:t>
            </w:r>
          </w:p>
        </w:tc>
        <w:tc>
          <w:tcPr>
            <w:tcW w:w="3200" w:type="dxa"/>
            <w:vAlign w:val="bottom"/>
            <w:tcBorders>
              <w:right w:val="single" w:sz="8" w:color="CCCCCC"/>
            </w:tcBorders>
            <w:shd w:val="clear" w:color="auto" w:fill="F5F8FC"/>
          </w:tcPr>
          <w:p>
            <w:pPr>
              <w:jc w:val="center"/>
              <w:ind w:right="1"/>
              <w:spacing w:after="0"/>
              <w:rPr>
                <w:sz w:val="20"/>
                <w:szCs w:val="20"/>
                <w:color w:val="auto"/>
              </w:rPr>
            </w:pPr>
            <w:r>
              <w:rPr>
                <w:rFonts w:ascii="Times New Roman" w:cs="Times New Roman" w:eastAsia="Times New Roman" w:hAnsi="Times New Roman"/>
                <w:sz w:val="20"/>
                <w:szCs w:val="20"/>
                <w:color w:val="auto"/>
                <w:w w:val="99"/>
              </w:rPr>
              <w:t>Continued improvement on path to</w:t>
            </w:r>
          </w:p>
        </w:tc>
        <w:tc>
          <w:tcPr>
            <w:tcW w:w="0" w:type="dxa"/>
            <w:vAlign w:val="bottom"/>
          </w:tcPr>
          <w:p>
            <w:pPr>
              <w:spacing w:after="0"/>
              <w:rPr>
                <w:sz w:val="1"/>
                <w:szCs w:val="1"/>
                <w:color w:val="auto"/>
              </w:rPr>
            </w:pPr>
          </w:p>
        </w:tc>
      </w:tr>
      <w:tr>
        <w:trPr>
          <w:trHeight w:val="137"/>
        </w:trPr>
        <w:tc>
          <w:tcPr>
            <w:tcW w:w="3240" w:type="dxa"/>
            <w:vAlign w:val="bottom"/>
            <w:tcBorders>
              <w:left w:val="single" w:sz="8" w:color="CCCCCC"/>
              <w:right w:val="single" w:sz="8" w:color="CCCCCC"/>
            </w:tcBorders>
            <w:vMerge w:val="continue"/>
            <w:shd w:val="clear" w:color="auto" w:fill="F5F8FC"/>
          </w:tcPr>
          <w:p>
            <w:pPr>
              <w:spacing w:after="0"/>
              <w:rPr>
                <w:sz w:val="11"/>
                <w:szCs w:val="11"/>
                <w:color w:val="auto"/>
              </w:rPr>
            </w:pPr>
          </w:p>
        </w:tc>
        <w:tc>
          <w:tcPr>
            <w:tcW w:w="3220" w:type="dxa"/>
            <w:vAlign w:val="bottom"/>
            <w:tcBorders>
              <w:right w:val="single" w:sz="8" w:color="CCCCCC"/>
            </w:tcBorders>
            <w:vMerge w:val="restart"/>
            <w:shd w:val="clear" w:color="auto" w:fill="F5F8FC"/>
          </w:tcPr>
          <w:p>
            <w:pPr>
              <w:jc w:val="center"/>
              <w:spacing w:after="0"/>
              <w:rPr>
                <w:sz w:val="20"/>
                <w:szCs w:val="20"/>
                <w:color w:val="auto"/>
              </w:rPr>
            </w:pPr>
            <w:r>
              <w:rPr>
                <w:rFonts w:ascii="Times New Roman" w:cs="Times New Roman" w:eastAsia="Times New Roman" w:hAnsi="Times New Roman"/>
                <w:sz w:val="20"/>
                <w:szCs w:val="20"/>
                <w:color w:val="auto"/>
                <w:w w:val="98"/>
              </w:rPr>
              <w:t>profitability</w:t>
            </w:r>
          </w:p>
        </w:tc>
        <w:tc>
          <w:tcPr>
            <w:tcW w:w="3200" w:type="dxa"/>
            <w:vAlign w:val="bottom"/>
            <w:tcBorders>
              <w:right w:val="single" w:sz="8" w:color="CCCCCC"/>
            </w:tcBorders>
            <w:vMerge w:val="restart"/>
            <w:shd w:val="clear" w:color="auto" w:fill="F5F8FC"/>
          </w:tcPr>
          <w:p>
            <w:pPr>
              <w:jc w:val="center"/>
              <w:spacing w:after="0"/>
              <w:rPr>
                <w:sz w:val="20"/>
                <w:szCs w:val="20"/>
                <w:color w:val="auto"/>
              </w:rPr>
            </w:pPr>
            <w:r>
              <w:rPr>
                <w:rFonts w:ascii="Times New Roman" w:cs="Times New Roman" w:eastAsia="Times New Roman" w:hAnsi="Times New Roman"/>
                <w:sz w:val="20"/>
                <w:szCs w:val="20"/>
                <w:color w:val="auto"/>
                <w:w w:val="98"/>
              </w:rPr>
              <w:t>profitability</w:t>
            </w:r>
          </w:p>
        </w:tc>
        <w:tc>
          <w:tcPr>
            <w:tcW w:w="0" w:type="dxa"/>
            <w:vAlign w:val="bottom"/>
          </w:tcPr>
          <w:p>
            <w:pPr>
              <w:spacing w:after="0"/>
              <w:rPr>
                <w:sz w:val="1"/>
                <w:szCs w:val="1"/>
                <w:color w:val="auto"/>
              </w:rPr>
            </w:pPr>
          </w:p>
        </w:tc>
      </w:tr>
      <w:tr>
        <w:trPr>
          <w:trHeight w:val="136"/>
        </w:trPr>
        <w:tc>
          <w:tcPr>
            <w:tcW w:w="3240" w:type="dxa"/>
            <w:vAlign w:val="bottom"/>
            <w:tcBorders>
              <w:left w:val="single" w:sz="8" w:color="CCCCCC"/>
              <w:bottom w:val="single" w:sz="8" w:color="F5F8FC"/>
              <w:right w:val="single" w:sz="8" w:color="CCCCCC"/>
            </w:tcBorders>
            <w:shd w:val="clear" w:color="auto" w:fill="F5F8FC"/>
          </w:tcPr>
          <w:p>
            <w:pPr>
              <w:spacing w:after="0"/>
              <w:rPr>
                <w:sz w:val="11"/>
                <w:szCs w:val="11"/>
                <w:color w:val="auto"/>
              </w:rPr>
            </w:pPr>
          </w:p>
        </w:tc>
        <w:tc>
          <w:tcPr>
            <w:tcW w:w="3220" w:type="dxa"/>
            <w:vAlign w:val="bottom"/>
            <w:tcBorders>
              <w:bottom w:val="single" w:sz="8" w:color="F5F8FC"/>
              <w:right w:val="single" w:sz="8" w:color="CCCCCC"/>
            </w:tcBorders>
            <w:vMerge w:val="continue"/>
            <w:shd w:val="clear" w:color="auto" w:fill="F5F8FC"/>
          </w:tcPr>
          <w:p>
            <w:pPr>
              <w:spacing w:after="0"/>
              <w:rPr>
                <w:sz w:val="11"/>
                <w:szCs w:val="11"/>
                <w:color w:val="auto"/>
              </w:rPr>
            </w:pPr>
          </w:p>
        </w:tc>
        <w:tc>
          <w:tcPr>
            <w:tcW w:w="3200" w:type="dxa"/>
            <w:vAlign w:val="bottom"/>
            <w:tcBorders>
              <w:bottom w:val="single" w:sz="8" w:color="F5F8FC"/>
              <w:right w:val="single" w:sz="8" w:color="CCCCCC"/>
            </w:tcBorders>
            <w:vMerge w:val="continue"/>
            <w:shd w:val="clear" w:color="auto" w:fill="F5F8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tcBorders>
              <w:left w:val="single" w:sz="8" w:color="CCCCCC"/>
              <w:right w:val="single" w:sz="8" w:color="CCCCCC"/>
            </w:tcBorders>
            <w:shd w:val="clear" w:color="auto" w:fill="CCCCCC"/>
          </w:tcPr>
          <w:p>
            <w:pPr>
              <w:spacing w:after="0" w:line="20" w:lineRule="exact"/>
              <w:rPr>
                <w:sz w:val="1"/>
                <w:szCs w:val="1"/>
                <w:color w:val="auto"/>
              </w:rPr>
            </w:pPr>
          </w:p>
        </w:tc>
        <w:tc>
          <w:tcPr>
            <w:tcW w:w="3220" w:type="dxa"/>
            <w:vAlign w:val="bottom"/>
            <w:tcBorders>
              <w:right w:val="single" w:sz="8" w:color="CCCCCC"/>
            </w:tcBorders>
            <w:shd w:val="clear" w:color="auto" w:fill="CCCCCC"/>
          </w:tcPr>
          <w:p>
            <w:pPr>
              <w:spacing w:after="0" w:line="20" w:lineRule="exact"/>
              <w:rPr>
                <w:sz w:val="1"/>
                <w:szCs w:val="1"/>
                <w:color w:val="auto"/>
              </w:rPr>
            </w:pPr>
          </w:p>
        </w:tc>
        <w:tc>
          <w:tcPr>
            <w:tcW w:w="3200" w:type="dxa"/>
            <w:vAlign w:val="bottom"/>
            <w:tcBorders>
              <w:right w:val="single" w:sz="8" w:color="CCCCCC"/>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Listeners can register for the webcast via this link. Analysts who wish to participate in the question-and-answer session should access the live call by dialing (800) 715-9871 (domestic) or +1 (646) 307-1963 (international) and enter the passcode 2430172. A replay of the webcast will be available via the Company’s investor website approximately two hours after the call’s conclusion. Participants are advised to join 15 minutes prior to the start time.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 full list of Biodesix press releases and webinars, please visit biodesix.com.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Biodesix</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Biodesix is a leading diagnostic solutions company, driven to improve clinical care and outcomes for patients. Biodesix Diagnostic Tests, including the Nodify Lung® Nodule Risk Assessment test and the IQLung® Cancer Treatment Guidance test, support clinical decisions to expedite personalized care and improve outcomes for patients with lung disease. Biodesix Development Services enable the world’s leading biopharmaceutical, life sciences, and research institutions with scientific, technological, and operational capabilities that fuel the development of diagnostic tests, tools, and therapeutics. For more information, visit biodesix.com.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Trademarks: Biodesix, Biodesix Logo, Nodify Lung, and IQLung are trademarks or registered trademarks of Biodesix,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Biodesix reported results are presented in accordance with generally accepted accounting principles in the United States (GAAP). Biodesix has provided in this press release financial information that has not been prepared in accordance with GAAP. Biodesix uses the non-GAAP financial measure, Adjusted EBITDA, internally in analyzing its financial results and believes that use of this non-GAAP financial measure is useful to investors as an additional tool to evaluate ongoing operating results and trends and in comparing Biodesix financial results with other companies in its industry, many of which present similar non-GAAP financial measures. Non-GAAP financial measures are not meant to be considered in isolation or as a substitute for comparable GAAP financial measures and should be read only in conjunction with Biodesix financial statements prepared in accordance with GAAP. A reconciliation of Biodesix historical non-GAAP financial measure to the most directly comparable GAAP measure has been provided in the financial statement tables included in this press release, and investors are encouraged to review the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 w:name="page6"/>
    <w:bookmarkEnd w:id="5"/>
    <w:p>
      <w:pPr>
        <w:jc w:val="both"/>
        <w:spacing w:after="0" w:line="245" w:lineRule="auto"/>
        <w:rPr>
          <w:sz w:val="20"/>
          <w:szCs w:val="20"/>
          <w:color w:val="auto"/>
        </w:rPr>
      </w:pPr>
      <w:r>
        <w:rPr>
          <w:rFonts w:ascii="Times New Roman" w:cs="Times New Roman" w:eastAsia="Times New Roman" w:hAnsi="Times New Roman"/>
          <w:sz w:val="20"/>
          <w:szCs w:val="20"/>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 compensation.</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loss or Loss from operations. Our management recognizes that Adjusted EBITDA has inherent limitations because of the excluded items and may not be directly comparable to similarly titled metrics used by other companies.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calculate Adjusted EBITDA as Net loss adjusted to exclude interest, income tax expense, if any, depreciation and amortization, share-based compensation expense, loss on debt extinguishments, net, change in fair value of warrant liabilities, net, other income, net, and other non-recurring items. Non-recurring items are excluded as they are not representative of our underlying operating performance. Adjusted EBITDA should be viewed as a measure of operating performance that is a supplement to, and not a substitute for Loss from operations, Net loss, and other GAAP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Regarding Forward-Looking Statements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possible or assumed future results of operations, including descriptions of our revenues, profitability, outlook, and overall business strategy, the timing and assumptions regarding collection of revenues on projections, availability of funds and future capital, the anticipated impact and benefits of new clinical data, reimbursement coverage and research partnerships, the impact of enhanced U.S. tariffs, import/export restrictions or other trade barriers on the company and its operations and financial performance. Forward-looking statements are inherently subject to risks and uncertainties, some of which cannot be predicted or quantified. Other factors that could cause actual results to differ materially from those contemplated in this press release can be found in the Risk Factors section of our most recent Annual Report on Form 10-K, filed February 26, 2026, or subsequent Quarterly Reports on Form 10-Q during 2026, as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rPr>
          <w:sz w:val="20"/>
          <w:szCs w:val="20"/>
          <w:color w:val="auto"/>
        </w:rPr>
      </w:pPr>
      <w:r>
        <w:rPr>
          <w:rFonts w:ascii="Times New Roman" w:cs="Times New Roman" w:eastAsia="Times New Roman" w:hAnsi="Times New Roman"/>
          <w:sz w:val="20"/>
          <w:szCs w:val="20"/>
          <w:color w:val="auto"/>
        </w:rPr>
        <w:t>Natalie St. Denis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natalie.stdenis@biodesix.com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(720) 925-9285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Brinzey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chris.brinzey@icrhealthcare.com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(339) 970-2843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540" w:type="dxa"/>
            <w:vAlign w:val="bottom"/>
            <w:shd w:val="clear" w:color="auto" w:fill="CFF0FC"/>
          </w:tcPr>
          <w:p>
            <w:pPr>
              <w:ind w:left="5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FF0FC"/>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25,572</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$71 and $62</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32,518</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72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tcPr>
          <w:p>
            <w:pPr>
              <w:spacing w:after="0"/>
              <w:rPr>
                <w:sz w:val="18"/>
                <w:szCs w:val="18"/>
                <w:color w:val="auto"/>
              </w:rPr>
            </w:pPr>
          </w:p>
        </w:tc>
      </w:tr>
      <w:tr>
        <w:trPr>
          <w:trHeight w:val="209"/>
        </w:trPr>
        <w:tc>
          <w:tcPr>
            <w:tcW w:w="6540" w:type="dxa"/>
            <w:vAlign w:val="bottom"/>
            <w:tcBorders>
              <w:bottom w:val="single" w:sz="8" w:color="CFF0FC"/>
            </w:tcBorders>
            <w:shd w:val="clear" w:color="auto" w:fill="CFF0FC"/>
          </w:tcPr>
          <w:p>
            <w:pPr>
              <w:ind w:left="26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87,476</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60" w:type="dxa"/>
            <w:vAlign w:val="bottom"/>
            <w:gridSpan w:val="2"/>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60" w:type="dxa"/>
            <w:vAlign w:val="bottom"/>
            <w:gridSpan w:val="3"/>
          </w:tcPr>
          <w:p>
            <w:pPr>
              <w:ind w:left="3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net of current portion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8"/>
                <w:szCs w:val="18"/>
                <w:color w:val="auto"/>
              </w:rPr>
            </w:pPr>
          </w:p>
        </w:tc>
      </w:tr>
      <w:tr>
        <w:trPr>
          <w:trHeight w:val="210"/>
        </w:trPr>
        <w:tc>
          <w:tcPr>
            <w:tcW w:w="6540" w:type="dxa"/>
            <w:vAlign w:val="bottom"/>
            <w:tcBorders>
              <w:bottom w:val="single" w:sz="8" w:color="CFF0FC"/>
            </w:tcBorders>
            <w:shd w:val="clear" w:color="auto" w:fill="CFF0FC"/>
          </w:tcPr>
          <w:p>
            <w:pPr>
              <w:ind w:left="26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89,941</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authorized;</w:t>
            </w:r>
          </w:p>
        </w:tc>
        <w:tc>
          <w:tcPr>
            <w:tcW w:w="720" w:type="dxa"/>
            <w:vAlign w:val="bottom"/>
            <w:shd w:val="clear" w:color="auto" w:fill="CFF0FC"/>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5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0 (2026 and 2025) issued and outstanding</w:t>
            </w:r>
          </w:p>
        </w:tc>
        <w:tc>
          <w:tcPr>
            <w:tcW w:w="72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authorized;</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10,107,219 (2026) and 8,253,053 (2025) shares issued and outstanding</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16"/>
        </w:trPr>
        <w:tc>
          <w:tcPr>
            <w:tcW w:w="6540" w:type="dxa"/>
            <w:vAlign w:val="bottom"/>
            <w:shd w:val="clear" w:color="auto" w:fill="CFF0FC"/>
          </w:tcPr>
          <w:p>
            <w:pPr>
              <w:ind w:left="14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72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495,289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(497,762)</w:t>
            </w:r>
          </w:p>
        </w:tc>
      </w:tr>
      <w:tr>
        <w:trPr>
          <w:trHeight w:val="20"/>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(2,465)</w:t>
            </w:r>
          </w:p>
        </w:tc>
      </w:tr>
      <w:tr>
        <w:trPr>
          <w:trHeight w:val="20"/>
        </w:trPr>
        <w:tc>
          <w:tcPr>
            <w:tcW w:w="65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87,476</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6"/>
        </w:trPr>
        <w:tc>
          <w:tcPr>
            <w:tcW w:w="6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-5691505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-5691505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-4577080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-3171190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-2331085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-942340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Statements of Operations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Borders>
              <w:bottom w:val="single" w:sz="8" w:color="auto"/>
            </w:tcBorders>
            <w:gridSpan w:val="5"/>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Diagnostic Tests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07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100" w:type="dxa"/>
            <w:vAlign w:val="bottom"/>
          </w:tcPr>
          <w:p>
            <w:pPr>
              <w:spacing w:after="0"/>
              <w:rPr>
                <w:sz w:val="18"/>
                <w:szCs w:val="18"/>
                <w:color w:val="auto"/>
              </w:rPr>
            </w:pPr>
          </w:p>
        </w:tc>
      </w:tr>
      <w:tr>
        <w:trPr>
          <w:trHeight w:val="216"/>
        </w:trPr>
        <w:tc>
          <w:tcPr>
            <w:tcW w:w="678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Development Services</w:t>
            </w:r>
          </w:p>
        </w:tc>
        <w:tc>
          <w:tcPr>
            <w:tcW w:w="1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shd w:val="clear" w:color="auto" w:fill="CCEEFF"/>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00" w:type="dxa"/>
            <w:vAlign w:val="bottom"/>
            <w:shd w:val="clear" w:color="auto" w:fill="CCEEFF"/>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20,448</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10"/>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(6,201)</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(9,136)</w:t>
            </w: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(1,977)</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(1,685)</w:t>
            </w:r>
          </w:p>
        </w:tc>
      </w:tr>
      <w:tr>
        <w:trPr>
          <w:trHeight w:val="216"/>
        </w:trPr>
        <w:tc>
          <w:tcPr>
            <w:tcW w:w="6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r>
      <w:tr>
        <w:trPr>
          <w:trHeight w:val="209"/>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6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420" w:type="dxa"/>
            <w:vAlign w:val="bottom"/>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220" w:type="dxa"/>
            <w:vAlign w:val="bottom"/>
          </w:tcPr>
          <w:p>
            <w:pPr>
              <w:spacing w:after="0"/>
              <w:rPr>
                <w:sz w:val="17"/>
                <w:szCs w:val="17"/>
                <w:color w:val="auto"/>
              </w:rPr>
            </w:pPr>
          </w:p>
        </w:tc>
        <w:tc>
          <w:tcPr>
            <w:tcW w:w="1240" w:type="dxa"/>
            <w:vAlign w:val="bottom"/>
          </w:tcPr>
          <w:p>
            <w:pPr>
              <w:jc w:val="right"/>
              <w:ind w:right="107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shd w:val="clear" w:color="auto" w:fill="CCEEFF"/>
          </w:tcPr>
          <w:p>
            <w:pPr>
              <w:spacing w:after="0"/>
              <w:rPr>
                <w:sz w:val="18"/>
                <w:szCs w:val="18"/>
                <w:color w:val="auto"/>
              </w:rPr>
            </w:pPr>
          </w:p>
        </w:tc>
      </w:tr>
      <w:tr>
        <w:trPr>
          <w:trHeight w:val="1195"/>
        </w:trPr>
        <w:tc>
          <w:tcPr>
            <w:tcW w:w="6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-3034030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-2193925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-1070610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-1053465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Net Loss to Adjusted EBITDA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20" w:type="dxa"/>
            <w:vAlign w:val="bottom"/>
          </w:tcPr>
          <w:p>
            <w:pPr>
              <w:spacing w:after="0"/>
              <w:rPr>
                <w:sz w:val="18"/>
                <w:szCs w:val="18"/>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80" w:type="dxa"/>
            <w:vAlign w:val="bottom"/>
            <w:gridSpan w:val="2"/>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(7,793)</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(11,101)</w:t>
            </w: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(749)</w:t>
            </w:r>
          </w:p>
        </w:tc>
        <w:tc>
          <w:tcPr>
            <w:tcW w:w="1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80" w:type="dxa"/>
            <w:vAlign w:val="bottom"/>
            <w:gridSpan w:val="2"/>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(4,054)</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(6,196)</w:t>
            </w:r>
          </w:p>
        </w:tc>
      </w:tr>
      <w:tr>
        <w:trPr>
          <w:trHeight w:val="1176"/>
        </w:trPr>
        <w:tc>
          <w:tcPr>
            <w:tcW w:w="4460" w:type="dxa"/>
            <w:vAlign w:val="bottom"/>
            <w:tcBorders>
              <w:top w:val="single" w:sz="8" w:color="CCEEFF"/>
              <w:bottom w:val="single" w:sz="8" w:color="9A9A9A"/>
            </w:tcBorders>
          </w:tcPr>
          <w:p>
            <w:pPr>
              <w:spacing w:after="0"/>
              <w:rPr>
                <w:sz w:val="24"/>
                <w:szCs w:val="24"/>
                <w:color w:val="auto"/>
              </w:rPr>
            </w:pPr>
          </w:p>
        </w:tc>
        <w:tc>
          <w:tcPr>
            <w:tcW w:w="1240" w:type="dxa"/>
            <w:vAlign w:val="bottom"/>
            <w:tcBorders>
              <w:top w:val="single" w:sz="8" w:color="CCEEFF"/>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4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-796925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-796925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2026-05-04T15:13:06Z</dcterms:created>
  <dcterms:modified xsi:type="dcterms:W3CDTF">2026-05-04T15:13:06Z</dcterms:modified>
</cp:coreProperties>
</file>