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063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Vazquez Chris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919 WEST DILLON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BIODESIX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BDSX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   CO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80027</w:t>
            </w: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(3)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7.62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4"/>
                <w:vertAlign w:val="subscript"/>
              </w:rPr>
              <w:t>29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11/10/2025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numbers have been adjusted to reflect the one-for-twenty reverse stock split effective September 15,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(the "RSU")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the Issuer's Common Stock were sold automatically to cover taxes upon the vesting of RSUs.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 vest in a series of sixteen successive quarterly installments measured from February 8, 2022, generally subject to the Reporting Person's continued service with the Issuer, and have no expiration date.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Robin H. Cowie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943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Chris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77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Vazquez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363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80594" TargetMode="External"/><Relationship Id="rId14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2025-11-13T16:04:55Z</dcterms:created>
  <dcterms:modified xsi:type="dcterms:W3CDTF">2025-11-13T16:04:55Z</dcterms:modified>
</cp:coreProperties>
</file>