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58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583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PATIENCE JOHN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840" w:type="dxa"/>
            <w:vAlign w:val="bottom"/>
          </w:tcPr>
          <w:p>
            <w:pPr>
              <w:ind w:left="380"/>
              <w:spacing w:after="0"/>
              <w:rPr>
                <w:sz w:val="20"/>
                <w:szCs w:val="20"/>
                <w:color w:val="auto"/>
              </w:rPr>
            </w:pPr>
            <w:r>
              <w:rPr>
                <w:rFonts w:ascii="Arial" w:cs="Arial" w:eastAsia="Arial" w:hAnsi="Arial"/>
                <w:sz w:val="13"/>
                <w:szCs w:val="13"/>
                <w:color w:val="auto"/>
                <w:w w:val="93"/>
              </w:rPr>
              <w:t>(Middle)</w:t>
            </w:r>
          </w:p>
        </w:tc>
      </w:tr>
      <w:tr>
        <w:trPr>
          <w:trHeight w:val="265"/>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919 WEST DILLON RD</w:t>
            </w:r>
          </w:p>
        </w:tc>
        <w:tc>
          <w:tcPr>
            <w:tcW w:w="840" w:type="dxa"/>
            <w:vAlign w:val="bottom"/>
          </w:tcPr>
          <w:p>
            <w:pPr>
              <w:spacing w:after="0"/>
              <w:rPr>
                <w:sz w:val="23"/>
                <w:szCs w:val="23"/>
                <w:color w:val="auto"/>
              </w:rPr>
            </w:pPr>
          </w:p>
        </w:tc>
      </w:tr>
      <w:tr>
        <w:trPr>
          <w:trHeight w:val="474"/>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LOUISVILLE</w:t>
            </w: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w:t>
            </w:r>
          </w:p>
        </w:tc>
        <w:tc>
          <w:tcPr>
            <w:tcW w:w="8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80027</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8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BIODESIX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BDSX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20" w:type="dxa"/>
            <w:vAlign w:val="bottom"/>
          </w:tcPr>
          <w:p>
            <w:pPr>
              <w:spacing w:after="0"/>
              <w:rPr>
                <w:sz w:val="3"/>
                <w:szCs w:val="3"/>
                <w:color w:val="auto"/>
              </w:rPr>
            </w:pP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00" w:type="dxa"/>
            <w:vAlign w:val="bottom"/>
          </w:tcPr>
          <w:p>
            <w:pPr>
              <w:spacing w:after="0"/>
              <w:rPr>
                <w:sz w:val="3"/>
                <w:szCs w:val="3"/>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6"/>
                <w:szCs w:val="6"/>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01/01/2024</w:t>
            </w:r>
          </w:p>
        </w:tc>
        <w:tc>
          <w:tcPr>
            <w:tcW w:w="24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20" w:type="dxa"/>
            <w:vAlign w:val="bottom"/>
            <w:gridSpan w:val="3"/>
            <w:vMerge w:val="continue"/>
          </w:tcPr>
          <w:p>
            <w:pPr>
              <w:spacing w:after="0"/>
              <w:rPr>
                <w:sz w:val="10"/>
                <w:szCs w:val="10"/>
                <w:color w:val="auto"/>
              </w:rPr>
            </w:pPr>
          </w:p>
        </w:tc>
        <w:tc>
          <w:tcPr>
            <w:tcW w:w="2420" w:type="dxa"/>
            <w:vAlign w:val="bottom"/>
          </w:tcPr>
          <w:p>
            <w:pPr>
              <w:spacing w:after="0"/>
              <w:rPr>
                <w:sz w:val="10"/>
                <w:szCs w:val="10"/>
                <w:color w:val="auto"/>
              </w:rPr>
            </w:pPr>
          </w:p>
        </w:tc>
        <w:tc>
          <w:tcPr>
            <w:tcW w:w="20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105,389</w:t>
            </w:r>
          </w:p>
        </w:tc>
        <w:tc>
          <w:tcPr>
            <w:tcW w:w="680" w:type="dxa"/>
            <w:vAlign w:val="bottom"/>
          </w:tcPr>
          <w:p>
            <w:pPr>
              <w:spacing w:after="0"/>
              <w:rPr>
                <w:sz w:val="15"/>
                <w:szCs w:val="15"/>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134,262</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01/01/2024</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105,389</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continue"/>
          </w:tcPr>
          <w:p>
            <w:pPr>
              <w:spacing w:after="0"/>
              <w:rPr>
                <w:sz w:val="12"/>
                <w:szCs w:val="12"/>
                <w:color w:val="auto"/>
              </w:rPr>
            </w:pP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28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will vest in full on March 31, 2024, generally subject to the Reporting Person's continued service with the Issuer, and have no expiration date. In the event the Reporting Person's continued service on the Board terminates other than for cause, these RSUs will vest on a prorated basis based on the number of full months of service the Reporting Person completed during the applicable vesting period.</w:t>
      </w:r>
    </w:p>
    <w:p>
      <w:pPr>
        <w:spacing w:after="0" w:line="1"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RSUs. The shares of Common Stock underlying these RSUs will be issued to the Reporting Person following the Reporting Person's separation from service with the Issuer.</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Robin H. Cowie as Attorney- </w:t>
      </w:r>
      <w:r>
        <w:rPr>
          <w:rFonts w:ascii="Times New Roman" w:cs="Times New Roman" w:eastAsia="Times New Roman" w:hAnsi="Times New Roman"/>
          <w:sz w:val="33"/>
          <w:szCs w:val="33"/>
          <w:color w:val="0000FF"/>
          <w:vertAlign w:val="subscript"/>
        </w:rPr>
        <w:t>01/03/2024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0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John Patience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53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34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1413"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2024-01-03T15:18:01Z</dcterms:created>
  <dcterms:modified xsi:type="dcterms:W3CDTF">2024-01-03T15:18:01Z</dcterms:modified>
</cp:coreProperties>
</file>