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140970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177800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20" w:lineRule="auto"/>
        <w:tabs>
          <w:tab w:leader="none" w:pos="4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219"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90" w:lineRule="exact"/>
        <w:rPr>
          <w:sz w:val="24"/>
          <w:szCs w:val="24"/>
          <w:color w:val="auto"/>
        </w:rPr>
      </w:pPr>
    </w:p>
    <w:p>
      <w:pPr>
        <w:ind w:left="41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145415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jc w:val="center"/>
        <w:ind w:left="3560"/>
        <w:spacing w:after="0"/>
        <w:rPr>
          <w:sz w:val="20"/>
          <w:szCs w:val="20"/>
          <w:color w:val="auto"/>
        </w:rPr>
      </w:pPr>
      <w:r>
        <w:rPr>
          <w:rFonts w:ascii="Arial" w:cs="Arial" w:eastAsia="Arial" w:hAnsi="Arial"/>
          <w:sz w:val="32"/>
          <w:szCs w:val="32"/>
          <w:b w:val="1"/>
          <w:bCs w:val="1"/>
          <w:color w:val="auto"/>
        </w:rPr>
        <w:t>B</w:t>
      </w:r>
      <w:r>
        <w:rPr>
          <w:rFonts w:ascii="Arial" w:cs="Arial" w:eastAsia="Arial" w:hAnsi="Arial"/>
          <w:sz w:val="25"/>
          <w:szCs w:val="25"/>
          <w:b w:val="1"/>
          <w:bCs w:val="1"/>
          <w:color w:val="auto"/>
        </w:rPr>
        <w:t>IODESIX</w:t>
      </w:r>
      <w:r>
        <w:rPr>
          <w:rFonts w:ascii="Arial" w:cs="Arial" w:eastAsia="Arial" w:hAnsi="Arial"/>
          <w:sz w:val="32"/>
          <w:szCs w:val="32"/>
          <w:b w:val="1"/>
          <w:bCs w:val="1"/>
          <w:color w:val="auto"/>
        </w:rPr>
        <w:t>, I</w:t>
      </w:r>
      <w:r>
        <w:rPr>
          <w:rFonts w:ascii="Arial" w:cs="Arial" w:eastAsia="Arial" w:hAnsi="Arial"/>
          <w:sz w:val="25"/>
          <w:szCs w:val="25"/>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141605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ind w:left="2040"/>
        <w:spacing w:after="0" w:line="231"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line="238" w:lineRule="auto"/>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20-3986492</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91" w:lineRule="exact"/>
        <w:rPr>
          <w:sz w:val="24"/>
          <w:szCs w:val="24"/>
          <w:color w:val="auto"/>
        </w:rPr>
      </w:pPr>
    </w:p>
    <w:p>
      <w:pPr>
        <w:sectPr>
          <w:pgSz w:w="11900" w:h="16838" w:orient="portrait"/>
          <w:cols w:equalWidth="0" w:num="2">
            <w:col w:w="7700" w:space="240"/>
            <w:col w:w="3300"/>
          </w:cols>
          <w:pgMar w:left="320" w:top="678" w:right="339" w:bottom="1440" w:gutter="0" w:footer="0" w:header="0"/>
          <w:type w:val="continuous"/>
        </w:sectPr>
      </w:pPr>
    </w:p>
    <w:tbl>
      <w:tblPr>
        <w:tblLayout w:type="fixed"/>
        <w:tblInd w:w="1780" w:type="dxa"/>
        <w:tblCellMar>
          <w:top w:w="0" w:type="dxa"/>
          <w:left w:w="0" w:type="dxa"/>
          <w:bottom w:w="0" w:type="dxa"/>
          <w:right w:w="0" w:type="dxa"/>
        </w:tblCellMar>
      </w:tblPr>
      <w:tr>
        <w:trPr>
          <w:trHeight w:val="161"/>
        </w:trPr>
        <w:tc>
          <w:tcPr>
            <w:tcW w:w="4220" w:type="dxa"/>
            <w:vAlign w:val="bottom"/>
          </w:tcPr>
          <w:p>
            <w:pPr>
              <w:jc w:val="center"/>
              <w:ind w:right="2071"/>
              <w:spacing w:after="0"/>
              <w:rPr>
                <w:sz w:val="20"/>
                <w:szCs w:val="20"/>
                <w:color w:val="auto"/>
              </w:rPr>
            </w:pPr>
            <w:r>
              <w:rPr>
                <w:rFonts w:ascii="Arial" w:cs="Arial" w:eastAsia="Arial" w:hAnsi="Arial"/>
                <w:sz w:val="14"/>
                <w:szCs w:val="14"/>
                <w:b w:val="1"/>
                <w:bCs w:val="1"/>
                <w:color w:val="auto"/>
                <w:w w:val="91"/>
              </w:rPr>
              <w:t>2970 Wilderness Place, Suite 100</w:t>
            </w: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80301</w:t>
            </w:r>
          </w:p>
        </w:tc>
        <w:tc>
          <w:tcPr>
            <w:tcW w:w="0" w:type="dxa"/>
            <w:vAlign w:val="bottom"/>
          </w:tcPr>
          <w:p>
            <w:pPr>
              <w:spacing w:after="0"/>
              <w:rPr>
                <w:sz w:val="1"/>
                <w:szCs w:val="1"/>
                <w:color w:val="auto"/>
              </w:rPr>
            </w:pPr>
          </w:p>
        </w:tc>
      </w:tr>
      <w:tr>
        <w:trPr>
          <w:trHeight w:val="180"/>
        </w:trPr>
        <w:tc>
          <w:tcPr>
            <w:tcW w:w="4220" w:type="dxa"/>
            <w:vAlign w:val="bottom"/>
          </w:tcPr>
          <w:p>
            <w:pPr>
              <w:jc w:val="center"/>
              <w:ind w:right="2071"/>
              <w:spacing w:after="0"/>
              <w:rPr>
                <w:sz w:val="20"/>
                <w:szCs w:val="20"/>
                <w:color w:val="auto"/>
              </w:rPr>
            </w:pPr>
            <w:r>
              <w:rPr>
                <w:rFonts w:ascii="Arial" w:cs="Arial" w:eastAsia="Arial" w:hAnsi="Arial"/>
                <w:sz w:val="14"/>
                <w:szCs w:val="14"/>
                <w:b w:val="1"/>
                <w:bCs w:val="1"/>
                <w:color w:val="auto"/>
                <w:w w:val="92"/>
              </w:rPr>
              <w:t>Boulder, Colorado 80301</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20" w:type="dxa"/>
            <w:vAlign w:val="bottom"/>
          </w:tcPr>
          <w:p>
            <w:pPr>
              <w:jc w:val="center"/>
              <w:ind w:right="207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154305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640" w:type="dxa"/>
        <w:tblCellMar>
          <w:top w:w="0" w:type="dxa"/>
          <w:left w:w="0" w:type="dxa"/>
          <w:bottom w:w="0" w:type="dxa"/>
          <w:right w:w="0" w:type="dxa"/>
        </w:tblCellMar>
      </w:tblPr>
      <w:tr>
        <w:trPr>
          <w:trHeight w:val="162"/>
        </w:trPr>
        <w:tc>
          <w:tcPr>
            <w:tcW w:w="3900" w:type="dxa"/>
            <w:vAlign w:val="bottom"/>
            <w:vMerge w:val="restart"/>
          </w:tcPr>
          <w:p>
            <w:pPr>
              <w:jc w:val="center"/>
              <w:ind w:right="699"/>
              <w:spacing w:after="0"/>
              <w:rPr>
                <w:sz w:val="20"/>
                <w:szCs w:val="20"/>
                <w:color w:val="auto"/>
              </w:rPr>
            </w:pPr>
            <w:r>
              <w:rPr>
                <w:rFonts w:ascii="Arial" w:cs="Arial" w:eastAsia="Arial" w:hAnsi="Arial"/>
                <w:sz w:val="14"/>
                <w:szCs w:val="14"/>
                <w:b w:val="1"/>
                <w:bCs w:val="1"/>
                <w:color w:val="auto"/>
                <w:w w:val="89"/>
              </w:rPr>
              <w:t>Title of each class</w:t>
            </w:r>
          </w:p>
        </w:tc>
        <w:tc>
          <w:tcPr>
            <w:tcW w:w="230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Trading</w:t>
            </w:r>
          </w:p>
        </w:tc>
        <w:tc>
          <w:tcPr>
            <w:tcW w:w="3560" w:type="dxa"/>
            <w:vAlign w:val="bottom"/>
            <w:vMerge w:val="restart"/>
          </w:tcPr>
          <w:p>
            <w:pPr>
              <w:jc w:val="center"/>
              <w:ind w:left="799"/>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4"/>
        </w:trPr>
        <w:tc>
          <w:tcPr>
            <w:tcW w:w="3900" w:type="dxa"/>
            <w:vAlign w:val="bottom"/>
            <w:vMerge w:val="continue"/>
          </w:tcPr>
          <w:p>
            <w:pPr>
              <w:spacing w:after="0"/>
              <w:rPr>
                <w:sz w:val="15"/>
                <w:szCs w:val="15"/>
                <w:color w:val="auto"/>
              </w:rPr>
            </w:pPr>
          </w:p>
        </w:tc>
        <w:tc>
          <w:tcPr>
            <w:tcW w:w="230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Symbol(s)</w:t>
            </w:r>
          </w:p>
        </w:tc>
        <w:tc>
          <w:tcPr>
            <w:tcW w:w="3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jc w:val="center"/>
              <w:ind w:right="699"/>
              <w:spacing w:after="0"/>
              <w:rPr>
                <w:sz w:val="20"/>
                <w:szCs w:val="20"/>
                <w:color w:val="auto"/>
              </w:rPr>
            </w:pPr>
            <w:r>
              <w:rPr>
                <w:rFonts w:ascii="Arial" w:cs="Arial" w:eastAsia="Arial" w:hAnsi="Arial"/>
                <w:sz w:val="18"/>
                <w:szCs w:val="18"/>
                <w:color w:val="auto"/>
                <w:w w:val="89"/>
              </w:rPr>
              <w:t>Common Stock, par value $0.001 per share</w:t>
            </w:r>
          </w:p>
        </w:tc>
        <w:tc>
          <w:tcPr>
            <w:tcW w:w="2300" w:type="dxa"/>
            <w:vAlign w:val="bottom"/>
          </w:tcPr>
          <w:p>
            <w:pPr>
              <w:jc w:val="center"/>
              <w:ind w:right="22"/>
              <w:spacing w:after="0"/>
              <w:rPr>
                <w:sz w:val="20"/>
                <w:szCs w:val="20"/>
                <w:color w:val="auto"/>
              </w:rPr>
            </w:pPr>
            <w:r>
              <w:rPr>
                <w:rFonts w:ascii="Arial" w:cs="Arial" w:eastAsia="Arial" w:hAnsi="Arial"/>
                <w:sz w:val="18"/>
                <w:szCs w:val="18"/>
                <w:color w:val="auto"/>
                <w:w w:val="97"/>
              </w:rPr>
              <w:t>BDSX</w:t>
            </w:r>
          </w:p>
        </w:tc>
        <w:tc>
          <w:tcPr>
            <w:tcW w:w="3560" w:type="dxa"/>
            <w:vAlign w:val="bottom"/>
          </w:tcPr>
          <w:p>
            <w:pPr>
              <w:jc w:val="center"/>
              <w:ind w:left="799"/>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260" w:lineRule="exact"/>
        <w:rPr>
          <w:sz w:val="24"/>
          <w:szCs w:val="24"/>
          <w:color w:val="auto"/>
        </w:rPr>
      </w:pPr>
    </w:p>
    <w:p>
      <w:pPr>
        <w:jc w:val="both"/>
        <w:ind w:firstLine="50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firstLine="50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jc w:val="both"/>
        <w:ind w:firstLine="509"/>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2"/>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88" w:lineRule="exact"/>
        <w:rPr>
          <w:sz w:val="24"/>
          <w:szCs w:val="24"/>
          <w:color w:val="auto"/>
        </w:rPr>
      </w:pPr>
    </w:p>
    <w:p>
      <w:pPr>
        <w:ind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3" w:lineRule="exact"/>
        <w:rPr>
          <w:sz w:val="24"/>
          <w:szCs w:val="24"/>
          <w:color w:val="auto"/>
        </w:rPr>
      </w:pPr>
    </w:p>
    <w:p>
      <w:pPr>
        <w:ind w:right="20" w:firstLine="509"/>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October 31, 2022, the registrant had 42,093,514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24"/>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9440" w:type="dxa"/>
            <w:vAlign w:val="bottom"/>
            <w:gridSpan w:val="24"/>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83"/>
              </w:rPr>
              <w:t>Financial Statements (Unaudited)</w:t>
            </w:r>
          </w:p>
        </w:tc>
        <w:tc>
          <w:tcPr>
            <w:tcW w:w="6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2440" w:type="dxa"/>
            <w:vAlign w:val="bottom"/>
            <w:gridSpan w:val="14"/>
          </w:tcPr>
          <w:p>
            <w:pPr>
              <w:spacing w:after="0" w:line="182" w:lineRule="exact"/>
              <w:rPr>
                <w:sz w:val="20"/>
                <w:szCs w:val="20"/>
                <w:color w:val="auto"/>
              </w:rPr>
            </w:pPr>
            <w:r>
              <w:rPr>
                <w:rFonts w:ascii="Arial" w:cs="Arial" w:eastAsia="Arial" w:hAnsi="Arial"/>
                <w:sz w:val="18"/>
                <w:szCs w:val="18"/>
                <w:color w:val="0000FF"/>
                <w:w w:val="90"/>
              </w:rPr>
              <w:t>Condensed Balance Sheets as of</w:t>
            </w:r>
          </w:p>
        </w:tc>
        <w:tc>
          <w:tcPr>
            <w:tcW w:w="7000" w:type="dxa"/>
            <w:vAlign w:val="bottom"/>
            <w:gridSpan w:val="10"/>
          </w:tcPr>
          <w:p>
            <w:pPr>
              <w:spacing w:after="0" w:line="182" w:lineRule="exact"/>
              <w:rPr>
                <w:sz w:val="20"/>
                <w:szCs w:val="20"/>
                <w:color w:val="auto"/>
              </w:rPr>
            </w:pPr>
            <w:r>
              <w:rPr>
                <w:rFonts w:ascii="Arial" w:cs="Arial" w:eastAsia="Arial" w:hAnsi="Arial"/>
                <w:sz w:val="18"/>
                <w:szCs w:val="18"/>
                <w:color w:val="0000FF"/>
              </w:rPr>
              <w:t>September 30, 2022 and December 31, 2021</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5580" w:type="dxa"/>
            <w:vAlign w:val="bottom"/>
            <w:tcBorders>
              <w:top w:val="single" w:sz="8" w:color="0000FF"/>
              <w:bottom w:val="single" w:sz="8" w:color="0000FF"/>
            </w:tcBorders>
            <w:gridSpan w:val="19"/>
          </w:tcPr>
          <w:p>
            <w:pPr>
              <w:spacing w:after="0" w:line="182" w:lineRule="exact"/>
              <w:rPr>
                <w:sz w:val="20"/>
                <w:szCs w:val="20"/>
                <w:color w:val="auto"/>
              </w:rPr>
            </w:pPr>
            <w:r>
              <w:rPr>
                <w:rFonts w:ascii="Arial" w:cs="Arial" w:eastAsia="Arial" w:hAnsi="Arial"/>
                <w:sz w:val="18"/>
                <w:szCs w:val="18"/>
                <w:color w:val="0000FF"/>
                <w:w w:val="91"/>
              </w:rPr>
              <w:t>Condensed Statements of Operations for the Three and Nine Months Ended</w:t>
            </w:r>
          </w:p>
        </w:tc>
        <w:tc>
          <w:tcPr>
            <w:tcW w:w="206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83"/>
              </w:rPr>
              <w:t>September 30, 2022 and 2021</w:t>
            </w:r>
          </w:p>
        </w:tc>
        <w:tc>
          <w:tcPr>
            <w:tcW w:w="180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820" w:type="dxa"/>
            <w:vAlign w:val="bottom"/>
            <w:tcBorders>
              <w:bottom w:val="single" w:sz="8" w:color="0000FF"/>
            </w:tcBorders>
            <w:gridSpan w:val="23"/>
          </w:tcPr>
          <w:p>
            <w:pPr>
              <w:spacing w:after="0" w:line="182" w:lineRule="exact"/>
              <w:rPr>
                <w:sz w:val="20"/>
                <w:szCs w:val="20"/>
                <w:color w:val="auto"/>
              </w:rPr>
            </w:pPr>
            <w:r>
              <w:rPr>
                <w:rFonts w:ascii="Arial" w:cs="Arial" w:eastAsia="Arial" w:hAnsi="Arial"/>
                <w:sz w:val="18"/>
                <w:szCs w:val="18"/>
                <w:color w:val="0000FF"/>
                <w:w w:val="90"/>
              </w:rPr>
              <w:t>Condensed Statements Stockholders' (Deficit) Equity for the Three and Nine Months Ended September 30, 2022 and 2021</w:t>
            </w:r>
          </w:p>
        </w:tc>
        <w:tc>
          <w:tcPr>
            <w:tcW w:w="620" w:type="dxa"/>
            <w:vAlign w:val="bottom"/>
          </w:tcPr>
          <w:p>
            <w:pPr>
              <w:spacing w:after="0"/>
              <w:rPr>
                <w:sz w:val="17"/>
                <w:szCs w:val="17"/>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440" w:type="dxa"/>
            <w:vAlign w:val="bottom"/>
            <w:gridSpan w:val="24"/>
          </w:tcPr>
          <w:p>
            <w:pPr>
              <w:spacing w:after="0" w:line="195" w:lineRule="exact"/>
              <w:rPr>
                <w:sz w:val="20"/>
                <w:szCs w:val="20"/>
                <w:color w:val="auto"/>
              </w:rPr>
            </w:pPr>
            <w:r>
              <w:rPr>
                <w:rFonts w:ascii="Arial" w:cs="Arial" w:eastAsia="Arial" w:hAnsi="Arial"/>
                <w:sz w:val="18"/>
                <w:szCs w:val="18"/>
                <w:color w:val="0000FF"/>
              </w:rPr>
              <w:t>Condensed Statements of Cash Flows for the Nine Months Ended September 30, 2022 and 2021</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88"/>
              </w:rPr>
              <w:t>Notes to Condensed Financial Statements</w:t>
            </w:r>
          </w:p>
        </w:tc>
        <w:tc>
          <w:tcPr>
            <w:tcW w:w="20" w:type="dxa"/>
            <w:vAlign w:val="bottom"/>
            <w:tcBorders>
              <w:top w:val="single" w:sz="8" w:color="0000FF"/>
              <w:bottom w:val="single" w:sz="8" w:color="0000EE"/>
            </w:tcBorders>
          </w:tcPr>
          <w:p>
            <w:pPr>
              <w:spacing w:after="0"/>
              <w:rPr>
                <w:sz w:val="15"/>
                <w:szCs w:val="15"/>
                <w:color w:val="auto"/>
              </w:rPr>
            </w:pPr>
          </w:p>
        </w:tc>
        <w:tc>
          <w:tcPr>
            <w:tcW w:w="3900" w:type="dxa"/>
            <w:vAlign w:val="bottom"/>
            <w:tcBorders>
              <w:top w:val="single" w:sz="8" w:color="0000FF"/>
            </w:tcBorders>
            <w:gridSpan w:val="5"/>
          </w:tcPr>
          <w:p>
            <w:pPr>
              <w:spacing w:after="0"/>
              <w:rPr>
                <w:sz w:val="15"/>
                <w:szCs w:val="15"/>
                <w:color w:val="auto"/>
              </w:rPr>
            </w:pPr>
          </w:p>
        </w:tc>
        <w:tc>
          <w:tcPr>
            <w:tcW w:w="252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9440" w:type="dxa"/>
            <w:vAlign w:val="bottom"/>
            <w:gridSpan w:val="24"/>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2"/>
          </w:tcPr>
          <w:p>
            <w:pPr>
              <w:spacing w:after="0"/>
              <w:rPr>
                <w:sz w:val="17"/>
                <w:szCs w:val="17"/>
                <w:color w:val="auto"/>
              </w:rPr>
            </w:pPr>
          </w:p>
        </w:tc>
        <w:tc>
          <w:tcPr>
            <w:tcW w:w="3000" w:type="dxa"/>
            <w:vAlign w:val="bottom"/>
            <w:gridSpan w:val="4"/>
          </w:tcPr>
          <w:p>
            <w:pPr>
              <w:spacing w:after="0"/>
              <w:rPr>
                <w:sz w:val="17"/>
                <w:szCs w:val="17"/>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4.</w:t>
            </w:r>
          </w:p>
        </w:tc>
        <w:tc>
          <w:tcPr>
            <w:tcW w:w="9440" w:type="dxa"/>
            <w:vAlign w:val="bottom"/>
            <w:gridSpan w:val="24"/>
          </w:tcPr>
          <w:p>
            <w:pPr>
              <w:spacing w:after="0" w:line="195" w:lineRule="exact"/>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vMerge w:val="continue"/>
          </w:tcPr>
          <w:p>
            <w:pPr>
              <w:spacing w:after="0"/>
              <w:rPr>
                <w:sz w:val="24"/>
                <w:szCs w:val="24"/>
                <w:color w:val="auto"/>
              </w:rPr>
            </w:pPr>
          </w:p>
        </w:tc>
        <w:tc>
          <w:tcPr>
            <w:tcW w:w="944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188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Legal Proceedings</w:t>
            </w:r>
          </w:p>
        </w:tc>
        <w:tc>
          <w:tcPr>
            <w:tcW w:w="440" w:type="dxa"/>
            <w:vAlign w:val="bottom"/>
            <w:gridSpan w:val="2"/>
          </w:tcPr>
          <w:p>
            <w:pPr>
              <w:spacing w:after="0"/>
              <w:rPr>
                <w:sz w:val="15"/>
                <w:szCs w:val="15"/>
                <w:color w:val="auto"/>
              </w:rPr>
            </w:pPr>
          </w:p>
        </w:tc>
        <w:tc>
          <w:tcPr>
            <w:tcW w:w="2020" w:type="dxa"/>
            <w:vAlign w:val="bottom"/>
            <w:gridSpan w:val="5"/>
          </w:tcPr>
          <w:p>
            <w:pPr>
              <w:spacing w:after="0"/>
              <w:rPr>
                <w:sz w:val="15"/>
                <w:szCs w:val="15"/>
                <w:color w:val="auto"/>
              </w:rPr>
            </w:pPr>
          </w:p>
        </w:tc>
        <w:tc>
          <w:tcPr>
            <w:tcW w:w="51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Risk Factors</w:t>
            </w:r>
          </w:p>
        </w:tc>
        <w:tc>
          <w:tcPr>
            <w:tcW w:w="980" w:type="dxa"/>
            <w:vAlign w:val="bottom"/>
            <w:gridSpan w:val="4"/>
          </w:tcPr>
          <w:p>
            <w:pPr>
              <w:spacing w:after="0"/>
              <w:rPr>
                <w:sz w:val="15"/>
                <w:szCs w:val="15"/>
                <w:color w:val="auto"/>
              </w:rPr>
            </w:pPr>
          </w:p>
        </w:tc>
        <w:tc>
          <w:tcPr>
            <w:tcW w:w="2020" w:type="dxa"/>
            <w:vAlign w:val="bottom"/>
            <w:gridSpan w:val="5"/>
          </w:tcPr>
          <w:p>
            <w:pPr>
              <w:spacing w:after="0"/>
              <w:rPr>
                <w:sz w:val="15"/>
                <w:szCs w:val="15"/>
                <w:color w:val="auto"/>
              </w:rPr>
            </w:pPr>
          </w:p>
        </w:tc>
        <w:tc>
          <w:tcPr>
            <w:tcW w:w="51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85"/>
              </w:rPr>
              <w:t>Unregistered</w:t>
            </w:r>
          </w:p>
        </w:tc>
        <w:tc>
          <w:tcPr>
            <w:tcW w:w="20" w:type="dxa"/>
            <w:vAlign w:val="bottom"/>
            <w:tcBorders>
              <w:top w:val="single" w:sz="8" w:color="0000EE"/>
            </w:tcBorders>
          </w:tcPr>
          <w:p>
            <w:pPr>
              <w:spacing w:after="0"/>
              <w:rPr>
                <w:sz w:val="15"/>
                <w:szCs w:val="15"/>
                <w:color w:val="auto"/>
              </w:rPr>
            </w:pPr>
          </w:p>
        </w:tc>
        <w:tc>
          <w:tcPr>
            <w:tcW w:w="8520" w:type="dxa"/>
            <w:vAlign w:val="bottom"/>
            <w:gridSpan w:val="18"/>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510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Mine Safety Disclosures</w:t>
            </w:r>
          </w:p>
        </w:tc>
        <w:tc>
          <w:tcPr>
            <w:tcW w:w="712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Other Information</w:t>
            </w:r>
          </w:p>
        </w:tc>
        <w:tc>
          <w:tcPr>
            <w:tcW w:w="768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1"/>
              </w:rPr>
              <w:t>Exhibits</w:t>
            </w:r>
          </w:p>
        </w:tc>
        <w:tc>
          <w:tcPr>
            <w:tcW w:w="20" w:type="dxa"/>
            <w:vAlign w:val="bottom"/>
            <w:tcBorders>
              <w:top w:val="single" w:sz="8" w:color="0000FF"/>
              <w:bottom w:val="single" w:sz="8" w:color="0000EE"/>
            </w:tcBorders>
          </w:tcPr>
          <w:p>
            <w:pPr>
              <w:spacing w:after="0"/>
              <w:rPr>
                <w:sz w:val="15"/>
                <w:szCs w:val="15"/>
                <w:color w:val="auto"/>
              </w:rPr>
            </w:pPr>
          </w:p>
        </w:tc>
        <w:tc>
          <w:tcPr>
            <w:tcW w:w="700" w:type="dxa"/>
            <w:vAlign w:val="bottom"/>
            <w:tcBorders>
              <w:top w:val="single" w:sz="8" w:color="0000FF"/>
            </w:tcBorders>
            <w:gridSpan w:val="5"/>
          </w:tcPr>
          <w:p>
            <w:pPr>
              <w:spacing w:after="0"/>
              <w:rPr>
                <w:sz w:val="15"/>
                <w:szCs w:val="15"/>
                <w:color w:val="auto"/>
              </w:rPr>
            </w:pPr>
          </w:p>
        </w:tc>
        <w:tc>
          <w:tcPr>
            <w:tcW w:w="812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62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77"/>
              </w:rPr>
              <w:t>Signature</w:t>
            </w:r>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740" w:type="dxa"/>
            <w:vAlign w:val="bottom"/>
            <w:gridSpan w:val="2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2021, which was filed on March 14, 2022.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2021, regarding, among other things:</w:t>
      </w:r>
    </w:p>
    <w:p>
      <w:pPr>
        <w:spacing w:after="0" w:line="57" w:lineRule="exact"/>
        <w:rPr>
          <w:sz w:val="20"/>
          <w:szCs w:val="20"/>
          <w:color w:val="auto"/>
        </w:rPr>
      </w:pPr>
    </w:p>
    <w:p>
      <w:pPr>
        <w:jc w:val="both"/>
        <w:ind w:left="900" w:hanging="383"/>
        <w:spacing w:after="0" w:line="24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74"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16"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fluctuation in our operating results, causing our operating results to fall below expectations or any guidance we provide;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Biodesix WorkSafe™ testing program and our ability to meet such demand;</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incurrence of substantial liabilities and limiting or halting the marketing and sale of our diagnostic tests due to product liability lawsuits;</w:t>
      </w:r>
    </w:p>
    <w:p>
      <w:pPr>
        <w:spacing w:after="0" w:line="114"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90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03"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16"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03"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48"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03"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380" w:type="dxa"/>
            <w:vAlign w:val="bottom"/>
          </w:tcPr>
          <w:p>
            <w:pPr>
              <w:jc w:val="center"/>
              <w:ind w:left="377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738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380" w:type="dxa"/>
            <w:vAlign w:val="bottom"/>
          </w:tcPr>
          <w:p>
            <w:pPr>
              <w:jc w:val="center"/>
              <w:ind w:left="3790"/>
              <w:spacing w:after="0"/>
              <w:rPr>
                <w:sz w:val="20"/>
                <w:szCs w:val="20"/>
                <w:color w:val="auto"/>
              </w:rPr>
            </w:pPr>
            <w:r>
              <w:rPr>
                <w:rFonts w:ascii="Arial" w:cs="Arial" w:eastAsia="Arial" w:hAnsi="Arial"/>
                <w:sz w:val="18"/>
                <w:szCs w:val="18"/>
                <w:b w:val="1"/>
                <w:bCs w:val="1"/>
                <w:color w:val="auto"/>
              </w:rPr>
              <w:t>BIODESIX, INC.</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9"/>
        </w:trPr>
        <w:tc>
          <w:tcPr>
            <w:tcW w:w="7380" w:type="dxa"/>
            <w:vAlign w:val="bottom"/>
          </w:tcPr>
          <w:p>
            <w:pPr>
              <w:jc w:val="center"/>
              <w:ind w:left="3770"/>
              <w:spacing w:after="0"/>
              <w:rPr>
                <w:sz w:val="20"/>
                <w:szCs w:val="20"/>
                <w:color w:val="auto"/>
              </w:rPr>
            </w:pPr>
            <w:r>
              <w:rPr>
                <w:rFonts w:ascii="Arial" w:cs="Arial" w:eastAsia="Arial" w:hAnsi="Arial"/>
                <w:sz w:val="18"/>
                <w:szCs w:val="18"/>
                <w:b w:val="1"/>
                <w:bCs w:val="1"/>
                <w:color w:val="auto"/>
                <w:w w:val="86"/>
              </w:rPr>
              <w:t>Condensed Balance Sheets</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380" w:type="dxa"/>
            <w:vAlign w:val="bottom"/>
          </w:tcPr>
          <w:p>
            <w:pPr>
              <w:jc w:val="center"/>
              <w:ind w:left="3770"/>
              <w:spacing w:after="0"/>
              <w:rPr>
                <w:sz w:val="20"/>
                <w:szCs w:val="20"/>
                <w:color w:val="auto"/>
              </w:rPr>
            </w:pPr>
            <w:r>
              <w:rPr>
                <w:rFonts w:ascii="Arial" w:cs="Arial" w:eastAsia="Arial" w:hAnsi="Arial"/>
                <w:sz w:val="18"/>
                <w:szCs w:val="18"/>
                <w:b w:val="1"/>
                <w:bCs w:val="1"/>
                <w:color w:val="auto"/>
                <w:w w:val="88"/>
              </w:rPr>
              <w:t>(in thousands, except share data)</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7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24"/>
                <w:szCs w:val="2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December 31, 2021</w:t>
            </w:r>
          </w:p>
        </w:tc>
      </w:tr>
      <w:tr>
        <w:trPr>
          <w:trHeight w:val="209"/>
        </w:trPr>
        <w:tc>
          <w:tcPr>
            <w:tcW w:w="7380" w:type="dxa"/>
            <w:vAlign w:val="bottom"/>
            <w:shd w:val="clear" w:color="auto" w:fill="CFF0FC"/>
          </w:tcPr>
          <w:p>
            <w:pPr>
              <w:ind w:left="53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32,712</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 of $50 and $158</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43,613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r>
      <w:tr>
        <w:trPr>
          <w:trHeight w:val="209"/>
        </w:trPr>
        <w:tc>
          <w:tcPr>
            <w:tcW w:w="7380" w:type="dxa"/>
            <w:vAlign w:val="bottom"/>
            <w:tcBorders>
              <w:bottom w:val="single" w:sz="8" w:color="CFF0FC"/>
            </w:tcBorders>
            <w:shd w:val="clear" w:color="auto" w:fill="CFF0FC"/>
          </w:tcPr>
          <w:p>
            <w:pPr>
              <w:ind w:left="38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76,097</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tcPr>
          <w:p>
            <w:pPr>
              <w:ind w:left="3860"/>
              <w:spacing w:after="0"/>
              <w:rPr>
                <w:sz w:val="20"/>
                <w:szCs w:val="20"/>
                <w:color w:val="auto"/>
              </w:rPr>
            </w:pPr>
            <w:r>
              <w:rPr>
                <w:rFonts w:ascii="Arial" w:cs="Arial" w:eastAsia="Arial" w:hAnsi="Arial"/>
                <w:sz w:val="18"/>
                <w:szCs w:val="18"/>
                <w:b w:val="1"/>
                <w:bCs w:val="1"/>
                <w:color w:val="auto"/>
                <w:w w:val="93"/>
              </w:rPr>
              <w:t>Liabilities and Stockholders' (Deficit) Equity</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Current portion of contingent consideration</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17,764</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7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37,415</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 net of current portion</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w:t>
            </w:r>
          </w:p>
        </w:tc>
        <w:tc>
          <w:tcPr>
            <w:tcW w:w="10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16,028</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r>
      <w:tr>
        <w:trPr>
          <w:trHeight w:val="209"/>
        </w:trPr>
        <w:tc>
          <w:tcPr>
            <w:tcW w:w="7380" w:type="dxa"/>
            <w:vAlign w:val="bottom"/>
            <w:tcBorders>
              <w:bottom w:val="single" w:sz="8" w:color="CFF0FC"/>
            </w:tcBorders>
            <w:shd w:val="clear" w:color="auto" w:fill="CFF0FC"/>
          </w:tcPr>
          <w:p>
            <w:pPr>
              <w:ind w:left="38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56,370</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4"/>
        </w:trPr>
        <w:tc>
          <w:tcPr>
            <w:tcW w:w="73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Preferred stock, $0.001 par value, 5,000,000 shares authorized;</w:t>
            </w:r>
          </w:p>
        </w:tc>
        <w:tc>
          <w:tcPr>
            <w:tcW w:w="1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(2022 and 2021) shares issued and outstanding</w:t>
            </w:r>
          </w:p>
        </w:tc>
        <w:tc>
          <w:tcPr>
            <w:tcW w:w="100" w:type="dxa"/>
            <w:vAlign w:val="bottom"/>
            <w:shd w:val="clear" w:color="auto" w:fill="CFF0FC"/>
          </w:tcPr>
          <w:p>
            <w:pPr>
              <w:spacing w:after="0"/>
              <w:rPr>
                <w:sz w:val="20"/>
                <w:szCs w:val="20"/>
                <w:color w:val="auto"/>
              </w:rPr>
            </w:pPr>
          </w:p>
        </w:tc>
        <w:tc>
          <w:tcPr>
            <w:tcW w:w="19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4"/>
        </w:trPr>
        <w:tc>
          <w:tcPr>
            <w:tcW w:w="7380" w:type="dxa"/>
            <w:vAlign w:val="bottom"/>
          </w:tcPr>
          <w:p>
            <w:pPr>
              <w:ind w:left="200"/>
              <w:spacing w:after="0" w:line="175" w:lineRule="exact"/>
              <w:rPr>
                <w:sz w:val="20"/>
                <w:szCs w:val="20"/>
                <w:color w:val="auto"/>
              </w:rPr>
            </w:pPr>
            <w:r>
              <w:rPr>
                <w:rFonts w:ascii="Arial" w:cs="Arial" w:eastAsia="Arial" w:hAnsi="Arial"/>
                <w:sz w:val="18"/>
                <w:szCs w:val="18"/>
                <w:color w:val="auto"/>
              </w:rPr>
              <w:t>Common stock, $0.001 par value, 200,000,000 shares authorized;</w:t>
            </w: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380" w:type="dxa"/>
            <w:vAlign w:val="bottom"/>
          </w:tcPr>
          <w:p>
            <w:pPr>
              <w:ind w:left="380"/>
              <w:spacing w:after="0"/>
              <w:rPr>
                <w:sz w:val="20"/>
                <w:szCs w:val="20"/>
                <w:color w:val="auto"/>
              </w:rPr>
            </w:pPr>
            <w:r>
              <w:rPr>
                <w:rFonts w:ascii="Arial" w:cs="Arial" w:eastAsia="Arial" w:hAnsi="Arial"/>
                <w:sz w:val="18"/>
                <w:szCs w:val="18"/>
                <w:color w:val="auto"/>
              </w:rPr>
              <w:t>41,185,532 (2022) and 30,789,649 (2021) shares issued and outstanding</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r>
      <w:tr>
        <w:trPr>
          <w:trHeight w:val="216"/>
        </w:trPr>
        <w:tc>
          <w:tcPr>
            <w:tcW w:w="7380" w:type="dxa"/>
            <w:vAlign w:val="bottom"/>
            <w:shd w:val="clear" w:color="auto" w:fill="CFF0FC"/>
          </w:tcPr>
          <w:p>
            <w:pPr>
              <w:ind w:left="20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321,669</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(347,082 )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(301,973 )</w:t>
            </w:r>
          </w:p>
        </w:tc>
      </w:tr>
      <w:tr>
        <w:trPr>
          <w:trHeight w:val="209"/>
        </w:trPr>
        <w:tc>
          <w:tcPr>
            <w:tcW w:w="7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Arial" w:cs="Arial" w:eastAsia="Arial" w:hAnsi="Arial"/>
                <w:sz w:val="18"/>
                <w:szCs w:val="18"/>
                <w:color w:val="auto"/>
              </w:rPr>
              <w:t>Total liabilities and stockholders' (deficit)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76,097</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-5153660</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-5153660</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-4040505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-1523365</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-170815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96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BIODESIX,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9"/>
        </w:trPr>
        <w:tc>
          <w:tcPr>
            <w:tcW w:w="4100" w:type="dxa"/>
            <w:vAlign w:val="bottom"/>
          </w:tcPr>
          <w:p>
            <w:pPr>
              <w:spacing w:after="0"/>
              <w:rPr>
                <w:sz w:val="24"/>
                <w:szCs w:val="24"/>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Condensed Statements of Operations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100" w:type="dxa"/>
            <w:vAlign w:val="bottom"/>
          </w:tcPr>
          <w:p>
            <w:pPr>
              <w:spacing w:after="0"/>
              <w:rPr>
                <w:sz w:val="20"/>
                <w:szCs w:val="20"/>
                <w:color w:val="auto"/>
              </w:rPr>
            </w:pPr>
          </w:p>
        </w:tc>
        <w:tc>
          <w:tcPr>
            <w:tcW w:w="296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4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680" w:type="dxa"/>
            <w:vAlign w:val="bottom"/>
            <w:gridSpan w:val="6"/>
          </w:tcPr>
          <w:p>
            <w:pPr>
              <w:jc w:val="right"/>
              <w:ind w:right="181"/>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4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5"/>
              </w:rPr>
              <w:t>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FF0FC"/>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47,282</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Direct costs and expenses</w:t>
            </w:r>
          </w:p>
        </w:tc>
        <w:tc>
          <w:tcPr>
            <w:tcW w:w="158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28,025</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9,937</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marketing, general and administrative</w:t>
            </w:r>
          </w:p>
        </w:tc>
        <w:tc>
          <w:tcPr>
            <w:tcW w:w="158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36,959</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Change in fair value of contingent consideration</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loss on intangible assets</w:t>
            </w:r>
          </w:p>
        </w:tc>
        <w:tc>
          <w:tcPr>
            <w:tcW w:w="158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09"/>
        </w:trPr>
        <w:tc>
          <w:tcPr>
            <w:tcW w:w="4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21,717</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19,622</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65,302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76,543</w:t>
            </w:r>
          </w:p>
        </w:tc>
        <w:tc>
          <w:tcPr>
            <w:tcW w:w="100" w:type="dxa"/>
            <w:vAlign w:val="bottom"/>
            <w:tcBorders>
              <w:top w:val="single" w:sz="8" w:color="CCEEFF"/>
            </w:tcBorders>
          </w:tcPr>
          <w:p>
            <w:pPr>
              <w:spacing w:after="0"/>
              <w:rPr>
                <w:sz w:val="18"/>
                <w:szCs w:val="18"/>
                <w:color w:val="auto"/>
              </w:rPr>
            </w:pPr>
          </w:p>
        </w:tc>
      </w:tr>
      <w:tr>
        <w:trPr>
          <w:trHeight w:val="20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(3,039 )</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(1,546 )</w:t>
            </w: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(5,522 )</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(3,012 )</w:t>
            </w:r>
          </w:p>
        </w:tc>
      </w:tr>
      <w:tr>
        <w:trPr>
          <w:trHeight w:val="216"/>
        </w:trPr>
        <w:tc>
          <w:tcPr>
            <w:tcW w:w="4100" w:type="dxa"/>
            <w:vAlign w:val="bottom"/>
          </w:tcPr>
          <w:p>
            <w:pPr>
              <w:ind w:left="200"/>
              <w:spacing w:after="0"/>
              <w:rPr>
                <w:sz w:val="20"/>
                <w:szCs w:val="20"/>
                <w:color w:val="auto"/>
              </w:rPr>
            </w:pPr>
            <w:r>
              <w:rPr>
                <w:rFonts w:ascii="Arial" w:cs="Arial" w:eastAsia="Arial" w:hAnsi="Arial"/>
                <w:sz w:val="18"/>
                <w:szCs w:val="18"/>
                <w:color w:val="auto"/>
              </w:rPr>
              <w:t>(Loss) gain on extinguishment of liabilities, net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(52 )</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(3,004 )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8"/>
                <w:szCs w:val="18"/>
                <w:color w:val="auto"/>
              </w:rPr>
            </w:pPr>
          </w:p>
        </w:tc>
      </w:tr>
      <w:tr>
        <w:trPr>
          <w:trHeight w:val="216"/>
        </w:trPr>
        <w:tc>
          <w:tcPr>
            <w:tcW w:w="4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 net</w:t>
            </w:r>
          </w:p>
        </w:tc>
        <w:tc>
          <w:tcPr>
            <w:tcW w:w="15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(3,089 )</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(8,412 )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(616 )</w:t>
            </w:r>
          </w:p>
        </w:tc>
      </w:tr>
      <w:tr>
        <w:trPr>
          <w:trHeight w:val="216"/>
        </w:trPr>
        <w:tc>
          <w:tcPr>
            <w:tcW w:w="410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5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(13,699 )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(11,514 )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(45,109 )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(29,877 )</w:t>
            </w:r>
          </w:p>
        </w:tc>
      </w:tr>
      <w:tr>
        <w:trPr>
          <w:trHeight w:val="20"/>
        </w:trPr>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1580" w:type="dxa"/>
            <w:vAlign w:val="bottom"/>
            <w:shd w:val="clear" w:color="auto" w:fill="CFF0FC"/>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w w:val="90"/>
              </w:rPr>
              <w:t>Weighted-average shares outstanding, basic and diluted</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40,448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27,467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-1575435</wp:posOffset>
            </wp:positionV>
            <wp:extent cx="7683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-1575435</wp:posOffset>
            </wp:positionV>
            <wp:extent cx="7683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-1575435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-1575435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-736600</wp:posOffset>
            </wp:positionV>
            <wp:extent cx="768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-736600</wp:posOffset>
            </wp:positionV>
            <wp:extent cx="7683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-736600</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-454025</wp:posOffset>
            </wp:positionV>
            <wp:extent cx="7683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-454025</wp:posOffset>
            </wp:positionV>
            <wp:extent cx="768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-454025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ind w:left="4960"/>
        <w:spacing w:after="0"/>
        <w:rPr>
          <w:sz w:val="20"/>
          <w:szCs w:val="20"/>
          <w:color w:val="auto"/>
        </w:rPr>
      </w:pPr>
      <w:r>
        <w:rPr>
          <w:rFonts w:ascii="Arial" w:cs="Arial" w:eastAsia="Arial" w:hAnsi="Arial"/>
          <w:sz w:val="18"/>
          <w:szCs w:val="18"/>
          <w:b w:val="1"/>
          <w:bCs w:val="1"/>
          <w:color w:val="auto"/>
        </w:rPr>
        <w:t>BIODESIX, INC.</w:t>
      </w:r>
    </w:p>
    <w:p>
      <w:pPr>
        <w:spacing w:after="0" w:line="18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Statements of Stockholders' (Deficit)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2460" w:type="dxa"/>
            <w:vAlign w:val="bottom"/>
            <w:gridSpan w:val="3"/>
            <w:vMerge w:val="restart"/>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3"/>
              </w:rPr>
              <w:t>Additional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center"/>
              <w:ind w:right="81"/>
              <w:spacing w:after="0" w:line="189"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21"/>
        </w:trPr>
        <w:tc>
          <w:tcPr>
            <w:tcW w:w="3820" w:type="dxa"/>
            <w:vAlign w:val="bottom"/>
          </w:tcPr>
          <w:p>
            <w:pPr>
              <w:spacing w:after="0"/>
              <w:rPr>
                <w:sz w:val="19"/>
                <w:szCs w:val="19"/>
                <w:color w:val="auto"/>
              </w:rPr>
            </w:pPr>
          </w:p>
        </w:tc>
        <w:tc>
          <w:tcPr>
            <w:tcW w:w="246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50"/>
              <w:spacing w:after="0" w:line="207" w:lineRule="exact"/>
              <w:rPr>
                <w:sz w:val="20"/>
                <w:szCs w:val="20"/>
                <w:color w:val="auto"/>
              </w:rPr>
            </w:pPr>
            <w:r>
              <w:rPr>
                <w:rFonts w:ascii="Arial" w:cs="Arial" w:eastAsia="Arial" w:hAnsi="Arial"/>
                <w:sz w:val="18"/>
                <w:szCs w:val="18"/>
                <w:b w:val="1"/>
                <w:bCs w:val="1"/>
                <w:color w:val="auto"/>
                <w:w w:val="97"/>
              </w:rPr>
              <w:t>Paid</w:t>
            </w:r>
            <w:r>
              <w:rPr>
                <w:rFonts w:ascii="MS PGothic" w:cs="MS PGothic" w:eastAsia="MS PGothic" w:hAnsi="MS PGothic"/>
                <w:sz w:val="18"/>
                <w:szCs w:val="18"/>
                <w:b w:val="1"/>
                <w:bCs w:val="1"/>
                <w:color w:val="auto"/>
                <w:w w:val="97"/>
              </w:rPr>
              <w:t>‑</w:t>
            </w:r>
            <w:r>
              <w:rPr>
                <w:rFonts w:ascii="Arial" w:cs="Arial" w:eastAsia="Arial" w:hAnsi="Arial"/>
                <w:sz w:val="18"/>
                <w:szCs w:val="18"/>
                <w:b w:val="1"/>
                <w:bCs w:val="1"/>
                <w:color w:val="auto"/>
                <w:w w:val="97"/>
              </w:rPr>
              <w:t>In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9"/>
                <w:szCs w:val="19"/>
                <w:color w:val="auto"/>
              </w:rPr>
            </w:pPr>
          </w:p>
        </w:tc>
        <w:tc>
          <w:tcPr>
            <w:tcW w:w="128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Deficit</w:t>
            </w:r>
          </w:p>
        </w:tc>
        <w:tc>
          <w:tcPr>
            <w:tcW w:w="12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ind w:left="20"/>
              <w:spacing w:after="0" w:line="207"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30,790</w:t>
            </w:r>
          </w:p>
        </w:tc>
        <w:tc>
          <w:tcPr>
            <w:tcW w:w="2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321,669</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(301,973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820" w:type="dxa"/>
            <w:vAlign w:val="bottom"/>
          </w:tcPr>
          <w:p>
            <w:pPr>
              <w:ind w:left="20"/>
              <w:spacing w:after="0" w:line="175" w:lineRule="exact"/>
              <w:rPr>
                <w:sz w:val="20"/>
                <w:szCs w:val="20"/>
                <w:color w:val="auto"/>
              </w:rPr>
            </w:pPr>
            <w:r>
              <w:rPr>
                <w:rFonts w:ascii="Arial" w:cs="Arial" w:eastAsia="Arial" w:hAnsi="Arial"/>
                <w:sz w:val="18"/>
                <w:szCs w:val="18"/>
                <w:color w:val="auto"/>
                <w:w w:val="95"/>
              </w:rPr>
              <w:t>Issuance of common stock under employee stock</w:t>
            </w: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Issuance of common stock for deferred offering</w:t>
            </w: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Issuance of common stock, net</w:t>
            </w:r>
          </w:p>
        </w:tc>
        <w:tc>
          <w:tcPr>
            <w:tcW w:w="1080" w:type="dxa"/>
            <w:vAlign w:val="bottom"/>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(15,586 )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(15,586 )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ind w:left="20"/>
              <w:spacing w:after="0" w:line="207"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March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31,889</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325,308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(317,559 )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net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Release of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(15,824 )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(15,824 )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ind w:left="20"/>
              <w:spacing w:after="0" w:line="207"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June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39,979</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341,014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(333,383 )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8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5"/>
              </w:rPr>
              <w:t>Issuance of common stock under employee stock</w:t>
            </w: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Issuance of common stock, net</w:t>
            </w:r>
          </w:p>
        </w:tc>
        <w:tc>
          <w:tcPr>
            <w:tcW w:w="108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Release of restricted stock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(13,699 )</w:t>
            </w: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(13,699 )</w:t>
            </w:r>
          </w:p>
        </w:tc>
        <w:tc>
          <w:tcPr>
            <w:tcW w:w="0" w:type="dxa"/>
            <w:vAlign w:val="bottom"/>
          </w:tcPr>
          <w:p>
            <w:pPr>
              <w:spacing w:after="0"/>
              <w:rPr>
                <w:sz w:val="1"/>
                <w:szCs w:val="1"/>
                <w:color w:val="auto"/>
              </w:rPr>
            </w:pPr>
          </w:p>
        </w:tc>
      </w:tr>
      <w:tr>
        <w:trPr>
          <w:trHeight w:val="249"/>
        </w:trPr>
        <w:tc>
          <w:tcPr>
            <w:tcW w:w="3820" w:type="dxa"/>
            <w:vAlign w:val="bottom"/>
            <w:tcBorders>
              <w:bottom w:val="single" w:sz="8" w:color="CFF0FC"/>
            </w:tcBorders>
            <w:shd w:val="clear" w:color="auto" w:fill="CFF0FC"/>
          </w:tcPr>
          <w:p>
            <w:pPr>
              <w:ind w:left="20"/>
              <w:spacing w:after="0" w:line="207"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September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41,186</w:t>
            </w:r>
          </w:p>
        </w:tc>
        <w:tc>
          <w:tcPr>
            <w:tcW w:w="2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344,138</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(347,082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569"/>
        </w:trPr>
        <w:tc>
          <w:tcPr>
            <w:tcW w:w="3820" w:type="dxa"/>
            <w:vAlign w:val="bottom"/>
          </w:tcPr>
          <w:p>
            <w:pPr>
              <w:spacing w:after="0"/>
              <w:rPr>
                <w:sz w:val="24"/>
                <w:szCs w:val="24"/>
                <w:color w:val="auto"/>
              </w:rPr>
            </w:pPr>
          </w:p>
        </w:tc>
        <w:tc>
          <w:tcPr>
            <w:tcW w:w="2460" w:type="dxa"/>
            <w:vAlign w:val="bottom"/>
            <w:gridSpan w:val="3"/>
            <w:vMerge w:val="restart"/>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Additional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3820" w:type="dxa"/>
            <w:vAlign w:val="bottom"/>
          </w:tcPr>
          <w:p>
            <w:pPr>
              <w:spacing w:after="0"/>
              <w:rPr>
                <w:sz w:val="19"/>
                <w:szCs w:val="19"/>
                <w:color w:val="auto"/>
              </w:rPr>
            </w:pPr>
          </w:p>
        </w:tc>
        <w:tc>
          <w:tcPr>
            <w:tcW w:w="246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50"/>
              <w:spacing w:after="0" w:line="207" w:lineRule="exact"/>
              <w:rPr>
                <w:sz w:val="20"/>
                <w:szCs w:val="20"/>
                <w:color w:val="auto"/>
              </w:rPr>
            </w:pPr>
            <w:r>
              <w:rPr>
                <w:rFonts w:ascii="Arial" w:cs="Arial" w:eastAsia="Arial" w:hAnsi="Arial"/>
                <w:sz w:val="18"/>
                <w:szCs w:val="18"/>
                <w:b w:val="1"/>
                <w:bCs w:val="1"/>
                <w:color w:val="auto"/>
                <w:w w:val="97"/>
              </w:rPr>
              <w:t>Paid</w:t>
            </w:r>
            <w:r>
              <w:rPr>
                <w:rFonts w:ascii="MS PGothic" w:cs="MS PGothic" w:eastAsia="MS PGothic" w:hAnsi="MS PGothic"/>
                <w:sz w:val="18"/>
                <w:szCs w:val="18"/>
                <w:b w:val="1"/>
                <w:bCs w:val="1"/>
                <w:color w:val="auto"/>
                <w:w w:val="97"/>
              </w:rPr>
              <w:t>‑</w:t>
            </w:r>
            <w:r>
              <w:rPr>
                <w:rFonts w:ascii="Arial" w:cs="Arial" w:eastAsia="Arial" w:hAnsi="Arial"/>
                <w:sz w:val="18"/>
                <w:szCs w:val="18"/>
                <w:b w:val="1"/>
                <w:bCs w:val="1"/>
                <w:color w:val="auto"/>
                <w:w w:val="97"/>
              </w:rPr>
              <w:t>In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9"/>
                <w:szCs w:val="19"/>
                <w:color w:val="auto"/>
              </w:rPr>
            </w:pPr>
          </w:p>
        </w:tc>
        <w:tc>
          <w:tcPr>
            <w:tcW w:w="12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Deficit</w:t>
            </w:r>
          </w:p>
        </w:tc>
        <w:tc>
          <w:tcPr>
            <w:tcW w:w="12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ind w:left="20"/>
              <w:spacing w:after="0" w:line="207"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December 31,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26,562</w:t>
            </w:r>
          </w:p>
        </w:tc>
        <w:tc>
          <w:tcPr>
            <w:tcW w:w="2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299,953</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(258,814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(6,961 )</w:t>
            </w: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(6,961 )</w:t>
            </w: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ind w:left="20"/>
              <w:spacing w:after="0" w:line="207"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March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26,785</w:t>
            </w:r>
          </w:p>
        </w:tc>
        <w:tc>
          <w:tcPr>
            <w:tcW w:w="2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302,180</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(265,775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(11,402 )</w:t>
            </w: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(11,402 )</w:t>
            </w: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ind w:left="20"/>
              <w:spacing w:after="0" w:line="207"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June 30,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26,949</w:t>
            </w:r>
          </w:p>
        </w:tc>
        <w:tc>
          <w:tcPr>
            <w:tcW w:w="2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302,923</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(277,177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820" w:type="dxa"/>
            <w:vAlign w:val="bottom"/>
          </w:tcPr>
          <w:p>
            <w:pPr>
              <w:ind w:left="20"/>
              <w:spacing w:after="0" w:line="175" w:lineRule="exact"/>
              <w:rPr>
                <w:sz w:val="20"/>
                <w:szCs w:val="20"/>
                <w:color w:val="auto"/>
              </w:rPr>
            </w:pPr>
            <w:r>
              <w:rPr>
                <w:rFonts w:ascii="Arial" w:cs="Arial" w:eastAsia="Arial" w:hAnsi="Arial"/>
                <w:sz w:val="18"/>
                <w:szCs w:val="18"/>
                <w:color w:val="auto"/>
                <w:w w:val="95"/>
              </w:rPr>
              <w:t>Issuance of common stock under employee stock</w:t>
            </w: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(11,514 )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(11,514 )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ind w:left="20"/>
              <w:spacing w:after="0" w:line="207"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September 30, 2021</w:t>
            </w:r>
          </w:p>
        </w:tc>
        <w:tc>
          <w:tcPr>
            <w:tcW w:w="1080" w:type="dxa"/>
            <w:vAlign w:val="bottom"/>
          </w:tcPr>
          <w:p>
            <w:pPr>
              <w:jc w:val="right"/>
              <w:spacing w:after="0"/>
              <w:rPr>
                <w:sz w:val="20"/>
                <w:szCs w:val="20"/>
                <w:color w:val="auto"/>
              </w:rPr>
            </w:pPr>
            <w:r>
              <w:rPr>
                <w:rFonts w:ascii="Arial" w:cs="Arial" w:eastAsia="Arial" w:hAnsi="Arial"/>
                <w:sz w:val="18"/>
                <w:szCs w:val="18"/>
                <w:color w:val="auto"/>
              </w:rPr>
              <w:t>27,020</w:t>
            </w:r>
          </w:p>
        </w:tc>
        <w:tc>
          <w:tcPr>
            <w:tcW w:w="280" w:type="dxa"/>
            <w:vAlign w:val="bottom"/>
          </w:tcPr>
          <w:p>
            <w:pPr>
              <w:spacing w:after="0"/>
              <w:rPr>
                <w:sz w:val="18"/>
                <w:szCs w:val="18"/>
                <w:color w:val="auto"/>
              </w:rPr>
            </w:pP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304,697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(288,691 )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-4845685</wp:posOffset>
            </wp:positionV>
            <wp:extent cx="7683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-4845685</wp:posOffset>
            </wp:positionV>
            <wp:extent cx="7683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-4845685</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-4845685</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-4845685</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-4015105</wp:posOffset>
            </wp:positionV>
            <wp:extent cx="7683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-4015105</wp:posOffset>
            </wp:positionV>
            <wp:extent cx="7683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-4015105</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-4015105</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-4015105</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-2781935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-2764790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-2781935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-2764790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-2781935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-2764790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-2781935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-2764790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-2781935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-2764790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-170815</wp:posOffset>
            </wp:positionV>
            <wp:extent cx="7683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-170815</wp:posOffset>
            </wp:positionV>
            <wp:extent cx="7683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-170815</wp:posOffset>
            </wp:positionV>
            <wp:extent cx="685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-170815</wp:posOffset>
            </wp:positionV>
            <wp:extent cx="685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740" w:type="dxa"/>
            <w:vAlign w:val="bottom"/>
          </w:tcPr>
          <w:p>
            <w:pPr>
              <w:jc w:val="center"/>
              <w:ind w:left="3430"/>
              <w:spacing w:after="0"/>
              <w:rPr>
                <w:sz w:val="20"/>
                <w:szCs w:val="20"/>
                <w:color w:val="auto"/>
              </w:rPr>
            </w:pPr>
            <w:r>
              <w:rPr>
                <w:rFonts w:ascii="Arial" w:cs="Arial" w:eastAsia="Arial" w:hAnsi="Arial"/>
                <w:sz w:val="18"/>
                <w:szCs w:val="18"/>
                <w:b w:val="1"/>
                <w:bCs w:val="1"/>
                <w:color w:val="auto"/>
              </w:rPr>
              <w:t>BIODESIX, INC.</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740" w:type="dxa"/>
            <w:vAlign w:val="bottom"/>
          </w:tcPr>
          <w:p>
            <w:pPr>
              <w:jc w:val="center"/>
              <w:ind w:left="3430"/>
              <w:spacing w:after="0"/>
              <w:rPr>
                <w:sz w:val="20"/>
                <w:szCs w:val="20"/>
                <w:color w:val="auto"/>
              </w:rPr>
            </w:pPr>
            <w:r>
              <w:rPr>
                <w:rFonts w:ascii="Arial" w:cs="Arial" w:eastAsia="Arial" w:hAnsi="Arial"/>
                <w:sz w:val="18"/>
                <w:szCs w:val="18"/>
                <w:b w:val="1"/>
                <w:bCs w:val="1"/>
                <w:color w:val="auto"/>
                <w:w w:val="87"/>
              </w:rPr>
              <w:t>Condensed Statements of Cash Flows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40" w:type="dxa"/>
            <w:vAlign w:val="bottom"/>
          </w:tcPr>
          <w:p>
            <w:pPr>
              <w:jc w:val="center"/>
              <w:ind w:left="3430"/>
              <w:spacing w:after="0"/>
              <w:rPr>
                <w:sz w:val="20"/>
                <w:szCs w:val="20"/>
                <w:color w:val="auto"/>
              </w:rPr>
            </w:pPr>
            <w:r>
              <w:rPr>
                <w:rFonts w:ascii="Arial" w:cs="Arial" w:eastAsia="Arial" w:hAnsi="Arial"/>
                <w:sz w:val="18"/>
                <w:szCs w:val="18"/>
                <w:b w:val="1"/>
                <w:bCs w:val="1"/>
                <w:color w:val="auto"/>
                <w:w w:val="88"/>
              </w:rPr>
              <w:t>(in thousands)</w:t>
            </w:r>
          </w:p>
        </w:tc>
        <w:tc>
          <w:tcPr>
            <w:tcW w:w="3500" w:type="dxa"/>
            <w:vAlign w:val="bottom"/>
            <w:gridSpan w:val="6"/>
            <w:vMerge w:val="restart"/>
          </w:tcPr>
          <w:p>
            <w:pPr>
              <w:jc w:val="right"/>
              <w:ind w:right="381"/>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35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(45,109 )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(29,877 )</w:t>
            </w:r>
          </w:p>
        </w:tc>
        <w:tc>
          <w:tcPr>
            <w:tcW w:w="0" w:type="dxa"/>
            <w:vAlign w:val="bottom"/>
          </w:tcPr>
          <w:p>
            <w:pPr>
              <w:spacing w:after="0"/>
              <w:rPr>
                <w:sz w:val="1"/>
                <w:szCs w:val="1"/>
                <w:color w:val="auto"/>
              </w:rPr>
            </w:pPr>
          </w:p>
        </w:tc>
      </w:tr>
      <w:tr>
        <w:trPr>
          <w:trHeight w:val="174"/>
        </w:trPr>
        <w:tc>
          <w:tcPr>
            <w:tcW w:w="77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Adjustments to reconcile net loss to net cash, cash equivalents, and restricted</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cash used in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lease right-of-use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Loss (gain) on extinguishment of liabilities,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(2,395 )</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Change in contingent consideration</w:t>
            </w:r>
          </w:p>
        </w:tc>
        <w:tc>
          <w:tcPr>
            <w:tcW w:w="980" w:type="dxa"/>
            <w:vAlign w:val="bottom"/>
          </w:tcPr>
          <w:p>
            <w:pPr>
              <w:spacing w:after="0"/>
              <w:rPr>
                <w:sz w:val="18"/>
                <w:szCs w:val="18"/>
                <w:color w:val="auto"/>
              </w:rPr>
            </w:pPr>
          </w:p>
        </w:tc>
        <w:tc>
          <w:tcPr>
            <w:tcW w:w="8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doubtful accounts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(27 )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Accrued interest, amortization of debt issuance costs and other</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Inventory excess and obsolescence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Impairment loss on intangible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(765 )</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9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(3,645 )</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(646 )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(9,262 )</w:t>
            </w:r>
          </w:p>
        </w:tc>
        <w:tc>
          <w:tcPr>
            <w:tcW w:w="0" w:type="dxa"/>
            <w:vAlign w:val="bottom"/>
          </w:tcPr>
          <w:p>
            <w:pPr>
              <w:spacing w:after="0"/>
              <w:rPr>
                <w:sz w:val="1"/>
                <w:szCs w:val="1"/>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(985 )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(1,772 )</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Current and long-term operating lease liabilities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(730 )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color w:val="auto"/>
              </w:rPr>
              <w:t>Net cash, cash equivalents, and restricted cash used in operating activities</w:t>
            </w:r>
          </w:p>
        </w:tc>
        <w:tc>
          <w:tcPr>
            <w:tcW w:w="9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(33,024 )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(18,026 )</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(1,368 )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(1,711 )</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Patent costs and intangible asset acquisition, net</w:t>
            </w:r>
          </w:p>
        </w:tc>
        <w:tc>
          <w:tcPr>
            <w:tcW w:w="9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(179 )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cash equivalents, and restricted cash used in investing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17,966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contingent consideration</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(8,691 )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term loan and notes payable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15,102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 of term loan and notes payable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(5,038 )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(25,424 )</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Payment of debt issuance costs</w:t>
            </w:r>
          </w:p>
        </w:tc>
        <w:tc>
          <w:tcPr>
            <w:tcW w:w="9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(2,249 )</w:t>
            </w:r>
          </w:p>
        </w:tc>
        <w:tc>
          <w:tcPr>
            <w:tcW w:w="3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offering costs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(129 )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Equity financing costs</w:t>
            </w:r>
          </w:p>
        </w:tc>
        <w:tc>
          <w:tcPr>
            <w:tcW w:w="9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(407 )</w:t>
            </w:r>
          </w:p>
        </w:tc>
        <w:tc>
          <w:tcPr>
            <w:tcW w:w="36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(24 )</w:t>
            </w: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color w:val="auto"/>
              </w:rPr>
              <w:t>Net cash, cash equivalents, and restricted cash provided by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17,034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(17,537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32,798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40" w:type="dxa"/>
            <w:vAlign w:val="bottom"/>
            <w:tcBorders>
              <w:bottom w:val="single" w:sz="8" w:color="CFF0FC"/>
            </w:tcBorders>
            <w:shd w:val="clear" w:color="auto" w:fill="CFF0FC"/>
          </w:tcPr>
          <w:p>
            <w:pPr>
              <w:ind w:left="20"/>
              <w:spacing w:after="0" w:line="207"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end of period</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15,261</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-3081655</wp:posOffset>
            </wp:positionV>
            <wp:extent cx="6858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-3081655</wp:posOffset>
            </wp:positionV>
            <wp:extent cx="6858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-611505</wp:posOffset>
            </wp:positionV>
            <wp:extent cx="125857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585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74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740" w:type="dxa"/>
            <w:vAlign w:val="bottom"/>
          </w:tcPr>
          <w:p>
            <w:pPr>
              <w:ind w:left="4620"/>
              <w:spacing w:after="0"/>
              <w:rPr>
                <w:sz w:val="20"/>
                <w:szCs w:val="20"/>
                <w:color w:val="auto"/>
              </w:rPr>
            </w:pPr>
            <w:r>
              <w:rPr>
                <w:rFonts w:ascii="Arial" w:cs="Arial" w:eastAsia="Arial" w:hAnsi="Arial"/>
                <w:sz w:val="18"/>
                <w:szCs w:val="18"/>
                <w:b w:val="1"/>
                <w:bCs w:val="1"/>
                <w:color w:val="auto"/>
              </w:rPr>
              <w:t>Statements of Cash Flows</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508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7740" w:type="dxa"/>
            <w:vAlign w:val="bottom"/>
          </w:tcPr>
          <w:p>
            <w:pPr>
              <w:spacing w:after="0"/>
              <w:rPr>
                <w:sz w:val="20"/>
                <w:szCs w:val="20"/>
                <w:color w:val="auto"/>
              </w:rPr>
            </w:pPr>
            <w:r>
              <w:rPr>
                <w:rFonts w:ascii="Arial" w:cs="Arial" w:eastAsia="Arial" w:hAnsi="Arial"/>
                <w:sz w:val="18"/>
                <w:szCs w:val="18"/>
                <w:color w:val="auto"/>
              </w:rPr>
              <w:t>(Continued from the previous page)</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7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3400" w:type="dxa"/>
            <w:vAlign w:val="bottom"/>
            <w:gridSpan w:val="5"/>
            <w:vMerge w:val="restart"/>
          </w:tcPr>
          <w:p>
            <w:pPr>
              <w:jc w:val="right"/>
              <w:ind w:right="270"/>
              <w:spacing w:after="0"/>
              <w:rPr>
                <w:sz w:val="20"/>
                <w:szCs w:val="20"/>
                <w:color w:val="auto"/>
              </w:rPr>
            </w:pPr>
            <w:r>
              <w:rPr>
                <w:rFonts w:ascii="Arial" w:cs="Arial" w:eastAsia="Arial" w:hAnsi="Arial"/>
                <w:sz w:val="18"/>
                <w:szCs w:val="18"/>
                <w:b w:val="1"/>
                <w:bCs w:val="1"/>
                <w:color w:val="auto"/>
              </w:rPr>
              <w:t>Nine Months Ended September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740" w:type="dxa"/>
            <w:vAlign w:val="bottom"/>
          </w:tcPr>
          <w:p>
            <w:pPr>
              <w:spacing w:after="0"/>
              <w:rPr>
                <w:sz w:val="17"/>
                <w:szCs w:val="17"/>
                <w:color w:val="auto"/>
              </w:rPr>
            </w:pPr>
          </w:p>
        </w:tc>
        <w:tc>
          <w:tcPr>
            <w:tcW w:w="3400" w:type="dxa"/>
            <w:vAlign w:val="bottom"/>
            <w:tcBorders>
              <w:bottom w:val="single" w:sz="8" w:color="auto"/>
            </w:tcBorders>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 for deferred offering costs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Deferred offering costs amortized against Additional paid-in capital</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Original issue discount associated with Promissory Note One</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Equity financing costs included in Accrued liabilities</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Finance lease right-of-use assets obtained in exchange for lease liabilities</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&amp; equipment included in Accrued liabilities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Patent costs included in Accrued liabilities</w:t>
            </w: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BIODESIX,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Biodesix, Inc. (the “Company”, “Biodesix”, “we” “us” and “our”), formerly Elston Technologies, Inc., was incorporated in Delaware in 2005. The Company’s headquarters are in Colorado, with laboratories in Colorado and Kansas. The Company conducts all of its operations within a single legal entity.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Blood-Based Lung Tests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five blood-based lung cancer tests across the lung cancer continuum of care:</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Diagnosis</w:t>
      </w:r>
    </w:p>
    <w:p>
      <w:pPr>
        <w:spacing w:after="0" w:line="117" w:lineRule="exact"/>
        <w:rPr>
          <w:sz w:val="20"/>
          <w:szCs w:val="20"/>
          <w:color w:val="auto"/>
        </w:rPr>
      </w:pPr>
    </w:p>
    <w:p>
      <w:pPr>
        <w:jc w:val="both"/>
        <w:ind w:left="900" w:hanging="383"/>
        <w:spacing w:after="0" w:line="24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Nodify XL2®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 </w:t>
      </w:r>
      <w:r>
        <w:rPr>
          <w:rFonts w:ascii="Arial" w:cs="Arial" w:eastAsia="Arial" w:hAnsi="Arial"/>
          <w:sz w:val="18"/>
          <w:szCs w:val="18"/>
          <w:color w:val="auto"/>
        </w:rPr>
        <w:t>tests, marketed as our Nodify Lung</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 cancer</w:t>
      </w:r>
      <w:r>
        <w:rPr>
          <w:rFonts w:ascii="Arial" w:cs="Arial" w:eastAsia="Arial" w:hAnsi="Arial"/>
          <w:sz w:val="18"/>
          <w:szCs w:val="18"/>
          <w:i w:val="1"/>
          <w:iCs w:val="1"/>
          <w:color w:val="auto"/>
        </w:rPr>
        <w:t xml:space="preserve"> </w:t>
      </w:r>
      <w:r>
        <w:rPr>
          <w:rFonts w:ascii="Arial" w:cs="Arial" w:eastAsia="Arial" w:hAnsi="Arial"/>
          <w:sz w:val="18"/>
          <w:szCs w:val="18"/>
          <w:color w:val="auto"/>
        </w:rPr>
        <w:t>to help identify the most appropriate treatment pathway. We believe we are the only company to offer two commercial blood-based tests to help physicians reclassify risk of malignancy in patients with suspicious lung nodules.</w:t>
      </w:r>
    </w:p>
    <w:p>
      <w:pPr>
        <w:spacing w:after="0" w:line="8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Treatment &amp; Monitoring</w:t>
      </w:r>
    </w:p>
    <w:p>
      <w:pPr>
        <w:spacing w:after="0" w:line="103" w:lineRule="exact"/>
        <w:rPr>
          <w:sz w:val="20"/>
          <w:szCs w:val="20"/>
          <w:color w:val="auto"/>
        </w:rPr>
      </w:pPr>
    </w:p>
    <w:p>
      <w:pPr>
        <w:jc w:val="both"/>
        <w:ind w:left="900" w:hanging="383"/>
        <w:spacing w:after="0" w:line="24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GeneStrat® ddPCR™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part of our new IQLung™ testing strategy, are used following diagnosis of lung cancer</w:t>
      </w:r>
      <w:r>
        <w:rPr>
          <w:rFonts w:ascii="Arial" w:cs="Arial" w:eastAsia="Arial" w:hAnsi="Arial"/>
          <w:sz w:val="18"/>
          <w:szCs w:val="18"/>
          <w:i w:val="1"/>
          <w:iCs w:val="1"/>
          <w:color w:val="auto"/>
        </w:rPr>
        <w:t xml:space="preserve"> </w:t>
      </w:r>
      <w:r>
        <w:rPr>
          <w:rFonts w:ascii="Arial" w:cs="Arial" w:eastAsia="Arial" w:hAnsi="Arial"/>
          <w:sz w:val="18"/>
          <w:szCs w:val="18"/>
          <w:color w:val="auto"/>
        </w:rPr>
        <w:t>to measure the presence of mutations in the tumor and the state of the patient’s immune system to establish the patient’s prognosis and help guide treatment decisions. The GeneStrat ddPCR tumor profiling test and the VeriStrat immune profiling test have a 36-hour average turnaround time, providing physicians with timely results to facilitate treatment decisions.</w:t>
      </w:r>
    </w:p>
    <w:p>
      <w:pPr>
        <w:spacing w:after="0" w:line="74" w:lineRule="exact"/>
        <w:rPr>
          <w:rFonts w:ascii="Arial" w:cs="Arial" w:eastAsia="Arial" w:hAnsi="Arial"/>
          <w:sz w:val="18"/>
          <w:szCs w:val="18"/>
          <w:color w:val="auto"/>
        </w:rPr>
      </w:pPr>
    </w:p>
    <w:p>
      <w:pPr>
        <w:jc w:val="both"/>
        <w:ind w:left="900" w:hanging="383"/>
        <w:spacing w:after="0" w:line="24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GeneStrat NGS™ (NGS) </w:t>
      </w:r>
      <w:r>
        <w:rPr>
          <w:rFonts w:ascii="Arial" w:cs="Arial" w:eastAsia="Arial" w:hAnsi="Arial"/>
          <w:sz w:val="18"/>
          <w:szCs w:val="18"/>
          <w:color w:val="auto"/>
        </w:rPr>
        <w:t>test, also marketed as part of our new IQLung testing strategy, our 72-hour average turnaround time blood-based NGS</w:t>
      </w:r>
      <w:r>
        <w:rPr>
          <w:rFonts w:ascii="Arial" w:cs="Arial" w:eastAsia="Arial" w:hAnsi="Arial"/>
          <w:sz w:val="18"/>
          <w:szCs w:val="18"/>
          <w:i w:val="1"/>
          <w:iCs w:val="1"/>
          <w:color w:val="auto"/>
        </w:rPr>
        <w:t xml:space="preserve"> </w:t>
      </w:r>
      <w:r>
        <w:rPr>
          <w:rFonts w:ascii="Arial" w:cs="Arial" w:eastAsia="Arial" w:hAnsi="Arial"/>
          <w:sz w:val="18"/>
          <w:szCs w:val="18"/>
          <w:color w:val="auto"/>
        </w:rPr>
        <w:t>test, was launched in November 2021 to a select group of physicians, with national launch in January 2022. The 52-gene panel includes guideline recommended mutations to help physicians treating advanced-stage lung cancer patients identify targeted therapy mutations in genes, such as EGFR, ALK, KRAS, MET, NTRK, ERBB2, and others, and delivers them in an expedited timeframe so patient treatment can begin sooner.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Tests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operate and have commercialized the Biodesix WorkSafe testing program, under which the Company offers three SARS-CoV-2 tests:</w:t>
      </w:r>
    </w:p>
    <w:p>
      <w:pPr>
        <w:spacing w:after="0" w:line="103" w:lineRule="exact"/>
        <w:rPr>
          <w:sz w:val="20"/>
          <w:szCs w:val="20"/>
          <w:color w:val="auto"/>
        </w:rPr>
      </w:pPr>
    </w:p>
    <w:p>
      <w:pPr>
        <w:jc w:val="both"/>
        <w:ind w:left="900" w:hanging="383"/>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FDA EUA authorized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current infection by the SARS-CoV-2 virus.</w:t>
      </w:r>
    </w:p>
    <w:p>
      <w:pPr>
        <w:spacing w:after="0" w:line="68"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FDA EUA authorized, intended for detecting a B-cell immune response to SARS-CoV-2, indicating recent or prior infection.</w:t>
      </w:r>
    </w:p>
    <w:p>
      <w:pPr>
        <w:spacing w:after="0" w:line="48"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cPass™ SARS-CoV-2 Neutralization Antibody </w:t>
      </w:r>
      <w:r>
        <w:rPr>
          <w:rFonts w:ascii="Arial" w:cs="Arial" w:eastAsia="Arial" w:hAnsi="Arial"/>
          <w:sz w:val="18"/>
          <w:szCs w:val="18"/>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first blood-based surrogate neutralizing antibody test with FDA EUA and uses</w:t>
      </w:r>
      <w:r>
        <w:rPr>
          <w:rFonts w:ascii="Arial" w:cs="Arial" w:eastAsia="Arial" w:hAnsi="Arial"/>
          <w:sz w:val="18"/>
          <w:szCs w:val="18"/>
          <w:i w:val="1"/>
          <w:iCs w:val="1"/>
          <w:color w:val="auto"/>
        </w:rPr>
        <w:t xml:space="preserve"> </w:t>
      </w:r>
      <w:r>
        <w:rPr>
          <w:rFonts w:ascii="Arial" w:cs="Arial" w:eastAsia="Arial" w:hAnsi="Arial"/>
          <w:sz w:val="18"/>
          <w:szCs w:val="18"/>
          <w:color w:val="auto"/>
        </w:rPr>
        <w:t>ELISA technology to qualitatively detect circulating neutralizing antibodies to the receptor binding domain (RBD) in the spike protein of SARS-CoV-2 that are produced in response to a previous SARS-CoV-2 infection. This test was commercially introduced in partnership with GenScript Biotech Corporation.</w:t>
      </w:r>
    </w:p>
    <w:p>
      <w:pPr>
        <w:spacing w:after="0" w:line="75"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These tests under the Biodesix WorkSafe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2021.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2021 was derived from the audited financial statements.</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As of September 30, 2022, we maintained cash and cash equivalents of $15.2 million and we have $21.4 million in outstanding aggregate principal amount on our 2021 Term Loan and Promissory Note One.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 lung diagnostic testing and COVID-19 testing, and (ii) providing biopharmaceutical companies with development and testing services. In accordance with Accounting Standards Update 2014-15 (ASC Topic 205-40), </w:t>
      </w:r>
      <w:r>
        <w:rPr>
          <w:rFonts w:ascii="Arial" w:cs="Arial" w:eastAsia="Arial" w:hAnsi="Arial"/>
          <w:sz w:val="17"/>
          <w:szCs w:val="17"/>
          <w:i w:val="1"/>
          <w:iCs w:val="1"/>
          <w:color w:val="auto"/>
        </w:rPr>
        <w:t>Presentation of Financial Statements -</w:t>
      </w:r>
      <w:r>
        <w:rPr>
          <w:rFonts w:ascii="Arial" w:cs="Arial" w:eastAsia="Arial" w:hAnsi="Arial"/>
          <w:sz w:val="17"/>
          <w:szCs w:val="17"/>
          <w:color w:val="auto"/>
        </w:rPr>
        <w:t xml:space="preserve"> </w:t>
      </w:r>
      <w:r>
        <w:rPr>
          <w:rFonts w:ascii="Arial" w:cs="Arial" w:eastAsia="Arial" w:hAnsi="Arial"/>
          <w:sz w:val="17"/>
          <w:szCs w:val="17"/>
          <w:i w:val="1"/>
          <w:iCs w:val="1"/>
          <w:color w:val="auto"/>
        </w:rPr>
        <w:t>Going Concern: Disclosure of Uncertainties about an Entity’s Ability to Continue as a Going Concern</w:t>
      </w:r>
      <w:r>
        <w:rPr>
          <w:rFonts w:ascii="Arial" w:cs="Arial" w:eastAsia="Arial" w:hAnsi="Arial"/>
          <w:sz w:val="17"/>
          <w:szCs w:val="17"/>
          <w:color w:val="auto"/>
        </w:rPr>
        <w:t>, the Company is required to evaluate whether there</w:t>
      </w:r>
      <w:r>
        <w:rPr>
          <w:rFonts w:ascii="Arial" w:cs="Arial" w:eastAsia="Arial" w:hAnsi="Arial"/>
          <w:sz w:val="17"/>
          <w:szCs w:val="17"/>
          <w:i w:val="1"/>
          <w:iCs w:val="1"/>
          <w:color w:val="auto"/>
        </w:rPr>
        <w:t xml:space="preserve"> </w:t>
      </w:r>
      <w:r>
        <w:rPr>
          <w:rFonts w:ascii="Arial" w:cs="Arial" w:eastAsia="Arial" w:hAnsi="Arial"/>
          <w:sz w:val="17"/>
          <w:szCs w:val="17"/>
          <w:color w:val="auto"/>
        </w:rPr>
        <w:t>is substantial doubt about its ability to continue as a going concern each reporting period, including interim periods. In evaluating the Company’s ability to continue as a going concern, management projected its cash flow sources, including the debt and equity funding and amendments to the 2021 Term Loan and Integrated Diagnostics, Inc. (Indi) Agreement,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Our ability to meet our obligations as they come due may be impacted by our ability to remain compliant with financial covenants in our loan agreements (see </w:t>
      </w:r>
      <w:r>
        <w:rPr>
          <w:rFonts w:ascii="Arial" w:cs="Arial" w:eastAsia="Arial" w:hAnsi="Arial"/>
          <w:sz w:val="18"/>
          <w:szCs w:val="18"/>
          <w:i w:val="1"/>
          <w:iCs w:val="1"/>
          <w:color w:val="auto"/>
        </w:rPr>
        <w:t>Note 6 – Debt</w:t>
      </w:r>
      <w:r>
        <w:rPr>
          <w:rFonts w:ascii="Arial" w:cs="Arial" w:eastAsia="Arial" w:hAnsi="Arial"/>
          <w:sz w:val="18"/>
          <w:szCs w:val="18"/>
          <w:color w:val="auto"/>
        </w:rPr>
        <w:t>) or to obtain waivers or amendments that impact the related covenants.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Based on our current operating plan, unless we continue to raise additional capital (debt or equity) or obtain a waiver from complying with such financial covenants, we expect that we will be unable to maintain our financial covenants under our existing loan agreements during the next twelve months, which could result in an Event of Default, as defined, causing an acceleration and repayment of the outstanding balances. We have taken steps to improve our liquidity through raising debt and equity capital during 2022, amendments to our 2021 Term Loan, and have also undertaken several proactive measures to mitigate the financial and operational impacts of the COVID-19 pandemic through the reduction of planned capital expenditures and certain operating expenses but we do not expect that these actions alone will be sufficient to maintain our financial covenants. During the three months ended June 30, 2022, we entered into a $25.0 million debt facility with funding for up to $25.0 million in two tranches. On May 9, 2022, we closed on the first tranche for gross proceeds of $15.0 million (approximately $12.8 million, net, after deducting debt issuance costs and original issue discounts (OID)). We also amended the Indi Agreement to delay near term cash requirements and extend the period of milestone payments. 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revenues, results of operations and cash flows have been materially adversely impacted by the items noted above. 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after these financial statements are issued. Our unaudited financial statements have been prepared assuming we will continue as a going concern and do not include any adjustments that might be necessary should we be unable to continue as a going concern.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Uncertainties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Substantially all of the Company’s cash and cash equivalents are deposited with two major financial institutions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Several of the components for certain of the Company's sample collection kits, test reagents, and test systems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a discussion of credit risk concentration of accounts receivable as of September 30, 2022 and December 31, 2021, see </w:t>
      </w:r>
      <w:r>
        <w:rPr>
          <w:rFonts w:ascii="Arial" w:cs="Arial" w:eastAsia="Arial" w:hAnsi="Arial"/>
          <w:sz w:val="18"/>
          <w:szCs w:val="18"/>
          <w:i w:val="1"/>
          <w:iCs w:val="1"/>
          <w:color w:val="auto"/>
        </w:rPr>
        <w:t>Note 9 – Revenue and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Credit Concentration</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Inventory consists primarily of material supplies, which are consumed in the performance of testing services and charged to ‘Direct costs and expenses’. Inventory is stated at cost and reported within ‘Other current assets’ in the balance sheet and was $1.4 million and $2.9 million as of September 30, 2022 and December 31, 2021, respectively. The Company recorded a reserve for excess inventory of $0.3 million and zero, primarily associated with the wind down of the COVID-19 testing operation, as of September 30, 2022 and December 31, 2021,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hierarchy and the related inputs are as follows:</w:t>
      </w:r>
    </w:p>
    <w:p>
      <w:pPr>
        <w:spacing w:after="0" w:line="99" w:lineRule="exact"/>
        <w:rPr>
          <w:sz w:val="20"/>
          <w:szCs w:val="20"/>
          <w:color w:val="auto"/>
        </w:rPr>
      </w:pPr>
    </w:p>
    <w:p>
      <w:pPr>
        <w:ind w:left="800"/>
        <w:spacing w:after="0"/>
        <w:tabs>
          <w:tab w:leader="none" w:pos="6480" w:val="left"/>
        </w:tabs>
        <w:rPr>
          <w:sz w:val="20"/>
          <w:szCs w:val="20"/>
          <w:color w:val="auto"/>
        </w:rPr>
      </w:pPr>
      <w:r>
        <w:rPr>
          <w:rFonts w:ascii="Arial" w:cs="Arial" w:eastAsia="Arial" w:hAnsi="Arial"/>
          <w:sz w:val="18"/>
          <w:szCs w:val="18"/>
          <w:b w:val="1"/>
          <w:bCs w:val="1"/>
          <w:color w:val="auto"/>
        </w:rPr>
        <w:t>Level</w:t>
      </w:r>
      <w:r>
        <w:rPr>
          <w:sz w:val="20"/>
          <w:szCs w:val="20"/>
          <w:color w:val="auto"/>
        </w:rPr>
        <w:tab/>
      </w:r>
      <w:r>
        <w:rPr>
          <w:rFonts w:ascii="Arial" w:cs="Arial" w:eastAsia="Arial" w:hAnsi="Arial"/>
          <w:sz w:val="18"/>
          <w:szCs w:val="18"/>
          <w:b w:val="1"/>
          <w:bCs w:val="1"/>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2280" w:hanging="1306"/>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Unadjusted quoted prices in active markets for identical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 w:lineRule="exact"/>
        <w:rPr>
          <w:sz w:val="20"/>
          <w:szCs w:val="20"/>
          <w:color w:val="auto"/>
        </w:rPr>
      </w:pPr>
    </w:p>
    <w:p>
      <w:pPr>
        <w:ind w:left="2280" w:hanging="1306"/>
        <w:spacing w:after="0"/>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Unadjusted quoted prices in active markets for similar assets and liabilities;</w:t>
      </w:r>
    </w:p>
    <w:p>
      <w:pPr>
        <w:spacing w:after="0" w:line="8"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Unadjusted quoted prices for identical or similar assets or liabilities in markets that are not active;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80" w:hanging="1306"/>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Unobservable inputs for the asset or liability.</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4 — Fair Value</w:t>
      </w:r>
      <w:r>
        <w:rPr>
          <w:rFonts w:ascii="Arial" w:cs="Arial" w:eastAsia="Arial" w:hAnsi="Arial"/>
          <w:sz w:val="18"/>
          <w:szCs w:val="18"/>
          <w:color w:val="auto"/>
        </w:rPr>
        <w:t xml:space="preserve"> for further discussion related to estimated fair value measurements.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three months ended September 30, 2022, the $5.0 million cash collateralized letter of credit under the operating lease agreement with Centennial Valley Properties I, LLC (see </w:t>
      </w:r>
      <w:r>
        <w:rPr>
          <w:rFonts w:ascii="Arial" w:cs="Arial" w:eastAsia="Arial" w:hAnsi="Arial"/>
          <w:sz w:val="18"/>
          <w:szCs w:val="18"/>
          <w:i w:val="1"/>
          <w:iCs w:val="1"/>
          <w:color w:val="auto"/>
        </w:rPr>
        <w:t>Note 7 – Leases</w:t>
      </w:r>
      <w:r>
        <w:rPr>
          <w:rFonts w:ascii="Arial" w:cs="Arial" w:eastAsia="Arial" w:hAnsi="Arial"/>
          <w:sz w:val="18"/>
          <w:szCs w:val="18"/>
          <w:color w:val="auto"/>
        </w:rPr>
        <w:t>) was released and the funds were subsequently transferred to the landlord (lessor) as a refundable deposit to secure the performance of the Company’s obligations. The $5.0 million refundable deposit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is now reported within 'Other long-term assets' in the balance sheet as of September 30, 2022. In addition, $0.1 million of restricted cash deposits related to the Company’s corporate credit cards are reported within ‘Other current assets’ in the balance sheets as of September 30, 2022 and December 31, 2021,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In February 2016, the FASB issued Account Standard Update (ASU) No. 2016-2,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This ASU intends to make accounting for leasing activities more transparent and comparable, and requires substantially all leases be recognized by lessees on their balance sheet as a right-of-use asset and corresponding lease liability, including leases accounted for as operating leases. In addition to other related amendments, the FASB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2022 and as a result, recorded operating lease right-of-use (ROU) assets of $1.3 million, including offsetting deferred rent of $0.1 million, along with the associated operating lease liabilities of $1.3 million. On January 1, 2022, the Company did not have any finance leases. The adoption of ASC 842 did not result in a cumulative effect adjustment to beginning retained earnings, and did not materially affect the Company's statement of operations, statement of stockholders' equity or statement of cash flows for the nine months ended September 30, 2022.</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elected the following practical expedients permitted under the transition guidance within the new standard:</w:t>
      </w:r>
    </w:p>
    <w:p>
      <w:pPr>
        <w:spacing w:after="0" w:line="103" w:lineRule="exact"/>
        <w:rPr>
          <w:sz w:val="20"/>
          <w:szCs w:val="20"/>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Package of practical expedients which allows the Company to carry forward the historical lease classification;</w:t>
      </w:r>
    </w:p>
    <w:p>
      <w:pPr>
        <w:spacing w:after="0" w:line="116" w:lineRule="exact"/>
        <w:rPr>
          <w:rFonts w:ascii="Arial" w:cs="Arial" w:eastAsia="Arial" w:hAnsi="Arial"/>
          <w:sz w:val="18"/>
          <w:szCs w:val="18"/>
          <w:color w:val="auto"/>
        </w:rPr>
      </w:pPr>
    </w:p>
    <w:p>
      <w:pPr>
        <w:ind w:left="1020" w:hanging="504"/>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Hindsight practical expedient which allows the Company to use hindsight in determining the lease term, in assessing purchase options, and in assessing impairment of ROU assets;</w:t>
      </w:r>
    </w:p>
    <w:p>
      <w:pPr>
        <w:spacing w:after="0" w:line="62"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Short-term lease practical expedient which allows the Company to capitalize only those leases with an initial term of twelve months or more, and;</w:t>
      </w:r>
    </w:p>
    <w:p>
      <w:pPr>
        <w:spacing w:after="0" w:line="48" w:lineRule="exact"/>
        <w:rPr>
          <w:rFonts w:ascii="Arial" w:cs="Arial" w:eastAsia="Arial" w:hAnsi="Arial"/>
          <w:sz w:val="18"/>
          <w:szCs w:val="18"/>
          <w:color w:val="auto"/>
        </w:rPr>
      </w:pPr>
    </w:p>
    <w:p>
      <w:pPr>
        <w:ind w:left="1020" w:right="20" w:hanging="504"/>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practical expedient to account for lease and non-lease components (such as common area maintenance, utilities, insurance and taxes) as a single lease component for all classes of underlying assets.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Management determines if an arrangement is a lease at inception or upon modification of a contract.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and disclosures required by this new standard are contained in </w:t>
      </w:r>
      <w:r>
        <w:rPr>
          <w:rFonts w:ascii="Arial" w:cs="Arial" w:eastAsia="Arial" w:hAnsi="Arial"/>
          <w:sz w:val="18"/>
          <w:szCs w:val="18"/>
          <w:i w:val="1"/>
          <w:iCs w:val="1"/>
          <w:color w:val="auto"/>
        </w:rPr>
        <w:t>Note 7 — Leases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guidance will become effective for the Company beginning January 1, 2023 with early adoption permitted. The Company is currently evaluating this guidance and assessing the overall impact on its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borrowing instruments are recorded at their carrying values in the balance sheets, which may differ from their respective fair values. The difference between the carrying value and fair value of outstanding borrowings as of September 30, 2022 is due to the debt issuance costs and OID netted against Promissory Note One entered into with Streeterville Capital, LLC, in May 2022, partially offset by an increase in the interest rates to reflect current market and Company specific conditions. The carrying value of outstanding borrowings as of December 31, 2021, approximates fair value based on interest rates available at that time for similar borrowings. The table below presents the carrying and fair values of outstanding borrowings, which are classified as Level 2, as of the dates indicated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8"/>
                <w:szCs w:val="18"/>
                <w:color w:val="auto"/>
              </w:rPr>
            </w:pPr>
          </w:p>
        </w:tc>
      </w:tr>
      <w:tr>
        <w:trPr>
          <w:trHeight w:val="230"/>
        </w:trPr>
        <w:tc>
          <w:tcPr>
            <w:tcW w:w="44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Carrying Value</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30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Carrying Value</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20,686</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liabilities that are measured and recorded at estimated fair value on a recurring basis consist of our contingent consideration associated with our previous acquisition of Indi which is accounted for as a liability and remeasured through our statements of operations.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reported fair values of contingent consideration, which is classified as Level 3 in the fair value hierarchy, as of the dates indicated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September 30, 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 2021</w:t>
            </w:r>
          </w:p>
        </w:tc>
        <w:tc>
          <w:tcPr>
            <w:tcW w:w="100" w:type="dxa"/>
            <w:vAlign w:val="bottom"/>
          </w:tcPr>
          <w:p>
            <w:pPr>
              <w:spacing w:after="0"/>
              <w:rPr>
                <w:sz w:val="20"/>
                <w:szCs w:val="20"/>
                <w:color w:val="auto"/>
              </w:rPr>
            </w:pPr>
          </w:p>
        </w:tc>
      </w:tr>
      <w:tr>
        <w:trPr>
          <w:trHeight w:val="20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contingent consideration</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17,764</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16,028</w:t>
            </w:r>
          </w:p>
        </w:tc>
        <w:tc>
          <w:tcPr>
            <w:tcW w:w="100" w:type="dxa"/>
            <w:vAlign w:val="bottom"/>
          </w:tcPr>
          <w:p>
            <w:pPr>
              <w:spacing w:after="0"/>
              <w:rPr>
                <w:sz w:val="18"/>
                <w:szCs w:val="18"/>
                <w:color w:val="auto"/>
              </w:rPr>
            </w:pPr>
          </w:p>
        </w:tc>
      </w:tr>
      <w:tr>
        <w:trPr>
          <w:trHeight w:val="249"/>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contingent consideration</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contingent consideration for the nine months ended September 30, 2022 and 2021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For the nine months</w:t>
            </w:r>
          </w:p>
        </w:tc>
        <w:tc>
          <w:tcPr>
            <w:tcW w:w="100" w:type="dxa"/>
            <w:vAlign w:val="bottom"/>
          </w:tcPr>
          <w:p>
            <w:pPr>
              <w:spacing w:after="0"/>
              <w:rPr>
                <w:sz w:val="18"/>
                <w:szCs w:val="18"/>
                <w:color w:val="auto"/>
              </w:rPr>
            </w:pPr>
          </w:p>
        </w:tc>
      </w:tr>
      <w:tr>
        <w:trPr>
          <w:trHeight w:val="234"/>
        </w:trPr>
        <w:tc>
          <w:tcPr>
            <w:tcW w:w="8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ended September 30,</w:t>
            </w:r>
          </w:p>
        </w:tc>
        <w:tc>
          <w:tcPr>
            <w:tcW w:w="100" w:type="dxa"/>
            <w:vAlign w:val="bottom"/>
          </w:tcPr>
          <w:p>
            <w:pPr>
              <w:spacing w:after="0"/>
              <w:rPr>
                <w:sz w:val="20"/>
                <w:szCs w:val="20"/>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 Rollforward</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8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balances - January 1</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33,792</w:t>
            </w: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29,932</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Changes in fair value</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liabilities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of contingent consideration</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(8,691 )</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9"/>
        </w:trPr>
        <w:tc>
          <w:tcPr>
            <w:tcW w:w="82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Ending balances - September 30</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30,177</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32,850</w:t>
            </w:r>
          </w:p>
        </w:tc>
        <w:tc>
          <w:tcPr>
            <w:tcW w:w="100" w:type="dxa"/>
            <w:vAlign w:val="bottom"/>
            <w:tcBorders>
              <w:top w:val="single" w:sz="8" w:color="CCEEFF"/>
            </w:tcBorders>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-170815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 gross margin target of $2.0 million within the seven-year period after the acquisition date. Under the terms of the original agreement, when the gross margin target was met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met the gross margin target of $2.0 million for three consecutive months during the three months ended June 30, 2021. The Company entered into an amendment to the original agreement in August 2021 in which all parties agreed to forgo the issuance of common stock and agreed that the Company will in lieu thereof make six quarterly installments of approximately $4.6 million each beginning in January 2022 and a final payment of approximately $9.3 million in July 2023 for a total of $37.0 million (the Milestone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Payments and each individually a Milestone Payment). The aggregate amount of payments owed by the Company under this amendment is the same as if Indi had exercised the put right or the Company had exercised the call right provided for in the original agreement.</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On April 7, 2022, the Company entered into Amendment No. 3 to the Indi APA in which the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are subject to consent from Silicon Valley Bank (SVB) under the 2021 Term Loan and related amendments (see </w:t>
      </w:r>
      <w:r>
        <w:rPr>
          <w:rFonts w:ascii="Arial" w:cs="Arial" w:eastAsia="Arial" w:hAnsi="Arial"/>
          <w:sz w:val="17"/>
          <w:szCs w:val="17"/>
          <w:i w:val="1"/>
          <w:iCs w:val="1"/>
          <w:color w:val="auto"/>
        </w:rPr>
        <w:t>Note 6 - Debt</w:t>
      </w:r>
      <w:r>
        <w:rPr>
          <w:rFonts w:ascii="Arial" w:cs="Arial" w:eastAsia="Arial" w:hAnsi="Arial"/>
          <w:sz w:val="17"/>
          <w:szCs w:val="17"/>
          <w:color w:val="auto"/>
        </w:rPr>
        <w:t>). We have obtained SVB consent for contractual payments through the fourth Milestone Payment and interest of $2.1 million paid in October 2022.</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contingent consideration liability is accounted for at fair value and subject to certain unobservable inputs. The significant unobservable inputs used in the measurement of the fair value include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includes the discount rate since all other inputs became fixed and determinable. Significant increases or decreases in the discount rate would result in a significantly higher or lower fair value measurement. During the three months ended June 30, 2022, the Company recorded $1.1 million in interest expense due to the passage of time and fixed payment schedule, partially offset by a reduction to the contingent consideration balance of $1.0 million due to an increase in the discount rate to reflect current market and Company specific conditions, resulting in $0.1 million, net recorded as ‘Interest expense’ in the statements of operations.</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extinguishment of $2.9 million in the statements of operations.</w:t>
      </w:r>
    </w:p>
    <w:p>
      <w:pPr>
        <w:spacing w:after="0" w:line="6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During the three and nine months ended September 30, 2022, the Company recorded $1.2 million and $2.1 million, respectively, and $1.0 million and $1.3 million during three and nine months ended September 30, 2021, respectively, in interest expense due to the passage of time and fixed payment schedule.</w:t>
      </w:r>
    </w:p>
    <w:p>
      <w:pPr>
        <w:spacing w:after="0" w:line="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Contingent consideration expected to be paid in the next twelve months is recorded in the balance sheets as ‘Current portion of contingent consideration’ while the remaining amount to be paid is recorded as ‘Contingent consideration’ within non-current liabilities. The net change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Arial" w:cs="Arial" w:eastAsia="Arial" w:hAnsi="Arial"/>
                <w:sz w:val="18"/>
                <w:szCs w:val="18"/>
                <w:b w:val="1"/>
                <w:bCs w:val="1"/>
                <w:color w:val="auto"/>
              </w:rPr>
              <w:t>Note 5 – Supplementary Balance Sheet Information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688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September 30, 2022</w:t>
            </w:r>
          </w:p>
        </w:tc>
        <w:tc>
          <w:tcPr>
            <w:tcW w:w="220" w:type="dxa"/>
            <w:vAlign w:val="bottom"/>
          </w:tcPr>
          <w:p>
            <w:pPr>
              <w:spacing w:after="0"/>
              <w:rPr>
                <w:sz w:val="24"/>
                <w:szCs w:val="24"/>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December 31, 2021</w:t>
            </w:r>
          </w:p>
        </w:tc>
      </w:tr>
      <w:tr>
        <w:trPr>
          <w:trHeight w:val="209"/>
        </w:trPr>
        <w:tc>
          <w:tcPr>
            <w:tcW w:w="6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6,778</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16"/>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process</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11,676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10,928</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(7,417 )</w:t>
            </w:r>
          </w:p>
        </w:tc>
        <w:tc>
          <w:tcPr>
            <w:tcW w:w="2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(6,749 )</w:t>
            </w:r>
          </w:p>
        </w:tc>
      </w:tr>
      <w:tr>
        <w:trPr>
          <w:trHeight w:val="209"/>
        </w:trPr>
        <w:tc>
          <w:tcPr>
            <w:tcW w:w="6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FF0FC"/>
            </w:tcBorders>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-453390</wp:posOffset>
            </wp:positionV>
            <wp:extent cx="6858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-170815</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expense for the three and nine months ended September 30, 2022 was $0.4 million and $1.2 million, respectively, compared to $0.3 million and $0.8 million for the three and nine months ended September 30, 2021,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excluding goodwill, consist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9"/>
              </w:rPr>
              <w:t>September 30, 2022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4"/>
              </w:rPr>
              <w:t>December 31, 2021</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64"/>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60"/>
              <w:spacing w:after="0" w:line="164" w:lineRule="exact"/>
              <w:rPr>
                <w:sz w:val="20"/>
                <w:szCs w:val="20"/>
                <w:color w:val="auto"/>
              </w:rPr>
            </w:pPr>
            <w:r>
              <w:rPr>
                <w:rFonts w:ascii="Arial" w:cs="Arial" w:eastAsia="Arial" w:hAnsi="Arial"/>
                <w:sz w:val="18"/>
                <w:szCs w:val="18"/>
                <w:b w:val="1"/>
                <w:bCs w:val="1"/>
                <w:color w:val="auto"/>
                <w:w w:val="88"/>
              </w:rPr>
              <w:t>Accumulated</w:t>
            </w:r>
          </w:p>
        </w:tc>
        <w:tc>
          <w:tcPr>
            <w:tcW w:w="1160" w:type="dxa"/>
            <w:vAlign w:val="bottom"/>
            <w:gridSpan w:val="2"/>
          </w:tcPr>
          <w:p>
            <w:pPr>
              <w:jc w:val="right"/>
              <w:spacing w:after="0" w:line="164" w:lineRule="exact"/>
              <w:rPr>
                <w:sz w:val="20"/>
                <w:szCs w:val="20"/>
                <w:color w:val="auto"/>
              </w:rPr>
            </w:pPr>
            <w:r>
              <w:rPr>
                <w:rFonts w:ascii="Arial" w:cs="Arial" w:eastAsia="Arial" w:hAnsi="Arial"/>
                <w:sz w:val="18"/>
                <w:szCs w:val="18"/>
                <w:b w:val="1"/>
                <w:bCs w:val="1"/>
                <w:color w:val="auto"/>
                <w:w w:val="98"/>
              </w:rPr>
              <w:t>Net Carrying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280"/>
              <w:spacing w:after="0" w:line="164" w:lineRule="exact"/>
              <w:rPr>
                <w:sz w:val="20"/>
                <w:szCs w:val="20"/>
                <w:color w:val="auto"/>
              </w:rPr>
            </w:pPr>
            <w:r>
              <w:rPr>
                <w:rFonts w:ascii="Arial" w:cs="Arial" w:eastAsia="Arial" w:hAnsi="Arial"/>
                <w:sz w:val="18"/>
                <w:szCs w:val="18"/>
                <w:b w:val="1"/>
                <w:bCs w:val="1"/>
                <w:color w:val="auto"/>
                <w:w w:val="93"/>
              </w:rPr>
              <w:t>Accumulated</w:t>
            </w:r>
          </w:p>
        </w:tc>
        <w:tc>
          <w:tcPr>
            <w:tcW w:w="1060" w:type="dxa"/>
            <w:vAlign w:val="bottom"/>
            <w:gridSpan w:val="2"/>
          </w:tcPr>
          <w:p>
            <w:pPr>
              <w:ind w:left="20"/>
              <w:spacing w:after="0" w:line="164" w:lineRule="exact"/>
              <w:rPr>
                <w:sz w:val="20"/>
                <w:szCs w:val="20"/>
                <w:color w:val="auto"/>
              </w:rPr>
            </w:pPr>
            <w:r>
              <w:rPr>
                <w:rFonts w:ascii="Arial" w:cs="Arial" w:eastAsia="Arial" w:hAnsi="Arial"/>
                <w:sz w:val="18"/>
                <w:szCs w:val="18"/>
                <w:b w:val="1"/>
                <w:bCs w:val="1"/>
                <w:color w:val="auto"/>
                <w:w w:val="94"/>
              </w:rPr>
              <w:t>Net Carrying</w:t>
            </w:r>
          </w:p>
        </w:tc>
        <w:tc>
          <w:tcPr>
            <w:tcW w:w="100" w:type="dxa"/>
            <w:vAlign w:val="bottom"/>
          </w:tcPr>
          <w:p>
            <w:pPr>
              <w:spacing w:after="0"/>
              <w:rPr>
                <w:sz w:val="14"/>
                <w:szCs w:val="14"/>
                <w:color w:val="auto"/>
              </w:rPr>
            </w:pPr>
          </w:p>
        </w:tc>
      </w:tr>
      <w:tr>
        <w:trPr>
          <w:trHeight w:val="234"/>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Amortization</w:t>
            </w:r>
          </w:p>
        </w:tc>
        <w:tc>
          <w:tcPr>
            <w:tcW w:w="20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09"/>
        </w:trPr>
        <w:tc>
          <w:tcPr>
            <w:tcW w:w="3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8"/>
              </w:rPr>
              <w:t>Intangible assets subject to amortization</w:t>
            </w: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Patents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(623 )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1,755</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(566 )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8"/>
                <w:szCs w:val="18"/>
                <w:color w:val="auto"/>
              </w:rPr>
            </w:pPr>
          </w:p>
        </w:tc>
      </w:tr>
      <w:tr>
        <w:trPr>
          <w:trHeight w:val="216"/>
        </w:trPr>
        <w:tc>
          <w:tcPr>
            <w:tcW w:w="3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Purchased technology</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(7,981 )</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(6,572 )</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10,328</w:t>
            </w:r>
          </w:p>
        </w:tc>
        <w:tc>
          <w:tcPr>
            <w:tcW w:w="100" w:type="dxa"/>
            <w:vAlign w:val="bottom"/>
            <w:shd w:val="clear" w:color="auto" w:fill="CFF0FC"/>
          </w:tcPr>
          <w:p>
            <w:pPr>
              <w:spacing w:after="0"/>
              <w:rPr>
                <w:sz w:val="18"/>
                <w:szCs w:val="18"/>
                <w:color w:val="auto"/>
              </w:rPr>
            </w:pPr>
          </w:p>
        </w:tc>
      </w:tr>
      <w:tr>
        <w:trPr>
          <w:trHeight w:val="174"/>
        </w:trPr>
        <w:tc>
          <w:tcPr>
            <w:tcW w:w="336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Intangible assets not subject to</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360" w:type="dxa"/>
            <w:vAlign w:val="bottom"/>
            <w:gridSpan w:val="2"/>
          </w:tcPr>
          <w:p>
            <w:pPr>
              <w:ind w:left="16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3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(8,604 )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10,223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18,755</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(7,138 )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-170815</wp:posOffset>
            </wp:positionV>
            <wp:extent cx="7683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-170815</wp:posOffset>
            </wp:positionV>
            <wp:extent cx="7683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-170815</wp:posOffset>
            </wp:positionV>
            <wp:extent cx="7683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-170815</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-170815</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related to definite-lived intangible assets was $0.5 million and $1.5 million for both the three and nine months ended September 30, 2022 and 2021,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Future estimated amortization expense of intangible assets is (in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6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As of September 30, 2022</w:t>
            </w:r>
          </w:p>
        </w:tc>
        <w:tc>
          <w:tcPr>
            <w:tcW w:w="100" w:type="dxa"/>
            <w:vAlign w:val="bottom"/>
          </w:tcPr>
          <w:p>
            <w:pPr>
              <w:spacing w:after="0"/>
              <w:rPr>
                <w:sz w:val="24"/>
                <w:szCs w:val="24"/>
                <w:color w:val="auto"/>
              </w:rPr>
            </w:pPr>
          </w:p>
        </w:tc>
      </w:tr>
      <w:tr>
        <w:trPr>
          <w:trHeight w:val="20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8"/>
                <w:szCs w:val="18"/>
                <w:color w:val="auto"/>
              </w:rPr>
            </w:pPr>
          </w:p>
        </w:tc>
      </w:tr>
      <w:tr>
        <w:trPr>
          <w:trHeight w:val="249"/>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684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2021</w:t>
            </w:r>
          </w:p>
        </w:tc>
        <w:tc>
          <w:tcPr>
            <w:tcW w:w="100" w:type="dxa"/>
            <w:vAlign w:val="bottom"/>
          </w:tcPr>
          <w:p>
            <w:pPr>
              <w:spacing w:after="0"/>
              <w:rPr>
                <w:sz w:val="24"/>
                <w:szCs w:val="24"/>
                <w:color w:val="auto"/>
              </w:rPr>
            </w:pPr>
          </w:p>
        </w:tc>
      </w:tr>
      <w:tr>
        <w:trPr>
          <w:trHeight w:val="209"/>
        </w:trPr>
        <w:tc>
          <w:tcPr>
            <w:tcW w:w="68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Compensation related accruals</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Arial" w:cs="Arial" w:eastAsia="Arial" w:hAnsi="Arial"/>
                <w:sz w:val="18"/>
                <w:szCs w:val="18"/>
                <w:color w:val="auto"/>
              </w:rPr>
              <w:t>Accrued clinical trial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ind w:left="120"/>
              <w:spacing w:after="0"/>
              <w:rPr>
                <w:sz w:val="20"/>
                <w:szCs w:val="20"/>
                <w:color w:val="auto"/>
              </w:rPr>
            </w:pPr>
            <w:r>
              <w:rPr>
                <w:rFonts w:ascii="Arial" w:cs="Arial" w:eastAsia="Arial" w:hAnsi="Arial"/>
                <w:sz w:val="18"/>
                <w:szCs w:val="18"/>
                <w:color w:val="auto"/>
              </w:rPr>
              <w:t>Total accrued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6,677</w:t>
            </w:r>
          </w:p>
        </w:tc>
        <w:tc>
          <w:tcPr>
            <w:tcW w:w="100" w:type="dxa"/>
            <w:vAlign w:val="bottom"/>
          </w:tcPr>
          <w:p>
            <w:pPr>
              <w:spacing w:after="0"/>
              <w:rPr>
                <w:sz w:val="18"/>
                <w:szCs w:val="18"/>
                <w:color w:val="auto"/>
              </w:rPr>
            </w:pP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-1120775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-170815</wp:posOffset>
            </wp:positionV>
            <wp:extent cx="7683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long-term debt primarily consists of notes payable associated with Promissory Note One and our 2021 Term Loan which is described in further detail below. Long-term notes payable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September 30, 2022</w:t>
            </w:r>
          </w:p>
        </w:tc>
        <w:tc>
          <w:tcPr>
            <w:tcW w:w="22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December 31, 2021</w:t>
            </w:r>
          </w:p>
        </w:tc>
      </w:tr>
      <w:tr>
        <w:trPr>
          <w:trHeight w:val="209"/>
        </w:trPr>
        <w:tc>
          <w:tcPr>
            <w:tcW w:w="4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Promissory Note One</w:t>
            </w:r>
          </w:p>
        </w:tc>
        <w:tc>
          <w:tcPr>
            <w:tcW w:w="2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16,409</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2021 Term Loan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(2,334 )</w:t>
            </w:r>
          </w:p>
        </w:tc>
        <w:tc>
          <w:tcPr>
            <w:tcW w:w="22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(63 )</w:t>
            </w:r>
          </w:p>
        </w:tc>
      </w:tr>
      <w:tr>
        <w:trPr>
          <w:trHeight w:val="209"/>
        </w:trPr>
        <w:tc>
          <w:tcPr>
            <w:tcW w:w="444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19,214</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49"/>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notes payable</w:t>
            </w:r>
          </w:p>
        </w:tc>
        <w:tc>
          <w:tcPr>
            <w:tcW w:w="256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4440" w:type="dxa"/>
            <w:vAlign w:val="bottom"/>
          </w:tcPr>
          <w:p>
            <w:pPr>
              <w:spacing w:after="0"/>
              <w:rPr>
                <w:sz w:val="24"/>
                <w:szCs w:val="24"/>
                <w:color w:val="auto"/>
              </w:rPr>
            </w:pPr>
          </w:p>
        </w:tc>
        <w:tc>
          <w:tcPr>
            <w:tcW w:w="2440" w:type="dxa"/>
            <w:vAlign w:val="bottom"/>
          </w:tcPr>
          <w:p>
            <w:pPr>
              <w:jc w:val="right"/>
              <w:ind w:right="10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44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-504825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-487680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May 9, 2022 (the First Closing Date), the Company entered into a securities purchase agreement (the SPA) with Streeterville Capital, LLC (Lender), pursuant to which, among other things, the Lender: (i) purchased a secured promissory note (Promissory Note One) in the aggregate principal amount totaling $16.0 million in exchange for $15.0 million less certain expenses and (ii) agreed to purchase another secured promissory note at the Company’s election (Promissory Note Two and, together with Promissory Note One, the Promissory Notes), subject to certain conditions precedent in aggregate principal amount totaling $10.3 million in exchange for $10.0 million in cash proceeds. Each of the Promissory Notes may, at the Company's option, be settled in shares of common stock of the Company (the Common Stock), upon the terms and subject to the limitations and conditions set forth in the Promissory Notes. The Company's net proceeds from the issuance of Promissory Note One were approximately $12.8 million, after deducting debt issuance costs and original issue discount (OID). The Company intends to use the proceeds from such issuance for general corporate purposes.</w:t>
      </w:r>
    </w:p>
    <w:p>
      <w:pPr>
        <w:spacing w:after="0" w:line="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Promissory Notes have a stated interest rate of 6% per annum. The maturity date of each Promissory Note is 24 months from the issuance date of such Note (the Maturity Date). Promissory Note One was issued with an OID of $1.0 million while Promissory Note Two, if issued, will be subject to an OID of $0.3 million subject to certain contingencies which could increase the OID by an additional $0.5 million. The Promissory Notes are eligible for early payment for cash, at the Company’s election, subject to a prepayment premium of 10% of the outstanding principal balance.</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ability to draw Promissory Note Two is subject to the satisfaction, among other things, of the following conditions: (i) within nine months following the First Closing Date, repayment in full all outstanding obligations under the 2021 Term Loan, (ii) the Company shall have received no less than $5.6 million in proceeds from the sale (not attributable to Lender or its affiliates) of newly issued equity securities during the period beginning on the First Closing Date and ending on January 31, 2023 (the Second Closing Date), (iii) on or before the Second Closing Date, the Company shall have met or exceeded Revenue Milestone 1 (as defined in the Promissory Notes), (iv) (a) the aggregate market value of the Company’s common stock and any other equity securities held by persons that are not affiliates of the Company on the Second Closing Date shall be greater than or equal to $75.0 million or (b) received no less than $20.0 million in additional proceeds from the sale (not attributable to Lender or its affiliates) of new equity securities in the Company not counting those proceeds set forth in item (ii) above (for total proceeds of no less than $25.6 million during the period beginning on the First Closing Date and ending on the Second Closing Date; (v) as of the Second Closing Date, Company is in good standing with Nasdaq Stock Market (the NASDAQ) and has not received any notice of non-compliance; (vi) Company shall be current in its payments to Indi, and (vii) there being no Trigger Event (as defined in the Promissory Notes) under Promissory Note One. If Promissory Note Two is issued, the terms of Promissory Note One and Note Two will be substantively identical.</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Under the SPA, the parties provided customary representations and warranties to each other. Also, until all amounts due under the Promissory Notes are paid in full, the Company agreed, among other things, to: (i) timely make all filings under the Securities Exchange Act of 1934, (ii) ensure that its Common Stock continues to be listed on the NASDAQ or the New York Stock Exchange, (iii) not enter into any agreement or otherwise agree to any covenant, condition, or obligation that locks up, restricts in any way or otherwise prohibits Company: (a) from entering into a variable rate transaction with Lender or any affiliate of Lender, or (b) from issuing Common Stock, preferred stock, warrants, convertible notes, other debt securities, or any other Company securities to Lender or any affiliate of Lender, (iv) will not make any Restricted Issuances (as defined in the Promissory Notes) without Lender’s prior written consent, which consent may be granted or withheld in Lender’s sole and absolute discretion (v) within 9 months following the First Closing Date, the Company will repay in full all outstanding obligations under the 2021 Term Loan, (vi) beginning on April 1, 2023, Company shall maintain a minimum liquidity balance of at least $3.0 million (which liquidity balance shall only include cash, cash equivalents and accounts receivable), and (vii) offer the Lender the right to purchase up to 30% of future equity and debt securities offerings, subject to certain exceptions and limitations. The Company also agreed under the SPA to reserve with the Company’s transfer agent 37.0 million shares of Common Stock for potential issuance under the Promissory Notes for shares that may be delivered in connection with the redemption right, which reservation may be increased and decreased in certain circumstances.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Beginning on the date that is nine months after the issuance date of the applicable Promissory Note, the Lender has the right to redeem up to $1.4 million and $1.0 million of the outstanding balance of Promissory Note One and Promissory Note Two per month, respectively. Payments may be made by the Company, at the Company’s option, either in (a) in cash, or (b) in the form of shares of Common Stock with the number of redemption shares being equal to the portion of the applicable redemption amount divided by the Redemption Conversion Price or (c) a combination of cash and shares of Common Stock. The Promissory Notes have a 6% exit fee on any redemption amount paid in cash. The Redemption Conversion Price shall equal 85% multiplied by the lowest daily VWAP during the ten trading days immediately preceding the date the Lender delivers notice electing to redeem a portion of the Promissory Note. The Company’s right to satisfy the redemption amount in shares of Common Stock is subject to certain limitations, including (i) there not being any Equity Conditions Failure (as defined in the Note), (ii) the Lender and its affiliates together not owning more than 9.99% of the outstanding shares of Common Stock, and (iii) the aggregate shares of Common Stock issued upon redemption of the Promissory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Notes not exceeding 19.99% of the outstanding Common Stock unless the Company has obtained stockholder approval under NASDAQ rules for such issuance.</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Promissory Notes contain certain Trigger Events that generally, if uncured within five trading days, may result in an event of default in accordance with the terms of the Promissory Notes (such event, an Event of Default). Upon an Event of Default, the interest rate may also be increased to the lesser of 15% per annum or the maximum rate permitted under applicable law.</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evaluated Promissory Note One in accordance with applicable accounting standards under U.S. GAAP and determined the classification of the instrument as a debt obligation. In addition, the Company evaluated the instrument for embedded derivatives and concluded there were no embedded features that require bifurcation and separate accounting. The Company will record interest expense over the term of Promissory Note One, using the interest method, to amortize the debt issuance costs and OID.</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May 9, 2022, the Company recorded OID and debt issuance costs of $3.2 million as a reduction to Promissory Note One to be amortized over the term of Promissory Note One. For the three and nine months ended September 30, 2022, the Company recorded $0.6 million and $0.9 million, respectively, for amortization of the OID and debt issuance costs to interest expense in the accompanying statements of operations. In addition to the amortization of the OID and debt issuance costs, the Company recorded interest expense of $0.3 million and $0.4 million, respectively, in the accompanying statements of operations for the three and nine months ended September 30, 2022, and as of September 30, 2022, recorded $0.4 million in accrued interest in 'Current portion of notes payable' in the accompanying balance sheets.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19, 2021 (Effective Date), the Company entered into a Loan and Security Agreement (the 2021 Term Loan) by and between Silicon Valley Bank, a California corporation (SVB) and the Company, as borrower, whereby subject to the terms and conditions of the 2021 Term Loan, SVB advanced to the Company an original principal amount of $30 million.</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2021 Term Loan provides for an “interest-only” period from the Effective Date through February 28, 2023, with interest due and payable monthly on the first calendar day of each month. However, the Company achieved a revenue milestone of at least $65 million on a trailing twelve-month basis during the three months ended March 31, 2021 which automatically extended the interest-only period through February 28, 2024. Beginning on the first calendar day of the month following the end of the interest-only period, the 2021 Term Loan shall be payable in (i) consecutive equal installments of principal through March 1, 2026, plus (ii) monthly payments of accrued interest. The principal amount outstanding under the 2021 Term Loan shall accrue interest at a floating per annum rate equal to the greater of (i) 2.00% above the prime rate, or (ii) 5.25%, which interest, in each case, shall be payable monthly. Changes to the interest rate applicable to the 2021 Term Loan based on changes to the prime rate shall be effective on the effective date of any change to the prime rate.</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the option to prepay, prior to maturity, the total outstanding principal amount plus accrued and unpaid interest, subject to a prepayment penalty of 3% of the principal amount if paid prior to the first anniversary of the Effective Date, 2% of the principal amount if paid on or after the first anniversary but prior to the second anniversary of the Effective Date, 1% of the principal amount if paid on or after the second anniversary but prior to October 19, 2025, and 0% thereafter.</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granted SVB a security interest in substantially all of the Company’s assets. The 2021 Term Loan requires the Company to comply with a minimum liquidity ratio covenant (as defined) by the 2021 Term Loan of not less than 0.95 to 1.00, and had a trailing six month rolling minimum revenue requirement of not less than 70% of the Company’s projected revenue performed at the end of each reporting period. 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months ended December 31, 2021. In addition, we agreed to establish a restricted cash collateral account for $15 million for the benefit of SVB if the balance of our cash and cash equivalents declined below $40 million. On December 31, 2021, we entered into the Consent and Second Amendment to Loan and Security Agreement (the 2021 Term Loan Second Amendment) to, among other things, amend our 2021 Term Loan and First Amendment to: (i) obtain consent for the $4.6 million January 2022 milestone payment under the Indi APA, (ii) repay $20 million in outstanding principal on December 31, 2021, (iii) waive the $600,000 prepayment fee on the $20 million Term Loan repayment, (iv) waive the minimum revenue covenant as of December 31, 2021, and (v) modify the minimum revenue requirement to not less than 75% for the three months ended March 31, 2022 and not less than 75% on a trailing six month rolling basis for each quarter thereafter of the Company’s projected revenue performed at the end of each reporting period. SVB agreed to apply the full amount of funds previously established within the restricted cash collateral account to partially repay the $20 million in outstanding principal, thereby eliminating the restricted cash collateral account.</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7, 2022, the Company entered into the Consent and Third Amendment to Loan and Security Agreement (the 2021 Term Loan Third Amendment). Under the terms of the 2021 Term Loan Third Amendment, the Company agreed to the repayment of $3.0 million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outstanding principal in April 2022 with an additional $2.0 million that was paid on September 30, 2022, in exchange for: (i) consent for a $2.0 million April 2022 milestone payment under the Indi APA, as amended, (ii) waiver of minimum revenue requirement for the three months ended March 31, 2022 and adjustment of remaining revenue milestones for 2022, and (iii) waiver and elimination of the prepayment fee on the $3.0 million 2021 Term Loan partial repayment in April 2022 and subsequent $2.0 million principal repayment.</w:t>
      </w:r>
    </w:p>
    <w:p>
      <w:pPr>
        <w:spacing w:after="0" w:line="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September 30, 2022, the Company entered into the Consent and Fourth Amendment to Loan and Security Agreement (the 2021 Term Loan Fourth Amendment). Under the terms of the 2021 Term Loan Fourth Amendment, the Company agreed to a repayment of $2.0 million in outstanding principal on the earlier of (a) November 30, 2022, or (b) the date on which our unrestricted cash held with SVB falls below $10.0 million, which could be extended to December 15, 2022, subject to equity fund raising of at least $5 million, in exchange for: (i) consent for the $2.1 million October 2022 Milestone Payment, including accrued interest, under the Indi APA, as amended, and (ii) waiver and elimination of the prepayment fee on the subsequent $2.0 million 2021 Term Loan principal repayment.</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association with entering into the SPA with the Lender on May 9, 2022 (as described above), the Company has the election to issue Promissory Note Two subject to the Company satisfying, among other things, repaying in full all outstanding obligations under the 2021 Term Loan within nine months following the First Closing Date. As of September 30, 2022, the Company intends to repay all outstanding obligations under the 2021 Term Loan within nine months of the inception of Promissory Note One. The Company’s final payment to SVB shall include all outstanding principal and accrued and unpaid interest, lender fees and expenses, which will include a final payment of $2.7 million, and all other sums, if any, that shall have become due and payable hereunder with respect to the 2021 Term Loan. The $2.7 million final payment is being amortized as interest expense over the expected remaining term of the loan.</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2021 Term Loan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SVB. Failure to comply with the covenants and loan requirements may result in an event of default. As of September 30, 2022, the Company was in compliance with all restrictive and financial covenants associated with its borrowings. In the event of a default, including, among other things, our failure to make any payment when due or our failure to comply with any covenant under the 2021 Term Loan, SVB may elect to declare all amounts outstanding to be immediately due and payable, and may proceed against the collateral granted to them to secure such indebtedness, including a royalty-free license or other right to use all of our intellectual property without charge.</w:t>
      </w:r>
    </w:p>
    <w:p>
      <w:pPr>
        <w:spacing w:after="0" w:line="80"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Scheduled principal repayments (maturities) of long-term obligations were as follows, assuming the exercise of redemptions related to Promissory Note One by the Lender and repayment of the 2021 Term Loan within nine months following the First Closing Date,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As of September 30, 2022</w:t>
            </w:r>
          </w:p>
        </w:tc>
        <w:tc>
          <w:tcPr>
            <w:tcW w:w="100" w:type="dxa"/>
            <w:vAlign w:val="bottom"/>
          </w:tcPr>
          <w:p>
            <w:pPr>
              <w:spacing w:after="0"/>
              <w:rPr>
                <w:sz w:val="20"/>
                <w:szCs w:val="20"/>
                <w:color w:val="auto"/>
              </w:rPr>
            </w:pPr>
          </w:p>
        </w:tc>
      </w:tr>
      <w:tr>
        <w:trPr>
          <w:trHeight w:val="20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2022</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17,860</w:t>
            </w: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8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acts as a lessee under all its lease agreements. The Company leases its headquarters and laboratory facilities in Boulder, Colorado, under a non-cancelable lease agreement for approximately 29,722 square feet that was set to expire in January 2023. In January 2022, the Company amended the agreement to extend the lease agreement through January 2024, resulting in an additional $1.2 million in ROU assets and lease liabilities recorded during the three months ended March 31, 2022. The Company also leases laboratory and office space in De Soto, Kansas, under a non-cancelable lease agreement for approximately 9,066 square feet that expires in October 2023. The Company also holds various copier and storage facility leases under non-cancelable lease agreements that expire in the next one to four years.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 Valley Properties I, LLC Lease Agreement</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11, 2022, the Company entered into a Lease Agreement (the Lease) with Centennial Valley Properties I, LLC, a Colorado limited liability company (the Landlord) for office and laboratory space located at 919 West Dillion Road; Louisville, Colorado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Leased Premises). The purpose of the Lease is to replace the Company’s current leased premises at 2970 Wilderness Place, Suite 100 in Boulder, Colorado and the Company intends to move its corporate headquarters to the Leased Premises by mid-2023.</w:t>
      </w:r>
    </w:p>
    <w:p>
      <w:pPr>
        <w:spacing w:after="0" w:line="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initial term of the Lease is twelve years (the Initial Term) from the commencement date, which is the earlier of: (i) the Company conducting revenue generating business (as defined in the Lease), or (ii) April 1, 2023 (the Commencement Date), unless earlier terminated in accordance with the Lease. The Company has two renewal options to extend the term of the Lease for an additional seven or ten year terms for each renewal. During the three months ended June 30, 2022, the lease commenced for accounting purposes resulting in $2.0 million in ROU assets and lease liabilities being recorded.</w:t>
      </w:r>
    </w:p>
    <w:p>
      <w:pPr>
        <w:spacing w:after="0" w:line="4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Under the Lease, the Company will lease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and including the date that is 12 months after the Commencement Date (the Abated Rent Period). Further, the Company's obligation to pay base rent with respect to a portion of the area of the Lease Premises equal to 19,980 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 million toward the cost of construction and improvements for the Leased Premises and the Company exercised its option for an additional tenant improvement allowance of $2.0 million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$25.7 million by March 2024. As of September 30, 2022, the Company has incurred $1.0 million in capital expenditures for leasehold improvements related to the Leased Premises which are tenant improvements and subject to reimbursement from the Landlord during the three months ended December 31, 2022. As of September 30, 2022, the Company had remaining capacity under the tenant improvement allowances of approximately $20.8 million, prior to reimbursements expected to be received during the three months ended December 31, 2022.</w:t>
      </w:r>
    </w:p>
    <w:p>
      <w:pPr>
        <w:spacing w:after="0" w:line="2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Lease includes various covenants, indemnities, defaults, termination rights, and other provisions customary for lease transactions of this nature. During the three months ended September 30, 2022, the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now reported within 'Other long-term assets' in the balance sheet as of September 30, 2022.</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expense was $0.9 million and $1.7 million for the three and nine months ended September 30, 2022, respectively, compared to $0.3 million and $0.9 million for the three and nine months ended September 30, 2021, respectively. As of September 30, 2022, the weighted-average remaining lease term and discount rate associated with our operating leases were 7.5 years and 11.40%,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Future minimum lease payments associated with our operating leases were as follows (in thousands):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As of September 30, 2022</w:t>
            </w:r>
          </w:p>
        </w:tc>
      </w:tr>
      <w:tr>
        <w:trPr>
          <w:trHeight w:val="209"/>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36,327</w:t>
            </w:r>
          </w:p>
        </w:tc>
        <w:tc>
          <w:tcPr>
            <w:tcW w:w="100" w:type="dxa"/>
            <w:vAlign w:val="bottom"/>
          </w:tcPr>
          <w:p>
            <w:pPr>
              <w:spacing w:after="0"/>
              <w:rPr>
                <w:sz w:val="18"/>
                <w:szCs w:val="18"/>
                <w:color w:val="auto"/>
              </w:rPr>
            </w:pPr>
          </w:p>
        </w:tc>
      </w:tr>
      <w:tr>
        <w:trPr>
          <w:trHeight w:val="209"/>
        </w:trPr>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49,245</w:t>
            </w:r>
          </w:p>
        </w:tc>
        <w:tc>
          <w:tcPr>
            <w:tcW w:w="100" w:type="dxa"/>
            <w:vAlign w:val="bottom"/>
            <w:shd w:val="clear" w:color="auto" w:fill="CCEEFF"/>
          </w:tcPr>
          <w:p>
            <w:pPr>
              <w:spacing w:after="0"/>
              <w:rPr>
                <w:sz w:val="18"/>
                <w:szCs w:val="18"/>
                <w:color w:val="auto"/>
              </w:rPr>
            </w:pPr>
          </w:p>
        </w:tc>
      </w:tr>
      <w:tr>
        <w:trPr>
          <w:trHeight w:val="179"/>
        </w:trPr>
        <w:tc>
          <w:tcPr>
            <w:tcW w:w="8740" w:type="dxa"/>
            <w:vAlign w:val="bottom"/>
          </w:tcPr>
          <w:p>
            <w:pPr>
              <w:ind w:left="20"/>
              <w:spacing w:after="0" w:line="179" w:lineRule="exact"/>
              <w:rPr>
                <w:sz w:val="20"/>
                <w:szCs w:val="20"/>
                <w:color w:val="auto"/>
              </w:rPr>
            </w:pPr>
            <w:r>
              <w:rPr>
                <w:rFonts w:ascii="Arial" w:cs="Arial" w:eastAsia="Arial" w:hAnsi="Arial"/>
                <w:sz w:val="18"/>
                <w:szCs w:val="18"/>
                <w:color w:val="auto"/>
              </w:rPr>
              <w:t>Less amount representing interest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2"/>
          </w:tcPr>
          <w:p>
            <w:pPr>
              <w:jc w:val="right"/>
              <w:ind w:right="40"/>
              <w:spacing w:after="0" w:line="179" w:lineRule="exact"/>
              <w:rPr>
                <w:sz w:val="20"/>
                <w:szCs w:val="20"/>
                <w:color w:val="auto"/>
              </w:rPr>
            </w:pPr>
            <w:r>
              <w:rPr>
                <w:rFonts w:ascii="Arial" w:cs="Arial" w:eastAsia="Arial" w:hAnsi="Arial"/>
                <w:sz w:val="18"/>
                <w:szCs w:val="18"/>
                <w:color w:val="auto"/>
              </w:rPr>
              <w:t>(24,159 )</w:t>
            </w:r>
          </w:p>
        </w:tc>
      </w:tr>
      <w:tr>
        <w:trPr>
          <w:trHeight w:val="266"/>
        </w:trPr>
        <w:tc>
          <w:tcPr>
            <w:tcW w:w="8740" w:type="dxa"/>
            <w:vAlign w:val="bottom"/>
          </w:tcPr>
          <w:p>
            <w:pPr>
              <w:ind w:left="20"/>
              <w:spacing w:after="0" w:line="265" w:lineRule="exact"/>
              <w:rPr>
                <w:sz w:val="20"/>
                <w:szCs w:val="20"/>
                <w:color w:val="auto"/>
              </w:rPr>
            </w:pPr>
            <w:r>
              <w:rPr>
                <w:rFonts w:ascii="Arial" w:cs="Arial" w:eastAsia="Arial" w:hAnsi="Arial"/>
                <w:sz w:val="18"/>
                <w:szCs w:val="18"/>
                <w:color w:val="auto"/>
              </w:rPr>
              <w:t>Less amount representing tenant improvement allowances</w:t>
            </w:r>
            <w:r>
              <w:rPr>
                <w:rFonts w:ascii="Arial" w:cs="Arial" w:eastAsia="Arial" w:hAnsi="Arial"/>
                <w:sz w:val="24"/>
                <w:szCs w:val="24"/>
                <w:color w:val="auto"/>
                <w:vertAlign w:val="superscript"/>
              </w:rPr>
              <w:t>(1)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rPr>
              <w:t>(20,795 )</w:t>
            </w:r>
          </w:p>
        </w:tc>
      </w:tr>
      <w:tr>
        <w:trPr>
          <w:trHeight w:val="209"/>
        </w:trPr>
        <w:tc>
          <w:tcPr>
            <w:tcW w:w="8740" w:type="dxa"/>
            <w:vAlign w:val="bottom"/>
          </w:tcPr>
          <w:p>
            <w:pPr>
              <w:ind w:left="200"/>
              <w:spacing w:after="0"/>
              <w:rPr>
                <w:sz w:val="20"/>
                <w:szCs w:val="20"/>
                <w:color w:val="auto"/>
              </w:rPr>
            </w:pPr>
            <w:r>
              <w:rPr>
                <w:rFonts w:ascii="Arial" w:cs="Arial" w:eastAsia="Arial" w:hAnsi="Arial"/>
                <w:sz w:val="18"/>
                <w:szCs w:val="18"/>
                <w:color w:val="auto"/>
              </w:rPr>
              <w:t>Total lease liabilities</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079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87" w:lineRule="exact"/>
        <w:rPr>
          <w:sz w:val="20"/>
          <w:szCs w:val="20"/>
          <w:color w:val="auto"/>
        </w:rPr>
      </w:pPr>
    </w:p>
    <w:p>
      <w:pPr>
        <w:ind w:left="380" w:hanging="372"/>
        <w:spacing w:after="0" w:line="231" w:lineRule="auto"/>
        <w:tabs>
          <w:tab w:leader="none" w:pos="194"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The contractually agreed upon $20.8 million of tenant improvement allowances are expected to be received during the remainder of 2022 and fiscal year 2023.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Future minimum lease payments, which do not include amounts for common area maintenance, insurance, or taxes, for operating lease obligations in accordance with ASC 840 -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ind w:right="83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8"/>
                <w:szCs w:val="18"/>
                <w:color w:val="auto"/>
              </w:rPr>
            </w:pPr>
          </w:p>
        </w:tc>
      </w:tr>
      <w:tr>
        <w:trPr>
          <w:trHeight w:val="234"/>
        </w:trPr>
        <w:tc>
          <w:tcPr>
            <w:tcW w:w="8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December 31, 2021</w:t>
            </w:r>
          </w:p>
        </w:tc>
        <w:tc>
          <w:tcPr>
            <w:tcW w:w="100" w:type="dxa"/>
            <w:vAlign w:val="bottom"/>
          </w:tcPr>
          <w:p>
            <w:pPr>
              <w:spacing w:after="0"/>
              <w:rPr>
                <w:sz w:val="20"/>
                <w:szCs w:val="20"/>
                <w:color w:val="auto"/>
              </w:rPr>
            </w:pPr>
          </w:p>
        </w:tc>
      </w:tr>
      <w:tr>
        <w:trPr>
          <w:trHeight w:val="209"/>
        </w:trPr>
        <w:tc>
          <w:tcPr>
            <w:tcW w:w="8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r>
      <w:tr>
        <w:trPr>
          <w:trHeight w:val="216"/>
        </w:trPr>
        <w:tc>
          <w:tcPr>
            <w:tcW w:w="8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8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8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 Programs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maintains two facilities that enable equity financing on an ongoing basis at the Company’s sole discretion, our at-the-market offering and our common stock purchase agreement with Lincoln Park Capital Fund, LLC (the LPC facility). In November 2021, the Company entered into a sales agreement with a financial institution, pursuant to which the Company may issue and sell, from time to time, shares of its common stock having an aggregate offering price of up to $50.0 million (the Shares), subject to terms and conditions. The Shares will be offered and sold by the Company pursuant to its previously filed and currently effective registration statement on Form S-3. The Shares may only be offered and sold by means of a prospectus, including a prospectus supplement, forming part of the effective registration statement. Sales of the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spacing w:after="0" w:line="7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March 7, 2022 (the Effective Date), the Company entered into a purchase agreement with Lincoln Park Capital Fund, LLC (Lincoln Park), pursuant to which Lincoln Park has committed to purchase up to $50.0 million of the Company's common stock (the Purchase Agreement).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Effective Date. The number of shares the Company may sell to Lincoln Park on any single business day in a regular purchase is 50,000 shares, but that amount may be increased up to 100,000 shares, depending upon the market price of the Company’s common stock at the time of sale and subject to a maximum limit of $1.5 million per regular purchase. The purchase price per share for each such regular purchase will be based on prevailing market prices of the Company’s common stock immediately preceding the time of sale as computed under the Purchase Agreement. In addition to regular purchases, the Company may also direct Lincoln Park to purchase other amounts as accelerated purchases or as additional accelerated purchases.</w:t>
      </w:r>
    </w:p>
    <w:p>
      <w:pPr>
        <w:spacing w:after="0" w:line="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applicable rules of the Nasdaq Capital Market, in no event may the Company issue or sell to Lincoln Park under the Purchase Agreement more than 19.99% of the shares of the Company’s common stock outstanding immediately prior to the execution of the Purchase Agreement (the Exchange Cap), unless (i) the Company obtains stockholder approval to issue shares of common stock in excess of the Exchange Cap or (ii) the average price of all applicable sales of common stock to Lincoln Park under the Purchase Agreement equals or exceeds $2.20 per share, such that issuances and sales of the common stock to Lincoln Park under the Purchase Agreement would be exempt from the Exchange Cap limitation under applicable Nasdaq rules.</w:t>
      </w:r>
    </w:p>
    <w:p>
      <w:pPr>
        <w:spacing w:after="0" w:line="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Lincoln Park has no right to require the Company to sell any shares of common stock to Lincoln Park, but Lincoln Park is obligated to make purchases as the Company directs, subject to certain conditions. In all instances, the Company may not sell shares of its common stock to Lincoln Park under the Purchase Agreement if doing so would result in Lincoln Park beneficially owning more than 9.99% of its common stock.</w:t>
      </w:r>
    </w:p>
    <w:p>
      <w:pPr>
        <w:spacing w:after="0" w:line="5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Actual sales of shares of common stock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if any, under the Purchase Agreement will depend on the frequency and prices at which the Company sells shares of its common stock to Lincoln Park. The Company intends to use any net proceeds from the sale of its common stock to Lincoln Park to advance its growth strategy and for general corporate purposes. On the Effective Date, the Company issued 184,275 shares of common stock to Lincoln Park as a commitment fee (the Initial Commitment Shares) for which the Company did not receive consideration and, upon the available amount being reduced to an amount equal to or less than $20.0 million, the Company will be required to issue 61,425 shares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 Commitment Shares and together with the Initial Commitment Shares, collectively, the Commitment Shares). The Initial Commitment Shares issued were valued at $600,000 and are included on the balance sheet in 'Other long-term assets'. In addition to the Initial Commitment Shares, the Company recorded $129,000 of due diligence expenses and legal fees as deferred offering costs. The deferred offering costs will be charged against 'Additional paid-in capital' upon future proceeds from the sale of common stock under the Purchase Agreement. During the three and nine months ended September 30, 2022, $33,000 and $51,000 of deferred offering costs were charged against 'Additional paid-in capital', respectively. As of September 30, 2022, $678,000 of deferred offering costs remain.</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 Although the Company has agreed to reimburse Lincoln Park for a limited portion of the fees it incurred in connection with the Purchase Agreement, the Company did not pay any additional amounts to reimburse or otherwise compensate Lincoln Park in connection with the transaction, other than the issuance of the Commitment Shares.</w:t>
      </w:r>
    </w:p>
    <w:p>
      <w:pPr>
        <w:spacing w:after="0" w:line="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three and nine months ended September 30, 2022, the Company raised approximately $1.8 million and $6.3 million, respectively ($1.7 million and $5.8 million, respectively, after deducting underwriting discounts and commissions and offering expenses payable), in gross proceeds from the sale of 923,720 and 3,051,611 common shares at a weighted average price per share of $1.98 and $2.07, respectively, under these programs. As of September 30, 2022, the Company had remaining available capacity for share issuances of approximately $29.5 million under the at-the-market facility and up to $47.9 million under the LPC facility, each subject to the restrictions and limitations of the underlying facilities, as applicable.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April 7, 2022, the Company entered into subscription agreements (the Subscription Agreements) with a consortium of investors (the Investors), including three members of our Board of Directors and other existing shareholders of the Company, for the issuance and sale by the Company of 6,508,376 shares of the Company’s common stock (the Shares) in an offering (the Private Placement). The three members of our Board of Directors acquired an aggregate of 3,631,284 shares pursuant to the form of a Subscription Agreement that did not include any registration rights. The remaining 2,877,092 shares were acquired by others pursuant to the form of a Subscription Agreement whereby the Company agreed to file, subject to certain exceptions, a shelf registration statement with respect to resales of such shares with the Securities and Exchange Commission no later than 60 days from April 7, 2022, which the Company filed on June 6, 2022.</w:t>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the Subscription Agreements, the Investors purchased shares at a purchase price (determined in accordance with Nasdaq rules relating to the “Minimum Value” of the Company’s common stock) of $1.79 per share, which is equal to the closing price of the Company's common stock on April 7, 2022, for an aggregate purchase price of approximately $11.7 million. The Subscription Agreements include customary representations, warranties and covenants by the parties to the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September 30,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and Accounts Receivable Credit Concentration</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and historical price concessions granted to groups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60"/>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68"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Revenues consisted of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c>
          <w:tcPr>
            <w:tcW w:w="100" w:type="dxa"/>
            <w:vAlign w:val="bottom"/>
          </w:tcPr>
          <w:p>
            <w:pPr>
              <w:spacing w:after="0"/>
              <w:rPr>
                <w:sz w:val="20"/>
                <w:szCs w:val="20"/>
                <w:color w:val="auto"/>
              </w:rPr>
            </w:pPr>
          </w:p>
        </w:tc>
      </w:tr>
      <w:tr>
        <w:trPr>
          <w:trHeight w:val="209"/>
        </w:trPr>
        <w:tc>
          <w:tcPr>
            <w:tcW w:w="3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Diagnostic tests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10,443</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43,072</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8"/>
                <w:szCs w:val="18"/>
                <w:color w:val="auto"/>
              </w:rPr>
            </w:pPr>
          </w:p>
        </w:tc>
      </w:tr>
      <w:tr>
        <w:trPr>
          <w:trHeight w:val="249"/>
        </w:trPr>
        <w:tc>
          <w:tcPr>
            <w:tcW w:w="38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11,107</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6,531</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Deferred revenue consists of cash payments from customers received in advance of delivery. As test results are delivered, the Company recognizes the deferred revenue in ‘Revenues’ in the statements of operations. Of the $1.9 million in ‘Deferred revenue’ recorded in the balance sheet as of December 31, 2021, $1.4 million was recognized in revenues during the nine months ended September 30, 2022. In addition, $0.3 million was added to ‘Deferred revenue’ for up-front cash payments received for which the revenue recognition criteria have not been met and $0.8 million was reclassified from non-current deferred revenue. The ‘Deferred revenue’ of $1.6 million recorded in the balance sheet as of September 30, 2022 is expected to be recognized in revenues over the next twelve months as test results are delivered and services are performed. As of September 30, 2022 and December 31, 2021, the Company had zero and $0.8 million in non-current deferred revenue, respectively, recorded within ‘Other long-term liabilities’ in the balance sheets which represent amounts to be recognized in excess of twelve months from the respective balance sheet date.</w:t>
      </w:r>
    </w:p>
    <w:p>
      <w:pPr>
        <w:spacing w:after="0" w:line="6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Company’s customers in excess of 10% of total revenue both pertain to our COVID-19 diagnostic testing services, and their related revenue as a percentage of total revenue were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 September 30,</w:t>
            </w:r>
          </w:p>
        </w:tc>
      </w:tr>
      <w:tr>
        <w:trPr>
          <w:trHeight w:val="209"/>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08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 State of Colorado</w:t>
            </w:r>
          </w:p>
        </w:tc>
        <w:tc>
          <w:tcPr>
            <w:tcW w:w="140" w:type="dxa"/>
            <w:vAlign w:val="bottom"/>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The Big Ten Conference</w:t>
            </w:r>
          </w:p>
        </w:tc>
        <w:tc>
          <w:tcPr>
            <w:tcW w:w="2080" w:type="dxa"/>
            <w:vAlign w:val="bottom"/>
            <w:gridSpan w:val="3"/>
          </w:tcPr>
          <w:p>
            <w:pPr>
              <w:jc w:val="right"/>
              <w:ind w:right="16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Merck</w:t>
            </w:r>
          </w:p>
        </w:tc>
        <w:tc>
          <w:tcPr>
            <w:tcW w:w="2080" w:type="dxa"/>
            <w:vAlign w:val="bottom"/>
            <w:gridSpan w:val="3"/>
          </w:tcPr>
          <w:p>
            <w:pPr>
              <w:jc w:val="right"/>
              <w:ind w:right="1680"/>
              <w:spacing w:after="0"/>
              <w:rPr>
                <w:sz w:val="20"/>
                <w:szCs w:val="20"/>
                <w:color w:val="auto"/>
              </w:rPr>
            </w:pPr>
            <w:r>
              <w:rPr>
                <w:rFonts w:ascii="Arial" w:cs="Arial" w:eastAsia="Arial" w:hAnsi="Arial"/>
                <w:sz w:val="18"/>
                <w:szCs w:val="18"/>
                <w:color w:val="auto"/>
              </w:rPr>
              <w:t>—</w:t>
            </w:r>
          </w:p>
        </w:tc>
        <w:tc>
          <w:tcPr>
            <w:tcW w:w="540" w:type="dxa"/>
            <w:vAlign w:val="bottom"/>
            <w:gridSpan w:val="3"/>
          </w:tcPr>
          <w:p>
            <w:pPr>
              <w:ind w:left="100"/>
              <w:spacing w:after="0"/>
              <w:rPr>
                <w:sz w:val="20"/>
                <w:szCs w:val="20"/>
                <w:color w:val="auto"/>
              </w:rPr>
            </w:pPr>
            <w:r>
              <w:rPr>
                <w:rFonts w:ascii="Arial" w:cs="Arial" w:eastAsia="Arial" w:hAnsi="Arial"/>
                <w:sz w:val="18"/>
                <w:szCs w:val="18"/>
                <w:color w:val="auto"/>
              </w:rPr>
              <w:t>10 %</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-436245</wp:posOffset>
            </wp:positionV>
            <wp:extent cx="118173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8173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1"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In addition to the above table, we collect reimbursement on behalf of customers covered by Medicare, which accounted for 37% and 35% of the Company’s total revenue for the three and nine months ended September 30, 2022, respectively, compared to 36% and 14% for the three and nine months ended September 30, 2021, respectively. The Company is subject to credit risk from its accounts receivable related to services provided to its customers.</w:t>
      </w:r>
    </w:p>
    <w:p>
      <w:pPr>
        <w:spacing w:after="0" w:line="54"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The Company’s third-party payors and other customers in excess of 10% of accounts receivable, and their related accounts receivable as a percentage of total accounts receivable were as follows:</w:t>
      </w:r>
    </w:p>
    <w:p>
      <w:pPr>
        <w:spacing w:after="0" w:line="58"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w w:val="98"/>
              </w:rPr>
              <w:t>September 30, 2022</w:t>
            </w:r>
          </w:p>
        </w:tc>
        <w:tc>
          <w:tcPr>
            <w:tcW w:w="3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18"/>
                <w:szCs w:val="18"/>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8"/>
                <w:szCs w:val="18"/>
                <w:color w:val="auto"/>
              </w:rPr>
              <w:t>Medicare</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Janssen Research and Development, LLC</w:t>
            </w: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4 %</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16"/>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LabCorp DD (formerly Covance)</w:t>
            </w: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8 %</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0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Company’s share-based compensation awards are issued under the 2020 Equity Incentive Plan (2020 Plan), the predecessor 2016 Equity Incentive Plan (2016 Plan) and 2006 Equity Incentive Plan (2006 Plan). Any awards that expire or are forfeited under the 2016</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Plan or 2006 Plan become available for issuance under the 2020 Plan. As of September 30, 2022, 174,890 shares of common stock remained available for future issuance under the 2020 Plan.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reported in the Company’s statements of operations was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Three Months Ended September 30,</w:t>
            </w:r>
          </w:p>
        </w:tc>
        <w:tc>
          <w:tcPr>
            <w:tcW w:w="26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2"/>
              </w:rPr>
              <w:t>Nine Months Ended September 30,</w:t>
            </w:r>
          </w:p>
        </w:tc>
        <w:tc>
          <w:tcPr>
            <w:tcW w:w="100" w:type="dxa"/>
            <w:vAlign w:val="bottom"/>
          </w:tcPr>
          <w:p>
            <w:pPr>
              <w:spacing w:after="0"/>
              <w:rPr>
                <w:sz w:val="20"/>
                <w:szCs w:val="20"/>
                <w:color w:val="auto"/>
              </w:rPr>
            </w:pPr>
          </w:p>
        </w:tc>
      </w:tr>
      <w:tr>
        <w:trPr>
          <w:trHeight w:val="209"/>
        </w:trPr>
        <w:tc>
          <w:tcPr>
            <w:tcW w:w="49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costs and expenses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r>
      <w:tr>
        <w:trPr>
          <w:trHeight w:val="216"/>
        </w:trPr>
        <w:tc>
          <w:tcPr>
            <w:tcW w:w="5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Sales, marketing, general and administrative</w:t>
            </w:r>
          </w:p>
        </w:tc>
        <w:tc>
          <w:tcPr>
            <w:tcW w:w="8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1,120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1,170</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1,386</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3,884</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-170815</wp:posOffset>
            </wp:positionV>
            <wp:extent cx="7683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-170815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-170815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remaining unrecognized share-based compensation expense for options and restricted stock units was approximately $8.0 million as of September 30, 2022, and is expected to be amortized to expense over the next 3.0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option activity during the nine months ended September 30, 2022, excluding the Bonus Option Program described below, was (in thousands, except weighted average exercise price and weighted average contractual life):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6"/>
                <w:szCs w:val="16"/>
                <w:color w:val="auto"/>
              </w:rPr>
            </w:pPr>
          </w:p>
        </w:tc>
        <w:tc>
          <w:tcPr>
            <w:tcW w:w="1280" w:type="dxa"/>
            <w:vAlign w:val="bottom"/>
          </w:tcPr>
          <w:p>
            <w:pPr>
              <w:jc w:val="right"/>
              <w:ind w:right="310"/>
              <w:spacing w:after="0" w:line="189" w:lineRule="exact"/>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30"/>
              <w:spacing w:after="0" w:line="189" w:lineRule="exact"/>
              <w:rPr>
                <w:sz w:val="20"/>
                <w:szCs w:val="20"/>
                <w:color w:val="auto"/>
              </w:rPr>
            </w:pPr>
            <w:r>
              <w:rPr>
                <w:rFonts w:ascii="Arial" w:cs="Arial" w:eastAsia="Arial" w:hAnsi="Arial"/>
                <w:sz w:val="18"/>
                <w:szCs w:val="18"/>
                <w:b w:val="1"/>
                <w:bCs w:val="1"/>
                <w:color w:val="auto"/>
                <w:w w:val="89"/>
              </w:rPr>
              <w:t>Aggregate</w:t>
            </w:r>
          </w:p>
        </w:tc>
        <w:tc>
          <w:tcPr>
            <w:tcW w:w="100" w:type="dxa"/>
            <w:vAlign w:val="bottom"/>
          </w:tcPr>
          <w:p>
            <w:pPr>
              <w:spacing w:after="0"/>
              <w:rPr>
                <w:sz w:val="16"/>
                <w:szCs w:val="16"/>
                <w:color w:val="auto"/>
              </w:rPr>
            </w:pPr>
          </w:p>
        </w:tc>
      </w:tr>
      <w:tr>
        <w:trPr>
          <w:trHeight w:val="234"/>
        </w:trPr>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4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20"/>
                <w:szCs w:val="20"/>
                <w:color w:val="auto"/>
              </w:rPr>
            </w:pPr>
          </w:p>
        </w:tc>
      </w:tr>
      <w:tr>
        <w:trPr>
          <w:trHeight w:val="209"/>
        </w:trPr>
        <w:tc>
          <w:tcPr>
            <w:tcW w:w="5340" w:type="dxa"/>
            <w:vAlign w:val="bottom"/>
            <w:tcBorders>
              <w:top w:val="single" w:sz="8" w:color="auto"/>
            </w:tcBorders>
            <w:shd w:val="clear" w:color="auto" w:fill="CFF0FC"/>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2022</w:t>
            </w:r>
          </w:p>
        </w:tc>
        <w:tc>
          <w:tcPr>
            <w:tcW w:w="1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6,288</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Forfeited/canceled</w:t>
            </w:r>
          </w:p>
        </w:tc>
        <w:tc>
          <w:tcPr>
            <w:tcW w:w="15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(269 )</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(224 )</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340" w:type="dxa"/>
            <w:vAlign w:val="bottom"/>
            <w:tcBorders>
              <w:bottom w:val="single" w:sz="8" w:color="CFF0FC"/>
            </w:tcBorders>
            <w:shd w:val="clear" w:color="auto" w:fill="CFF0FC"/>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September 30, 2022</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340" w:type="dxa"/>
            <w:vAlign w:val="bottom"/>
          </w:tcPr>
          <w:p>
            <w:pPr>
              <w:ind w:left="20"/>
              <w:spacing w:after="0" w:line="196" w:lineRule="exact"/>
              <w:rPr>
                <w:sz w:val="20"/>
                <w:szCs w:val="20"/>
                <w:color w:val="auto"/>
              </w:rPr>
            </w:pPr>
            <w:r>
              <w:rPr>
                <w:rFonts w:ascii="Arial" w:cs="Arial" w:eastAsia="Arial" w:hAnsi="Arial"/>
                <w:sz w:val="18"/>
                <w:szCs w:val="18"/>
                <w:color w:val="auto"/>
              </w:rPr>
              <w:t>Exercisable - September 30, 2022</w:t>
            </w: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1,631</w:t>
            </w:r>
          </w:p>
        </w:tc>
        <w:tc>
          <w:tcPr>
            <w:tcW w:w="2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6.47</w:t>
            </w: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380" w:type="dxa"/>
            <w:vAlign w:val="bottom"/>
            <w:gridSpan w:val="2"/>
          </w:tcPr>
          <w:p>
            <w:pPr>
              <w:ind w:left="26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441</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-187960</wp:posOffset>
            </wp:positionV>
            <wp:extent cx="295402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5402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 activity during the nine months ended September 30, 2022 was (in thousands, except weighted average grant date fair value per share):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r>
      <w:tr>
        <w:trPr>
          <w:trHeight w:val="189"/>
        </w:trPr>
        <w:tc>
          <w:tcPr>
            <w:tcW w:w="40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5"/>
              </w:rPr>
              <w:t>Grant Date Fair Value</w:t>
            </w:r>
          </w:p>
        </w:tc>
        <w:tc>
          <w:tcPr>
            <w:tcW w:w="100" w:type="dxa"/>
            <w:vAlign w:val="bottom"/>
          </w:tcPr>
          <w:p>
            <w:pPr>
              <w:spacing w:after="0"/>
              <w:rPr>
                <w:sz w:val="16"/>
                <w:szCs w:val="16"/>
                <w:color w:val="auto"/>
              </w:rPr>
            </w:pPr>
          </w:p>
        </w:tc>
      </w:tr>
      <w:tr>
        <w:trPr>
          <w:trHeight w:val="234"/>
        </w:trPr>
        <w:tc>
          <w:tcPr>
            <w:tcW w:w="40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b w:val="1"/>
                <w:bCs w:val="1"/>
                <w:color w:val="auto"/>
              </w:rPr>
              <w:t>Number of Shares</w:t>
            </w:r>
          </w:p>
        </w:tc>
        <w:tc>
          <w:tcPr>
            <w:tcW w:w="18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r>
      <w:tr>
        <w:trPr>
          <w:trHeight w:val="209"/>
        </w:trPr>
        <w:tc>
          <w:tcPr>
            <w:tcW w:w="4020" w:type="dxa"/>
            <w:vAlign w:val="bottom"/>
            <w:tcBorders>
              <w:top w:val="single" w:sz="8" w:color="auto"/>
            </w:tcBorders>
            <w:shd w:val="clear" w:color="auto" w:fill="CFF0FC"/>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2022</w:t>
            </w:r>
          </w:p>
        </w:tc>
        <w:tc>
          <w:tcPr>
            <w:tcW w:w="32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Granted</w:t>
            </w:r>
          </w:p>
        </w:tc>
        <w:tc>
          <w:tcPr>
            <w:tcW w:w="4920" w:type="dxa"/>
            <w:vAlign w:val="bottom"/>
            <w:gridSpan w:val="3"/>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Forfeited/canceled</w:t>
            </w:r>
          </w:p>
        </w:tc>
        <w:tc>
          <w:tcPr>
            <w:tcW w:w="3380" w:type="dxa"/>
            <w:vAlign w:val="bottom"/>
            <w:gridSpan w:val="2"/>
            <w:shd w:val="clear" w:color="auto" w:fill="CFF0FC"/>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Released</w:t>
            </w:r>
          </w:p>
        </w:tc>
        <w:tc>
          <w:tcPr>
            <w:tcW w:w="3380" w:type="dxa"/>
            <w:vAlign w:val="bottom"/>
            <w:gridSpan w:val="2"/>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(233 )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r>
      <w:tr>
        <w:trPr>
          <w:trHeight w:val="249"/>
        </w:trPr>
        <w:tc>
          <w:tcPr>
            <w:tcW w:w="4020" w:type="dxa"/>
            <w:vAlign w:val="bottom"/>
            <w:tcBorders>
              <w:bottom w:val="single" w:sz="8" w:color="CFF0FC"/>
            </w:tcBorders>
            <w:shd w:val="clear" w:color="auto" w:fill="CFF0FC"/>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September 30, 2022</w:t>
            </w:r>
          </w:p>
        </w:tc>
        <w:tc>
          <w:tcPr>
            <w:tcW w:w="3380" w:type="dxa"/>
            <w:vAlign w:val="bottom"/>
            <w:tcBorders>
              <w:bottom w:val="single" w:sz="8" w:color="CFF0FC"/>
            </w:tcBorders>
            <w:gridSpan w:val="2"/>
            <w:shd w:val="clear" w:color="auto" w:fill="CFF0FC"/>
          </w:tcPr>
          <w:p>
            <w:pPr>
              <w:spacing w:after="0"/>
              <w:rPr>
                <w:sz w:val="21"/>
                <w:szCs w:val="21"/>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4020" w:type="dxa"/>
            <w:vAlign w:val="bottom"/>
          </w:tcPr>
          <w:p>
            <w:pPr>
              <w:spacing w:after="0"/>
              <w:rPr>
                <w:sz w:val="24"/>
                <w:szCs w:val="24"/>
                <w:color w:val="auto"/>
              </w:rPr>
            </w:pPr>
          </w:p>
        </w:tc>
        <w:tc>
          <w:tcPr>
            <w:tcW w:w="3240" w:type="dxa"/>
            <w:vAlign w:val="bottom"/>
          </w:tcPr>
          <w:p>
            <w:pPr>
              <w:jc w:val="right"/>
              <w:ind w:right="145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02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-504825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-487680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Bonus-to-Options Program</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part of the Bonus-to-Options Program (Bonus Option Program), the Company recorded the following activity during the nine months ended September 30, 2022 (in thousands, excepted weighted average exercise price and weighted average contractual life):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320"/>
              <w:spacing w:after="0" w:line="189"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6"/>
                <w:szCs w:val="16"/>
                <w:color w:val="auto"/>
              </w:rPr>
            </w:pPr>
          </w:p>
        </w:tc>
        <w:tc>
          <w:tcPr>
            <w:tcW w:w="124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w w:val="92"/>
              </w:rPr>
              <w:t>Aggregate</w:t>
            </w:r>
          </w:p>
        </w:tc>
        <w:tc>
          <w:tcPr>
            <w:tcW w:w="100" w:type="dxa"/>
            <w:vAlign w:val="bottom"/>
          </w:tcPr>
          <w:p>
            <w:pPr>
              <w:spacing w:after="0"/>
              <w:rPr>
                <w:sz w:val="16"/>
                <w:szCs w:val="16"/>
                <w:color w:val="auto"/>
              </w:rPr>
            </w:pPr>
          </w:p>
        </w:tc>
      </w:tr>
      <w:tr>
        <w:trPr>
          <w:trHeight w:val="234"/>
        </w:trPr>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Intrinsic Value</w:t>
            </w:r>
          </w:p>
        </w:tc>
        <w:tc>
          <w:tcPr>
            <w:tcW w:w="100" w:type="dxa"/>
            <w:vAlign w:val="bottom"/>
          </w:tcPr>
          <w:p>
            <w:pPr>
              <w:spacing w:after="0"/>
              <w:rPr>
                <w:sz w:val="20"/>
                <w:szCs w:val="20"/>
                <w:color w:val="auto"/>
              </w:rPr>
            </w:pPr>
          </w:p>
        </w:tc>
      </w:tr>
      <w:tr>
        <w:trPr>
          <w:trHeight w:val="209"/>
        </w:trPr>
        <w:tc>
          <w:tcPr>
            <w:tcW w:w="5260" w:type="dxa"/>
            <w:vAlign w:val="bottom"/>
            <w:tcBorders>
              <w:top w:val="single" w:sz="8" w:color="auto"/>
            </w:tcBorders>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2022</w:t>
            </w:r>
          </w:p>
        </w:tc>
        <w:tc>
          <w:tcPr>
            <w:tcW w:w="1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Forfeited/canceled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26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September 30, 2022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5260" w:type="dxa"/>
            <w:vAlign w:val="bottom"/>
          </w:tcPr>
          <w:p>
            <w:pPr>
              <w:ind w:left="20"/>
              <w:spacing w:after="0" w:line="196" w:lineRule="exact"/>
              <w:rPr>
                <w:sz w:val="20"/>
                <w:szCs w:val="20"/>
                <w:color w:val="auto"/>
              </w:rPr>
            </w:pPr>
            <w:r>
              <w:rPr>
                <w:rFonts w:ascii="Arial" w:cs="Arial" w:eastAsia="Arial" w:hAnsi="Arial"/>
                <w:sz w:val="18"/>
                <w:szCs w:val="18"/>
                <w:color w:val="auto"/>
              </w:rPr>
              <w:t>Exercisable - September 30, 2022</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10.83</w:t>
            </w:r>
          </w:p>
        </w:tc>
        <w:tc>
          <w:tcPr>
            <w:tcW w:w="1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-187960</wp:posOffset>
            </wp:positionV>
            <wp:extent cx="298831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88310" cy="188595"/>
                    </a:xfrm>
                    <a:prstGeom prst="rect">
                      <a:avLst/>
                    </a:prstGeom>
                    <a:noFill/>
                  </pic:spPr>
                </pic:pic>
              </a:graphicData>
            </a:graphic>
          </wp:anchor>
        </w:drawing>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accrued an insignificant amount and $0.7 million for both the three and nine months ended September 30, 2022, and 2021, respectively, related to the estimate of the Bonus Option Program. Options granted, if any, pertaining to the performance of the Bonus Option Program are typically approved and granted in first quarter of the year following completion of the fiscal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total of 338,106 shares of our common stock have been reserved for issuance under the Employee Stock Purchase Plan (ESPP). The ESPP provides for successive six-month offering periods beginning on September 1st and March 1st of each year. As of September 30, 2022, 237,961 shares have been issued under the ESPP leaving 100,145 shares remaining for future issuance.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Common Share</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the common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or losses of the Company.</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connection with the acquisition of Indi in 2018, the Company recorded contingent consideration (See </w:t>
      </w:r>
      <w:r>
        <w:rPr>
          <w:rFonts w:ascii="Arial" w:cs="Arial" w:eastAsia="Arial" w:hAnsi="Arial"/>
          <w:sz w:val="17"/>
          <w:szCs w:val="17"/>
          <w:i w:val="1"/>
          <w:iCs w:val="1"/>
          <w:color w:val="auto"/>
        </w:rPr>
        <w:t>Note 4 – Fair Value</w:t>
      </w:r>
      <w:r>
        <w:rPr>
          <w:rFonts w:ascii="Arial" w:cs="Arial" w:eastAsia="Arial" w:hAnsi="Arial"/>
          <w:sz w:val="17"/>
          <w:szCs w:val="17"/>
          <w:color w:val="auto"/>
        </w:rPr>
        <w:t>) for amounts contingently payable to Indi's selling shareholders pursuant to the terms of the asset purchase agreement. The contingent consideration arrangement requires additional consideration to be paid by the Company to Indi upon attainment of a three-consecutive month gross margin target of $2.0 million within the seven-year period after the acquisition date. When the gross margin target was met, the Company was required to issue 2,520,108 shares of common stock. The Company met the gross margin target of $2.0 million for three consecutive months during the three months ended June 30, 2021. As a result of the achievement of the gross margin target, the Company included the 2,520,108 shares of common stock in the calculation of weighted-average shares outstanding used in computing basic and diluted net loss per share for the three and six months ended June 30, 2021. In August 2021, the Company entered into an amendment of the original agreement in which the Company has agreed to forgo the issuance of its Common Stock. Therefore, these shares are not included in the statements of stockholders' equity or shares issued and outstanding in the balance sheets and are not included in our earnings per share calculation subsequent to August 2021.</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loss per share for the three and nine months ended September 30, 2022 and 2021 were (in thousands, except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29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ind w:left="60"/>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(13,699 )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(11,514 )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4"/>
          </w:tcPr>
          <w:p>
            <w:pPr>
              <w:jc w:val="right"/>
              <w:ind w:right="200"/>
              <w:spacing w:after="0"/>
              <w:rPr>
                <w:sz w:val="20"/>
                <w:szCs w:val="20"/>
                <w:color w:val="auto"/>
              </w:rPr>
            </w:pPr>
            <w:r>
              <w:rPr>
                <w:rFonts w:ascii="Arial" w:cs="Arial" w:eastAsia="Arial" w:hAnsi="Arial"/>
                <w:sz w:val="18"/>
                <w:szCs w:val="18"/>
                <w:color w:val="auto"/>
              </w:rPr>
              <w:t>(45,109 )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(29,877 )</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6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940" w:type="dxa"/>
            <w:vAlign w:val="bottom"/>
            <w:gridSpan w:val="2"/>
            <w:shd w:val="clear" w:color="auto" w:fill="CFF0FC"/>
          </w:tcPr>
          <w:p>
            <w:pPr>
              <w:ind w:left="240"/>
              <w:spacing w:after="0" w:line="175" w:lineRule="exact"/>
              <w:rPr>
                <w:sz w:val="20"/>
                <w:szCs w:val="20"/>
                <w:color w:val="auto"/>
              </w:rPr>
            </w:pPr>
            <w:r>
              <w:rPr>
                <w:rFonts w:ascii="Arial" w:cs="Arial" w:eastAsia="Arial" w:hAnsi="Arial"/>
                <w:sz w:val="18"/>
                <w:szCs w:val="18"/>
                <w:color w:val="auto"/>
              </w:rPr>
              <w:t>Weighted-average shares outstanding used</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40,448</w:t>
            </w: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28,051</w:t>
            </w:r>
          </w:p>
        </w:tc>
        <w:tc>
          <w:tcPr>
            <w:tcW w:w="120" w:type="dxa"/>
            <w:vAlign w:val="bottom"/>
            <w:shd w:val="clear" w:color="auto" w:fill="CCEEFF"/>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36,953</w:t>
            </w:r>
          </w:p>
        </w:tc>
        <w:tc>
          <w:tcPr>
            <w:tcW w:w="100" w:type="dxa"/>
            <w:vAlign w:val="bottom"/>
            <w:shd w:val="clear" w:color="auto" w:fill="CCEEFF"/>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27,467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CFF0FC"/>
            </w:tcBorders>
            <w:gridSpan w:val="2"/>
            <w:shd w:val="clear" w:color="auto" w:fill="CFF0FC"/>
          </w:tcPr>
          <w:p>
            <w:pPr>
              <w:ind w:left="340"/>
              <w:spacing w:after="0"/>
              <w:rPr>
                <w:sz w:val="20"/>
                <w:szCs w:val="20"/>
                <w:color w:val="auto"/>
              </w:rPr>
            </w:pPr>
            <w:r>
              <w:rPr>
                <w:rFonts w:ascii="Arial" w:cs="Arial" w:eastAsia="Arial" w:hAnsi="Arial"/>
                <w:sz w:val="18"/>
                <w:szCs w:val="18"/>
                <w:color w:val="auto"/>
              </w:rPr>
              <w:t>in computing net loss per share, 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(0.34 )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(0.41 )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-650240</wp:posOffset>
            </wp:positionV>
            <wp:extent cx="7683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-650240</wp:posOffset>
            </wp:positionV>
            <wp:extent cx="7683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-650240</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2"/>
              </w:rPr>
              <w:t>Three Months Ended September 30,</w:t>
            </w:r>
          </w:p>
        </w:tc>
        <w:tc>
          <w:tcPr>
            <w:tcW w:w="200" w:type="dxa"/>
            <w:vAlign w:val="bottom"/>
          </w:tcPr>
          <w:p>
            <w:pPr>
              <w:spacing w:after="0"/>
              <w:rPr>
                <w:sz w:val="20"/>
                <w:szCs w:val="20"/>
                <w:color w:val="auto"/>
              </w:rPr>
            </w:pPr>
          </w:p>
        </w:tc>
        <w:tc>
          <w:tcPr>
            <w:tcW w:w="2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3"/>
              </w:rPr>
              <w:t>Nine Months Ended September 30,</w:t>
            </w:r>
          </w:p>
        </w:tc>
        <w:tc>
          <w:tcPr>
            <w:tcW w:w="100" w:type="dxa"/>
            <w:vAlign w:val="bottom"/>
          </w:tcPr>
          <w:p>
            <w:pPr>
              <w:spacing w:after="0"/>
              <w:rPr>
                <w:sz w:val="20"/>
                <w:szCs w:val="20"/>
                <w:color w:val="auto"/>
              </w:rPr>
            </w:pPr>
          </w:p>
        </w:tc>
      </w:tr>
      <w:tr>
        <w:trPr>
          <w:trHeight w:val="209"/>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8"/>
                <w:szCs w:val="18"/>
                <w:color w:val="auto"/>
              </w:rPr>
            </w:pPr>
          </w:p>
        </w:tc>
        <w:tc>
          <w:tcPr>
            <w:tcW w:w="16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3,280</w:t>
            </w:r>
          </w:p>
        </w:tc>
        <w:tc>
          <w:tcPr>
            <w:tcW w:w="24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20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2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Shares committed under ESPP</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Restricted stock units</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1,335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r>
      <w:tr>
        <w:trPr>
          <w:trHeight w:val="249"/>
        </w:trPr>
        <w:tc>
          <w:tcPr>
            <w:tcW w:w="5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4,751</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the Company has incurred net taxable losses, and accordingly, no provision for income taxes has been recorded. There was no cash paid for income taxes during the three and nine months ended September 30,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Development Agreement</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September 2020, the Company exercised its opt-out right with AVEO for the payment of 50% of development and regulatory costs for ficlatuzumab effective December 2, 2020 (the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had $0.1 million in remaining obligations related to the AVEO agreement as of September 30, 2022. Following the Effective Date, the Company is entitled to a 10% royalty of net sales of ficlatuzumab and 25% of license income generated from the licensing of ficlatuzumab from AVEO. There were no expenses related to this agreement for the three and nine months ended September 30, 2022 and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will no longer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There were no expenses related to this agreement for the three and nine months ended September 30, 2022 and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BIODESIX,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May 13, 2021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Effective Date as an upfront make-good payment covering past royalties due and a royalty rate of 0.675% on future Nodify XL2 test net sales worldwide for 15 years from the first commercial sale, ending in 2034. Royalty expense under the CellCarta License for the three and nine months ended September 30, 2022 was insignificant and $0.1 million, respectively. Royalty expense for the three and nine months ended September 30, 2021 was insignificant.</w:t>
      </w:r>
    </w:p>
    <w:p>
      <w:pPr>
        <w:spacing w:after="0" w:line="6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part of the acquisition of the assets of Oncimmune USA, the Company entered into several agreements to govern the relationship between the parties. The Company agreed to a license agreement and royalty payment related to an acquired diagnostic test of 8% of recognized revenue for non-screening tests up to an annual minimum volume and 5% thereafter, with an escalating minimum through the first four years of sales. Royalty expenses were $0.2 million and $0.6 million for the three and nine months ended September 30, 2022, respectively, compared to $0.2 million and $0.5 million for the three and nine months ended September 30, 2021,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Biodesix, Inc. is referred to throughout this Quarterly Report on Form 10-Q for the period ended September 30, 2022 (Form 10-Q) as “we”, “us”, “our” or the “Company”.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year ended December 31, 2021 (Form 10-K) and the Condensed Financial Statements as of September 30, 2022 and for the three and nine months ended September 30, 2022 and 2021,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2021, which was filed on March 14, 2022.</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MD&amp;A discussion is provided to supplement the Condensed Financial Statements as of September 30, 2022 and 2021 and for the three and six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Data for the three and nine months ended September 30, 2022 and 2021 has been derived from our unaudited condensed financial statements included in Part I,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multi-omic approach is designed to enable us to discover diagnostic tests that answer critical clinical questions faced by physicians, researchers, and biopharmaceutical companies.</w:t>
      </w:r>
    </w:p>
    <w:p>
      <w:pPr>
        <w:spacing w:after="0" w:line="6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a variety of samples with associated data in our biobank, including tumor profiles and immune profiles, which are used for both internal and external research and development initiatives.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commercialized eight diagnostic tests which are currently available for use by physicians. Our Nodify XL2 and Nodify CDT tests, marketed as part of the Nodify Lung Nodule Risk Assessment testing strategy, assess the risk of lung cancer to help identify the most appropriate treatment pathway. The Nodify Lung Risk Assessment testing strategy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now have a 36-hour average turnaround time, down from the previous 72-hour average turnaround time, providing physicians with timely results to facilitate treatment decisions. The GeneStrat NGS test is our 72-hour average turnaround time blood-based NGS test, which was launched in November 2021 to a select group of physicians, with national launch in January 2022.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8" w:name="page29"/>
    <w:bookmarkEnd w:id="28"/>
    <w:p>
      <w:pPr>
        <w:jc w:val="both"/>
        <w:spacing w:after="0" w:line="256" w:lineRule="auto"/>
        <w:rPr>
          <w:sz w:val="20"/>
          <w:szCs w:val="20"/>
          <w:color w:val="auto"/>
        </w:rPr>
      </w:pPr>
      <w:r>
        <w:rPr>
          <w:rFonts w:ascii="Arial" w:cs="Arial" w:eastAsia="Arial" w:hAnsi="Arial"/>
          <w:sz w:val="17"/>
          <w:szCs w:val="17"/>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Beginning in the quarter ended June 30, 2021, we began partnering with GenScript Biotech Corporation to commercialize the blood-based cPass SARS-CoV-2 Neutralizing Antibody testing as a service. The test is the first surrogate neutralizing antibody test with FDA EUA and uses ELISA technology to qualitatively detect circulating neutralizing antibodies to the RBD in the spike protein of SARS-CoV-2 that are produced in response to a previous SARS-CoV-2 infection.</w:t>
      </w:r>
    </w:p>
    <w:p>
      <w:pPr>
        <w:spacing w:after="0" w:line="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These tests under the Biodesix WorkSafe testing program are utilized by healthcare providers, including hospitals and nursing homes, and are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 Additionally, we oversaw and managed onsite testing and validating testing for the Big Ten Conference athletic competitions through the term of our contract which expired on June 30, 2021.</w:t>
      </w:r>
    </w:p>
    <w:p>
      <w:pPr>
        <w:spacing w:after="0" w:line="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eight diagnostic tests currently on the market, we perform over 30 assays for research use as part of our laboratory services that have been used by over 60 biopharmaceutical companies and academic partners. All of our diagnostic testing is performed at one of our two accredited, high-complexity clinical laboratories in Boulder, Colorado and De Soto, Kansas.</w:t>
      </w:r>
    </w:p>
    <w:p>
      <w:pPr>
        <w:spacing w:after="0" w:line="7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Since our inception, we have performed over 550,000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4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continues to address our liquidity needs through improvements to our capital structure. During the three months ended June 30, 2022, the Company entered into: (i) a private placement that raised approximately $11.7 million in net equity proceeds, (ii) an amendment and partial repayment of our 2021 Term Loan, (iii) modifications to extend payment terms under the Integrated Diagnostics asset purchase agreement (the Indi APA), (iv) common stock sales raising additional funds through our at-the-market facility, and (v) the closing of a $25.0 million debt facility with funding for up to $25.0 million occurring in two tranches. On May 9, 2022, we closed on the first tranche for gross proceeds of $15.0 million (approximately $12.8 million, net, after deducting debt issuance costs and OID) (Promissory Note One). Each of these strategic initiatives is described in further detail within the Notes to our condensed financial statements in Part 1 of this Quarterly Report on Form 10-Q as well as our Liquidity and Capital Resources section below.</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funded our operations to date principally from net proceeds from the issuances of our common stock, the sale of convertible preferred stock, revenue from diagnostic testing and services, and the incurrence of indebtedness. We had cash and cash equivalents of $15.2 million and $32.7 million as of September 30, 2022 and December 31, 2021,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impact our operating performance and results of operations, including:</w:t>
      </w:r>
    </w:p>
    <w:p>
      <w:pPr>
        <w:spacing w:after="0" w:line="99" w:lineRule="exact"/>
        <w:rPr>
          <w:sz w:val="20"/>
          <w:szCs w:val="20"/>
          <w:color w:val="auto"/>
        </w:rPr>
      </w:pPr>
    </w:p>
    <w:p>
      <w:pPr>
        <w:ind w:left="900" w:hanging="383"/>
        <w:spacing w:after="0" w:line="26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Testing volume and customer mix. </w:t>
      </w:r>
      <w:r>
        <w:rPr>
          <w:rFonts w:ascii="Arial" w:cs="Arial" w:eastAsia="Arial" w:hAnsi="Arial"/>
          <w:sz w:val="18"/>
          <w:szCs w:val="18"/>
          <w:color w:val="auto"/>
        </w:rPr>
        <w:t>Our revenues and costs are affected by the volume of testing and mix of customers from period to period.</w:t>
      </w:r>
      <w:r>
        <w:rPr>
          <w:rFonts w:ascii="Arial" w:cs="Arial" w:eastAsia="Arial" w:hAnsi="Arial"/>
          <w:sz w:val="18"/>
          <w:szCs w:val="18"/>
          <w:b w:val="1"/>
          <w:bCs w:val="1"/>
          <w:color w:val="auto"/>
        </w:rPr>
        <w:t xml:space="preserve"> </w:t>
      </w:r>
      <w:r>
        <w:rPr>
          <w:rFonts w:ascii="Arial" w:cs="Arial" w:eastAsia="Arial" w:hAnsi="Arial"/>
          <w:sz w:val="18"/>
          <w:szCs w:val="18"/>
          <w:color w:val="auto"/>
        </w:rPr>
        <w:t>We evaluate both the volume of our commercial tests, or the number of tests that we perform for patients 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9" w:name="page30"/>
    <w:bookmarkEnd w:id="29"/>
    <w:p>
      <w:pPr>
        <w:jc w:val="both"/>
        <w:ind w:left="383"/>
        <w:spacing w:after="0" w:line="260" w:lineRule="auto"/>
        <w:rPr>
          <w:sz w:val="20"/>
          <w:szCs w:val="20"/>
          <w:color w:val="auto"/>
        </w:rPr>
      </w:pPr>
      <w:r>
        <w:rPr>
          <w:rFonts w:ascii="Arial" w:cs="Arial" w:eastAsia="Arial" w:hAnsi="Arial"/>
          <w:sz w:val="17"/>
          <w:szCs w:val="17"/>
          <w:color w:val="auto"/>
        </w:rPr>
        <w:t>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78" w:lineRule="exact"/>
        <w:rPr>
          <w:sz w:val="20"/>
          <w:szCs w:val="20"/>
          <w:color w:val="auto"/>
        </w:rPr>
      </w:pPr>
    </w:p>
    <w:p>
      <w:pPr>
        <w:jc w:val="both"/>
        <w:ind w:left="383" w:hanging="383"/>
        <w:spacing w:after="0" w:line="277" w:lineRule="auto"/>
        <w:tabs>
          <w:tab w:leader="none" w:pos="383"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Reimbursement for clinical diagnostic testing. </w:t>
      </w:r>
      <w:r>
        <w:rPr>
          <w:rFonts w:ascii="Arial" w:cs="Arial" w:eastAsia="Arial" w:hAnsi="Arial"/>
          <w:sz w:val="16"/>
          <w:szCs w:val="16"/>
          <w:color w:val="auto"/>
        </w:rPr>
        <w:t>Our revenue depends on achieving broad coverage and reimbursement for our tests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 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68" w:lineRule="exact"/>
        <w:rPr>
          <w:rFonts w:ascii="Arial" w:cs="Arial" w:eastAsia="Arial" w:hAnsi="Arial"/>
          <w:sz w:val="16"/>
          <w:szCs w:val="16"/>
          <w:color w:val="auto"/>
        </w:rPr>
      </w:pPr>
    </w:p>
    <w:p>
      <w:pPr>
        <w:jc w:val="both"/>
        <w:ind w:left="383"/>
        <w:spacing w:after="0" w:line="277" w:lineRule="auto"/>
        <w:rPr>
          <w:rFonts w:ascii="Arial" w:cs="Arial" w:eastAsia="Arial" w:hAnsi="Arial"/>
          <w:sz w:val="16"/>
          <w:szCs w:val="16"/>
          <w:color w:val="auto"/>
        </w:rPr>
      </w:pPr>
      <w:r>
        <w:rPr>
          <w:rFonts w:ascii="Arial" w:cs="Arial" w:eastAsia="Arial" w:hAnsi="Arial"/>
          <w:sz w:val="16"/>
          <w:szCs w:val="16"/>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4" w:lineRule="exact"/>
        <w:rPr>
          <w:rFonts w:ascii="Arial" w:cs="Arial" w:eastAsia="Arial" w:hAnsi="Arial"/>
          <w:sz w:val="16"/>
          <w:szCs w:val="16"/>
          <w:color w:val="auto"/>
        </w:rPr>
      </w:pPr>
    </w:p>
    <w:p>
      <w:pPr>
        <w:jc w:val="both"/>
        <w:ind w:left="383"/>
        <w:spacing w:after="0" w:line="263" w:lineRule="auto"/>
        <w:rPr>
          <w:rFonts w:ascii="Arial" w:cs="Arial" w:eastAsia="Arial" w:hAnsi="Arial"/>
          <w:sz w:val="16"/>
          <w:szCs w:val="16"/>
          <w:color w:val="auto"/>
        </w:rPr>
      </w:pPr>
      <w:r>
        <w:rPr>
          <w:rFonts w:ascii="Arial" w:cs="Arial" w:eastAsia="Arial" w:hAnsi="Arial"/>
          <w:sz w:val="17"/>
          <w:szCs w:val="17"/>
          <w:color w:val="auto"/>
        </w:rPr>
        <w:t>On October, 17, 2022, the Company announced that the U.S. Department of Veterans Affairs (the VA), the largest integrated health care system in the United States, has awarded a Federal Supply Schedule Contract for the Company’s entire portfolio of lung cancer diagnostic tests. The VA provides care at 1,298 health care facilities, including 171 VA Medical Centers and 1,113 outpatient sites of care of varying complexity to over 9 million veterans enrolled in the VA health care program. All of our existing lung diagnostic tests will be payable when performed and partnering with the VA represents a large opportunity for Biodesix to help improve care for our Veterans by integrating our five diagnostic products and testing strategies into our country’s largest health system.</w:t>
      </w:r>
    </w:p>
    <w:p>
      <w:pPr>
        <w:spacing w:after="0" w:line="59" w:lineRule="exact"/>
        <w:rPr>
          <w:rFonts w:ascii="Arial" w:cs="Arial" w:eastAsia="Arial" w:hAnsi="Arial"/>
          <w:sz w:val="16"/>
          <w:szCs w:val="16"/>
          <w:color w:val="auto"/>
        </w:rPr>
      </w:pPr>
    </w:p>
    <w:p>
      <w:pPr>
        <w:jc w:val="both"/>
        <w:ind w:left="383" w:hanging="383"/>
        <w:spacing w:after="0" w:line="261" w:lineRule="auto"/>
        <w:tabs>
          <w:tab w:leader="none" w:pos="383"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w:t>
      </w:r>
    </w:p>
    <w:p>
      <w:pPr>
        <w:spacing w:after="0" w:line="66" w:lineRule="exact"/>
        <w:rPr>
          <w:rFonts w:ascii="Arial" w:cs="Arial" w:eastAsia="Arial" w:hAnsi="Arial"/>
          <w:sz w:val="17"/>
          <w:szCs w:val="17"/>
          <w:color w:val="auto"/>
        </w:rPr>
      </w:pPr>
    </w:p>
    <w:p>
      <w:pPr>
        <w:jc w:val="both"/>
        <w:ind w:left="383"/>
        <w:spacing w:after="0" w:line="279" w:lineRule="auto"/>
        <w:rPr>
          <w:rFonts w:ascii="Arial" w:cs="Arial" w:eastAsia="Arial" w:hAnsi="Arial"/>
          <w:sz w:val="17"/>
          <w:szCs w:val="17"/>
          <w:color w:val="auto"/>
        </w:rPr>
      </w:pPr>
      <w:r>
        <w:rPr>
          <w:rFonts w:ascii="Arial" w:cs="Arial" w:eastAsia="Arial" w:hAnsi="Arial"/>
          <w:sz w:val="16"/>
          <w:szCs w:val="16"/>
          <w:color w:val="auto"/>
        </w:rPr>
        <w:t>Our clinical research has resulted in approximately 90 peer-reviewed publications for our tests. In addition to clinical studies, we are collaborating with investigators from multiple academic cancer centers. For example,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49" w:lineRule="exact"/>
        <w:rPr>
          <w:rFonts w:ascii="Arial" w:cs="Arial" w:eastAsia="Arial" w:hAnsi="Arial"/>
          <w:sz w:val="17"/>
          <w:szCs w:val="17"/>
          <w:color w:val="auto"/>
        </w:rPr>
      </w:pPr>
    </w:p>
    <w:p>
      <w:pPr>
        <w:jc w:val="both"/>
        <w:ind w:left="383" w:hanging="383"/>
        <w:spacing w:after="0" w:line="244" w:lineRule="auto"/>
        <w:tabs>
          <w:tab w:leader="none" w:pos="383"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Ability to attract new biopharmaceutical customers and maintain and expand relationships with existing customers</w:t>
      </w:r>
      <w:r>
        <w:rPr>
          <w:rFonts w:ascii="Arial" w:cs="Arial" w:eastAsia="Arial" w:hAnsi="Arial"/>
          <w:sz w:val="18"/>
          <w:szCs w:val="18"/>
          <w:color w:val="auto"/>
        </w:rPr>
        <w:t>.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expect to support a growing number of investigations and clinical trials. If our relationships expand, we believe we may have opportunities to offer our platform for companion diagnostic development, novel target discovery and validation efforts, and</w:t>
      </w:r>
    </w:p>
    <w:p>
      <w:pPr>
        <w:spacing w:after="0" w:line="203"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35" w:right="339" w:bottom="1440" w:gutter="0" w:footer="0" w:header="0"/>
        </w:sectPr>
      </w:pPr>
    </w:p>
    <w:bookmarkStart w:id="30" w:name="page31"/>
    <w:bookmarkEnd w:id="30"/>
    <w:p>
      <w:pPr>
        <w:jc w:val="both"/>
        <w:ind w:left="900"/>
        <w:spacing w:after="0" w:line="255" w:lineRule="auto"/>
        <w:rPr>
          <w:sz w:val="20"/>
          <w:szCs w:val="20"/>
          <w:color w:val="auto"/>
        </w:rPr>
      </w:pPr>
      <w:r>
        <w:rPr>
          <w:rFonts w:ascii="Arial" w:cs="Arial" w:eastAsia="Arial" w:hAnsi="Arial"/>
          <w:sz w:val="18"/>
          <w:szCs w:val="18"/>
          <w:color w:val="auto"/>
        </w:rPr>
        <w:t>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68" w:lineRule="exact"/>
        <w:rPr>
          <w:sz w:val="20"/>
          <w:szCs w:val="20"/>
          <w:color w:val="auto"/>
        </w:rPr>
      </w:pPr>
    </w:p>
    <w:p>
      <w:pPr>
        <w:jc w:val="both"/>
        <w:ind w:left="900"/>
        <w:spacing w:after="0" w:line="282" w:lineRule="auto"/>
        <w:rPr>
          <w:sz w:val="20"/>
          <w:szCs w:val="20"/>
          <w:color w:val="auto"/>
        </w:rPr>
      </w:pPr>
      <w:r>
        <w:rPr>
          <w:rFonts w:ascii="Arial" w:cs="Arial" w:eastAsia="Arial" w:hAnsi="Arial"/>
          <w:sz w:val="16"/>
          <w:szCs w:val="16"/>
          <w:color w:val="auto"/>
        </w:rPr>
        <w:t>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 – along with the radiologic and patient history data currently used to determine treatment decisions – 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w:t>
      </w:r>
    </w:p>
    <w:p>
      <w:pPr>
        <w:spacing w:after="0" w:line="47" w:lineRule="exact"/>
        <w:rPr>
          <w:sz w:val="20"/>
          <w:szCs w:val="20"/>
          <w:color w:val="auto"/>
        </w:rPr>
      </w:pPr>
    </w:p>
    <w:p>
      <w:pPr>
        <w:jc w:val="both"/>
        <w:ind w:left="900" w:hanging="383"/>
        <w:spacing w:after="0" w:line="283"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Motivating and expanding our field sales force and customer support team</w:t>
      </w:r>
      <w:r>
        <w:rPr>
          <w:rFonts w:ascii="Arial" w:cs="Arial" w:eastAsia="Arial" w:hAnsi="Arial"/>
          <w:sz w:val="16"/>
          <w:szCs w:val="16"/>
          <w:color w:val="auto"/>
        </w:rPr>
        <w:t>. Our field sales force is the primary point of contact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setting. These representatives of the company must cover expansive geographic regions which limits their time for interaction and education of our products in the clinical setting. We plan to continue investing in the field sales force, increasing the total number of sales representatives to drive continued growth,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w:t>
      </w:r>
    </w:p>
    <w:p>
      <w:pPr>
        <w:spacing w:after="0" w:line="5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2021 for more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COVID-19 pandemic has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to help slow the spread of COVID-19, including complying with government directives and guidelines as they are modified and supplemented.</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COVID-19 pandemic and the surge associated with multiple variants have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We do not anticipate the need for COVID-19 testing to be commensurate with the peak demand experienced during the first quarter 2021 and instead expect the demand to moderate as new variants and infections occur. There is no assurance that our COVID-19 testing program will continue to be accepted by the market or that other diagnostic tests will become more accepted, produce quicker results or are more accurate. Further, the longevity and extent of the COVID-19 pandemic is uncertain and the need for COVID-19 testing could vary which could have a significant effect on our results of operations and profitability. As a result, increases in revenue due to any increase in demand for these diagnostic tests may not be indicative of our future revenue.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See Item 1A “Risk Factors” of Part II in this Quarterly Report on Form 10-Q and those discussed in our other filings with the SEC, including the risks described in Item 1A “Risk Factors” of Part I of our Annual Report on Form 10-K for the year ended December 31, 2021, which was filed on March 14, 2022, for a description of how the COVID-19 pandemic may adversely affect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and Operational Highlights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were significant developments affecting our business, capital structure and liquidity during the three months ended September 30, 2022 as compared to the same period in 2021 unless otherwise noted:</w:t>
      </w:r>
    </w:p>
    <w:p>
      <w:pPr>
        <w:spacing w:after="0" w:line="66" w:lineRule="exact"/>
        <w:rPr>
          <w:sz w:val="20"/>
          <w:szCs w:val="20"/>
          <w:color w:val="auto"/>
        </w:rPr>
      </w:pPr>
    </w:p>
    <w:p>
      <w:pPr>
        <w:ind w:left="860" w:hanging="508"/>
        <w:spacing w:after="0"/>
        <w:tabs>
          <w:tab w:leader="none" w:pos="8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Total revenue of $11.1 million, an increase of 70%, driven primarily by strong year-over-year growth in core lung diagnostics:</w:t>
      </w:r>
    </w:p>
    <w:p>
      <w:pPr>
        <w:spacing w:after="0" w:line="107" w:lineRule="exact"/>
        <w:rPr>
          <w:sz w:val="20"/>
          <w:szCs w:val="20"/>
          <w:color w:val="auto"/>
        </w:rPr>
      </w:pPr>
    </w:p>
    <w:p>
      <w:pPr>
        <w:ind w:left="1540" w:hanging="514"/>
        <w:spacing w:after="0" w:line="324" w:lineRule="auto"/>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Core lung diagnostic revenue of $9.2 million, reflected a year-over-year increase of 102% driven primarily by the increased adoption of Nodify Lung nodule management tests (Nodify CDT &amp; Nodify XL2 tests) and the recent GeneStrat NGS commercial launch;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1" w:name="page32"/>
    <w:bookmarkEnd w:id="31"/>
    <w:p>
      <w:pPr>
        <w:ind w:left="1540" w:right="20" w:hanging="514"/>
        <w:spacing w:after="0" w:line="277"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COVID-19 testing revenue of $1.3 million reflected a year-over-year increase of 154% that was driven primarily by testing volume under a now expired contract with the State of Colorado;</w:t>
      </w:r>
    </w:p>
    <w:p>
      <w:pPr>
        <w:spacing w:after="0" w:line="48" w:lineRule="exact"/>
        <w:rPr>
          <w:rFonts w:ascii="Arial" w:cs="Arial" w:eastAsia="Arial" w:hAnsi="Arial"/>
          <w:sz w:val="18"/>
          <w:szCs w:val="18"/>
          <w:color w:val="auto"/>
        </w:rPr>
      </w:pPr>
    </w:p>
    <w:p>
      <w:pPr>
        <w:ind w:left="1540" w:hanging="514"/>
        <w:spacing w:after="0" w:line="261"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Services revenue of $0.7 million decreased 55% year-over-year. COVID-related delays in clinical study enrollment and sample shipping logistics have begun to recover but are still impacting timelines for existing and new agreements;</w:t>
      </w:r>
    </w:p>
    <w:p>
      <w:pPr>
        <w:spacing w:after="0" w:line="75" w:lineRule="exact"/>
        <w:rPr>
          <w:rFonts w:ascii="Arial" w:cs="Arial" w:eastAsia="Arial" w:hAnsi="Arial"/>
          <w:sz w:val="18"/>
          <w:szCs w:val="18"/>
          <w:color w:val="auto"/>
        </w:rPr>
      </w:pPr>
    </w:p>
    <w:p>
      <w:pPr>
        <w:ind w:left="860" w:hanging="508"/>
        <w:spacing w:after="0" w:line="261"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 quarter 2022 gross profit of $7.5 million, or 67% gross margin as compared to 58% gross margin in the comparable prior year period primarily driven by the growth of sales in our higher-margin core lung diagnostics;</w:t>
      </w:r>
    </w:p>
    <w:p>
      <w:pPr>
        <w:spacing w:after="0" w:line="62" w:lineRule="exact"/>
        <w:rPr>
          <w:rFonts w:ascii="Arial" w:cs="Arial" w:eastAsia="Arial" w:hAnsi="Arial"/>
          <w:sz w:val="18"/>
          <w:szCs w:val="18"/>
          <w:color w:val="auto"/>
        </w:rPr>
      </w:pPr>
    </w:p>
    <w:p>
      <w:pPr>
        <w:ind w:left="860" w:hanging="508"/>
        <w:spacing w:after="0" w:line="307"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Operating expenses (excluding direct costs and expenses) of $18.1 million, an increase of 7% driven primarily by growth in sales and marketing which support the record growth in core lung diagnostics sales as well as the recent GeneStrat NGS commercial launch;</w:t>
      </w:r>
    </w:p>
    <w:p>
      <w:pPr>
        <w:spacing w:after="0" w:line="25" w:lineRule="exact"/>
        <w:rPr>
          <w:rFonts w:ascii="Arial" w:cs="Arial" w:eastAsia="Arial" w:hAnsi="Arial"/>
          <w:sz w:val="17"/>
          <w:szCs w:val="17"/>
          <w:color w:val="auto"/>
        </w:rPr>
      </w:pPr>
    </w:p>
    <w:p>
      <w:pPr>
        <w:ind w:left="1540" w:hanging="514"/>
        <w:spacing w:after="0"/>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Includes non-cash stock compensation expense of $1.2 million as compared to $1.4 million;</w:t>
      </w:r>
    </w:p>
    <w:p>
      <w:pPr>
        <w:spacing w:after="0" w:line="103" w:lineRule="exact"/>
        <w:rPr>
          <w:rFonts w:ascii="Arial" w:cs="Arial" w:eastAsia="Arial" w:hAnsi="Arial"/>
          <w:sz w:val="18"/>
          <w:szCs w:val="18"/>
          <w:color w:val="auto"/>
        </w:rPr>
      </w:pPr>
    </w:p>
    <w:p>
      <w:pPr>
        <w:jc w:val="both"/>
        <w:ind w:left="860" w:hanging="508"/>
        <w:spacing w:after="0" w:line="255"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loss of $13.7 million, an increase of 19%, driven primarily by a gain on extinguishment of $3.1 million in the third quarter 2021 related to the debt forgiveness under the Small Business Administration Loan forgiveness program and higher interest costs of $1.5 million partially offset by a reduction in operating loss of $2.5 million or 19%;</w:t>
      </w:r>
    </w:p>
    <w:p>
      <w:pPr>
        <w:spacing w:after="0" w:line="68" w:lineRule="exact"/>
        <w:rPr>
          <w:rFonts w:ascii="Arial" w:cs="Arial" w:eastAsia="Arial" w:hAnsi="Arial"/>
          <w:sz w:val="18"/>
          <w:szCs w:val="18"/>
          <w:color w:val="auto"/>
        </w:rPr>
      </w:pPr>
    </w:p>
    <w:p>
      <w:pPr>
        <w:ind w:left="860" w:hanging="50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of $15.2 million as of September 30, 2022;</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Raised net proceeds of $1.8 million during the quarter through equity offerings;</w:t>
      </w:r>
    </w:p>
    <w:p>
      <w:pPr>
        <w:spacing w:after="0" w:line="116" w:lineRule="exact"/>
        <w:rPr>
          <w:rFonts w:ascii="Arial" w:cs="Arial" w:eastAsia="Arial" w:hAnsi="Arial"/>
          <w:sz w:val="18"/>
          <w:szCs w:val="18"/>
          <w:color w:val="auto"/>
        </w:rPr>
      </w:pPr>
    </w:p>
    <w:p>
      <w:pPr>
        <w:ind w:left="1540" w:hanging="514"/>
        <w:spacing w:after="0" w:line="261"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Includes payments during the quarter for principal repayment of $2.0 million on the 2021 Term Loan and $2.1 million for scheduled milestone payment to Indi.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core lung diagnostics testing and (ii) COVID-19 testing.</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Cost of diagnostic testing generally consists of cost of materials, direct labor, including bonus, employee benefits,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2" w:name="page33"/>
    <w:bookmarkEnd w:id="32"/>
    <w:p>
      <w:pPr>
        <w:jc w:val="both"/>
        <w:spacing w:after="0" w:line="244" w:lineRule="auto"/>
        <w:rPr>
          <w:sz w:val="20"/>
          <w:szCs w:val="20"/>
          <w:color w:val="auto"/>
        </w:rPr>
      </w:pPr>
      <w:r>
        <w:rPr>
          <w:rFonts w:ascii="Arial" w:cs="Arial" w:eastAsia="Arial" w:hAnsi="Arial"/>
          <w:sz w:val="18"/>
          <w:szCs w:val="18"/>
          <w:color w:val="auto"/>
        </w:rPr>
        <w:t>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6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Internal expenses include employee-related costs, including salaries and related benefits for employees engaged in research and development functions. We do not track internal costs by product candidate because these costs are deployed across multiple programs and, as such, are not separately classified.</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general and administrative expenses include costs for our executive, accounting, finance, legal and human resources functions. These expenses consist principally of salaries, bonuses, employee benefits,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jc w:val="both"/>
        <w:ind w:right="100"/>
        <w:spacing w:after="0" w:line="256" w:lineRule="auto"/>
        <w:rPr>
          <w:sz w:val="20"/>
          <w:szCs w:val="20"/>
          <w:color w:val="auto"/>
        </w:rPr>
      </w:pPr>
      <w:r>
        <w:rPr>
          <w:rFonts w:ascii="Arial" w:cs="Arial" w:eastAsia="Arial" w:hAnsi="Arial"/>
          <w:sz w:val="17"/>
          <w:szCs w:val="17"/>
          <w:color w:val="auto"/>
        </w:rPr>
        <w:t>In connection with the purchase transaction of Indi, we recorded contingent consideration pertaining to the amounts potentially payable to Indi shareholder pursuant to the terms of the asset purchase agreement. The fair value of contingent consideration was assessed at each balance sheet date and changes, if any, to the fair value were recognized as operating expenses within the statement of operations. The Company met the gross margin target of $2.0 million for three consecutive months during the three months ended June 30, 2021. Subsequent changes to the contingent consideration following the achievement of the gross margin target are recorded as ‘Interest expense’ in the statements of operations resulting from the passage of time and fixed payment schedule. The significant unobservable inputs used in the measurement of fair value included the probability of successful achievement of the specified product gross margin targets, the period in which the targets were expected to be achieved, and discount rates which ranged from 11% to 16%. As a result of the achievement of the gross margin target, the only significant unobservable input used in the measurement of fair value includes the discount rate since all other inputs became fixed and determinable. During the period ended June 30, 2022, the Company increased the discount rate to reflect current market and Company specific conditions.</w:t>
      </w:r>
    </w:p>
    <w:p>
      <w:pPr>
        <w:spacing w:after="0" w:line="86"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color w:val="auto"/>
        </w:rPr>
        <w:t>On April 7, 2022, the Company entered into Amendment No. 3 to the Indi APA in which the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03" w:lineRule="exact"/>
        <w:rPr>
          <w:sz w:val="20"/>
          <w:szCs w:val="20"/>
          <w:color w:val="auto"/>
        </w:rPr>
      </w:pPr>
    </w:p>
    <w:p>
      <w:pPr>
        <w:jc w:val="both"/>
        <w:ind w:right="100"/>
        <w:spacing w:after="0" w:line="249" w:lineRule="auto"/>
        <w:rPr>
          <w:sz w:val="20"/>
          <w:szCs w:val="20"/>
          <w:color w:val="auto"/>
        </w:rPr>
      </w:pPr>
      <w:r>
        <w:rPr>
          <w:rFonts w:ascii="Arial" w:cs="Arial" w:eastAsia="Arial" w:hAnsi="Arial"/>
          <w:sz w:val="18"/>
          <w:szCs w:val="18"/>
          <w:color w:val="auto"/>
        </w:rPr>
        <w:t>For the three and nine months ended September 30, 2022, interest expense consists of cash and non-cash interest from Promissory Note One, the 2021 Term Loan and changes in the value of our contingent consideration associated with the passage of time subsequent to the achievement of the gross margin target in the second quarter 2021. For the three and nine months ended September 30, 2021, interest expense primarily consists of cash and non-cash interest from our 2021 Term Loan. Interest income, which is included in ‘Other income, net’ in the statements of operations consists of income earned on our cash and cash equivalents.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components of our results of operations for the periods presented (in thousands, except percentages).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7"/>
          </w:tcPr>
          <w:p>
            <w:pPr>
              <w:ind w:left="2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6"/>
          </w:tcPr>
          <w:p>
            <w:pPr>
              <w:ind w:left="1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920" w:type="dxa"/>
            <w:vAlign w:val="bottom"/>
            <w:gridSpan w:val="4"/>
          </w:tcPr>
          <w:p>
            <w:pPr>
              <w:ind w:left="320"/>
              <w:spacing w:after="0"/>
              <w:rPr>
                <w:sz w:val="20"/>
                <w:szCs w:val="20"/>
                <w:color w:val="auto"/>
              </w:rPr>
            </w:pPr>
            <w:r>
              <w:rPr>
                <w:rFonts w:ascii="Arial" w:cs="Arial" w:eastAsia="Arial" w:hAnsi="Arial"/>
                <w:sz w:val="18"/>
                <w:szCs w:val="18"/>
                <w:b w:val="1"/>
                <w:bCs w:val="1"/>
                <w:color w:val="auto"/>
                <w:w w:val="87"/>
              </w:rPr>
              <w:t>Change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6"/>
          </w:tcPr>
          <w:p>
            <w:pPr>
              <w:ind w:left="1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020" w:type="dxa"/>
            <w:vAlign w:val="bottom"/>
            <w:gridSpan w:val="4"/>
          </w:tcPr>
          <w:p>
            <w:pPr>
              <w:ind w:left="400"/>
              <w:spacing w:after="0"/>
              <w:rPr>
                <w:sz w:val="20"/>
                <w:szCs w:val="20"/>
                <w:color w:val="auto"/>
              </w:rPr>
            </w:pPr>
            <w:r>
              <w:rPr>
                <w:rFonts w:ascii="Arial" w:cs="Arial" w:eastAsia="Arial" w:hAnsi="Arial"/>
                <w:sz w:val="18"/>
                <w:szCs w:val="18"/>
                <w:b w:val="1"/>
                <w:bCs w:val="1"/>
                <w:color w:val="auto"/>
                <w:w w:val="90"/>
              </w:rPr>
              <w:t>Change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2022</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2022</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10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Arial" w:cs="Arial" w:eastAsia="Arial" w:hAnsi="Arial"/>
                <w:sz w:val="18"/>
                <w:szCs w:val="18"/>
                <w:color w:val="auto"/>
              </w:rPr>
              <w:t>(18,67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100" w:type="dxa"/>
            <w:vAlign w:val="bottom"/>
            <w:gridSpan w:val="2"/>
            <w:vMerge w:val="continue"/>
            <w:shd w:val="clear" w:color="auto" w:fill="CFF0FC"/>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11,107</w:t>
            </w:r>
          </w:p>
        </w:tc>
        <w:tc>
          <w:tcPr>
            <w:tcW w:w="2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20" w:type="dxa"/>
            <w:vAlign w:val="bottom"/>
            <w:shd w:val="clear" w:color="auto" w:fill="CCEEFF"/>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4,576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color w:val="auto"/>
              </w:rPr>
              <w:t>70 %</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28,605</w:t>
            </w:r>
          </w:p>
        </w:tc>
        <w:tc>
          <w:tcPr>
            <w:tcW w:w="2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47,282</w:t>
            </w:r>
          </w:p>
        </w:tc>
        <w:tc>
          <w:tcPr>
            <w:tcW w:w="120" w:type="dxa"/>
            <w:vAlign w:val="bottom"/>
            <w:shd w:val="clear" w:color="auto" w:fill="CCEEFF"/>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94"/>
        </w:trPr>
        <w:tc>
          <w:tcPr>
            <w:tcW w:w="4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10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rPr>
              <w:t>Direct costs and expenses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100" w:type="dxa"/>
            <w:vAlign w:val="bottom"/>
            <w:gridSpan w:val="2"/>
            <w:vMerge w:val="continue"/>
            <w:shd w:val="clear" w:color="auto" w:fill="CFF0FC"/>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0" w:type="dxa"/>
            <w:vAlign w:val="bottom"/>
            <w:shd w:val="clear" w:color="auto" w:fill="CCEEFF"/>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color w:val="auto"/>
              </w:rPr>
              <w:t>33 %</w:t>
            </w:r>
          </w:p>
        </w:tc>
        <w:tc>
          <w:tcPr>
            <w:tcW w:w="1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10,848</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28,025</w:t>
            </w:r>
          </w:p>
        </w:tc>
        <w:tc>
          <w:tcPr>
            <w:tcW w:w="120" w:type="dxa"/>
            <w:vAlign w:val="bottom"/>
            <w:shd w:val="clear" w:color="auto" w:fill="CCEEFF"/>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94"/>
        </w:trPr>
        <w:tc>
          <w:tcPr>
            <w:tcW w:w="4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4"/>
          </w:tcPr>
          <w:p>
            <w:pPr>
              <w:jc w:val="right"/>
              <w:ind w:right="30"/>
              <w:spacing w:after="0"/>
              <w:rPr>
                <w:sz w:val="20"/>
                <w:szCs w:val="20"/>
                <w:color w:val="auto"/>
              </w:rPr>
            </w:pPr>
            <w:r>
              <w:rPr>
                <w:rFonts w:ascii="Arial" w:cs="Arial" w:eastAsia="Arial" w:hAnsi="Arial"/>
                <w:sz w:val="18"/>
                <w:szCs w:val="18"/>
                <w:color w:val="auto"/>
              </w:rPr>
              <w:t>(10 )%</w:t>
            </w:r>
          </w:p>
        </w:tc>
        <w:tc>
          <w:tcPr>
            <w:tcW w:w="560" w:type="dxa"/>
            <w:vAlign w:val="bottom"/>
          </w:tcPr>
          <w:p>
            <w:pPr>
              <w:jc w:val="right"/>
              <w:spacing w:after="0"/>
              <w:rPr>
                <w:sz w:val="20"/>
                <w:szCs w:val="20"/>
                <w:color w:val="auto"/>
              </w:rPr>
            </w:pPr>
            <w:r>
              <w:rPr>
                <w:rFonts w:ascii="Arial" w:cs="Arial" w:eastAsia="Arial" w:hAnsi="Arial"/>
                <w:sz w:val="18"/>
                <w:szCs w:val="18"/>
                <w:color w:val="auto"/>
              </w:rPr>
              <w:t>9,537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marketing, general and administrative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44,836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36,959</w:t>
            </w:r>
          </w:p>
        </w:tc>
        <w:tc>
          <w:tcPr>
            <w:tcW w:w="120" w:type="dxa"/>
            <w:vAlign w:val="bottom"/>
            <w:shd w:val="clear" w:color="auto" w:fill="CCEEFF"/>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(1,622 )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Impairment loss on intangible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21,717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color w:val="auto"/>
                <w:highlight w:val="white"/>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65,302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(11,241 )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10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8"/>
                <w:szCs w:val="18"/>
                <w:color w:val="auto"/>
              </w:rPr>
              <w:t>(36,69</w:t>
            </w: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100" w:type="dxa"/>
            <w:vAlign w:val="bottom"/>
            <w:gridSpan w:val="2"/>
            <w:vMerge w:val="continue"/>
            <w:shd w:val="clear" w:color="auto" w:fill="CFF0FC"/>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8"/>
              </w:rPr>
              <w:t>(10,610 )</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1"/>
              </w:rPr>
              <w:t>(13,091 )</w:t>
            </w:r>
          </w:p>
        </w:tc>
        <w:tc>
          <w:tcPr>
            <w:tcW w:w="120" w:type="dxa"/>
            <w:vAlign w:val="bottom"/>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color w:val="auto"/>
              </w:rPr>
              <w:t>19 %</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1"/>
              </w:rPr>
              <w:t>(29,261 )</w:t>
            </w:r>
          </w:p>
        </w:tc>
        <w:tc>
          <w:tcPr>
            <w:tcW w:w="80" w:type="dxa"/>
            <w:vAlign w:val="bottom"/>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(7,436 )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94"/>
        </w:trPr>
        <w:tc>
          <w:tcPr>
            <w:tcW w:w="4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(2,510 )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(3,039 )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(1,546 )</w:t>
            </w:r>
          </w:p>
        </w:tc>
        <w:tc>
          <w:tcPr>
            <w:tcW w:w="12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(1,493 )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(97 )</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4"/>
                <w:shd w:val="clear" w:color="auto" w:fill="CFF0FC"/>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(5,522 )</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(3,012 )</w:t>
            </w: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(Loss) gain on extinguishment of liabilities, net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(52 )</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(3,175 )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4"/>
          </w:tcPr>
          <w:p>
            <w:pPr>
              <w:jc w:val="right"/>
              <w:ind w:right="30"/>
              <w:spacing w:after="0"/>
              <w:rPr>
                <w:sz w:val="20"/>
                <w:szCs w:val="20"/>
                <w:color w:val="auto"/>
              </w:rPr>
            </w:pPr>
            <w:r>
              <w:rPr>
                <w:rFonts w:ascii="Arial" w:cs="Arial" w:eastAsia="Arial" w:hAnsi="Arial"/>
                <w:sz w:val="18"/>
                <w:szCs w:val="18"/>
                <w:color w:val="auto"/>
                <w:w w:val="98"/>
              </w:rPr>
              <w:t>(102 )%</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(3,004 )</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(5,399 )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11300 %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other (expense) income</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(3,089 )</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(4,666 )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color w:val="auto"/>
                <w:highlight w:val="white"/>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(8,412 )</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(616 )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(7,796 )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0"/>
              </w:rPr>
              <w:t xml:space="preserve">(1266 </w:t>
            </w:r>
            <w:r>
              <w:rPr>
                <w:rFonts w:ascii="Arial" w:cs="Arial" w:eastAsia="Arial" w:hAnsi="Arial"/>
                <w:sz w:val="18"/>
                <w:szCs w:val="18"/>
                <w:color w:val="auto"/>
                <w:highlight w:val="white"/>
                <w:w w:val="90"/>
              </w:rPr>
              <w:t>)</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0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Arial" w:cs="Arial" w:eastAsia="Arial" w:hAnsi="Arial"/>
                <w:sz w:val="18"/>
                <w:szCs w:val="18"/>
                <w:color w:val="auto"/>
              </w:rPr>
              <w:t>(45,10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Arial" w:cs="Arial" w:eastAsia="Arial" w:hAnsi="Arial"/>
                <w:sz w:val="18"/>
                <w:szCs w:val="18"/>
                <w:color w:val="auto"/>
              </w:rPr>
              <w:t>(15,23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gridSpan w:val="2"/>
            <w:vMerge w:val="continue"/>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8"/>
              </w:rPr>
              <w:t>(13,699 )</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(11,514 )</w:t>
            </w:r>
          </w:p>
        </w:tc>
        <w:tc>
          <w:tcPr>
            <w:tcW w:w="120" w:type="dxa"/>
            <w:vAlign w:val="bottom"/>
          </w:tcPr>
          <w:p>
            <w:pPr>
              <w:spacing w:after="0"/>
              <w:rPr>
                <w:sz w:val="12"/>
                <w:szCs w:val="12"/>
                <w:color w:val="auto"/>
              </w:rPr>
            </w:pP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85"/>
              </w:rPr>
              <w:t>$ (2,185 )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vMerge w:val="restart"/>
          </w:tcPr>
          <w:p>
            <w:pPr>
              <w:jc w:val="right"/>
              <w:spacing w:after="0"/>
              <w:rPr>
                <w:sz w:val="20"/>
                <w:szCs w:val="20"/>
                <w:color w:val="auto"/>
              </w:rPr>
            </w:pPr>
            <w:r>
              <w:rPr>
                <w:rFonts w:ascii="Arial" w:cs="Arial" w:eastAsia="Arial" w:hAnsi="Arial"/>
                <w:sz w:val="18"/>
                <w:szCs w:val="18"/>
                <w:color w:val="auto"/>
              </w:rPr>
              <w:t>(19 )%$</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9 )</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(29,877 )</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7"/>
                <w:szCs w:val="27"/>
                <w:color w:val="auto"/>
                <w:vertAlign w:val="superscript"/>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4100" w:type="dxa"/>
            <w:vAlign w:val="bottom"/>
            <w:gridSpan w:val="2"/>
            <w:vMerge w:val="continue"/>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(16 )%$</w:t>
            </w:r>
          </w:p>
        </w:tc>
        <w:tc>
          <w:tcPr>
            <w:tcW w:w="560" w:type="dxa"/>
            <w:vAlign w:val="bottom"/>
          </w:tcPr>
          <w:p>
            <w:pPr>
              <w:jc w:val="right"/>
              <w:spacing w:after="0"/>
              <w:rPr>
                <w:sz w:val="20"/>
                <w:szCs w:val="20"/>
                <w:color w:val="auto"/>
              </w:rPr>
            </w:pPr>
            <w:r>
              <w:rPr>
                <w:rFonts w:ascii="Arial" w:cs="Arial" w:eastAsia="Arial" w:hAnsi="Arial"/>
                <w:sz w:val="18"/>
                <w:szCs w:val="18"/>
                <w:color w:val="auto"/>
              </w:rPr>
              <w:t>3,884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557"/>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-3509645</wp:posOffset>
            </wp:positionV>
            <wp:extent cx="1061720"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61720" cy="25717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-3509645</wp:posOffset>
            </wp:positionV>
            <wp:extent cx="1087120"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87120" cy="25717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-3115945</wp:posOffset>
            </wp:positionV>
            <wp:extent cx="1061720"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61720" cy="25717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-3115945</wp:posOffset>
            </wp:positionV>
            <wp:extent cx="1087120"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87120" cy="25717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-2722245</wp:posOffset>
            </wp:positionV>
            <wp:extent cx="10617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61720" cy="1371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-2722245</wp:posOffset>
            </wp:positionV>
            <wp:extent cx="10871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87120" cy="13716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-2311400</wp:posOffset>
            </wp:positionV>
            <wp:extent cx="7683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-2447925</wp:posOffset>
            </wp:positionV>
            <wp:extent cx="3450590" cy="548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50590" cy="54800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-1763395</wp:posOffset>
            </wp:positionV>
            <wp:extent cx="10871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87120" cy="13716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-1489075</wp:posOffset>
            </wp:positionV>
            <wp:extent cx="4075430" cy="282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7543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-1061085</wp:posOffset>
            </wp:positionV>
            <wp:extent cx="7132320" cy="436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5" w:right="239" w:bottom="1440" w:gutter="0" w:footer="0" w:header="0"/>
        </w:sectPr>
      </w:pPr>
    </w:p>
    <w:bookmarkStart w:id="34" w:name="page35"/>
    <w:bookmarkEnd w:id="34"/>
    <w:p>
      <w:pPr>
        <w:ind w:left="380" w:hanging="372"/>
        <w:spacing w:after="0"/>
        <w:tabs>
          <w:tab w:leader="none" w:pos="380" w:val="left"/>
        </w:tabs>
        <w:numPr>
          <w:ilvl w:val="0"/>
          <w:numId w:val="19"/>
        </w:numPr>
        <w:rPr>
          <w:rFonts w:ascii="Arial" w:cs="Arial" w:eastAsia="Arial" w:hAnsi="Arial"/>
          <w:sz w:val="24"/>
          <w:szCs w:val="24"/>
          <w:color w:val="auto"/>
          <w:vertAlign w:val="superscript"/>
        </w:rPr>
      </w:pPr>
      <w:r>
        <w:rPr>
          <w:rFonts w:ascii="Arial" w:cs="Arial" w:eastAsia="Arial" w:hAnsi="Arial"/>
          <w:sz w:val="18"/>
          <w:szCs w:val="18"/>
          <w:color w:val="auto"/>
        </w:rPr>
        <w:t>Amounts represent share-based compensation expense reported in the Company’s results of operations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3"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We generate revenue from our diagnostic tests and services that we provide. Our revenues for the periods indicated were as follows (in thousands, except percentages):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3"/>
              </w:rPr>
              <w:t>Three Months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2"/>
              </w:rPr>
              <w:t>Nine Months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4"/>
          </w:tcPr>
          <w:p>
            <w:pPr>
              <w:jc w:val="center"/>
              <w:ind w:right="70"/>
              <w:spacing w:after="0" w:line="189" w:lineRule="exact"/>
              <w:rPr>
                <w:sz w:val="20"/>
                <w:szCs w:val="20"/>
                <w:color w:val="auto"/>
              </w:rPr>
            </w:pPr>
            <w:r>
              <w:rPr>
                <w:rFonts w:ascii="Arial" w:cs="Arial" w:eastAsia="Arial" w:hAnsi="Arial"/>
                <w:sz w:val="18"/>
                <w:szCs w:val="18"/>
                <w:b w:val="1"/>
                <w:bCs w:val="1"/>
                <w:color w:val="auto"/>
                <w:w w:val="90"/>
              </w:rPr>
              <w:t>Ended September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5"/>
          </w:tcPr>
          <w:p>
            <w:pPr>
              <w:jc w:val="center"/>
              <w:spacing w:after="0" w:line="189" w:lineRule="exact"/>
              <w:rPr>
                <w:sz w:val="20"/>
                <w:szCs w:val="20"/>
                <w:color w:val="auto"/>
              </w:rPr>
            </w:pPr>
            <w:r>
              <w:rPr>
                <w:rFonts w:ascii="Arial" w:cs="Arial" w:eastAsia="Arial" w:hAnsi="Arial"/>
                <w:sz w:val="18"/>
                <w:szCs w:val="18"/>
                <w:b w:val="1"/>
                <w:bCs w:val="1"/>
                <w:color w:val="auto"/>
                <w:w w:val="88"/>
              </w:rPr>
              <w:t>Ended September</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7"/>
              </w:rPr>
              <w:t>30,</w:t>
            </w: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5"/>
              </w:rPr>
              <w:t>30,</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93"/>
              </w:rPr>
              <w:t>Change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COVID-19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154 % $</w:t>
            </w:r>
          </w:p>
        </w:tc>
        <w:tc>
          <w:tcPr>
            <w:tcW w:w="520" w:type="dxa"/>
            <w:vAlign w:val="bottom"/>
          </w:tcPr>
          <w:p>
            <w:pPr>
              <w:jc w:val="right"/>
              <w:spacing w:after="0"/>
              <w:rPr>
                <w:sz w:val="20"/>
                <w:szCs w:val="20"/>
                <w:color w:val="auto"/>
              </w:rPr>
            </w:pPr>
            <w:r>
              <w:rPr>
                <w:rFonts w:ascii="Arial" w:cs="Arial" w:eastAsia="Arial" w:hAnsi="Arial"/>
                <w:sz w:val="18"/>
                <w:szCs w:val="18"/>
                <w:color w:val="auto"/>
              </w:rPr>
              <w:t>5,224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29,802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 (24,578 )</w:t>
            </w: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Lung Diagnostic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4,624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21,058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120"/>
              <w:spacing w:after="0"/>
              <w:rPr>
                <w:sz w:val="20"/>
                <w:szCs w:val="20"/>
                <w:color w:val="auto"/>
              </w:rPr>
            </w:pPr>
            <w:r>
              <w:rPr>
                <w:rFonts w:ascii="Arial" w:cs="Arial" w:eastAsia="Arial" w:hAnsi="Arial"/>
                <w:sz w:val="18"/>
                <w:szCs w:val="18"/>
                <w:color w:val="auto"/>
              </w:rPr>
              <w:t>Diagnostic testing revenue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5,404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color w:val="auto"/>
                <w:highlight w:val="white"/>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26,282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43,072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(16,790 )</w:t>
            </w: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Services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(828 )</w:t>
            </w:r>
          </w:p>
        </w:tc>
        <w:tc>
          <w:tcPr>
            <w:tcW w:w="260" w:type="dxa"/>
            <w:vAlign w:val="bottom"/>
          </w:tcPr>
          <w:p>
            <w:pPr>
              <w:spacing w:after="0"/>
              <w:rPr>
                <w:sz w:val="18"/>
                <w:szCs w:val="18"/>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(55 )%</w:t>
            </w:r>
          </w:p>
        </w:tc>
        <w:tc>
          <w:tcPr>
            <w:tcW w:w="520" w:type="dxa"/>
            <w:vAlign w:val="bottom"/>
          </w:tcPr>
          <w:p>
            <w:pPr>
              <w:jc w:val="right"/>
              <w:spacing w:after="0"/>
              <w:rPr>
                <w:sz w:val="20"/>
                <w:szCs w:val="20"/>
                <w:color w:val="auto"/>
              </w:rPr>
            </w:pPr>
            <w:r>
              <w:rPr>
                <w:rFonts w:ascii="Arial" w:cs="Arial" w:eastAsia="Arial" w:hAnsi="Arial"/>
                <w:sz w:val="18"/>
                <w:szCs w:val="18"/>
                <w:color w:val="auto"/>
              </w:rPr>
              <w:t>2,323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4,210</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(1,887 )</w:t>
            </w: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11,107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6,531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4,576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xml:space="preserve">70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28,605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47,282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 (18,677 )</w:t>
            </w: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5905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590550"/>
                    </a:xfrm>
                    <a:prstGeom prst="rect">
                      <a:avLst/>
                    </a:prstGeom>
                    <a:noFill/>
                  </pic:spPr>
                </pic:pic>
              </a:graphicData>
            </a:graphic>
          </wp:anchor>
        </w:drawing>
      </w:r>
    </w:p>
    <w:p>
      <w:pPr>
        <w:spacing w:after="0" w:line="208"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Total revenue increased $4.6 million or 70%, and decreased $18.7 million or 40% for the three and nine months ended September 30, 2022, respectively, compared to the same periods in 2021.</w:t>
      </w:r>
    </w:p>
    <w:p>
      <w:pPr>
        <w:spacing w:after="0" w:line="62" w:lineRule="exact"/>
        <w:rPr>
          <w:sz w:val="20"/>
          <w:szCs w:val="20"/>
          <w:color w:val="auto"/>
        </w:rPr>
      </w:pPr>
    </w:p>
    <w:p>
      <w:pPr>
        <w:jc w:val="both"/>
        <w:ind w:right="100"/>
        <w:spacing w:after="0" w:line="277" w:lineRule="auto"/>
        <w:rPr>
          <w:sz w:val="20"/>
          <w:szCs w:val="20"/>
          <w:color w:val="auto"/>
        </w:rPr>
      </w:pPr>
      <w:r>
        <w:rPr>
          <w:rFonts w:ascii="Arial" w:cs="Arial" w:eastAsia="Arial" w:hAnsi="Arial"/>
          <w:sz w:val="16"/>
          <w:szCs w:val="16"/>
          <w:color w:val="auto"/>
        </w:rPr>
        <w:t>Diagnostic test revenue increased $5.4 million or 107%, and decreased $16.8 million or 39% for the three and nine months ended September 30, 2022, respectively, compared to the same periods in 2021. The increase for the three months ended September 30, 2022 compared to the same period in 2021 is due to a $0.8 million increase in COVID-19 revenue and $4.6 million increase in lung diagnostic revenue driven primarily from an increase in Nodify XL2 and CDT, and GeneStrat NGS tests delivered. The decrease in Diagnostic test revenue for the nine months ended September 30, 2022 compared to the same period in 2021 is due to a $24.6 million reduction in COVID-19 revenue resulting from an increase in COVID-19 vaccination rates across the U.S. and the adoption and availability of at-home testing, including the expiration of significant testing contracts. The reduction in COVID-19 revenue was partially offset by an increase in our core lung diagnostic revenue of $7.8 million driven primarily from an increase in Nodify XL2 and CDT, and GeneStrat NGS tests delivered. The Company’s core lung diagnostic sales efforts continued to gain momentum during the three months ended September 30, 2022 as the COVID-19 pandemic recedes and as health care practitioners, including pulmonologists, increasingly returned to pre-pandemic related care.</w:t>
      </w:r>
    </w:p>
    <w:p>
      <w:pPr>
        <w:spacing w:after="0" w:line="58" w:lineRule="exact"/>
        <w:rPr>
          <w:sz w:val="20"/>
          <w:szCs w:val="20"/>
          <w:color w:val="auto"/>
        </w:rPr>
      </w:pPr>
    </w:p>
    <w:p>
      <w:pPr>
        <w:jc w:val="both"/>
        <w:ind w:right="100"/>
        <w:spacing w:after="0" w:line="289" w:lineRule="auto"/>
        <w:rPr>
          <w:sz w:val="20"/>
          <w:szCs w:val="20"/>
          <w:color w:val="auto"/>
        </w:rPr>
      </w:pPr>
      <w:r>
        <w:rPr>
          <w:rFonts w:ascii="Arial" w:cs="Arial" w:eastAsia="Arial" w:hAnsi="Arial"/>
          <w:sz w:val="16"/>
          <w:szCs w:val="16"/>
          <w:color w:val="auto"/>
        </w:rPr>
        <w:t>Services revenue decreased $0.8 million or 55%, and $1.9 million or 45% for the three and nine months ended September 30, 2022, respectively, compared to the same periods in 2021 due to lower testing volumes driven by sample shipping logistics impacting timelines for existing and new agreements. In addition to delayed receipts in samples, service revenue can fluctuate due to several factors including contract timing, which can be long under normal circumstances, and currently reflects the slower pace of overall prospective clinical trial enrollment recovering from disruptions put forth by COVID-19.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03" w:lineRule="exact"/>
        <w:rPr>
          <w:sz w:val="20"/>
          <w:szCs w:val="20"/>
          <w:color w:val="auto"/>
        </w:rPr>
      </w:pPr>
    </w:p>
    <w:p>
      <w:pPr>
        <w:jc w:val="both"/>
        <w:ind w:right="100"/>
        <w:spacing w:after="0" w:line="263" w:lineRule="auto"/>
        <w:rPr>
          <w:sz w:val="20"/>
          <w:szCs w:val="20"/>
          <w:color w:val="auto"/>
        </w:rPr>
      </w:pPr>
      <w:r>
        <w:rPr>
          <w:rFonts w:ascii="Arial" w:cs="Arial" w:eastAsia="Arial" w:hAnsi="Arial"/>
          <w:sz w:val="17"/>
          <w:szCs w:val="17"/>
          <w:color w:val="auto"/>
        </w:rPr>
        <w:t>Direct costs and expenses related to revenue increased $0.9 million or 33%, and decreased $17.2 million or 61% for the three and nine months ended September 30, 2022, respectively, compared to the same periods in 2021. The increase in costs for the three months ended September 30, 2022 was due primarily to increased lung diagnostic revenue, testing volume, and the reserve recorded for excess inventory primarily associated with the wind down of the COVID-19 testing operation. The decrease in costs for the nine months ended September 30, 2022 was driven primarily by the overall decline in COVID-19 testing, as vaccinations increase as well as broader adoption and availability of at-home testing, partially offset by an increase in direct costs and expenses associated with increased lung diagnostic revenue and the reserve recorded for excess inventory.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3"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Research and development expenses decreased $0.3 million or 10%, and $0.4 million or 4% for the three and nine months ended September 30, 2022, respectively, compared to the same periods in 2021. The decrease in costs for the three and nine months ended September 30, 2022 was due primarily to a decrease in employee compensation and benefit costs and other laboratory costs.</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89" w:right="239" w:bottom="1440" w:gutter="0" w:footer="0" w:header="0"/>
        </w:sectPr>
      </w:pPr>
    </w:p>
    <w:bookmarkStart w:id="35" w:name="page36"/>
    <w:bookmarkEnd w:id="35"/>
    <w:p>
      <w:pPr>
        <w:jc w:val="both"/>
        <w:ind w:right="120"/>
        <w:spacing w:after="0" w:line="277" w:lineRule="auto"/>
        <w:rPr>
          <w:sz w:val="20"/>
          <w:szCs w:val="20"/>
          <w:color w:val="auto"/>
        </w:rPr>
      </w:pPr>
      <w:r>
        <w:rPr>
          <w:rFonts w:ascii="Arial" w:cs="Arial" w:eastAsia="Arial" w:hAnsi="Arial"/>
          <w:sz w:val="18"/>
          <w:szCs w:val="18"/>
          <w:color w:val="auto"/>
        </w:rPr>
        <w:t>The following table summarizes our external and internal costs for the three and nine months ended September 30, 2022 and 2021 (in thousands, except percentages).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5"/>
          </w:tcPr>
          <w:p>
            <w:pPr>
              <w:ind w:left="20"/>
              <w:spacing w:after="0" w:line="189" w:lineRule="exact"/>
              <w:rPr>
                <w:sz w:val="20"/>
                <w:szCs w:val="20"/>
                <w:color w:val="auto"/>
              </w:rPr>
            </w:pPr>
            <w:r>
              <w:rPr>
                <w:rFonts w:ascii="Arial" w:cs="Arial" w:eastAsia="Arial" w:hAnsi="Arial"/>
                <w:sz w:val="18"/>
                <w:szCs w:val="18"/>
                <w:b w:val="1"/>
                <w:bCs w:val="1"/>
                <w:color w:val="auto"/>
                <w:w w:val="94"/>
              </w:rPr>
              <w:t>Three Months Ended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4"/>
          </w:tcPr>
          <w:p>
            <w:pPr>
              <w:jc w:val="center"/>
              <w:spacing w:after="0" w:line="189" w:lineRule="exact"/>
              <w:rPr>
                <w:sz w:val="20"/>
                <w:szCs w:val="20"/>
                <w:color w:val="auto"/>
              </w:rPr>
            </w:pPr>
            <w:r>
              <w:rPr>
                <w:rFonts w:ascii="Arial" w:cs="Arial" w:eastAsia="Arial" w:hAnsi="Arial"/>
                <w:sz w:val="18"/>
                <w:szCs w:val="18"/>
                <w:b w:val="1"/>
                <w:bCs w:val="1"/>
                <w:color w:val="auto"/>
                <w:w w:val="88"/>
              </w:rPr>
              <w:t>Ended September</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3"/>
              </w:rPr>
              <w:t>Change</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7"/>
              </w:rPr>
              <w:t>30,</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0"/>
              </w:rPr>
              <w:t>Change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expenses: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Clinical trials and associated costs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19 % $ 1,641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(30 )</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Other external costs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(193 )</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(19 )%</w:t>
            </w:r>
          </w:p>
        </w:tc>
        <w:tc>
          <w:tcPr>
            <w:tcW w:w="560" w:type="dxa"/>
            <w:vAlign w:val="bottom"/>
          </w:tcPr>
          <w:p>
            <w:pPr>
              <w:jc w:val="right"/>
              <w:spacing w:after="0"/>
              <w:rPr>
                <w:sz w:val="20"/>
                <w:szCs w:val="20"/>
                <w:color w:val="auto"/>
              </w:rPr>
            </w:pPr>
            <w:r>
              <w:rPr>
                <w:rFonts w:ascii="Arial" w:cs="Arial" w:eastAsia="Arial" w:hAnsi="Arial"/>
                <w:sz w:val="18"/>
                <w:szCs w:val="18"/>
                <w:color w:val="auto"/>
              </w:rPr>
              <w:t>2,685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(364 )</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external costs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(124 )</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(394 )</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Internal expenses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(199 )</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560" w:type="dxa"/>
            <w:vAlign w:val="bottom"/>
          </w:tcPr>
          <w:p>
            <w:pPr>
              <w:jc w:val="right"/>
              <w:spacing w:after="0"/>
              <w:rPr>
                <w:sz w:val="20"/>
                <w:szCs w:val="20"/>
                <w:color w:val="auto"/>
              </w:rPr>
            </w:pPr>
            <w:r>
              <w:rPr>
                <w:rFonts w:ascii="Arial" w:cs="Arial" w:eastAsia="Arial" w:hAnsi="Arial"/>
                <w:sz w:val="18"/>
                <w:szCs w:val="18"/>
                <w:color w:val="auto"/>
              </w:rPr>
              <w:t>5,211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(6 )</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2,970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3,293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(323 )</w:t>
            </w:r>
          </w:p>
        </w:tc>
        <w:tc>
          <w:tcPr>
            <w:tcW w:w="2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color w:val="auto"/>
                <w:highlight w:val="white"/>
              </w:rPr>
              <w:t>)</w:t>
            </w:r>
            <w:r>
              <w:rPr>
                <w:rFonts w:ascii="Arial" w:cs="Arial" w:eastAsia="Arial" w:hAnsi="Arial"/>
                <w:sz w:val="18"/>
                <w:szCs w:val="18"/>
                <w:color w:val="auto"/>
              </w:rPr>
              <w:t>%$ 9,537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9,937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(400 )</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5905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59055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03"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color w:val="auto"/>
        </w:rPr>
        <w:t>Sales, marketing, general and administrative expenses increased $1.5 million or 11%, and $7.9 million or 21% for the three and nine months ended September 30, 2022, respectively, compared to the same periods in 2021. This increase was driven primarily by increases in employee compensation and benefits for both the three and nine months ended September 30, 2022 associated with an increase in sales headcount and variable compensation during 2022 as compared to 2021. This is also the result of increases in non-employee costs for both the three and nine months ended September 30, 2022 associated with increased spending on various sales meetings, training, and campaigns.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03"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Change in fair value of contingent consideration decreased $1.6 million or 100% for the nine months ended September 30, 2022 compared to the same period in 2021. The net change to contingent consideration through the date the gross margin target was met is recorded as operating expenses in the statements of operations. The decrease of $1.6 million is a result of the gross margin target being met during the three months ended June 30, 2021 and subsequent changes to the contingent consideration following the achievement of the gross margin target are recorded as ‘Interest expense’ in the statements of operations resulting from the passage of time and fixed payment schedule.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3"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color w:val="auto"/>
        </w:rPr>
        <w:t>Interest expense increased $1.5 million or 97%, and $2.5 million or 83% for the three and nine months ended September 30, 2022, respectively, compared to the same periods in 2021. This increase for the three and nine months ended September 30, 2022 is primarily related to interest associated with the contingent consideration, the securities purchase agreement with Streeterville Capital, LLC (the Lender), in which the Lender purchased Promissory Note One for which the Company recorded $0.9 million and $1.3 million, respectively and the accelerated accretion of the $2.7 million Silicon Valley Bank (SVB) final payment as interest expense over the expected remaining term of the loan.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on extinguishment of liabilities, net</w:t>
      </w:r>
    </w:p>
    <w:p>
      <w:pPr>
        <w:spacing w:after="0" w:line="103" w:lineRule="exact"/>
        <w:rPr>
          <w:sz w:val="20"/>
          <w:szCs w:val="20"/>
          <w:color w:val="auto"/>
        </w:rPr>
      </w:pPr>
    </w:p>
    <w:p>
      <w:pPr>
        <w:jc w:val="both"/>
        <w:ind w:right="100"/>
        <w:spacing w:after="0" w:line="244" w:lineRule="auto"/>
        <w:rPr>
          <w:sz w:val="20"/>
          <w:szCs w:val="20"/>
          <w:color w:val="auto"/>
        </w:rPr>
      </w:pPr>
      <w:r>
        <w:rPr>
          <w:rFonts w:ascii="Arial" w:cs="Arial" w:eastAsia="Arial" w:hAnsi="Arial"/>
          <w:sz w:val="18"/>
          <w:szCs w:val="18"/>
          <w:color w:val="auto"/>
        </w:rPr>
        <w:t>The Company recorded a loss on extinguishment of liabilities of $0.1 million and $3.0 million for the three and nine months ended September 30, 2022, respectively. During the three months September 30, 2022, the Company recorded a loss on debt extinguishment of $0.1 million resulting from the partial repayment of our 2021 Term Loan and the write-off of associated debt issuance costs. On April 7, 2022, the Company entered into Amendment No. 3 to the Indi APA in which all parties agreed to restructure the milestone payments. During the three months ended June 30, 2022, 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the extinguishment of $2.9 million.</w:t>
      </w:r>
    </w:p>
    <w:p>
      <w:pPr>
        <w:spacing w:after="0" w:line="78" w:lineRule="exact"/>
        <w:rPr>
          <w:sz w:val="20"/>
          <w:szCs w:val="20"/>
          <w:color w:val="auto"/>
        </w:rPr>
      </w:pPr>
    </w:p>
    <w:p>
      <w:pPr>
        <w:jc w:val="both"/>
        <w:ind w:right="100"/>
        <w:spacing w:after="0" w:line="249" w:lineRule="auto"/>
        <w:rPr>
          <w:sz w:val="20"/>
          <w:szCs w:val="20"/>
          <w:color w:val="auto"/>
        </w:rPr>
      </w:pPr>
      <w:r>
        <w:rPr>
          <w:rFonts w:ascii="Arial" w:cs="Arial" w:eastAsia="Arial" w:hAnsi="Arial"/>
          <w:sz w:val="18"/>
          <w:szCs w:val="18"/>
          <w:color w:val="auto"/>
        </w:rPr>
        <w:t>During the three and nine months ended September 30, 2021, the Company recognized a $3.1 million and $2.4 million net gain on debt extinguishment. The Company recorded a gain on debt extinguishment of $3.1 million related to the legal release and forgiveness of the Paycheck Protection Program Loan in full. The gain was partially offset by losses on debt extinguishment of $0.7 million and $0.1 million resulting from the repayment and termination of our 2018 secured promissory note with Innovatus and the write-off of debt issuance costs associated with a $20 million prepayment of our 2021 Term Loan,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35" w:right="2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7"/>
          <w:szCs w:val="17"/>
          <w:color w:val="auto"/>
        </w:rPr>
        <w:t>As a result of the pandemic, the Company diversified its diagnostic testing beyond lung diagnostic testing to include the critical service of COVID-19 diagnostic testing.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In addition, the COVID-19 pandemic negatively affected our lung diagnostic testing-related revenue and our clinical studies. We began to see recovery during the fourth quarter 2020 in our core lung diagnostic testing as our delivered tests exceeded first quarter 2020 delivered tests. The Company’s sales efforts continued to be impacted by the COVID-19 pandemic during the first half of the first quarter 2022 due to surges associated with variants, which negatively affected the growth rate of our core lung diagnostic testing-related revenue and our clinical studies. However, we began to see further recovery during the latter half of the first quarter and throughout the second quarter 2022 in lung diagnostic testing as health care practitioners, including pulmonologists, increasingly returned to pre-pandemic related care. As a result, the items identified above have had an adverse effect on our revenue, results of operations and cash flows.</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March 2021, we completed the closing of our 2021 Term Loan for a principal amount of $30 million and extinguished our prior 2018 term loan for $25.9 million. The 2021 Term Loan contains customary affirmative covenants, including covenants regarding compliance with applicable laws and regulation, payment of taxes, insurance coverage, notice of certain events, and reporting requirements. Further, the 2021 Term Loan contains customary negative covenants limiting the ability to, among other things, incur future debt, transfer assets except for the ordinary course of business, make acquisitions, make certain restricted payments, and sell assets, subject to certain exceptions. The 2021 Term Loan requires the Company to comply with a minimum liquidity ratio covenant (as defined in the 2021 Term Loan) of not less than 0.95 to 1.00, and had a trailing six-month rolling revenue requirement of not less than 70% of the Company’s projected revenue performed at the end each reporting period.</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gross margin target associated with the purchase transaction of Indi was achieved in the quarter ending June 30, 2021, giving rise to the previously disclosed contingent obligations of $37.0 million in the aggregate payable through the issuance of Company’s shares of common stock subject to a fixed price put option. The Company entered into an amendment in August 2021 to the original agreement in which all parties agreed to forgo the issuance of shares of common stock of the Company that would otherwise be issued, and the Company will instead make six quarterly installment payments of $4.6 million beginning in January 2022 and a final payment of approximately $9.3 million in July 2023 for a total of $37.0 million (the Milestone Payments and each individually a Milestone Payment). The aggregate amount of payments owed by the Company under this amendment is the same as if Indi had exercised the put right or the Company had exercised the call right provided for in the original agreement.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 period ended December 31, 2021. In addition, we agreed to establish a restricted cash collateral account for $15 million for the benefit of SVB if the balance of our cash and cash equivalents declined below $40 million.</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30, 2021, the Company raised approximately $16.3 million in gross proceeds from the sale of 3,756,994 common shares at a public offering price of $4.35 per share in an at-the-market offering. The Company received net proceeds of $15.7 million after deducting underwriting discounts and commissions and offering expenses payable by the Company.</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December 31, 2021, we entered into the Consent and Second Amendment to Loan and Security Agreement (Second Amendment) to, among other things, amend our 2021 Term Loan and First Amendment to: (i) obtain consent for the $4.6 million January 2022 Milestone Payment due under the Indi APA, (ii) repay $20 million in outstanding principal on December 31, 2021, (iii) waive the $600,000 prepayment fee on the $20 million 2021 Term Loan repayment, (iv) waive the minimum revenue covenant as of December 31, 2021, and (v) modify the minimum revenue requirement to not less than 75% for the three months ended March 31, 2022 and not less than 75% on a trailing six month rolling basis for each quarter thereafter of the Company’s projected revenue performed at the end of each reporting period. SVB agreed to apply the full amount of funds previously established within the restricted cash collateral account to partially repay the $20 million in outstanding principal, thereby eliminating the restricted cash collateral account.</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March 7, 2022 (the Effective Date), the Company entered into a purchase agreement with Lincoln Park, pursuant to which Lincoln Park has committed to purchase up to $50.0 million of the Company's common stock (the Purchase Agreement).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Effective Date. As consideration for Lincoln Park's irrevocable commitment to purchase our common stock upon the terms of and subject to satisfaction of the conditions set forth in the purchase agreement, on the Effective Date, the Company issued 184,275 shares of common stock to Lincoln Park as a commitment fee valued at $600,000 for which no consideration was received.</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April 7, 2022, the Company entered into subscription agreements (the Subscription Agreements) with a consortium of investors (the Investors), including three members of our Board of Directors and other existing shareholders of the Company, for the issuance and sale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by the Company of an aggregate of 6,508,376 shares of the Company’s common stock in an offering for an aggregate purchase price of approximately $11.7 million.</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April 7, 2022, the Company entered into the Consent and Third Amendment to Loan and Security Agreement (Third Amendment) whereby subject to the terms and conditions of the Third Amendment, certain waivers and consents were provided. Under the terms of the Third Amendment to our 2021 Term Loan, the Company agreed to the repayment of $3.0 million in outstanding principal in April 2022 with an additional $2.0 million to be paid no later than September 30, 2022, in exchange for the following:</w:t>
      </w:r>
    </w:p>
    <w:p>
      <w:pPr>
        <w:spacing w:after="0" w:line="75" w:lineRule="exact"/>
        <w:rPr>
          <w:sz w:val="20"/>
          <w:szCs w:val="20"/>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Consent for a $2.0 million April 2022 mutually agreed upon Milestone Payment under the Indi APA, as amended;</w:t>
      </w:r>
    </w:p>
    <w:p>
      <w:pPr>
        <w:spacing w:after="0" w:line="116" w:lineRule="exact"/>
        <w:rPr>
          <w:rFonts w:ascii="Arial" w:cs="Arial" w:eastAsia="Arial" w:hAnsi="Arial"/>
          <w:sz w:val="18"/>
          <w:szCs w:val="18"/>
          <w:color w:val="auto"/>
        </w:rPr>
      </w:pPr>
    </w:p>
    <w:p>
      <w:pPr>
        <w:ind w:left="1020" w:right="280" w:hanging="504"/>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Waiver of minimum revenue requirement for the three months ended March 31, 2022 and adjustment of remaining revenue milestones for 2022; and</w:t>
      </w:r>
    </w:p>
    <w:p>
      <w:pPr>
        <w:spacing w:after="0" w:line="62" w:lineRule="exact"/>
        <w:rPr>
          <w:rFonts w:ascii="Arial" w:cs="Arial" w:eastAsia="Arial" w:hAnsi="Arial"/>
          <w:sz w:val="18"/>
          <w:szCs w:val="18"/>
          <w:color w:val="auto"/>
        </w:rPr>
      </w:pPr>
    </w:p>
    <w:p>
      <w:pPr>
        <w:ind w:left="1020" w:right="440" w:hanging="504"/>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Waiver and elimination of the prepayment fee on the $3.0 million 2021 Term Loan partial repayment in April 2022 and subsequent $2.0 million principal repayment.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further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are subject to consent from our lender under the 2021 Term Loan and related amendments. We have obtained SVB consent for contractual payments through the fourth Milestone Payment and interest payment of $2.1 million paid in October 2022 and we are in discussions with SVB to obtain consents for future payments.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May 9, 2022, the Company entered into a securities purchase agreement with Streeterville Capital, LLC (the Lender), pursuant to which, among other things, the Lender: (i) purchased a secured promissory note (Promissory Note One) in the aggregate principal amount totaling $16.0 million in exchange for $15.0 million less certain expenses and (ii) agreed to purchase another secured promissory note at the Company’s election (Promissory Note Two and, together with Promissory Note One, the Promissory Notes), subject to certain conditions precedent in aggregate principal amount totaling $10.3 million in exchange for $10.0 million in cash proceeds. Each of the Promissory Notes may, at the Company's option, be settled in cash or shares of common stock of the Company, upon the terms and subject to the limitations and conditions set forth in the Promissory Notes. On May 9, 2022, the Company closed on the first tranche for gross proceeds of $15.0 million (approximately $12.8 million, net, after deducting debt issuance costs and OID), and intends to use the proceeds from such issuance for general corporate purposes.</w:t>
      </w:r>
    </w:p>
    <w:p>
      <w:pPr>
        <w:spacing w:after="0" w:line="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September 30, 2022, the Company entered into the Consent and Fourth Amendment to Loan and Security Agreement (the 2021 Term Loan Fourth Amendment). Under the terms of the 2021 Term Loan Fourth Amendment, the Company agreed to a repayment of $2.0 million in outstanding principal on the earlier of (a) November 30, 2022, or (b) the date on which our unrestricted cash held with SVB falls below $10.0 million, which could be extended to December 15, 2022, subject to equity fund raising of at least $5 million, in exchange for: (i) consent for the $2.1 million October 2022 milestone and interest payment under the Indi APA, as amended, and (ii) waiver and elimination of the prepayment fee on the subsequent $2.0 million 2021 Term Loan principal repayment.</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mentioned above, the Company maintains two facilities that enable equity financing on an ongoing basis at the Company’s sole discretion, our at-the-market offering and our common stock purchase agreement with Lincoln Park Capital Fund, LLC (the LPC facility). During the three and nine months ended September 30, 2022, the Company raised approximately $1.8 million and $6.3 million, respectively ($1.7 million and $5.8 million, respectively, after deducting underwriting discounts and commissions and offering expenses payable), in gross proceeds from the sale of 923,720 and 3,051,611 common shares at a weighted average price per share of $1.98 and $2.07, respectively, under these programs. As of September 30, 2022, the Company had remaining available capacity for share issuances of approximately $29.5 million under the at-the-market facility and up to $47.9 million under the LPC facility, each subject to the restrictions and limitations of the underlying facilities, as applicable.</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As of September 30, 2022, we maintained cash and cash equivalents of $15.2 million and we have $21.4 million in outstanding aggregate principal amount on our 2021 Term Loan and Promissory Note One.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 lung diagnostic testing and COVID-19 testing, and (ii) providing biopharmaceutical companies with development and testing services. In accordance with Accounting Standards Update 2014-15 (ASC Topic 205-40), </w:t>
      </w:r>
      <w:r>
        <w:rPr>
          <w:rFonts w:ascii="Arial" w:cs="Arial" w:eastAsia="Arial" w:hAnsi="Arial"/>
          <w:sz w:val="16"/>
          <w:szCs w:val="16"/>
          <w:i w:val="1"/>
          <w:iCs w:val="1"/>
          <w:color w:val="auto"/>
        </w:rPr>
        <w:t>Presentation of Financial Statements -</w:t>
      </w:r>
      <w:r>
        <w:rPr>
          <w:rFonts w:ascii="Arial" w:cs="Arial" w:eastAsia="Arial" w:hAnsi="Arial"/>
          <w:sz w:val="16"/>
          <w:szCs w:val="16"/>
          <w:color w:val="auto"/>
        </w:rPr>
        <w:t xml:space="preserve"> </w:t>
      </w:r>
      <w:r>
        <w:rPr>
          <w:rFonts w:ascii="Arial" w:cs="Arial" w:eastAsia="Arial" w:hAnsi="Arial"/>
          <w:sz w:val="16"/>
          <w:szCs w:val="16"/>
          <w:i w:val="1"/>
          <w:iCs w:val="1"/>
          <w:color w:val="auto"/>
        </w:rPr>
        <w:t>Going Concern: Disclosure of Uncertainties about an Entity’s Ability to Continue as a Going Concern</w:t>
      </w:r>
      <w:r>
        <w:rPr>
          <w:rFonts w:ascii="Arial" w:cs="Arial" w:eastAsia="Arial" w:hAnsi="Arial"/>
          <w:sz w:val="16"/>
          <w:szCs w:val="16"/>
          <w:color w:val="auto"/>
        </w:rPr>
        <w:t>, the Company is required to evaluate whether there</w:t>
      </w:r>
      <w:r>
        <w:rPr>
          <w:rFonts w:ascii="Arial" w:cs="Arial" w:eastAsia="Arial" w:hAnsi="Arial"/>
          <w:sz w:val="16"/>
          <w:szCs w:val="16"/>
          <w:i w:val="1"/>
          <w:iCs w:val="1"/>
          <w:color w:val="auto"/>
        </w:rPr>
        <w:t xml:space="preserve"> </w:t>
      </w:r>
      <w:r>
        <w:rPr>
          <w:rFonts w:ascii="Arial" w:cs="Arial" w:eastAsia="Arial" w:hAnsi="Arial"/>
          <w:sz w:val="16"/>
          <w:szCs w:val="16"/>
          <w:color w:val="auto"/>
        </w:rPr>
        <w:t>is substantial doubt about its ability to continue as a going concern each reporting period, including interim periods. In evaluating the Company’s ability to continue as a going concern, management projected its cash flow sources, including the debt and equity funding and amendments to the 2021 Term Loan and Indi APA, and evaluated the conditions and events that could raise substantial doubt about the Company’s ability to continue as a going concern within one year after the date that these financial statements were issued. Management considered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Company’s current projections of future cash flows, current financial condition, sources of liquidity and debt obligations for at least one year from the date of issuance of this Form 10-Q in considering whether it has the ability to meet its obligations.</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ability to meet our obligations as they come due may be impacted by our ability to remain compliant with financial covenants in our loan agreements or to obtain waivers or amendments that impact the related covenants. As of September 30, 2022, the Company was in compliance with all restrictive and financial covenants associated with its borrowings. However,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Based on our current operating plan, unless we continue to raise additional capital (debt or equity) or obtain waiver from complying with such financial covenants, we expect that we will be unable to maintain our financial covenants under our existing loan agreements during the next twelve months, which could result in an Event of Default, as defined, causing an acceleration of the outstanding balances. We have taken steps to improve our liquidity through the actions noted above and have also undertaken several proactive measures to mitigate the financial and operational impacts of COVID-19 through the reduction of planned capital expenditures and certain operating expenses but we do not expect that these actions alone will be sufficient to maintain our financial covenants. We plan to raise additional funding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nor can there be any assurance that the Company will be a beneficiary of the COVID-19 Action Plan.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Company’s revenues, results of operations and cash flows have been materially adversely impacted by the items noted above. 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from when the September 30, 2022 financial statements are issued. Our unaudited financial statements have been prepared assuming we will continue as a going concern and do not include any adjustments that might be necessary should we be unable to continue as a going concern.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6"/>
          </w:tcPr>
          <w:p>
            <w:pPr>
              <w:jc w:val="right"/>
              <w:ind w:right="381"/>
              <w:spacing w:after="0"/>
              <w:rPr>
                <w:sz w:val="20"/>
                <w:szCs w:val="20"/>
                <w:color w:val="auto"/>
              </w:rPr>
            </w:pPr>
            <w:r>
              <w:rPr>
                <w:rFonts w:ascii="Arial" w:cs="Arial" w:eastAsia="Arial" w:hAnsi="Arial"/>
                <w:sz w:val="18"/>
                <w:szCs w:val="18"/>
                <w:b w:val="1"/>
                <w:bCs w:val="1"/>
                <w:color w:val="auto"/>
              </w:rPr>
              <w:t>Nine Months Ended September 30,</w:t>
            </w:r>
          </w:p>
        </w:tc>
      </w:tr>
      <w:tr>
        <w:trPr>
          <w:trHeight w:val="209"/>
        </w:trPr>
        <w:tc>
          <w:tcPr>
            <w:tcW w:w="7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flows (used in) provided by:</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gridSpan w:val="2"/>
          </w:tcPr>
          <w:p>
            <w:pPr>
              <w:ind w:left="20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(33,024 )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(18,026 )</w:t>
            </w:r>
          </w:p>
        </w:tc>
      </w:tr>
      <w:tr>
        <w:trPr>
          <w:trHeight w:val="216"/>
        </w:trPr>
        <w:tc>
          <w:tcPr>
            <w:tcW w:w="77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(1,547 )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(1,906 )</w:t>
            </w:r>
          </w:p>
        </w:tc>
      </w:tr>
      <w:tr>
        <w:trPr>
          <w:trHeight w:val="216"/>
        </w:trPr>
        <w:tc>
          <w:tcPr>
            <w:tcW w:w="7740" w:type="dxa"/>
            <w:vAlign w:val="bottom"/>
            <w:gridSpan w:val="2"/>
          </w:tcPr>
          <w:p>
            <w:pPr>
              <w:ind w:left="200"/>
              <w:spacing w:after="0"/>
              <w:rPr>
                <w:sz w:val="20"/>
                <w:szCs w:val="20"/>
                <w:color w:val="auto"/>
              </w:rPr>
            </w:pPr>
            <w:r>
              <w:rPr>
                <w:rFonts w:ascii="Arial" w:cs="Arial" w:eastAsia="Arial" w:hAnsi="Arial"/>
                <w:sz w:val="18"/>
                <w:szCs w:val="18"/>
                <w:color w:val="auto"/>
              </w:rPr>
              <w:t>Financing activities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(17,537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cash flows resulted in a net decrease in cash and cash equivalents of $17.5 million during the nine months ended September 30, 2022 as compared to the net decrease in cash of $14.3 million for the nine months ended September 30, 2021. For the nine months ended September 30, 2022, net cash used in operating activities increased by approximately $15.0 million due to a year-over-year increase in net loss from operations of $15.2 million, which includes an increase in non-cash expenses of approximately $9.9 million, and unfavorable changes in net working capital of $9.7 million primarily as a result of the $5.0 million cash collateralized letter of credit (classified as long-term restricted cash as of the second quarter 2022) under the operating lease agreement with Centennial Valley Properties I, LLC being released and the funds subsequently transferred to the landlord as a refundable deposit to secure the performance of the Company’s obligations and a decrease in cash collections from customers and payments to vendors.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during the nine months ended September 30, 2022 totaled $1.5 million, a decrease of $0.4 million compared to the same period in 2021. The decrease in net cash used in investing activities was primarily due to decreases in purchases of property and equipment and payments for patents and trademarks.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cash provided by financing activities during the nine months ended September 30, 2022 totaled $17.0 million, an increase of $11.4 million compared to the same period in 2021. The net cash provided by financing activities for the nine months ended September 30, 2022 primarily resulted from $18.0 million net proceeds from the issuance of common stock, $12.8 million net proceeds from the issuance of Promissory Note One, partially offset by the milestone payments to Indi of $8.7 million and partial repayment of the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Term Loan of $5.0 million. The net cash provided by financing activities for the nine months ended September 30, 2021 primarily resulted from the net proceeds from our 2021 Term Loan of $29.9 million, and proceeds from the exercise of stock options and issuance of common stock under the ESPP of approximately $1.1 million, primarily offset by the repayment of $25.4 million from our 2018 Term Loan.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the entering into additional operating lease agreements, the secured promissory note, and Amendment No. 3 to the Indi APA, our non-cancelable contractual obligations and commitments for lease and debt obligations as presented in our Form 10-K have been modified. The following table provides an update as follows as of September 30, 2022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64"/>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50"/>
              <w:spacing w:after="0" w:line="164" w:lineRule="exact"/>
              <w:rPr>
                <w:sz w:val="20"/>
                <w:szCs w:val="20"/>
                <w:color w:val="auto"/>
              </w:rPr>
            </w:pPr>
            <w:r>
              <w:rPr>
                <w:rFonts w:ascii="Arial" w:cs="Arial" w:eastAsia="Arial" w:hAnsi="Arial"/>
                <w:sz w:val="18"/>
                <w:szCs w:val="18"/>
                <w:b w:val="1"/>
                <w:bCs w:val="1"/>
                <w:color w:val="auto"/>
                <w:w w:val="85"/>
              </w:rPr>
              <w:t>Less than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90"/>
              <w:spacing w:after="0" w:line="164" w:lineRule="exact"/>
              <w:rPr>
                <w:sz w:val="20"/>
                <w:szCs w:val="20"/>
                <w:color w:val="auto"/>
              </w:rPr>
            </w:pPr>
            <w:r>
              <w:rPr>
                <w:rFonts w:ascii="Arial" w:cs="Arial" w:eastAsia="Arial" w:hAnsi="Arial"/>
                <w:sz w:val="18"/>
                <w:szCs w:val="18"/>
                <w:b w:val="1"/>
                <w:bCs w:val="1"/>
                <w:color w:val="auto"/>
              </w:rPr>
              <w:t>1 to 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90"/>
              <w:spacing w:after="0" w:line="164" w:lineRule="exact"/>
              <w:rPr>
                <w:sz w:val="20"/>
                <w:szCs w:val="20"/>
                <w:color w:val="auto"/>
              </w:rPr>
            </w:pPr>
            <w:r>
              <w:rPr>
                <w:rFonts w:ascii="Arial" w:cs="Arial" w:eastAsia="Arial" w:hAnsi="Arial"/>
                <w:sz w:val="18"/>
                <w:szCs w:val="18"/>
                <w:b w:val="1"/>
                <w:bCs w:val="1"/>
                <w:color w:val="auto"/>
                <w:w w:val="93"/>
              </w:rPr>
              <w:t>4 to 5</w:t>
            </w:r>
          </w:p>
        </w:tc>
        <w:tc>
          <w:tcPr>
            <w:tcW w:w="220" w:type="dxa"/>
            <w:vAlign w:val="bottom"/>
          </w:tcPr>
          <w:p>
            <w:pPr>
              <w:spacing w:after="0"/>
              <w:rPr>
                <w:sz w:val="14"/>
                <w:szCs w:val="14"/>
                <w:color w:val="auto"/>
              </w:rPr>
            </w:pPr>
          </w:p>
        </w:tc>
        <w:tc>
          <w:tcPr>
            <w:tcW w:w="1040" w:type="dxa"/>
            <w:vAlign w:val="bottom"/>
            <w:gridSpan w:val="2"/>
          </w:tcPr>
          <w:p>
            <w:pPr>
              <w:ind w:left="20"/>
              <w:spacing w:after="0" w:line="164" w:lineRule="exact"/>
              <w:rPr>
                <w:sz w:val="20"/>
                <w:szCs w:val="20"/>
                <w:color w:val="auto"/>
              </w:rPr>
            </w:pPr>
            <w:r>
              <w:rPr>
                <w:rFonts w:ascii="Arial" w:cs="Arial" w:eastAsia="Arial" w:hAnsi="Arial"/>
                <w:sz w:val="18"/>
                <w:szCs w:val="18"/>
                <w:b w:val="1"/>
                <w:bCs w:val="1"/>
                <w:color w:val="auto"/>
                <w:w w:val="98"/>
              </w:rPr>
              <w:t>More than 5</w:t>
            </w:r>
          </w:p>
        </w:tc>
        <w:tc>
          <w:tcPr>
            <w:tcW w:w="100" w:type="dxa"/>
            <w:vAlign w:val="bottom"/>
          </w:tcPr>
          <w:p>
            <w:pPr>
              <w:spacing w:after="0"/>
              <w:rPr>
                <w:sz w:val="14"/>
                <w:szCs w:val="14"/>
                <w:color w:val="auto"/>
              </w:rPr>
            </w:pPr>
          </w:p>
        </w:tc>
      </w:tr>
      <w:tr>
        <w:trPr>
          <w:trHeight w:val="234"/>
        </w:trPr>
        <w:tc>
          <w:tcPr>
            <w:tcW w:w="5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09"/>
        </w:trPr>
        <w:tc>
          <w:tcPr>
            <w:tcW w:w="5100" w:type="dxa"/>
            <w:vAlign w:val="bottom"/>
            <w:shd w:val="clear" w:color="auto" w:fill="CFF0FC"/>
          </w:tcPr>
          <w:p>
            <w:pPr>
              <w:ind w:left="20"/>
              <w:spacing w:after="0" w:line="209" w:lineRule="exact"/>
              <w:rPr>
                <w:sz w:val="20"/>
                <w:szCs w:val="20"/>
                <w:color w:val="auto"/>
              </w:rPr>
            </w:pPr>
            <w:r>
              <w:rPr>
                <w:rFonts w:ascii="Arial" w:cs="Arial" w:eastAsia="Arial" w:hAnsi="Arial"/>
                <w:sz w:val="18"/>
                <w:szCs w:val="18"/>
                <w:color w:val="auto"/>
              </w:rPr>
              <w:t xml:space="preserve">Borrowings and interest </w:t>
            </w:r>
            <w:r>
              <w:rPr>
                <w:rFonts w:ascii="Arial" w:cs="Arial" w:eastAsia="Arial" w:hAnsi="Arial"/>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gridSpan w:val="2"/>
          </w:tcPr>
          <w:p>
            <w:pPr>
              <w:ind w:left="20"/>
              <w:spacing w:after="0" w:line="216"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4"/>
                <w:szCs w:val="24"/>
                <w:color w:val="auto"/>
                <w:vertAlign w:val="superscript"/>
              </w:rPr>
              <w:t>(2)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36,806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22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4"/>
                <w:szCs w:val="24"/>
                <w:color w:val="auto"/>
                <w:vertAlign w:val="superscript"/>
              </w:rPr>
              <w:t>(3)</w:t>
            </w: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111,294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38,825</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8,011</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33,285</w:t>
            </w:r>
          </w:p>
        </w:tc>
        <w:tc>
          <w:tcPr>
            <w:tcW w:w="10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-170815</wp:posOffset>
            </wp:positionV>
            <wp:extent cx="7683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-170815</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-170815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-170815</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8" w:lineRule="exact"/>
        <w:rPr>
          <w:sz w:val="20"/>
          <w:szCs w:val="20"/>
          <w:color w:val="auto"/>
        </w:rPr>
      </w:pPr>
    </w:p>
    <w:p>
      <w:pPr>
        <w:jc w:val="both"/>
        <w:ind w:left="380" w:hanging="372"/>
        <w:spacing w:after="0" w:line="254" w:lineRule="auto"/>
        <w:tabs>
          <w:tab w:leader="none" w:pos="3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the Promissory Note One, assuming exercise of cash redemption by lender, and 2021 Term Loan payments of principal, interest and final payment fee of $2.7 million. All outstanding obligations under the 2021 Term Loan are presented in less than 1 year as the requirements of Promissory Note One include the repayment of all amounts outstanding under the 2021 Term Loan within nine months of the inception of Promissory Note One.</w:t>
      </w:r>
    </w:p>
    <w:p>
      <w:pPr>
        <w:spacing w:after="0" w:line="2" w:lineRule="exact"/>
        <w:rPr>
          <w:rFonts w:ascii="Arial" w:cs="Arial" w:eastAsia="Arial" w:hAnsi="Arial"/>
          <w:sz w:val="21"/>
          <w:szCs w:val="21"/>
          <w:color w:val="auto"/>
          <w:vertAlign w:val="superscript"/>
        </w:rPr>
      </w:pPr>
    </w:p>
    <w:p>
      <w:pPr>
        <w:jc w:val="both"/>
        <w:ind w:left="380" w:hanging="372"/>
        <w:spacing w:after="0" w:line="267" w:lineRule="auto"/>
        <w:tabs>
          <w:tab w:leader="none" w:pos="3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The gross margin target associated with the purchase transaction of Indi was achieved in the quarter ending June 30, 2021, giving rise to the previously disclosed contingent obligations of $37.0 million in the aggregate payable through the issuance of Company’s shares of common stock subject to a fixed price put option. The Company entered into an amendment in August 2021 to the original agreement in which all parties agreed to forgo the issuance of shares of common stock of the Company that would otherwise be issued, and the Company will instead make six quarterly installment payments of $4.6 million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 On April 7, 2022, the Company entered into Amendment No. 3 to the Indi APA in which all parties agreed to restructure the milestone payments associated with the contingent consideration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original payment schedule and the amended payment schedule, at an aggregate per annum rate equal to 10%, with such interest to be payable quarterly on the following installment payment date.</w:t>
      </w:r>
    </w:p>
    <w:p>
      <w:pPr>
        <w:spacing w:after="0" w:line="1" w:lineRule="exact"/>
        <w:rPr>
          <w:rFonts w:ascii="Arial" w:cs="Arial" w:eastAsia="Arial" w:hAnsi="Arial"/>
          <w:sz w:val="21"/>
          <w:szCs w:val="21"/>
          <w:color w:val="auto"/>
          <w:vertAlign w:val="superscript"/>
        </w:rPr>
      </w:pPr>
    </w:p>
    <w:p>
      <w:pPr>
        <w:ind w:left="380" w:hanging="372"/>
        <w:spacing w:after="0" w:line="214" w:lineRule="auto"/>
        <w:tabs>
          <w:tab w:leader="none" w:pos="380" w:val="left"/>
        </w:tabs>
        <w:numPr>
          <w:ilvl w:val="0"/>
          <w:numId w:val="21"/>
        </w:numPr>
        <w:rPr>
          <w:rFonts w:ascii="Arial" w:cs="Arial" w:eastAsia="Arial" w:hAnsi="Arial"/>
          <w:sz w:val="24"/>
          <w:szCs w:val="24"/>
          <w:color w:val="auto"/>
          <w:vertAlign w:val="superscript"/>
        </w:rPr>
      </w:pPr>
      <w:r>
        <w:rPr>
          <w:rFonts w:ascii="Arial" w:cs="Arial" w:eastAsia="Arial" w:hAnsi="Arial"/>
          <w:sz w:val="18"/>
          <w:szCs w:val="18"/>
          <w:color w:val="auto"/>
        </w:rPr>
        <w:t>The contractually agreed upon $20.8 million of tenant improvement allowances are expected to be received in less than 1 year, during the remainder of 2022 and the first half of 2023.</w:t>
      </w:r>
    </w:p>
    <w:p>
      <w:pPr>
        <w:spacing w:after="0" w:line="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other significant changes to our future contractual obligations as disclosed in our Annual Report on Form 10-K for the year ended December 31, 2021.</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Diagnostic test revenues</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Diagnostic test revenues are recognized upon completion of our performance obligation to the deliver test results to our customer, either the prescribing physician or third-party to which we contracted for services to be performed. We consider diagnostic testing to be completed upon the delivery of test results to our customer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 These estimates require significant judgment by management.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Service revenues are recognized upon completion of our performance obligation to deliver testing results for assay development and testing services.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and Grant Date Fair Value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the Black-Scholes option-pricing model to estimate the fair value of our share-based option awards, which requires assumptions to be made related to expected term of an award, expected volatility, the risk-free rate and expected dividend yield. The fair value of our common stock is based on our closing price as reported on the date of grant on the primary stock exchange on which our common stock is traded. Changes in these subjective assumptions can materially affect the estimated value of equity grants and the share-based compensation that we record in our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February 2016, the FASB issued ASU No. 2016-2, Leases (Topic 842). This ASU intends to make accounting for leasing activities more transparent and comparable, and requires substantially all leases be recognized by lessees on their balance sheet as a right-of-use asset and corresponding lease liability, including leases currently accounted for as operating leases. In addition to other related amendments, the FASB issued ASU No. 2018-11, Leases (Topic 842): Targeted Improvements,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2022 and as a result, recorded operating lease right-of-use (ROU) assets of $1.3 million, including offsetting deferred rent of $0.1 million, along with the associated operating lease liabilities of $1.3 million. On January 1, 2022, the Company did not have any finance leases. Additional information and disclosures required by this new standard are contained in Note 3 and Note 7 to our condensed financial statements in Part 1 of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 xml:space="preserve"> (ASC</w:t>
      </w:r>
    </w:p>
    <w:p>
      <w:pPr>
        <w:spacing w:after="0" w:line="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0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emerging growth company can delay the adoption of certain accounting standards until those standards would otherwise apply to private companies.</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exposed to market risk for changes in interest rates related primarily to our cash and cash equivalents and our indebtedness, including our outstanding 2021 Term Loan. As of September 30, 2022, we had $5.0 million outstanding on the 2021 Term Loan subject to a floating per annum rate equal to the greater of (i) 2.00% above the prime rate, or (ii) 5.25%. Historically, we have not entered into derivative agreements such as interest rate caps and swaps to manage our floating interest rate exposure.</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Periodically throughout the year, we have maintained balances in various operating accounts in excess of federally insured limits. Our cash and cash equivalents are funds held in checking and bank savings accounts, primarily at two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a hypothetical 100 basis point increase in interest rates would not have a material impact on our investment portfolio, financial position or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changes to our internal control over financial reporting during the three months ended September 30, 2022, that have materially affected, or are reasonable likely to materially effect, our internal controls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“Item 1A. Risk Factors” of our Annual Report on Form 10-K as of and for the year ended December 31, 2021, filed March 14, 2022, and subsequent quarterly reports on Form 10-Q, if applicable, include a discussion of our risk factors. These risks could materially and adversely affect our business, financial condition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April 7, 2022, the Company entered into subscription agreements (the Subscription Agreements) with a consortium of investors (the Investors), including three members of our Board of Directors and other existing shareholders of the Company, for the issuance and sale by the Company of an aggregate of 6,508,376 shares of the Company’s common stock (the Shares) in an offering (the Private Placement). The three members of our Board of Directors acquired an aggregate of 3,631,284 shares pursuant to the form of a Subscription Agreement that did not include any registration rights as they are exempt from registration pursuant to Section 4(a)(2) of the Securities Act of 1933, as amended (the Securities Act), and Rule 506 promulgated thereunder. The remaining 2,877,092 shares were acquired by others pursuant to the form of a Subscription Agreement whereby we agreed to file, subject to certain exceptions, a shelf registration statement with respect to resales of such shares with the Securities and Exchange Commission no later than 60 days from April 7, 2022, which the Company filed on June 6, 2022.</w:t>
      </w:r>
    </w:p>
    <w:p>
      <w:pPr>
        <w:spacing w:after="0" w:line="6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the Subscription Agreements, the Investors purchased shares at a purchase price (determined in accordance with Nasdaq rules relating to the “Minimum Value” of the Company’s common stock) of $1.79 per share, which is equal to the closing price of the Company's common stock on April 7, 2022, for an aggregate purchase price of approximately $11.7 million, in order to, among other things, fund the partial repayment of the 2021 Term Loan and for general corporate purposes.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20" w:type="dxa"/>
            <w:vAlign w:val="bottom"/>
            <w:gridSpan w:val="7"/>
            <w:vMerge w:val="restart"/>
          </w:tcPr>
          <w:p>
            <w:pPr>
              <w:ind w:left="3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72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100" w:type="dxa"/>
            <w:vAlign w:val="bottom"/>
            <w:gridSpan w:val="9"/>
          </w:tcPr>
          <w:p>
            <w:pPr>
              <w:spacing w:after="0"/>
              <w:rPr>
                <w:sz w:val="20"/>
                <w:szCs w:val="20"/>
                <w:color w:val="auto"/>
              </w:rPr>
            </w:pPr>
            <w:r>
              <w:rPr>
                <w:rFonts w:ascii="Arial" w:cs="Arial" w:eastAsia="Arial" w:hAnsi="Arial"/>
                <w:sz w:val="18"/>
                <w:szCs w:val="18"/>
                <w:color w:val="0000FF"/>
              </w:rPr>
              <w:t>Consent and Fourth Amendment to Loan and Security Agreement</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100" w:type="dxa"/>
            <w:vAlign w:val="bottom"/>
            <w:gridSpan w:val="9"/>
          </w:tcPr>
          <w:p>
            <w:pPr>
              <w:spacing w:after="0"/>
              <w:rPr>
                <w:sz w:val="20"/>
                <w:szCs w:val="20"/>
                <w:color w:val="auto"/>
              </w:rPr>
            </w:pPr>
            <w:r>
              <w:rPr>
                <w:rFonts w:ascii="Arial" w:cs="Arial" w:eastAsia="Arial" w:hAnsi="Arial"/>
                <w:sz w:val="18"/>
                <w:szCs w:val="18"/>
                <w:color w:val="0000FF"/>
                <w:w w:val="95"/>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FF"/>
            </w:tcBorders>
            <w:gridSpan w:val="2"/>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9960" w:type="dxa"/>
            <w:vAlign w:val="bottom"/>
            <w:gridSpan w:val="5"/>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EE"/>
            </w:tcBorders>
            <w:gridSpan w:val="2"/>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9"/>
          </w:tcPr>
          <w:p>
            <w:pPr>
              <w:spacing w:after="0"/>
              <w:rPr>
                <w:sz w:val="20"/>
                <w:szCs w:val="20"/>
                <w:color w:val="auto"/>
              </w:rPr>
            </w:pPr>
            <w:r>
              <w:rPr>
                <w:rFonts w:ascii="Arial" w:cs="Arial" w:eastAsia="Arial" w:hAnsi="Arial"/>
                <w:sz w:val="18"/>
                <w:szCs w:val="18"/>
                <w:color w:val="0000FF"/>
                <w:w w:val="96"/>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0000" w:type="dxa"/>
            <w:vAlign w:val="bottom"/>
            <w:gridSpan w:val="7"/>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right w:val="single" w:sz="8" w:color="0000EE"/>
            </w:tcBorders>
            <w:gridSpan w:val="2"/>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100" w:type="dxa"/>
            <w:vAlign w:val="bottom"/>
            <w:gridSpan w:val="9"/>
          </w:tcPr>
          <w:p>
            <w:pPr>
              <w:spacing w:after="0"/>
              <w:rPr>
                <w:sz w:val="20"/>
                <w:szCs w:val="20"/>
                <w:color w:val="auto"/>
              </w:rPr>
            </w:pPr>
            <w:r>
              <w:rPr>
                <w:rFonts w:ascii="Arial" w:cs="Arial" w:eastAsia="Arial" w:hAnsi="Arial"/>
                <w:sz w:val="18"/>
                <w:szCs w:val="18"/>
                <w:color w:val="0000FF"/>
                <w:w w:val="95"/>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0020" w:type="dxa"/>
            <w:vAlign w:val="bottom"/>
            <w:gridSpan w:val="8"/>
          </w:tcPr>
          <w:p>
            <w:pPr>
              <w:spacing w:after="0" w:line="156" w:lineRule="exact"/>
              <w:rPr>
                <w:sz w:val="20"/>
                <w:szCs w:val="20"/>
                <w:color w:val="auto"/>
              </w:rPr>
            </w:pPr>
            <w:r>
              <w:rPr>
                <w:rFonts w:ascii="Arial" w:cs="Arial" w:eastAsia="Arial" w:hAnsi="Arial"/>
                <w:sz w:val="18"/>
                <w:szCs w:val="18"/>
                <w:color w:val="0000FF"/>
              </w:rPr>
              <w:t>Oxley Act of 2002.</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6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gridSpan w:val="9"/>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80" w:type="dxa"/>
            <w:vAlign w:val="bottom"/>
            <w:gridSpan w:val="5"/>
            <w:shd w:val="clear" w:color="auto" w:fill="0000FF"/>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9980" w:type="dxa"/>
            <w:vAlign w:val="bottom"/>
            <w:gridSpan w:val="6"/>
          </w:tcPr>
          <w:p>
            <w:pPr>
              <w:spacing w:after="0" w:line="156" w:lineRule="exact"/>
              <w:rPr>
                <w:sz w:val="20"/>
                <w:szCs w:val="20"/>
                <w:color w:val="auto"/>
              </w:rPr>
            </w:pPr>
            <w:r>
              <w:rPr>
                <w:rFonts w:ascii="Arial" w:cs="Arial" w:eastAsia="Arial" w:hAnsi="Arial"/>
                <w:sz w:val="18"/>
                <w:szCs w:val="18"/>
                <w:color w:val="0000FF"/>
              </w:rPr>
              <w:t>Act of 2002.</w:t>
            </w: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9"/>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4360" w:firstLine="82"/>
        <w:spacing w:after="0" w:line="414" w:lineRule="auto"/>
        <w:tabs>
          <w:tab w:leader="none" w:pos="10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9505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36"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3" w:right="3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Biodesix, Inc.</w:t>
      </w:r>
    </w:p>
    <w:p>
      <w:pPr>
        <w:spacing w:after="0" w:line="198" w:lineRule="exact"/>
        <w:rPr>
          <w:sz w:val="20"/>
          <w:szCs w:val="20"/>
          <w:color w:val="auto"/>
        </w:rPr>
      </w:pPr>
    </w:p>
    <w:p>
      <w:pPr>
        <w:ind w:left="20"/>
        <w:spacing w:after="0"/>
        <w:tabs>
          <w:tab w:leader="none" w:pos="5300" w:val="left"/>
          <w:tab w:leader="none" w:pos="764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14605</wp:posOffset>
            </wp:positionV>
            <wp:extent cx="35363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jc w:val="center"/>
        <w:ind w:left="5660"/>
        <w:spacing w:after="0"/>
        <w:rPr>
          <w:sz w:val="20"/>
          <w:szCs w:val="20"/>
          <w:color w:val="auto"/>
        </w:rPr>
      </w:pPr>
      <w:r>
        <w:rPr>
          <w:rFonts w:ascii="Arial" w:cs="Arial" w:eastAsia="Arial" w:hAnsi="Arial"/>
          <w:sz w:val="18"/>
          <w:szCs w:val="18"/>
          <w:i w:val="1"/>
          <w:iCs w:val="1"/>
          <w:color w:val="auto"/>
        </w:rPr>
        <w:t>Ryan H. Siurek</w:t>
      </w:r>
    </w:p>
    <w:p>
      <w:pPr>
        <w:jc w:val="center"/>
        <w:ind w:left="5660"/>
        <w:spacing w:after="0"/>
        <w:rPr>
          <w:sz w:val="20"/>
          <w:szCs w:val="20"/>
          <w:color w:val="auto"/>
        </w:rPr>
      </w:pPr>
      <w:r>
        <w:rPr>
          <w:rFonts w:ascii="Arial" w:cs="Arial" w:eastAsia="Arial" w:hAnsi="Arial"/>
          <w:sz w:val="18"/>
          <w:szCs w:val="18"/>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75"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CONSENT AND FOURTH AMENDMENT TO LOAN AND</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SECURITY AGREEMENT</w:t>
      </w:r>
    </w:p>
    <w:p>
      <w:pPr>
        <w:spacing w:after="0" w:line="180" w:lineRule="exact"/>
        <w:rPr>
          <w:sz w:val="20"/>
          <w:szCs w:val="20"/>
          <w:color w:val="auto"/>
        </w:rPr>
      </w:pPr>
    </w:p>
    <w:p>
      <w:pPr>
        <w:jc w:val="both"/>
        <w:ind w:right="120" w:firstLine="749"/>
        <w:spacing w:after="0" w:line="252"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CONSENT AND FOURTH AMENDMENT</w:t>
      </w:r>
      <w:r>
        <w:rPr>
          <w:rFonts w:ascii="Arial" w:cs="Arial" w:eastAsia="Arial" w:hAnsi="Arial"/>
          <w:sz w:val="20"/>
          <w:szCs w:val="20"/>
          <w:color w:val="auto"/>
        </w:rPr>
        <w:t xml:space="preserve"> to Loan and Security Agreement (this “Amendment”) is entered into as of September 30, 2022, by and between </w:t>
      </w:r>
      <w:r>
        <w:rPr>
          <w:rFonts w:ascii="Arial" w:cs="Arial" w:eastAsia="Arial" w:hAnsi="Arial"/>
          <w:sz w:val="20"/>
          <w:szCs w:val="20"/>
          <w:b w:val="1"/>
          <w:bCs w:val="1"/>
          <w:color w:val="auto"/>
        </w:rPr>
        <w:t>SILICON VALLEY BANK</w:t>
      </w:r>
      <w:r>
        <w:rPr>
          <w:rFonts w:ascii="Arial" w:cs="Arial" w:eastAsia="Arial" w:hAnsi="Arial"/>
          <w:sz w:val="20"/>
          <w:szCs w:val="20"/>
          <w:color w:val="auto"/>
        </w:rPr>
        <w:t>, a California corporation (“</w:t>
      </w:r>
      <w:r>
        <w:rPr>
          <w:rFonts w:ascii="Arial" w:cs="Arial" w:eastAsia="Arial" w:hAnsi="Arial"/>
          <w:sz w:val="20"/>
          <w:szCs w:val="20"/>
          <w:b w:val="1"/>
          <w:bCs w:val="1"/>
          <w:color w:val="auto"/>
        </w:rPr>
        <w:t>Bank</w:t>
      </w:r>
      <w:r>
        <w:rPr>
          <w:rFonts w:ascii="Arial" w:cs="Arial" w:eastAsia="Arial" w:hAnsi="Arial"/>
          <w:sz w:val="20"/>
          <w:szCs w:val="20"/>
          <w:color w:val="auto"/>
        </w:rPr>
        <w:t xml:space="preserve">”) and </w:t>
      </w:r>
      <w:r>
        <w:rPr>
          <w:rFonts w:ascii="Arial" w:cs="Arial" w:eastAsia="Arial" w:hAnsi="Arial"/>
          <w:sz w:val="20"/>
          <w:szCs w:val="20"/>
          <w:b w:val="1"/>
          <w:bCs w:val="1"/>
          <w:color w:val="auto"/>
        </w:rPr>
        <w:t>BIODESIX,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21" w:lineRule="exact"/>
        <w:rPr>
          <w:sz w:val="20"/>
          <w:szCs w:val="20"/>
          <w:color w:val="auto"/>
        </w:rPr>
      </w:pPr>
    </w:p>
    <w:p>
      <w:pPr>
        <w:jc w:val="both"/>
        <w:ind w:right="120" w:firstLine="741"/>
        <w:spacing w:after="0" w:line="272" w:lineRule="auto"/>
        <w:tabs>
          <w:tab w:leader="none" w:pos="149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Bank and Borrower have entered into that certain Loan and Security Agreement dated as of March 19, 2021 (as the same may from time to time be amended, modified, supplemented or restated, including, without limitation, by that certain First Amendment to Loan and Security Agreement dated as of September 30, 2021, that certain Consent and Second Amendment to Loan and Security Agreement dated as of December 31, 2021, that certain letter agreement re “Loan and Security Agreement dated as of March 19, 2021” dated as of April 1, 2022, and that certain Consent and Third Amendment to Loan and Security Agreement dated as of April 7, 2022, collectively, the “</w:t>
      </w:r>
      <w:r>
        <w:rPr>
          <w:rFonts w:ascii="Arial" w:cs="Arial" w:eastAsia="Arial" w:hAnsi="Arial"/>
          <w:sz w:val="18"/>
          <w:szCs w:val="18"/>
          <w:b w:val="1"/>
          <w:bCs w:val="1"/>
          <w:color w:val="auto"/>
        </w:rPr>
        <w:t>Loan Agreement</w:t>
      </w:r>
      <w:r>
        <w:rPr>
          <w:rFonts w:ascii="Arial" w:cs="Arial" w:eastAsia="Arial" w:hAnsi="Arial"/>
          <w:sz w:val="18"/>
          <w:szCs w:val="18"/>
          <w:color w:val="auto"/>
        </w:rPr>
        <w:t>”). Bank has extended credit to Borrower for the purposes permitted in the Loan Agreement.</w:t>
      </w:r>
    </w:p>
    <w:p>
      <w:pPr>
        <w:spacing w:after="0" w:line="156" w:lineRule="exact"/>
        <w:rPr>
          <w:rFonts w:ascii="Arial" w:cs="Arial" w:eastAsia="Arial" w:hAnsi="Arial"/>
          <w:sz w:val="18"/>
          <w:szCs w:val="18"/>
          <w:b w:val="1"/>
          <w:bCs w:val="1"/>
          <w:color w:val="auto"/>
        </w:rPr>
      </w:pPr>
    </w:p>
    <w:p>
      <w:pPr>
        <w:jc w:val="both"/>
        <w:ind w:right="120" w:firstLine="741"/>
        <w:spacing w:after="0" w:line="275" w:lineRule="auto"/>
        <w:tabs>
          <w:tab w:leader="none" w:pos="149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Borrower has further informed Bank that Borrower intends to make a certain payment owing to the “Seller” as defined the Integrated Diagnostics APA in an amount equal to Two Million One Hundred Thirty One Thousand Two Hundred Forty Nine Dollars and Twenty Cents ($2,131,249.20) on October 1, 2022 (the “</w:t>
      </w:r>
      <w:r>
        <w:rPr>
          <w:rFonts w:ascii="Arial" w:cs="Arial" w:eastAsia="Arial" w:hAnsi="Arial"/>
          <w:sz w:val="18"/>
          <w:szCs w:val="18"/>
          <w:b w:val="1"/>
          <w:bCs w:val="1"/>
          <w:color w:val="auto"/>
        </w:rPr>
        <w:t>October 2022 Integrated Earnout Payment</w:t>
      </w:r>
      <w:r>
        <w:rPr>
          <w:rFonts w:ascii="Arial" w:cs="Arial" w:eastAsia="Arial" w:hAnsi="Arial"/>
          <w:sz w:val="18"/>
          <w:szCs w:val="18"/>
          <w:color w:val="auto"/>
        </w:rPr>
        <w:t>”). Section 7.7 of the Loan Agreement provides that Borrower shall not pay any dividends or make any distribution or payment or redeem, retire or purchase any capital stock, including but not limited to any payments under or in connection with the Integrated Diagnostics APA without Bank’s prior written consent; and Borrower has requested such consent from Bank (the “</w:t>
      </w:r>
      <w:r>
        <w:rPr>
          <w:rFonts w:ascii="Arial" w:cs="Arial" w:eastAsia="Arial" w:hAnsi="Arial"/>
          <w:sz w:val="18"/>
          <w:szCs w:val="18"/>
          <w:b w:val="1"/>
          <w:bCs w:val="1"/>
          <w:color w:val="auto"/>
        </w:rPr>
        <w:t>October 2022 Integrated Earnout Payment Consent</w:t>
      </w:r>
      <w:r>
        <w:rPr>
          <w:rFonts w:ascii="Arial" w:cs="Arial" w:eastAsia="Arial" w:hAnsi="Arial"/>
          <w:sz w:val="18"/>
          <w:szCs w:val="18"/>
          <w:color w:val="auto"/>
        </w:rPr>
        <w:t>”).</w:t>
      </w:r>
    </w:p>
    <w:p>
      <w:pPr>
        <w:spacing w:after="0" w:line="154" w:lineRule="exact"/>
        <w:rPr>
          <w:rFonts w:ascii="Arial" w:cs="Arial" w:eastAsia="Arial" w:hAnsi="Arial"/>
          <w:sz w:val="18"/>
          <w:szCs w:val="18"/>
          <w:b w:val="1"/>
          <w:bCs w:val="1"/>
          <w:color w:val="auto"/>
        </w:rPr>
      </w:pPr>
    </w:p>
    <w:p>
      <w:pPr>
        <w:jc w:val="both"/>
        <w:ind w:right="120" w:firstLine="741"/>
        <w:spacing w:after="0" w:line="282" w:lineRule="auto"/>
        <w:tabs>
          <w:tab w:leader="none" w:pos="149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Borrower has further requested that Bank amend the Loan Agreement to make certain revisions to the Loan Agreement as more fully set forth herein. Subject to the satisfaction of the items set forth in Section 12 below, Bank has agreed to (i) the October 2022 Integrated Earnout Payment Consent, and (ii) amend certain provisions of the Loan Agreement, but only to the extent, in accordance with the terms, subject to the conditions and in reliance upon the representations and warranties set forth below.</w:t>
      </w:r>
    </w:p>
    <w:p>
      <w:pPr>
        <w:spacing w:after="0" w:line="14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15" w:lineRule="exact"/>
        <w:rPr>
          <w:sz w:val="20"/>
          <w:szCs w:val="20"/>
          <w:color w:val="auto"/>
        </w:rPr>
      </w:pPr>
    </w:p>
    <w:p>
      <w:pPr>
        <w:ind w:right="120" w:firstLine="749"/>
        <w:spacing w:after="0" w:line="26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 adequacy</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is hereby acknowledged, and intending to be legally bound, the parties hereto agree as follows:</w:t>
      </w:r>
    </w:p>
    <w:p>
      <w:pPr>
        <w:spacing w:after="0" w:line="151" w:lineRule="exact"/>
        <w:rPr>
          <w:sz w:val="20"/>
          <w:szCs w:val="20"/>
          <w:color w:val="auto"/>
        </w:rPr>
      </w:pPr>
    </w:p>
    <w:p>
      <w:pPr>
        <w:ind w:left="1480" w:hanging="739"/>
        <w:spacing w:after="0"/>
        <w:tabs>
          <w:tab w:leader="none" w:pos="1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 the</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Loan Agreement.</w:t>
      </w:r>
    </w:p>
    <w:p>
      <w:pPr>
        <w:spacing w:after="0" w:line="192" w:lineRule="exact"/>
        <w:rPr>
          <w:rFonts w:ascii="Arial" w:cs="Arial" w:eastAsia="Arial" w:hAnsi="Arial"/>
          <w:sz w:val="18"/>
          <w:szCs w:val="18"/>
          <w:b w:val="1"/>
          <w:bCs w:val="1"/>
          <w:color w:val="auto"/>
        </w:rPr>
      </w:pPr>
    </w:p>
    <w:p>
      <w:pPr>
        <w:jc w:val="both"/>
        <w:ind w:right="120" w:firstLine="740"/>
        <w:spacing w:after="0" w:line="238" w:lineRule="auto"/>
        <w:tabs>
          <w:tab w:leader="none" w:pos="1489"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Consent</w:t>
      </w:r>
      <w:r>
        <w:rPr>
          <w:rFonts w:ascii="Arial" w:cs="Arial" w:eastAsia="Arial" w:hAnsi="Arial"/>
          <w:sz w:val="20"/>
          <w:szCs w:val="20"/>
          <w:color w:val="auto"/>
        </w:rPr>
        <w:t>. Subject to satisfaction of the items set forth in Section 12 below, Bank hereby agrees to the October 2022</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Integrated Earnout Payment Consent and agrees that the making by Borrower of the October 2022 Integrated Earnout Payment shall not, in and of itself, cause an “Event of Default” under the Loan Agreement. Bank’s consent with respect to Section 7.7 of the Loan Agreement shall apply only with respect to the October 2022 Integrated Earnout Payment (and shall not apply to any additional earnout payments that may be due and owing under the terms of the Integrated Diagnostics APA). Bank’s agreement to the October 2022 Integrated Earnout Payment Consent (a) in no way shall be deemed an agreement by Bank to consent or otherwise waive Borrower’s compliance with the above-referenced </w:t>
      </w:r>
      <w:r>
        <w:rPr>
          <w:rFonts w:ascii="Arial" w:cs="Arial" w:eastAsia="Arial" w:hAnsi="Arial"/>
          <w:sz w:val="17"/>
          <w:szCs w:val="17"/>
          <w:color w:val="auto"/>
        </w:rPr>
        <w:t>sections as of any other date, and (b) shall not limit or impair the Bank’s right to demand strict performance of such section as of all</w:t>
      </w:r>
      <w:r>
        <w:rPr>
          <w:rFonts w:ascii="Arial" w:cs="Arial" w:eastAsia="Arial" w:hAnsi="Arial"/>
          <w:sz w:val="20"/>
          <w:szCs w:val="20"/>
          <w:color w:val="auto"/>
        </w:rPr>
        <w:t xml:space="preserve"> </w:t>
      </w:r>
      <w:r>
        <w:rPr>
          <w:rFonts w:ascii="Arial" w:cs="Arial" w:eastAsia="Arial" w:hAnsi="Arial"/>
          <w:sz w:val="17"/>
          <w:szCs w:val="17"/>
          <w:color w:val="auto"/>
        </w:rPr>
        <w:t>other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187325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8" w:right="339" w:bottom="1440" w:gutter="0" w:footer="0" w:header="0"/>
        </w:sectPr>
      </w:pPr>
    </w:p>
    <w:bookmarkStart w:id="46" w:name="page47"/>
    <w:bookmarkEnd w:id="46"/>
    <w:p>
      <w:pPr>
        <w:ind w:left="1480" w:hanging="739"/>
        <w:spacing w:after="0"/>
        <w:tabs>
          <w:tab w:leader="none" w:pos="148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Loan Agreement</w:t>
      </w:r>
      <w:r>
        <w:rPr>
          <w:rFonts w:ascii="Arial" w:cs="Arial" w:eastAsia="Arial" w:hAnsi="Arial"/>
          <w:sz w:val="20"/>
          <w:szCs w:val="20"/>
          <w:color w:val="auto"/>
        </w:rPr>
        <w:t>.</w:t>
      </w:r>
    </w:p>
    <w:p>
      <w:pPr>
        <w:spacing w:after="0" w:line="202" w:lineRule="exact"/>
        <w:rPr>
          <w:sz w:val="20"/>
          <w:szCs w:val="20"/>
          <w:color w:val="auto"/>
        </w:rPr>
      </w:pPr>
    </w:p>
    <w:p>
      <w:pPr>
        <w:ind w:right="460" w:firstLine="1498"/>
        <w:spacing w:after="0" w:line="266" w:lineRule="auto"/>
        <w:rPr>
          <w:sz w:val="20"/>
          <w:szCs w:val="20"/>
          <w:color w:val="auto"/>
        </w:rPr>
      </w:pPr>
      <w:r>
        <w:rPr>
          <w:rFonts w:ascii="Arial" w:cs="Arial" w:eastAsia="Arial" w:hAnsi="Arial"/>
          <w:sz w:val="20"/>
          <w:szCs w:val="20"/>
          <w:b w:val="1"/>
          <w:bCs w:val="1"/>
          <w:color w:val="auto"/>
        </w:rPr>
        <w:t xml:space="preserve">3.1 Section 2.1.1 (Term Loan Advance). </w:t>
      </w:r>
      <w:r>
        <w:rPr>
          <w:rFonts w:ascii="Arial" w:cs="Arial" w:eastAsia="Arial" w:hAnsi="Arial"/>
          <w:sz w:val="20"/>
          <w:szCs w:val="20"/>
          <w:color w:val="auto"/>
        </w:rPr>
        <w:t>Section 2.1.1(c)(i) of the Loan Agreement hereby is amended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restated in its entirety to read as follows:</w:t>
      </w:r>
    </w:p>
    <w:p>
      <w:pPr>
        <w:spacing w:after="0" w:line="170" w:lineRule="exact"/>
        <w:rPr>
          <w:sz w:val="20"/>
          <w:szCs w:val="20"/>
          <w:color w:val="auto"/>
        </w:rPr>
      </w:pPr>
    </w:p>
    <w:p>
      <w:pPr>
        <w:jc w:val="both"/>
        <w:ind w:left="740" w:right="700" w:firstLine="1498"/>
        <w:spacing w:after="0"/>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u w:val="single" w:color="auto"/>
          <w:color w:val="auto"/>
        </w:rPr>
        <w:t>Voluntary Prepayment</w:t>
      </w:r>
      <w:r>
        <w:rPr>
          <w:rFonts w:ascii="Arial" w:cs="Arial" w:eastAsia="Arial" w:hAnsi="Arial"/>
          <w:sz w:val="20"/>
          <w:szCs w:val="20"/>
          <w:color w:val="auto"/>
        </w:rPr>
        <w:t>. On or about the Second Amendment Effective Date, Borrower made a prepayment to Bank in an amount equal to Twenty Million Dollars ($20,000,000) of the outstanding principal balance of the Term Loan Advance as of such date. On or about April 1, 2022, Borrower made a prepayment to Bank in an amount equal to Two Million Dollars ($2,000,000) of the outstanding principal balance of the Term Loan Advance on such date.</w:t>
      </w:r>
    </w:p>
    <w:p>
      <w:pPr>
        <w:spacing w:after="0" w:line="199" w:lineRule="exact"/>
        <w:rPr>
          <w:sz w:val="20"/>
          <w:szCs w:val="20"/>
          <w:color w:val="auto"/>
        </w:rPr>
      </w:pPr>
    </w:p>
    <w:p>
      <w:pPr>
        <w:jc w:val="both"/>
        <w:ind w:left="740" w:right="720" w:firstLine="1498"/>
        <w:spacing w:after="0" w:line="246" w:lineRule="auto"/>
        <w:rPr>
          <w:sz w:val="20"/>
          <w:szCs w:val="20"/>
          <w:color w:val="auto"/>
        </w:rPr>
      </w:pPr>
      <w:r>
        <w:rPr>
          <w:rFonts w:ascii="Arial" w:cs="Arial" w:eastAsia="Arial" w:hAnsi="Arial"/>
          <w:sz w:val="20"/>
          <w:szCs w:val="20"/>
          <w:color w:val="auto"/>
        </w:rPr>
        <w:t>On or about the Third Amendment Effective Date, Borrower prepaid an additional One Million Dollars ($1,000,000) of the outstanding principal balance of the Term Loan Advance as of such date (the “</w:t>
      </w:r>
      <w:r>
        <w:rPr>
          <w:rFonts w:ascii="Arial" w:cs="Arial" w:eastAsia="Arial" w:hAnsi="Arial"/>
          <w:sz w:val="20"/>
          <w:szCs w:val="20"/>
          <w:b w:val="1"/>
          <w:bCs w:val="1"/>
          <w:color w:val="auto"/>
        </w:rPr>
        <w:t>Third</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 Prepayment</w:t>
      </w:r>
      <w:r>
        <w:rPr>
          <w:rFonts w:ascii="Arial" w:cs="Arial" w:eastAsia="Arial" w:hAnsi="Arial"/>
          <w:sz w:val="20"/>
          <w:szCs w:val="20"/>
          <w:color w:val="auto"/>
        </w:rPr>
        <w:t>”); provided that, for the avoidance of doubt, no Prepayment Fee was applied to the Third</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Prepayment.</w:t>
      </w:r>
    </w:p>
    <w:p>
      <w:pPr>
        <w:spacing w:after="0" w:line="176" w:lineRule="exact"/>
        <w:rPr>
          <w:sz w:val="20"/>
          <w:szCs w:val="20"/>
          <w:color w:val="auto"/>
        </w:rPr>
      </w:pPr>
    </w:p>
    <w:p>
      <w:pPr>
        <w:jc w:val="both"/>
        <w:ind w:left="740" w:right="700" w:firstLine="1498"/>
        <w:spacing w:after="0" w:line="282" w:lineRule="auto"/>
        <w:rPr>
          <w:sz w:val="20"/>
          <w:szCs w:val="20"/>
          <w:color w:val="auto"/>
        </w:rPr>
      </w:pPr>
      <w:r>
        <w:rPr>
          <w:rFonts w:ascii="Arial" w:cs="Arial" w:eastAsia="Arial" w:hAnsi="Arial"/>
          <w:sz w:val="18"/>
          <w:szCs w:val="18"/>
          <w:color w:val="auto"/>
        </w:rPr>
        <w:t>On or prior to September 30, 2022, Borrower shall prepay an additional Two Million Dollars ($2,000,000) of the outstanding principal balance of the Term Loan Advance as of such date (the “</w:t>
      </w:r>
      <w:r>
        <w:rPr>
          <w:rFonts w:ascii="Arial" w:cs="Arial" w:eastAsia="Arial" w:hAnsi="Arial"/>
          <w:sz w:val="18"/>
          <w:szCs w:val="18"/>
          <w:b w:val="1"/>
          <w:bCs w:val="1"/>
          <w:color w:val="auto"/>
        </w:rPr>
        <w:t>2022 Prepayment</w:t>
      </w:r>
      <w:r>
        <w:rPr>
          <w:rFonts w:ascii="Arial" w:cs="Arial" w:eastAsia="Arial" w:hAnsi="Arial"/>
          <w:sz w:val="18"/>
          <w:szCs w:val="18"/>
          <w:color w:val="auto"/>
        </w:rPr>
        <w:t>”); provided that, for the avoidance of doubt, no Prepayment Fee shall apply to the 2022 Prepayment.</w:t>
      </w:r>
    </w:p>
    <w:p>
      <w:pPr>
        <w:spacing w:after="0" w:line="160" w:lineRule="exact"/>
        <w:rPr>
          <w:sz w:val="20"/>
          <w:szCs w:val="20"/>
          <w:color w:val="auto"/>
        </w:rPr>
      </w:pPr>
    </w:p>
    <w:p>
      <w:pPr>
        <w:jc w:val="both"/>
        <w:ind w:left="740" w:right="700" w:firstLine="1498"/>
        <w:spacing w:after="0" w:line="290" w:lineRule="auto"/>
        <w:rPr>
          <w:sz w:val="20"/>
          <w:szCs w:val="20"/>
          <w:color w:val="auto"/>
        </w:rPr>
      </w:pPr>
      <w:r>
        <w:rPr>
          <w:rFonts w:ascii="Arial" w:cs="Arial" w:eastAsia="Arial" w:hAnsi="Arial"/>
          <w:sz w:val="18"/>
          <w:szCs w:val="18"/>
          <w:color w:val="auto"/>
        </w:rPr>
        <w:t>On or prior to the Fall 2022 Prepayment Date, Borrower shall prepay an additional Two Million Dollars ($2,000,000) of the outstanding principal balance of the Term Loan Advance as of such date (the “</w:t>
      </w:r>
      <w:r>
        <w:rPr>
          <w:rFonts w:ascii="Arial" w:cs="Arial" w:eastAsia="Arial" w:hAnsi="Arial"/>
          <w:sz w:val="18"/>
          <w:szCs w:val="18"/>
          <w:b w:val="1"/>
          <w:bCs w:val="1"/>
          <w:color w:val="auto"/>
        </w:rPr>
        <w:t>Fall 2022</w:t>
      </w:r>
      <w:r>
        <w:rPr>
          <w:rFonts w:ascii="Arial" w:cs="Arial" w:eastAsia="Arial" w:hAnsi="Arial"/>
          <w:sz w:val="18"/>
          <w:szCs w:val="18"/>
          <w:color w:val="auto"/>
        </w:rPr>
        <w:t xml:space="preserve"> </w:t>
      </w:r>
      <w:r>
        <w:rPr>
          <w:rFonts w:ascii="Arial" w:cs="Arial" w:eastAsia="Arial" w:hAnsi="Arial"/>
          <w:sz w:val="18"/>
          <w:szCs w:val="18"/>
          <w:b w:val="1"/>
          <w:bCs w:val="1"/>
          <w:color w:val="auto"/>
        </w:rPr>
        <w:t>Prepayment</w:t>
      </w:r>
      <w:r>
        <w:rPr>
          <w:rFonts w:ascii="Arial" w:cs="Arial" w:eastAsia="Arial" w:hAnsi="Arial"/>
          <w:sz w:val="18"/>
          <w:szCs w:val="18"/>
          <w:color w:val="auto"/>
        </w:rPr>
        <w:t>”); provided that, for the avoidance of doubt, no Prepayment Fee shall apply to the Fall 2022 Prepayment.</w:t>
      </w:r>
    </w:p>
    <w:p>
      <w:pPr>
        <w:spacing w:after="0" w:line="153" w:lineRule="exact"/>
        <w:rPr>
          <w:sz w:val="20"/>
          <w:szCs w:val="20"/>
          <w:color w:val="auto"/>
        </w:rPr>
      </w:pPr>
    </w:p>
    <w:p>
      <w:pPr>
        <w:jc w:val="both"/>
        <w:ind w:left="740" w:right="700" w:firstLine="1498"/>
        <w:spacing w:after="0"/>
        <w:rPr>
          <w:sz w:val="20"/>
          <w:szCs w:val="20"/>
          <w:color w:val="auto"/>
        </w:rPr>
      </w:pPr>
      <w:r>
        <w:rPr>
          <w:rFonts w:ascii="Arial" w:cs="Arial" w:eastAsia="Arial" w:hAnsi="Arial"/>
          <w:sz w:val="20"/>
          <w:szCs w:val="20"/>
          <w:color w:val="auto"/>
        </w:rPr>
        <w:t>At any time, Borrower shall have the option to prepay all, but not less than all, of the remaining outstanding principal balance of the Term Loan Advance, provided Borrower (A) delivers written notice to Bank of its election to prepay the remaining outstanding principal balance of the Term Loan Advance at least five (5) Business Days prior to such prepayment, and (B) pays, on the date of such prepayment (w) all remaining outstanding principal due hereunder with respect to the Term Loan Advance, plus accrued and unpaid interest thereon, (x) the Prepayment Fee, if applicable, (y) the Final Payment, and (z) all other sums, if any, that shall have become due and payable hereunder with respect to the Term Loan Advance, including interest at the Default Rate with respect to any past due amounts.”</w:t>
      </w:r>
    </w:p>
    <w:p>
      <w:pPr>
        <w:spacing w:after="0" w:line="177" w:lineRule="exact"/>
        <w:rPr>
          <w:sz w:val="20"/>
          <w:szCs w:val="20"/>
          <w:color w:val="auto"/>
        </w:rPr>
      </w:pPr>
    </w:p>
    <w:p>
      <w:pPr>
        <w:ind w:firstLine="1498"/>
        <w:spacing w:after="0" w:line="266" w:lineRule="auto"/>
        <w:rPr>
          <w:sz w:val="20"/>
          <w:szCs w:val="20"/>
          <w:color w:val="auto"/>
        </w:rPr>
      </w:pPr>
      <w:r>
        <w:rPr>
          <w:rFonts w:ascii="Arial" w:cs="Arial" w:eastAsia="Arial" w:hAnsi="Arial"/>
          <w:sz w:val="20"/>
          <w:szCs w:val="20"/>
          <w:b w:val="1"/>
          <w:bCs w:val="1"/>
          <w:color w:val="auto"/>
        </w:rPr>
        <w:t>3.2 Section 2.4 (Fees and Expenses)</w:t>
      </w:r>
      <w:r>
        <w:rPr>
          <w:rFonts w:ascii="Arial" w:cs="Arial" w:eastAsia="Arial" w:hAnsi="Arial"/>
          <w:sz w:val="20"/>
          <w:szCs w:val="20"/>
          <w:color w:val="auto"/>
        </w:rPr>
        <w:t>. Sections 2.4(a) and 2.4(b) of the Loan Agreement hereby are amended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restated in their entirety to read as follows:</w:t>
      </w:r>
    </w:p>
    <w:p>
      <w:pPr>
        <w:spacing w:after="0" w:line="170" w:lineRule="exact"/>
        <w:rPr>
          <w:sz w:val="20"/>
          <w:szCs w:val="20"/>
          <w:color w:val="auto"/>
        </w:rPr>
      </w:pPr>
    </w:p>
    <w:p>
      <w:pPr>
        <w:jc w:val="both"/>
        <w:ind w:left="740" w:right="700" w:firstLine="1498"/>
        <w:spacing w:after="0" w:line="271"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Prepayment Fee</w:t>
      </w:r>
      <w:r>
        <w:rPr>
          <w:rFonts w:ascii="Arial" w:cs="Arial" w:eastAsia="Arial" w:hAnsi="Arial"/>
          <w:sz w:val="18"/>
          <w:szCs w:val="18"/>
          <w:color w:val="auto"/>
        </w:rPr>
        <w:t>. The Prepayment Fee, when due hereunder; provided that (i) the Prepayment Fee shall be deemed to be automatically waived by Bank if the Term Loan Advance is refinanced with another credit facility from Bank, (ii) Bank hereby agrees to waive Borrower’s payment of that portion of the Prepayment Fee that would otherwise by due and owing to Bank in connection with each of (A) the prepayment by Borrower of Twenty Million Dollars ($20,000,000) of the Term Loan Advance on or prior to the Second Amendment Effective Date, (B) the prepayment by Borrower of Two Million Dollars ($2,000,000) of the Term Loan Advance on April 1, 2022, (C) the Third Amendment Prepayment, (D) the 2022 Prepayment, and (E) the Fall 2022 Prepayment;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183515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643" w:right="499" w:bottom="1440" w:gutter="0" w:footer="0" w:header="0"/>
        </w:sectPr>
      </w:pPr>
    </w:p>
    <w:bookmarkStart w:id="47" w:name="page48"/>
    <w:bookmarkEnd w:id="47"/>
    <w:p>
      <w:pPr>
        <w:jc w:val="both"/>
        <w:ind w:left="740" w:right="760" w:firstLine="1497"/>
        <w:spacing w:after="0" w:line="239" w:lineRule="auto"/>
        <w:tabs>
          <w:tab w:leader="none" w:pos="2531"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Final Payment</w:t>
      </w:r>
      <w:r>
        <w:rPr>
          <w:rFonts w:ascii="Arial" w:cs="Arial" w:eastAsia="Arial" w:hAnsi="Arial"/>
          <w:sz w:val="20"/>
          <w:szCs w:val="20"/>
          <w:color w:val="auto"/>
        </w:rPr>
        <w:t>. The Final Payment, when due hereunder; provided that Bank hereby agrees to defer payment of that portion of the Final Payment that would otherwise by due and owing to Bank in connection with the prepayment by Borrower of Twenty Million Dollars ($20,000,000) of the Term Loan Advance on or prior to the Second Amendment Effective Date, Two Million Dollars ($2,000,000) of the Term Loan Advance on April 1, 2022, the Third Amendment Prepayment, the 2022 Prepayment, and the Fall 2022 Prepayment until the earliest to occur of (i) the Term Loan Maturity Date,</w:t>
      </w:r>
    </w:p>
    <w:p>
      <w:pPr>
        <w:spacing w:after="0" w:line="3" w:lineRule="exact"/>
        <w:rPr>
          <w:rFonts w:ascii="Arial" w:cs="Arial" w:eastAsia="Arial" w:hAnsi="Arial"/>
          <w:sz w:val="20"/>
          <w:szCs w:val="20"/>
          <w:color w:val="auto"/>
        </w:rPr>
      </w:pPr>
    </w:p>
    <w:p>
      <w:pPr>
        <w:ind w:left="1040" w:hanging="300"/>
        <w:spacing w:after="0"/>
        <w:tabs>
          <w:tab w:leader="none" w:pos="10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acceleration of the Term Loan Advance, or (iii) the prepayment of the remaining principal balance of the Term</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Loan Advance pursuant to Section 2.1.1(c).”</w:t>
      </w:r>
    </w:p>
    <w:p>
      <w:pPr>
        <w:spacing w:after="0" w:line="202" w:lineRule="exact"/>
        <w:rPr>
          <w:sz w:val="20"/>
          <w:szCs w:val="20"/>
          <w:color w:val="auto"/>
        </w:rPr>
      </w:pPr>
    </w:p>
    <w:p>
      <w:pPr>
        <w:ind w:left="1480"/>
        <w:spacing w:after="0"/>
        <w:tabs>
          <w:tab w:leader="none" w:pos="222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8"/>
          <w:szCs w:val="18"/>
          <w:b w:val="1"/>
          <w:bCs w:val="1"/>
          <w:color w:val="auto"/>
        </w:rPr>
        <w:t>Section 13 (Definitions)</w:t>
      </w:r>
      <w:r>
        <w:rPr>
          <w:rFonts w:ascii="Arial" w:cs="Arial" w:eastAsia="Arial" w:hAnsi="Arial"/>
          <w:sz w:val="18"/>
          <w:szCs w:val="18"/>
          <w:color w:val="auto"/>
        </w:rPr>
        <w:t>. The following terms and their definition hereby are added in their entirety in Section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13.1 of the Loan Agreement, as follows:</w:t>
      </w:r>
    </w:p>
    <w:p>
      <w:pPr>
        <w:spacing w:after="0" w:line="180" w:lineRule="exact"/>
        <w:rPr>
          <w:sz w:val="20"/>
          <w:szCs w:val="20"/>
          <w:color w:val="auto"/>
        </w:rPr>
      </w:pPr>
    </w:p>
    <w:p>
      <w:pPr>
        <w:jc w:val="both"/>
        <w:ind w:left="740" w:right="740" w:firstLine="149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Event</w:t>
      </w:r>
      <w:r>
        <w:rPr>
          <w:rFonts w:ascii="Arial" w:cs="Arial" w:eastAsia="Arial" w:hAnsi="Arial"/>
          <w:sz w:val="18"/>
          <w:szCs w:val="18"/>
          <w:color w:val="auto"/>
        </w:rPr>
        <w:t>” means Borrower has received, after the Fourth Amendment Effective Date, but prior to the earlier of (a) November 30, 2022, or (b) the date on which the sum of Borrower’s unrestricted and unencumbered cash held at Bank is less than Ten Million Dollars ($10,000,000), net cash proceeds into its accounts at Bank in an aggregate amount not less than Five Million Dollars ($5,000,000) from the sale of Borrower’s equity securities and/or the incurrence of Subordinated Debt on terms and from investors acceptable to Bank.</w:t>
      </w:r>
    </w:p>
    <w:p>
      <w:pPr>
        <w:spacing w:after="0" w:line="141"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Fall 2022 Prepayment Date</w:t>
      </w:r>
      <w:r>
        <w:rPr>
          <w:rFonts w:ascii="Arial" w:cs="Arial" w:eastAsia="Arial" w:hAnsi="Arial"/>
          <w:sz w:val="20"/>
          <w:szCs w:val="20"/>
          <w:color w:val="auto"/>
        </w:rPr>
        <w:t>” is the earlier of (a) November 30, 2022, or</w:t>
      </w:r>
    </w:p>
    <w:p>
      <w:pPr>
        <w:spacing w:after="0" w:line="21" w:lineRule="exact"/>
        <w:rPr>
          <w:sz w:val="20"/>
          <w:szCs w:val="20"/>
          <w:color w:val="auto"/>
        </w:rPr>
      </w:pPr>
    </w:p>
    <w:p>
      <w:pPr>
        <w:jc w:val="both"/>
        <w:ind w:left="740" w:right="740"/>
        <w:spacing w:after="0"/>
        <w:tabs>
          <w:tab w:leader="none" w:pos="1026"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the date on which the sum of Borrower’s unrestricted and unencumbered cash held at Bank is less than Ten Million Dollars ($10,000,000); </w:t>
      </w:r>
      <w:r>
        <w:rPr>
          <w:rFonts w:ascii="Arial" w:cs="Arial" w:eastAsia="Arial" w:hAnsi="Arial"/>
          <w:sz w:val="20"/>
          <w:szCs w:val="20"/>
          <w:u w:val="single" w:color="auto"/>
          <w:color w:val="auto"/>
        </w:rPr>
        <w:t>provided however</w:t>
      </w:r>
      <w:r>
        <w:rPr>
          <w:rFonts w:ascii="Arial" w:cs="Arial" w:eastAsia="Arial" w:hAnsi="Arial"/>
          <w:sz w:val="20"/>
          <w:szCs w:val="20"/>
          <w:color w:val="auto"/>
        </w:rPr>
        <w:t>, if Borrower achieves the Equity Event, the Fall 2022 Prepayment Date shall automatically, with no further action required by the parties hereto, be extended to the earlier of (x) December 15, 2022, or (y) the date on which the sum of Borrower’s unrestricted and unencumbered cash held at Bank is less than Ten Million Dollars ($10,000,000).</w:t>
      </w:r>
    </w:p>
    <w:p>
      <w:pPr>
        <w:spacing w:after="0" w:line="177"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Fourth Amendment Effective Date</w:t>
      </w:r>
      <w:r>
        <w:rPr>
          <w:rFonts w:ascii="Arial" w:cs="Arial" w:eastAsia="Arial" w:hAnsi="Arial"/>
          <w:sz w:val="20"/>
          <w:szCs w:val="20"/>
          <w:color w:val="auto"/>
        </w:rPr>
        <w:t>” is September 30, 2022.</w:t>
      </w:r>
    </w:p>
    <w:p>
      <w:pPr>
        <w:spacing w:after="0" w:line="202" w:lineRule="exact"/>
        <w:rPr>
          <w:sz w:val="20"/>
          <w:szCs w:val="20"/>
          <w:color w:val="auto"/>
        </w:rPr>
      </w:pPr>
    </w:p>
    <w:p>
      <w:pPr>
        <w:ind w:right="480" w:firstLine="1498"/>
        <w:spacing w:after="0" w:line="280" w:lineRule="auto"/>
        <w:rPr>
          <w:sz w:val="20"/>
          <w:szCs w:val="20"/>
          <w:color w:val="auto"/>
        </w:rPr>
      </w:pPr>
      <w:r>
        <w:rPr>
          <w:rFonts w:ascii="Arial" w:cs="Arial" w:eastAsia="Arial" w:hAnsi="Arial"/>
          <w:sz w:val="20"/>
          <w:szCs w:val="20"/>
          <w:b w:val="1"/>
          <w:bCs w:val="1"/>
          <w:color w:val="auto"/>
        </w:rPr>
        <w:t>3.4 Section 13 (Definitions)</w:t>
      </w:r>
      <w:r>
        <w:rPr>
          <w:rFonts w:ascii="Arial" w:cs="Arial" w:eastAsia="Arial" w:hAnsi="Arial"/>
          <w:sz w:val="20"/>
          <w:szCs w:val="20"/>
          <w:color w:val="auto"/>
        </w:rPr>
        <w:t>. The following terms and their respective definitions hereby are deleted in their</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in Section 13.1 of the Loan Agreement as follows:</w:t>
      </w:r>
    </w:p>
    <w:p>
      <w:pPr>
        <w:spacing w:after="0" w:line="218"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2022 Prepayment Date</w:t>
      </w:r>
      <w:r>
        <w:rPr>
          <w:rFonts w:ascii="Arial" w:cs="Arial" w:eastAsia="Arial" w:hAnsi="Arial"/>
          <w:sz w:val="20"/>
          <w:szCs w:val="20"/>
          <w:color w:val="auto"/>
        </w:rPr>
        <w:t>”, “</w:t>
      </w:r>
      <w:r>
        <w:rPr>
          <w:rFonts w:ascii="Arial" w:cs="Arial" w:eastAsia="Arial" w:hAnsi="Arial"/>
          <w:sz w:val="20"/>
          <w:szCs w:val="20"/>
          <w:b w:val="1"/>
          <w:bCs w:val="1"/>
          <w:color w:val="auto"/>
        </w:rPr>
        <w:t>First Equity Event</w:t>
      </w:r>
      <w:r>
        <w:rPr>
          <w:rFonts w:ascii="Arial" w:cs="Arial" w:eastAsia="Arial" w:hAnsi="Arial"/>
          <w:sz w:val="20"/>
          <w:szCs w:val="20"/>
          <w:color w:val="auto"/>
        </w:rPr>
        <w:t>”, and “</w:t>
      </w:r>
      <w:r>
        <w:rPr>
          <w:rFonts w:ascii="Arial" w:cs="Arial" w:eastAsia="Arial" w:hAnsi="Arial"/>
          <w:sz w:val="20"/>
          <w:szCs w:val="20"/>
          <w:b w:val="1"/>
          <w:bCs w:val="1"/>
          <w:color w:val="auto"/>
        </w:rPr>
        <w:t>Second Equity</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auto"/>
        </w:rPr>
        <w:t>Event</w:t>
      </w:r>
      <w:r>
        <w:rPr>
          <w:rFonts w:ascii="Arial" w:cs="Arial" w:eastAsia="Arial" w:hAnsi="Arial"/>
          <w:sz w:val="20"/>
          <w:szCs w:val="20"/>
          <w:color w:val="auto"/>
        </w:rPr>
        <w:t>”</w:t>
      </w:r>
    </w:p>
    <w:p>
      <w:pPr>
        <w:spacing w:after="0" w:line="260" w:lineRule="exact"/>
        <w:rPr>
          <w:sz w:val="20"/>
          <w:szCs w:val="20"/>
          <w:color w:val="auto"/>
        </w:rPr>
      </w:pPr>
    </w:p>
    <w:p>
      <w:pPr>
        <w:ind w:left="1480" w:hanging="739"/>
        <w:spacing w:after="0"/>
        <w:tabs>
          <w:tab w:leader="none" w:pos="148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Amendments.</w:t>
      </w:r>
    </w:p>
    <w:p>
      <w:pPr>
        <w:spacing w:after="0" w:line="215" w:lineRule="exact"/>
        <w:rPr>
          <w:sz w:val="20"/>
          <w:szCs w:val="20"/>
          <w:color w:val="auto"/>
        </w:rPr>
      </w:pPr>
    </w:p>
    <w:p>
      <w:pPr>
        <w:jc w:val="both"/>
        <w:ind w:firstLine="1498"/>
        <w:spacing w:after="0" w:line="243"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The amendments set forth in</w:t>
      </w:r>
      <w:r>
        <w:rPr>
          <w:rFonts w:ascii="Arial" w:cs="Arial" w:eastAsia="Arial" w:hAnsi="Arial"/>
          <w:sz w:val="20"/>
          <w:szCs w:val="20"/>
          <w:b w:val="1"/>
          <w:bCs w:val="1"/>
          <w:color w:val="auto"/>
        </w:rPr>
        <w:t xml:space="preserve"> Section 3</w:t>
      </w:r>
      <w:r>
        <w:rPr>
          <w:rFonts w:ascii="Arial" w:cs="Arial" w:eastAsia="Arial" w:hAnsi="Arial"/>
          <w:sz w:val="20"/>
          <w:szCs w:val="20"/>
          <w:color w:val="auto"/>
        </w:rPr>
        <w:t>, above, are effective for the purposes set forth herein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255" w:lineRule="exact"/>
        <w:rPr>
          <w:sz w:val="20"/>
          <w:szCs w:val="20"/>
          <w:color w:val="auto"/>
        </w:rPr>
      </w:pPr>
    </w:p>
    <w:p>
      <w:pPr>
        <w:jc w:val="both"/>
        <w:ind w:firstLine="1498"/>
        <w:spacing w:after="0" w:line="252"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color w:val="auto"/>
        </w:rPr>
        <w:t>This Amendment shall be construed in connection with and as part of the Loan Documents and all terms,</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representations, warranties, covenants and agreements set forth in the Loan Documents, except as herein amended, are hereby ratified and confirmed and shall remain in full force and effect.</w:t>
      </w:r>
    </w:p>
    <w:p>
      <w:pPr>
        <w:spacing w:after="0" w:line="166" w:lineRule="exact"/>
        <w:rPr>
          <w:sz w:val="20"/>
          <w:szCs w:val="20"/>
          <w:color w:val="auto"/>
        </w:rPr>
      </w:pPr>
    </w:p>
    <w:p>
      <w:pPr>
        <w:ind w:left="1480" w:hanging="739"/>
        <w:spacing w:after="0"/>
        <w:tabs>
          <w:tab w:leader="none" w:pos="148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Borrower represents and warrants to Bank as follows:</w:t>
      </w:r>
    </w:p>
    <w:p>
      <w:pPr>
        <w:spacing w:after="0" w:line="214" w:lineRule="exact"/>
        <w:rPr>
          <w:rFonts w:ascii="Arial" w:cs="Arial" w:eastAsia="Arial" w:hAnsi="Arial"/>
          <w:sz w:val="20"/>
          <w:szCs w:val="20"/>
          <w:b w:val="1"/>
          <w:bCs w:val="1"/>
          <w:color w:val="auto"/>
        </w:rPr>
      </w:pPr>
    </w:p>
    <w:p>
      <w:pPr>
        <w:ind w:left="14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5.1</w:t>
      </w:r>
      <w:r>
        <w:rPr>
          <w:rFonts w:ascii="Arial" w:cs="Arial" w:eastAsia="Arial" w:hAnsi="Arial"/>
          <w:sz w:val="16"/>
          <w:szCs w:val="16"/>
          <w:color w:val="auto"/>
        </w:rPr>
        <w:t>the representations and warranties contained in the Loan Documents are true,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69850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433" w:right="459" w:bottom="1440" w:gutter="0" w:footer="0" w:header="0"/>
        </w:sectPr>
      </w:pPr>
    </w:p>
    <w:bookmarkStart w:id="48" w:name="page49"/>
    <w:bookmarkEnd w:id="48"/>
    <w:p>
      <w:pPr>
        <w:jc w:val="both"/>
        <w:ind w:left="9"/>
        <w:spacing w:after="0" w:line="385" w:lineRule="auto"/>
        <w:rPr>
          <w:sz w:val="20"/>
          <w:szCs w:val="20"/>
          <w:color w:val="auto"/>
        </w:rPr>
      </w:pPr>
      <w:r>
        <w:rPr>
          <w:rFonts w:ascii="Arial" w:cs="Arial" w:eastAsia="Arial" w:hAnsi="Arial"/>
          <w:sz w:val="16"/>
          <w:szCs w:val="16"/>
          <w:color w:val="auto"/>
        </w:rPr>
        <w:t>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78" w:lineRule="exact"/>
        <w:rPr>
          <w:sz w:val="20"/>
          <w:szCs w:val="20"/>
          <w:color w:val="auto"/>
        </w:rPr>
      </w:pPr>
    </w:p>
    <w:p>
      <w:pPr>
        <w:jc w:val="both"/>
        <w:ind w:left="9" w:firstLine="1498"/>
        <w:spacing w:after="0" w:line="266" w:lineRule="auto"/>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20"/>
          <w:szCs w:val="20"/>
          <w:color w:val="auto"/>
        </w:rPr>
        <w:t>Borrower has the power and authority to execute and deliver this Amendment and to perform its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Loan Agreement, as amended by this Amendment;</w:t>
      </w:r>
    </w:p>
    <w:p>
      <w:pPr>
        <w:spacing w:after="0" w:line="164" w:lineRule="exact"/>
        <w:rPr>
          <w:sz w:val="20"/>
          <w:szCs w:val="20"/>
          <w:color w:val="auto"/>
        </w:rPr>
      </w:pPr>
    </w:p>
    <w:p>
      <w:pPr>
        <w:jc w:val="both"/>
        <w:ind w:left="9" w:firstLine="1498"/>
        <w:spacing w:after="0" w:line="278"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color w:val="auto"/>
        </w:rPr>
        <w:t>The organizational documents of Borrower delivered to Bank on the Effective Date remain true, accurate and</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and have not been amended, supplemented or restated and are and continue to be in full force and effect;</w:t>
      </w:r>
    </w:p>
    <w:p>
      <w:pPr>
        <w:spacing w:after="0" w:line="155" w:lineRule="exact"/>
        <w:rPr>
          <w:sz w:val="20"/>
          <w:szCs w:val="20"/>
          <w:color w:val="auto"/>
        </w:rPr>
      </w:pPr>
    </w:p>
    <w:p>
      <w:pPr>
        <w:jc w:val="both"/>
        <w:ind w:left="9" w:firstLine="1498"/>
        <w:spacing w:after="0" w:line="252" w:lineRule="auto"/>
        <w:rPr>
          <w:sz w:val="20"/>
          <w:szCs w:val="20"/>
          <w:color w:val="auto"/>
        </w:rPr>
      </w:pPr>
      <w:r>
        <w:rPr>
          <w:rFonts w:ascii="Arial" w:cs="Arial" w:eastAsia="Arial" w:hAnsi="Arial"/>
          <w:sz w:val="20"/>
          <w:szCs w:val="20"/>
          <w:b w:val="1"/>
          <w:bCs w:val="1"/>
          <w:color w:val="auto"/>
        </w:rPr>
        <w:t xml:space="preserve">5.4 </w:t>
      </w:r>
      <w:r>
        <w:rPr>
          <w:rFonts w:ascii="Arial" w:cs="Arial" w:eastAsia="Arial" w:hAnsi="Arial"/>
          <w:sz w:val="20"/>
          <w:szCs w:val="20"/>
          <w:color w:val="auto"/>
        </w:rPr>
        <w:t>The execution and delivery by Borrower of this Amendment and the performance by Borrower of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Loan Agreement, as amended by this Amendment, have been duly authorized by all necessary action on the part of Borrower;</w:t>
      </w:r>
    </w:p>
    <w:p>
      <w:pPr>
        <w:spacing w:after="0" w:line="166" w:lineRule="exact"/>
        <w:rPr>
          <w:sz w:val="20"/>
          <w:szCs w:val="20"/>
          <w:color w:val="auto"/>
        </w:rPr>
      </w:pPr>
    </w:p>
    <w:p>
      <w:pPr>
        <w:jc w:val="both"/>
        <w:ind w:left="9" w:firstLine="1498"/>
        <w:spacing w:after="0"/>
        <w:rPr>
          <w:sz w:val="20"/>
          <w:szCs w:val="20"/>
          <w:color w:val="auto"/>
        </w:rPr>
      </w:pPr>
      <w:r>
        <w:rPr>
          <w:rFonts w:ascii="Arial" w:cs="Arial" w:eastAsia="Arial" w:hAnsi="Arial"/>
          <w:sz w:val="20"/>
          <w:szCs w:val="20"/>
          <w:b w:val="1"/>
          <w:bCs w:val="1"/>
          <w:color w:val="auto"/>
        </w:rPr>
        <w:t xml:space="preserve">5.5 </w:t>
      </w:r>
      <w:r>
        <w:rPr>
          <w:rFonts w:ascii="Arial" w:cs="Arial" w:eastAsia="Arial" w:hAnsi="Arial"/>
          <w:sz w:val="20"/>
          <w:szCs w:val="20"/>
          <w:color w:val="auto"/>
        </w:rPr>
        <w:t>The execution and delivery by Borrower of this Amendment and the performance by Borrower of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under the Loan Agreement do not (a) conflict with any of Borrower’s organizational documents, (b) contravene, conflict with, constitute a default under or violate any material Requirement of Law, (c) contravene, conflict with or violate any applicable order, writ, judgment, injunction, decree, termination or award of any Governmental Authority which Borrower or any of its Subsidiaries or any of their property or assets may be bound or affected, (d) require any action by, filing, registration, or qualification with, or Governmental Approval from, any Governmental Authority (except</w:t>
      </w:r>
    </w:p>
    <w:p>
      <w:pPr>
        <w:spacing w:after="0" w:line="4" w:lineRule="exact"/>
        <w:rPr>
          <w:sz w:val="20"/>
          <w:szCs w:val="20"/>
          <w:color w:val="auto"/>
        </w:rPr>
      </w:pPr>
    </w:p>
    <w:p>
      <w:pPr>
        <w:jc w:val="both"/>
        <w:ind w:left="9" w:hanging="9"/>
        <w:spacing w:after="0"/>
        <w:tabs>
          <w:tab w:leader="none" w:pos="308" w:val="left"/>
        </w:tabs>
        <w:numPr>
          <w:ilvl w:val="0"/>
          <w:numId w:val="33"/>
        </w:numPr>
        <w:rPr>
          <w:rFonts w:ascii="Arial" w:cs="Arial" w:eastAsia="Arial" w:hAnsi="Arial"/>
          <w:sz w:val="20"/>
          <w:szCs w:val="20"/>
          <w:color w:val="auto"/>
        </w:rPr>
      </w:pPr>
      <w:r>
        <w:rPr>
          <w:rFonts w:ascii="Arial" w:cs="Arial" w:eastAsia="Arial" w:hAnsi="Arial"/>
          <w:sz w:val="20"/>
          <w:szCs w:val="20"/>
          <w:color w:val="auto"/>
        </w:rPr>
        <w:t>such Governmental Approvals which have already been obtained and are in full force and effect (or are being obtained pursuant to Section 6.1(b) of the Loan Agreement) and (y) filings and recordings in respect of the Liens created pursuant to the applicable Loan Documents), or (e) conflict with, contravene constitute a default or breach under, or result in or permit the termination or acceleration of, any material agreement by which Borrower is bound;</w:t>
      </w:r>
    </w:p>
    <w:p>
      <w:pPr>
        <w:spacing w:after="0" w:line="177" w:lineRule="exact"/>
        <w:rPr>
          <w:sz w:val="20"/>
          <w:szCs w:val="20"/>
          <w:color w:val="auto"/>
        </w:rPr>
      </w:pPr>
    </w:p>
    <w:p>
      <w:pPr>
        <w:jc w:val="both"/>
        <w:ind w:left="9" w:right="20" w:firstLine="1498"/>
        <w:spacing w:after="0" w:line="248" w:lineRule="auto"/>
        <w:rPr>
          <w:sz w:val="20"/>
          <w:szCs w:val="20"/>
          <w:color w:val="auto"/>
        </w:rPr>
      </w:pPr>
      <w:r>
        <w:rPr>
          <w:rFonts w:ascii="Arial" w:cs="Arial" w:eastAsia="Arial" w:hAnsi="Arial"/>
          <w:sz w:val="20"/>
          <w:szCs w:val="20"/>
          <w:b w:val="1"/>
          <w:bCs w:val="1"/>
          <w:color w:val="auto"/>
        </w:rPr>
        <w:t xml:space="preserve">5.6 </w:t>
      </w:r>
      <w:r>
        <w:rPr>
          <w:rFonts w:ascii="Arial" w:cs="Arial" w:eastAsia="Arial" w:hAnsi="Arial"/>
          <w:sz w:val="20"/>
          <w:szCs w:val="20"/>
          <w:color w:val="auto"/>
        </w:rPr>
        <w:t>This Amendment has been duly executed and delivered by Borrower and is the binding obligation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2" w:lineRule="exact"/>
        <w:rPr>
          <w:sz w:val="20"/>
          <w:szCs w:val="20"/>
          <w:color w:val="auto"/>
        </w:rPr>
      </w:pPr>
    </w:p>
    <w:p>
      <w:pPr>
        <w:jc w:val="both"/>
        <w:ind w:left="9" w:firstLine="741"/>
        <w:spacing w:after="0" w:line="242" w:lineRule="auto"/>
        <w:tabs>
          <w:tab w:leader="none" w:pos="1499"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Prior Agreement</w:t>
      </w:r>
      <w:r>
        <w:rPr>
          <w:rFonts w:ascii="Arial" w:cs="Arial" w:eastAsia="Arial" w:hAnsi="Arial"/>
          <w:sz w:val="20"/>
          <w:szCs w:val="20"/>
          <w:color w:val="auto"/>
        </w:rPr>
        <w:t>. The Loan Documents (as modified hereby) are hereby ratified and reaffirmed and shall remain in</w:t>
      </w:r>
      <w:r>
        <w:rPr>
          <w:rFonts w:ascii="Arial" w:cs="Arial" w:eastAsia="Arial" w:hAnsi="Arial"/>
          <w:sz w:val="20"/>
          <w:szCs w:val="20"/>
          <w:b w:val="1"/>
          <w:bCs w:val="1"/>
          <w:color w:val="auto"/>
        </w:rPr>
        <w:t xml:space="preserve"> </w:t>
      </w:r>
      <w:r>
        <w:rPr>
          <w:rFonts w:ascii="Arial" w:cs="Arial" w:eastAsia="Arial" w:hAnsi="Arial"/>
          <w:sz w:val="20"/>
          <w:szCs w:val="20"/>
          <w:color w:val="auto"/>
        </w:rPr>
        <w:t>full force and effect. This Amendment is not a novation and the terms and conditions of this Amendment shall be in addition to and supplemental to all terms and conditions set forth in the Loan Documents. In the event of any conflict or inconsistency between this Amendment and the terms of such documents, the terms of this Amendment shall be controlling, but such document shall not otherwise be affected or the rights therein impaired.</w:t>
      </w:r>
    </w:p>
    <w:p>
      <w:pPr>
        <w:spacing w:after="0" w:line="175" w:lineRule="exact"/>
        <w:rPr>
          <w:rFonts w:ascii="Arial" w:cs="Arial" w:eastAsia="Arial" w:hAnsi="Arial"/>
          <w:sz w:val="20"/>
          <w:szCs w:val="20"/>
          <w:b w:val="1"/>
          <w:bCs w:val="1"/>
          <w:color w:val="auto"/>
        </w:rPr>
      </w:pPr>
    </w:p>
    <w:p>
      <w:pPr>
        <w:ind w:left="1489" w:hanging="739"/>
        <w:spacing w:after="0"/>
        <w:tabs>
          <w:tab w:leader="none" w:pos="1489"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Release by Borrower.</w:t>
      </w:r>
    </w:p>
    <w:p>
      <w:pPr>
        <w:spacing w:after="0" w:line="282" w:lineRule="exact"/>
        <w:rPr>
          <w:sz w:val="20"/>
          <w:szCs w:val="20"/>
          <w:color w:val="auto"/>
        </w:rPr>
      </w:pPr>
    </w:p>
    <w:p>
      <w:pPr>
        <w:jc w:val="both"/>
        <w:ind w:left="9" w:firstLine="1498"/>
        <w:spacing w:after="0" w:line="255"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color w:val="auto"/>
        </w:rPr>
        <w:t>FOR GOOD AND VALUABLE CONSIDERATION, Borrower hereby forever relieves, releases, and</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discharges Bank and its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Agreement (collectively “Released Claims”) . Without limiting the foregoing, the Released Claims shall include any and all liabilities or claims arising out of or in any manner whatsoever connected with or related to the Loan Documents, the Recitals hereto, any instruments, agreements or documents executed in connection with any of the foregoing or the origination, negotiation,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45085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433" w:right="45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administration, servicing and/or enforcement of any of the foregoing.</w:t>
      </w:r>
    </w:p>
    <w:p>
      <w:pPr>
        <w:spacing w:after="0" w:line="209" w:lineRule="exact"/>
        <w:rPr>
          <w:sz w:val="20"/>
          <w:szCs w:val="20"/>
          <w:color w:val="auto"/>
        </w:rPr>
      </w:pPr>
    </w:p>
    <w:p>
      <w:pPr>
        <w:ind w:left="1480"/>
        <w:spacing w:after="0"/>
        <w:tabs>
          <w:tab w:leader="none" w:pos="222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8"/>
          <w:szCs w:val="18"/>
          <w:color w:val="auto"/>
        </w:rPr>
        <w:t>In furtherance of this release, Borrower expressly acknowledges and waives any and all rights under Section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1542 of the California Civil Code, which provides as follows:</w:t>
      </w:r>
    </w:p>
    <w:p>
      <w:pPr>
        <w:spacing w:after="0" w:line="199" w:lineRule="exact"/>
        <w:rPr>
          <w:sz w:val="20"/>
          <w:szCs w:val="20"/>
          <w:color w:val="auto"/>
        </w:rPr>
      </w:pPr>
    </w:p>
    <w:p>
      <w:pPr>
        <w:jc w:val="both"/>
        <w:ind w:left="740" w:right="760"/>
        <w:spacing w:after="0" w:line="249"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(Emphasis added.)</w:t>
      </w:r>
    </w:p>
    <w:p>
      <w:pPr>
        <w:spacing w:after="0" w:line="182" w:lineRule="exact"/>
        <w:rPr>
          <w:sz w:val="20"/>
          <w:szCs w:val="20"/>
          <w:color w:val="auto"/>
        </w:rPr>
      </w:pPr>
    </w:p>
    <w:p>
      <w:pPr>
        <w:jc w:val="both"/>
        <w:ind w:firstLine="1498"/>
        <w:spacing w:after="0" w:line="255" w:lineRule="auto"/>
        <w:rPr>
          <w:sz w:val="20"/>
          <w:szCs w:val="20"/>
          <w:color w:val="auto"/>
        </w:rPr>
      </w:pPr>
      <w:r>
        <w:rPr>
          <w:rFonts w:ascii="Arial" w:cs="Arial" w:eastAsia="Arial" w:hAnsi="Arial"/>
          <w:sz w:val="19"/>
          <w:szCs w:val="19"/>
          <w:b w:val="1"/>
          <w:bCs w:val="1"/>
          <w:color w:val="auto"/>
        </w:rPr>
        <w:t xml:space="preserve">7.3 </w:t>
      </w:r>
      <w:r>
        <w:rPr>
          <w:rFonts w:ascii="Arial" w:cs="Arial" w:eastAsia="Arial" w:hAnsi="Arial"/>
          <w:sz w:val="19"/>
          <w:szCs w:val="19"/>
          <w:color w:val="auto"/>
        </w:rPr>
        <w:t>By entering into this release, Borrower recognizes that no facts or representations are ever absolutely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and it may hereafter discover facts in addition to or different from those which it presently knows or believes to be true, but that it is the intention of Borrower hereby to fully, finally and forever settle and release all matters, disputes and differences, known or unknown, suspected or unsuspected;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Bank with respect to the facts underlying this release or with regard to any of such party’s rights or asserted rights.</w:t>
      </w:r>
    </w:p>
    <w:p>
      <w:pPr>
        <w:spacing w:after="0" w:line="165" w:lineRule="exact"/>
        <w:rPr>
          <w:sz w:val="20"/>
          <w:szCs w:val="20"/>
          <w:color w:val="auto"/>
        </w:rPr>
      </w:pPr>
    </w:p>
    <w:p>
      <w:pPr>
        <w:jc w:val="both"/>
        <w:ind w:firstLine="1498"/>
        <w:spacing w:after="0" w:line="265" w:lineRule="auto"/>
        <w:rPr>
          <w:sz w:val="20"/>
          <w:szCs w:val="20"/>
          <w:color w:val="auto"/>
        </w:rPr>
      </w:pPr>
      <w:r>
        <w:rPr>
          <w:rFonts w:ascii="Arial" w:cs="Arial" w:eastAsia="Arial" w:hAnsi="Arial"/>
          <w:sz w:val="19"/>
          <w:szCs w:val="19"/>
          <w:b w:val="1"/>
          <w:bCs w:val="1"/>
          <w:color w:val="auto"/>
        </w:rPr>
        <w:t xml:space="preserve">7.4 </w:t>
      </w:r>
      <w:r>
        <w:rPr>
          <w:rFonts w:ascii="Arial" w:cs="Arial" w:eastAsia="Arial" w:hAnsi="Arial"/>
          <w:sz w:val="19"/>
          <w:szCs w:val="19"/>
          <w:color w:val="auto"/>
        </w:rPr>
        <w:t>This release may be pleaded as a full and complete defense and/or as a cross- complaint or counterclaim</w:t>
      </w:r>
      <w:r>
        <w:rPr>
          <w:rFonts w:ascii="Arial" w:cs="Arial" w:eastAsia="Arial" w:hAnsi="Arial"/>
          <w:sz w:val="19"/>
          <w:szCs w:val="19"/>
          <w:b w:val="1"/>
          <w:bCs w:val="1"/>
          <w:color w:val="auto"/>
        </w:rPr>
        <w:t xml:space="preserve"> </w:t>
      </w:r>
      <w:r>
        <w:rPr>
          <w:rFonts w:ascii="Arial" w:cs="Arial" w:eastAsia="Arial" w:hAnsi="Arial"/>
          <w:sz w:val="19"/>
          <w:szCs w:val="19"/>
          <w:color w:val="auto"/>
        </w:rPr>
        <w:t>against any action, suit, or other proceeding that may be instituted, prosecuted or attempted in breach of this release. Borrower acknowledges that the release contained herein constitutes a material inducement to Bank to enter into this Agreement, and that Bank would not have done so but for Bank’s expectation that such release is valid and enforceable in all events.</w:t>
      </w:r>
    </w:p>
    <w:p>
      <w:pPr>
        <w:spacing w:after="0" w:line="249" w:lineRule="exact"/>
        <w:rPr>
          <w:sz w:val="20"/>
          <w:szCs w:val="20"/>
          <w:color w:val="auto"/>
        </w:rPr>
      </w:pPr>
    </w:p>
    <w:p>
      <w:pPr>
        <w:ind w:left="1480"/>
        <w:spacing w:after="0"/>
        <w:tabs>
          <w:tab w:leader="none" w:pos="222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6"/>
          <w:szCs w:val="16"/>
          <w:color w:val="auto"/>
        </w:rPr>
        <w:t>Borrower hereby represents and warrants to Bank, and Bank is relying thereon, as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80" w:lineRule="exact"/>
        <w:rPr>
          <w:sz w:val="20"/>
          <w:szCs w:val="20"/>
          <w:color w:val="auto"/>
        </w:rPr>
      </w:pPr>
    </w:p>
    <w:p>
      <w:pPr>
        <w:ind w:firstLine="1489"/>
        <w:spacing w:after="0" w:line="300" w:lineRule="auto"/>
        <w:tabs>
          <w:tab w:leader="none" w:pos="2238"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Except as expressly stated in this Agreement, neither Bank nor any agent, employee or representative of Bank has made any statement or representation to Borrower regarding any fact relied upon by Borrower in entering into this Agreement.</w:t>
      </w:r>
    </w:p>
    <w:p>
      <w:pPr>
        <w:spacing w:after="0" w:line="143" w:lineRule="exact"/>
        <w:rPr>
          <w:rFonts w:ascii="Arial" w:cs="Arial" w:eastAsia="Arial" w:hAnsi="Arial"/>
          <w:sz w:val="18"/>
          <w:szCs w:val="18"/>
          <w:color w:val="auto"/>
        </w:rPr>
      </w:pPr>
    </w:p>
    <w:p>
      <w:pPr>
        <w:ind w:firstLine="1489"/>
        <w:spacing w:after="0" w:line="260" w:lineRule="auto"/>
        <w:tabs>
          <w:tab w:leader="none" w:pos="2239" w:val="left"/>
        </w:tabs>
        <w:numPr>
          <w:ilvl w:val="1"/>
          <w:numId w:val="35"/>
        </w:numPr>
        <w:rPr>
          <w:rFonts w:ascii="Arial" w:cs="Arial" w:eastAsia="Arial" w:hAnsi="Arial"/>
          <w:sz w:val="20"/>
          <w:szCs w:val="20"/>
          <w:color w:val="auto"/>
        </w:rPr>
      </w:pPr>
      <w:r>
        <w:rPr>
          <w:rFonts w:ascii="Arial" w:cs="Arial" w:eastAsia="Arial" w:hAnsi="Arial"/>
          <w:sz w:val="20"/>
          <w:szCs w:val="20"/>
          <w:color w:val="auto"/>
        </w:rPr>
        <w:t>Borrower has made such investigation of the facts pertaining to this Agreement and all of the matters appertaining thereto, as it deems necessary.</w:t>
      </w:r>
    </w:p>
    <w:p>
      <w:pPr>
        <w:spacing w:after="0" w:line="175" w:lineRule="exact"/>
        <w:rPr>
          <w:rFonts w:ascii="Arial" w:cs="Arial" w:eastAsia="Arial" w:hAnsi="Arial"/>
          <w:sz w:val="20"/>
          <w:szCs w:val="20"/>
          <w:color w:val="auto"/>
        </w:rPr>
      </w:pPr>
    </w:p>
    <w:p>
      <w:pPr>
        <w:ind w:left="2240" w:hanging="751"/>
        <w:spacing w:after="0"/>
        <w:tabs>
          <w:tab w:leader="none" w:pos="22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terms of this Agreement are contractual and not a mere recital.</w:t>
      </w:r>
    </w:p>
    <w:p>
      <w:pPr>
        <w:spacing w:after="0" w:line="282" w:lineRule="exact"/>
        <w:rPr>
          <w:rFonts w:ascii="Arial" w:cs="Arial" w:eastAsia="Arial" w:hAnsi="Arial"/>
          <w:sz w:val="20"/>
          <w:szCs w:val="20"/>
          <w:color w:val="auto"/>
        </w:rPr>
      </w:pPr>
    </w:p>
    <w:p>
      <w:pPr>
        <w:ind w:firstLine="1489"/>
        <w:spacing w:after="0" w:line="246" w:lineRule="auto"/>
        <w:tabs>
          <w:tab w:leader="none" w:pos="2238"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This Agreement has been carefully read by Borrower, the contents hereof are known and understood by Borrower, and this Agreement is signed freely, and without duress, by Borrower.</w:t>
      </w:r>
    </w:p>
    <w:p>
      <w:pPr>
        <w:spacing w:after="0" w:line="189" w:lineRule="exact"/>
        <w:rPr>
          <w:rFonts w:ascii="Arial" w:cs="Arial" w:eastAsia="Arial" w:hAnsi="Arial"/>
          <w:sz w:val="20"/>
          <w:szCs w:val="20"/>
          <w:color w:val="auto"/>
        </w:rPr>
      </w:pPr>
    </w:p>
    <w:p>
      <w:pPr>
        <w:jc w:val="both"/>
        <w:ind w:firstLine="1489"/>
        <w:spacing w:after="0" w:line="244" w:lineRule="auto"/>
        <w:tabs>
          <w:tab w:leader="none" w:pos="2239" w:val="left"/>
        </w:tabs>
        <w:numPr>
          <w:ilvl w:val="1"/>
          <w:numId w:val="35"/>
        </w:numPr>
        <w:rPr>
          <w:rFonts w:ascii="Arial" w:cs="Arial" w:eastAsia="Arial" w:hAnsi="Arial"/>
          <w:sz w:val="20"/>
          <w:szCs w:val="20"/>
          <w:color w:val="auto"/>
        </w:rPr>
      </w:pPr>
      <w:r>
        <w:rPr>
          <w:rFonts w:ascii="Arial" w:cs="Arial" w:eastAsia="Arial" w:hAnsi="Arial"/>
          <w:sz w:val="20"/>
          <w:szCs w:val="20"/>
          <w:color w:val="auto"/>
        </w:rPr>
        <w:t>Borrower represents and warrants that it is the sole and lawful owner of all right, title and interest in and to every claim and every other matter which it releases herein, and that it has not heretofore assigned or transferred, or purported to assign or transfer, to any person, firm or entity any claims or other matters herein released. Borrower shall indemnify Bank, defend and hold it harmless from and against all claims based upon or arising in connection with prior assignments or purported assignments or transfers of any claims or matters released herein.</w:t>
      </w:r>
    </w:p>
    <w:p>
      <w:pPr>
        <w:spacing w:after="0" w:line="173" w:lineRule="exact"/>
        <w:rPr>
          <w:rFonts w:ascii="Arial" w:cs="Arial" w:eastAsia="Arial" w:hAnsi="Arial"/>
          <w:sz w:val="20"/>
          <w:szCs w:val="20"/>
          <w:color w:val="auto"/>
        </w:rPr>
      </w:pPr>
    </w:p>
    <w:p>
      <w:pPr>
        <w:jc w:val="both"/>
        <w:ind w:firstLine="740"/>
        <w:spacing w:after="0" w:line="294" w:lineRule="auto"/>
        <w:tabs>
          <w:tab w:leader="none" w:pos="1489"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Perfection Certificate</w:t>
      </w:r>
      <w:r>
        <w:rPr>
          <w:rFonts w:ascii="Arial" w:cs="Arial" w:eastAsia="Arial" w:hAnsi="Arial"/>
          <w:sz w:val="18"/>
          <w:szCs w:val="18"/>
          <w:color w:val="auto"/>
        </w:rPr>
        <w:t>. Borrower hereby ratifies, confirms and reaffirms, all and singular,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disclosures contained in a certain Perfection Certificate dated on or prior to the Effective Date and acknowledges, confirms and agrees that the disclosures and information Borrower provided to Bank in such Perfection Certificate have not changed,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514" w:right="459" w:bottom="1440" w:gutter="0" w:footer="0" w:header="0"/>
        </w:sectPr>
      </w:pPr>
    </w:p>
    <w:bookmarkStart w:id="50" w:name="page51"/>
    <w:bookmarkEnd w:id="50"/>
    <w:p>
      <w:pPr>
        <w:jc w:val="both"/>
        <w:ind w:firstLine="741"/>
        <w:spacing w:after="0" w:line="286" w:lineRule="auto"/>
        <w:tabs>
          <w:tab w:leader="none" w:pos="149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49" w:lineRule="exact"/>
        <w:rPr>
          <w:rFonts w:ascii="Arial" w:cs="Arial" w:eastAsia="Arial" w:hAnsi="Arial"/>
          <w:sz w:val="18"/>
          <w:szCs w:val="18"/>
          <w:b w:val="1"/>
          <w:bCs w:val="1"/>
          <w:color w:val="auto"/>
        </w:rPr>
      </w:pPr>
    </w:p>
    <w:p>
      <w:pPr>
        <w:jc w:val="both"/>
        <w:ind w:firstLine="741"/>
        <w:spacing w:after="0" w:line="246" w:lineRule="auto"/>
        <w:tabs>
          <w:tab w:leader="none" w:pos="149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Prior Agreement</w:t>
      </w:r>
      <w:r>
        <w:rPr>
          <w:rFonts w:ascii="Arial" w:cs="Arial" w:eastAsia="Arial" w:hAnsi="Arial"/>
          <w:sz w:val="20"/>
          <w:szCs w:val="20"/>
          <w:color w:val="auto"/>
        </w:rPr>
        <w:t>. The Loan Documents are hereby ratified and reaffirmed and shall remain in full force and effect.</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is not a novation and the terms and conditions of this Amendment shall be in addition to and supplemental to all terms and conditions set forth in the Loan Documents. In the event of any conflict or inconsistency between this Amendment and the terms of such documents, the terms of this Amendment shall be controlling, but such document shall not otherwise be affected or the rights therein impaired.</w:t>
      </w:r>
    </w:p>
    <w:p>
      <w:pPr>
        <w:spacing w:after="0" w:line="169" w:lineRule="exact"/>
        <w:rPr>
          <w:rFonts w:ascii="Arial" w:cs="Arial" w:eastAsia="Arial" w:hAnsi="Arial"/>
          <w:sz w:val="20"/>
          <w:szCs w:val="20"/>
          <w:b w:val="1"/>
          <w:bCs w:val="1"/>
          <w:color w:val="auto"/>
        </w:rPr>
      </w:pPr>
    </w:p>
    <w:p>
      <w:pPr>
        <w:ind w:firstLine="741"/>
        <w:spacing w:after="0" w:line="266" w:lineRule="auto"/>
        <w:tabs>
          <w:tab w:leader="none" w:pos="149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Amendment may be executed in any number of counterparts and all of such counterparts taken</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shall be deemed to constitute one and the same instrument.</w:t>
      </w:r>
    </w:p>
    <w:p>
      <w:pPr>
        <w:spacing w:after="0" w:line="164" w:lineRule="exact"/>
        <w:rPr>
          <w:rFonts w:ascii="Arial" w:cs="Arial" w:eastAsia="Arial" w:hAnsi="Arial"/>
          <w:sz w:val="20"/>
          <w:szCs w:val="20"/>
          <w:b w:val="1"/>
          <w:bCs w:val="1"/>
          <w:color w:val="auto"/>
        </w:rPr>
      </w:pPr>
    </w:p>
    <w:p>
      <w:pPr>
        <w:jc w:val="both"/>
        <w:ind w:firstLine="740"/>
        <w:spacing w:after="0" w:line="265" w:lineRule="auto"/>
        <w:tabs>
          <w:tab w:leader="none" w:pos="1489"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Conditions to Effectiveness</w:t>
      </w:r>
      <w:r>
        <w:rPr>
          <w:rFonts w:ascii="Arial" w:cs="Arial" w:eastAsia="Arial" w:hAnsi="Arial"/>
          <w:sz w:val="19"/>
          <w:szCs w:val="19"/>
          <w:color w:val="auto"/>
        </w:rPr>
        <w:t>. This Amendment shall be deemed effective upon (a) the due execution and delivery to</w:t>
      </w:r>
      <w:r>
        <w:rPr>
          <w:rFonts w:ascii="Arial" w:cs="Arial" w:eastAsia="Arial" w:hAnsi="Arial"/>
          <w:sz w:val="19"/>
          <w:szCs w:val="19"/>
          <w:b w:val="1"/>
          <w:bCs w:val="1"/>
          <w:color w:val="auto"/>
        </w:rPr>
        <w:t xml:space="preserve"> </w:t>
      </w:r>
      <w:r>
        <w:rPr>
          <w:rFonts w:ascii="Arial" w:cs="Arial" w:eastAsia="Arial" w:hAnsi="Arial"/>
          <w:sz w:val="19"/>
          <w:szCs w:val="19"/>
          <w:color w:val="auto"/>
        </w:rPr>
        <w:t>Bank of this Amendment by each party hereto, and (b) payment by Borrower to Bank of (i) Two Million Dollars ($2,000,000), which Bank shall apply to the outstanding principal balance of the Term Loan Advance, and (ii) all Bank Expenses due and owing as of the date hereof, which, in each case, may be debited from any of Borrower’s accounts at Bank.</w:t>
      </w:r>
    </w:p>
    <w:p>
      <w:pPr>
        <w:spacing w:after="0" w:line="154" w:lineRule="exact"/>
        <w:rPr>
          <w:rFonts w:ascii="Arial" w:cs="Arial" w:eastAsia="Arial" w:hAnsi="Arial"/>
          <w:sz w:val="19"/>
          <w:szCs w:val="19"/>
          <w:b w:val="1"/>
          <w:bCs w:val="1"/>
          <w:color w:val="auto"/>
        </w:rPr>
      </w:pPr>
    </w:p>
    <w:p>
      <w:pPr>
        <w:ind w:left="1480" w:hanging="739"/>
        <w:spacing w:after="0"/>
        <w:tabs>
          <w:tab w:leader="none" w:pos="148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02" w:lineRule="exact"/>
        <w:rPr>
          <w:sz w:val="20"/>
          <w:szCs w:val="20"/>
          <w:color w:val="auto"/>
        </w:rPr>
      </w:pPr>
    </w:p>
    <w:p>
      <w:pPr>
        <w:jc w:val="both"/>
        <w:ind w:firstLine="1498"/>
        <w:spacing w:after="0" w:line="248" w:lineRule="auto"/>
        <w:rPr>
          <w:sz w:val="20"/>
          <w:szCs w:val="20"/>
          <w:color w:val="auto"/>
        </w:rPr>
      </w:pPr>
      <w:r>
        <w:rPr>
          <w:rFonts w:ascii="Arial" w:cs="Arial" w:eastAsia="Arial" w:hAnsi="Arial"/>
          <w:sz w:val="20"/>
          <w:szCs w:val="20"/>
          <w:b w:val="1"/>
          <w:bCs w:val="1"/>
          <w:color w:val="auto"/>
        </w:rPr>
        <w:t xml:space="preserve">13.1 </w:t>
      </w:r>
      <w:r>
        <w:rPr>
          <w:rFonts w:ascii="Arial" w:cs="Arial" w:eastAsia="Arial" w:hAnsi="Arial"/>
          <w:sz w:val="20"/>
          <w:szCs w:val="20"/>
          <w:color w:val="auto"/>
        </w:rPr>
        <w:t>This Amendment shall constitute a Loan Document under the Loan Agreement; the failure to comply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contained herein shall constitute an Event of Default under the Loan Agreement; and all obligations included in this Amendment (including, without limitation, all obligations for the payment of principal, interest, fees, and other amounts and expenses) shall constitute obligations under the Loan Agreement and secured by the Collateral.</w:t>
      </w:r>
    </w:p>
    <w:p>
      <w:pPr>
        <w:spacing w:after="0" w:line="182" w:lineRule="exact"/>
        <w:rPr>
          <w:sz w:val="20"/>
          <w:szCs w:val="20"/>
          <w:color w:val="auto"/>
        </w:rPr>
      </w:pPr>
    </w:p>
    <w:p>
      <w:pPr>
        <w:ind w:left="1480"/>
        <w:spacing w:after="0"/>
        <w:tabs>
          <w:tab w:leader="none" w:pos="220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8"/>
          <w:szCs w:val="18"/>
          <w:color w:val="auto"/>
        </w:rPr>
        <w:t>Each provision of this Amendment is severable from every other provision in determining the enforceability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of any provision.</w:t>
      </w:r>
    </w:p>
    <w:p>
      <w:pPr>
        <w:spacing w:after="0" w:line="180" w:lineRule="exact"/>
        <w:rPr>
          <w:sz w:val="20"/>
          <w:szCs w:val="20"/>
          <w:color w:val="auto"/>
        </w:rPr>
      </w:pPr>
    </w:p>
    <w:p>
      <w:pPr>
        <w:ind w:firstLine="740"/>
        <w:spacing w:after="0" w:line="266" w:lineRule="auto"/>
        <w:tabs>
          <w:tab w:leader="none" w:pos="1489"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w:t>
      </w:r>
      <w:r>
        <w:rPr>
          <w:rFonts w:ascii="Arial" w:cs="Arial" w:eastAsia="Arial" w:hAnsi="Arial"/>
          <w:sz w:val="20"/>
          <w:szCs w:val="20"/>
          <w:color w:val="auto"/>
        </w:rPr>
        <w:t>This Amendment and the rights and obligations of the parties hereto shall be governed by and</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in accordance with the laws of the State of California.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203200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643" w:right="459" w:bottom="1440" w:gutter="0" w:footer="0" w:header="0"/>
        </w:sectPr>
      </w:pPr>
    </w:p>
    <w:bookmarkStart w:id="51" w:name="page52"/>
    <w:bookmarkEnd w:id="51"/>
    <w:p>
      <w:pPr>
        <w:ind w:left="10120"/>
        <w:spacing w:after="0"/>
        <w:rPr>
          <w:sz w:val="20"/>
          <w:szCs w:val="20"/>
          <w:color w:val="auto"/>
        </w:rPr>
      </w:pPr>
      <w:r>
        <w:rPr>
          <w:rFonts w:ascii="Arial" w:cs="Arial" w:eastAsia="Arial" w:hAnsi="Arial"/>
          <w:sz w:val="17"/>
          <w:szCs w:val="17"/>
          <w:b w:val="1"/>
          <w:bCs w:val="1"/>
          <w:color w:val="auto"/>
        </w:rPr>
        <w:t>Exhibit 10.1</w:t>
      </w:r>
    </w:p>
    <w:p>
      <w:pPr>
        <w:spacing w:after="0" w:line="8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caused this Amendment to be duly executed and delivered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BANK:</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SILICON VALLEY BANK</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KRISTINE ROHMER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-14605</wp:posOffset>
            </wp:positionV>
            <wp:extent cx="1544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44320"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Kristine Rohmer</w:t>
      </w:r>
    </w:p>
    <w:p>
      <w:pPr>
        <w:ind w:left="1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Director</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BORROWER:</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BIODESIX, INC.</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w:t>
      </w:r>
      <w:r>
        <w:rPr>
          <w:rFonts w:ascii="Arial" w:cs="Arial" w:eastAsia="Arial" w:hAnsi="Arial"/>
          <w:sz w:val="17"/>
          <w:szCs w:val="17"/>
          <w:u w:val="single" w:color="auto"/>
          <w:color w:val="auto"/>
        </w:rPr>
        <w:t>s/ ROBIN HARPER COWIE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Robin Harper Cowie</w:t>
      </w:r>
    </w:p>
    <w:p>
      <w:pPr>
        <w:ind w:left="1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Consent and Fourth Amendment to Loan and Security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198755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2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Scott Hutton, certify that:</w:t>
      </w:r>
    </w:p>
    <w:p>
      <w:pPr>
        <w:spacing w:after="0" w:line="225" w:lineRule="exact"/>
        <w:rPr>
          <w:sz w:val="20"/>
          <w:szCs w:val="20"/>
          <w:color w:val="auto"/>
        </w:rPr>
      </w:pPr>
    </w:p>
    <w:p>
      <w:pPr>
        <w:ind w:left="760" w:hanging="752"/>
        <w:spacing w:after="0"/>
        <w:tabs>
          <w:tab w:leader="none" w:pos="760" w:val="left"/>
        </w:tabs>
        <w:numPr>
          <w:ilvl w:val="0"/>
          <w:numId w:val="39"/>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14" w:lineRule="exact"/>
        <w:rPr>
          <w:rFonts w:ascii="Arial" w:cs="Arial" w:eastAsia="Arial" w:hAnsi="Arial"/>
          <w:sz w:val="20"/>
          <w:szCs w:val="20"/>
          <w:color w:val="auto"/>
        </w:rPr>
      </w:pPr>
    </w:p>
    <w:p>
      <w:pPr>
        <w:jc w:val="both"/>
        <w:ind w:left="760" w:hanging="752"/>
        <w:spacing w:after="0" w:line="242" w:lineRule="auto"/>
        <w:tabs>
          <w:tab w:leader="none" w:pos="760" w:val="left"/>
        </w:tabs>
        <w:numPr>
          <w:ilvl w:val="0"/>
          <w:numId w:val="39"/>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20"/>
          <w:szCs w:val="20"/>
          <w:color w:val="auto"/>
        </w:rPr>
      </w:pPr>
    </w:p>
    <w:p>
      <w:pPr>
        <w:ind w:left="760" w:hanging="752"/>
        <w:spacing w:after="0" w:line="262" w:lineRule="auto"/>
        <w:tabs>
          <w:tab w:leader="none" w:pos="760" w:val="left"/>
        </w:tabs>
        <w:numPr>
          <w:ilvl w:val="0"/>
          <w:numId w:val="39"/>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9"/>
          <w:szCs w:val="19"/>
          <w:color w:val="auto"/>
        </w:rPr>
      </w:pPr>
    </w:p>
    <w:p>
      <w:pPr>
        <w:jc w:val="both"/>
        <w:ind w:left="760" w:hanging="752"/>
        <w:spacing w:after="0" w:line="236" w:lineRule="auto"/>
        <w:tabs>
          <w:tab w:leader="none" w:pos="760" w:val="left"/>
        </w:tabs>
        <w:numPr>
          <w:ilvl w:val="0"/>
          <w:numId w:val="39"/>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20"/>
          <w:szCs w:val="20"/>
          <w:color w:val="auto"/>
        </w:rPr>
      </w:pPr>
    </w:p>
    <w:p>
      <w:pPr>
        <w:jc w:val="both"/>
        <w:ind w:left="1500" w:hanging="743"/>
        <w:spacing w:after="0" w:line="247" w:lineRule="auto"/>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1500" w:hanging="743"/>
        <w:spacing w:after="0" w:line="247" w:lineRule="auto"/>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1" w:lineRule="auto"/>
        <w:tabs>
          <w:tab w:leader="none" w:pos="15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jc w:val="both"/>
        <w:ind w:left="1500" w:hanging="743"/>
        <w:spacing w:after="0" w:line="255" w:lineRule="auto"/>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760" w:hanging="752"/>
        <w:spacing w:after="0" w:line="294"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500" w:hanging="743"/>
        <w:spacing w:after="0" w:line="262" w:lineRule="auto"/>
        <w:tabs>
          <w:tab w:leader="none" w:pos="1500" w:val="left"/>
        </w:tabs>
        <w:numPr>
          <w:ilvl w:val="1"/>
          <w:numId w:val="39"/>
        </w:numPr>
        <w:rPr>
          <w:rFonts w:ascii="Arial" w:cs="Arial" w:eastAsia="Arial" w:hAnsi="Arial"/>
          <w:sz w:val="19"/>
          <w:szCs w:val="19"/>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9"/>
          <w:szCs w:val="19"/>
          <w:color w:val="auto"/>
        </w:rPr>
      </w:pPr>
    </w:p>
    <w:p>
      <w:pPr>
        <w:ind w:left="1500" w:hanging="743"/>
        <w:spacing w:after="0" w:line="250" w:lineRule="auto"/>
        <w:tabs>
          <w:tab w:leader="none" w:pos="1500" w:val="left"/>
        </w:tabs>
        <w:numPr>
          <w:ilvl w:val="1"/>
          <w:numId w:val="39"/>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5300" w:val="left"/>
          <w:tab w:leader="none" w:pos="788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23495</wp:posOffset>
            </wp:positionV>
            <wp:extent cx="35191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19170" cy="8255"/>
                    </a:xfrm>
                    <a:prstGeom prst="rect">
                      <a:avLst/>
                    </a:prstGeom>
                    <a:noFill/>
                  </pic:spPr>
                </pic:pic>
              </a:graphicData>
            </a:graphic>
          </wp:anchor>
        </w:drawing>
      </w:r>
    </w:p>
    <w:p>
      <w:pPr>
        <w:spacing w:after="0" w:line="4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Scott Hutton</w:t>
      </w:r>
    </w:p>
    <w:p>
      <w:pPr>
        <w:spacing w:after="0" w:line="2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Robin Harper Cowie, certify that:</w:t>
      </w:r>
    </w:p>
    <w:p>
      <w:pPr>
        <w:spacing w:after="0" w:line="225" w:lineRule="exact"/>
        <w:rPr>
          <w:sz w:val="20"/>
          <w:szCs w:val="20"/>
          <w:color w:val="auto"/>
        </w:rPr>
      </w:pPr>
    </w:p>
    <w:p>
      <w:pPr>
        <w:ind w:left="760" w:hanging="752"/>
        <w:spacing w:after="0"/>
        <w:tabs>
          <w:tab w:leader="none" w:pos="760" w:val="left"/>
        </w:tabs>
        <w:numPr>
          <w:ilvl w:val="0"/>
          <w:numId w:val="40"/>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14" w:lineRule="exact"/>
        <w:rPr>
          <w:rFonts w:ascii="Arial" w:cs="Arial" w:eastAsia="Arial" w:hAnsi="Arial"/>
          <w:sz w:val="20"/>
          <w:szCs w:val="20"/>
          <w:color w:val="auto"/>
        </w:rPr>
      </w:pPr>
    </w:p>
    <w:p>
      <w:pPr>
        <w:jc w:val="both"/>
        <w:ind w:left="760" w:hanging="752"/>
        <w:spacing w:after="0" w:line="242" w:lineRule="auto"/>
        <w:tabs>
          <w:tab w:leader="none" w:pos="760" w:val="left"/>
        </w:tabs>
        <w:numPr>
          <w:ilvl w:val="0"/>
          <w:numId w:val="40"/>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20"/>
          <w:szCs w:val="20"/>
          <w:color w:val="auto"/>
        </w:rPr>
      </w:pPr>
    </w:p>
    <w:p>
      <w:pPr>
        <w:ind w:left="760" w:hanging="752"/>
        <w:spacing w:after="0" w:line="262" w:lineRule="auto"/>
        <w:tabs>
          <w:tab w:leader="none" w:pos="760" w:val="left"/>
        </w:tabs>
        <w:numPr>
          <w:ilvl w:val="0"/>
          <w:numId w:val="40"/>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9"/>
          <w:szCs w:val="19"/>
          <w:color w:val="auto"/>
        </w:rPr>
      </w:pPr>
    </w:p>
    <w:p>
      <w:pPr>
        <w:jc w:val="both"/>
        <w:ind w:left="760" w:hanging="752"/>
        <w:spacing w:after="0" w:line="236" w:lineRule="auto"/>
        <w:tabs>
          <w:tab w:leader="none" w:pos="760" w:val="left"/>
        </w:tabs>
        <w:numPr>
          <w:ilvl w:val="0"/>
          <w:numId w:val="40"/>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20"/>
          <w:szCs w:val="20"/>
          <w:color w:val="auto"/>
        </w:rPr>
      </w:pPr>
    </w:p>
    <w:p>
      <w:pPr>
        <w:jc w:val="both"/>
        <w:ind w:left="1500" w:hanging="743"/>
        <w:spacing w:after="0" w:line="247" w:lineRule="auto"/>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1500" w:hanging="743"/>
        <w:spacing w:after="0" w:line="247" w:lineRule="auto"/>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1" w:lineRule="auto"/>
        <w:tabs>
          <w:tab w:leader="none" w:pos="15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jc w:val="both"/>
        <w:ind w:left="1500" w:hanging="743"/>
        <w:spacing w:after="0" w:line="255" w:lineRule="auto"/>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760" w:hanging="752"/>
        <w:spacing w:after="0" w:line="294"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500" w:hanging="743"/>
        <w:spacing w:after="0" w:line="262" w:lineRule="auto"/>
        <w:tabs>
          <w:tab w:leader="none" w:pos="1500" w:val="left"/>
        </w:tabs>
        <w:numPr>
          <w:ilvl w:val="1"/>
          <w:numId w:val="40"/>
        </w:numPr>
        <w:rPr>
          <w:rFonts w:ascii="Arial" w:cs="Arial" w:eastAsia="Arial" w:hAnsi="Arial"/>
          <w:sz w:val="19"/>
          <w:szCs w:val="19"/>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9"/>
          <w:szCs w:val="19"/>
          <w:color w:val="auto"/>
        </w:rPr>
      </w:pPr>
    </w:p>
    <w:p>
      <w:pPr>
        <w:ind w:left="1500" w:hanging="743"/>
        <w:spacing w:after="0" w:line="250" w:lineRule="auto"/>
        <w:tabs>
          <w:tab w:leader="none" w:pos="1500" w:val="left"/>
        </w:tabs>
        <w:numPr>
          <w:ilvl w:val="1"/>
          <w:numId w:val="40"/>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5300" w:val="left"/>
          <w:tab w:leader="none" w:pos="760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23495</wp:posOffset>
            </wp:positionV>
            <wp:extent cx="35191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19170" cy="8255"/>
                    </a:xfrm>
                    <a:prstGeom prst="rect">
                      <a:avLst/>
                    </a:prstGeom>
                    <a:noFill/>
                  </pic:spPr>
                </pic:pic>
              </a:graphicData>
            </a:graphic>
          </wp:anchor>
        </w:drawing>
      </w:r>
    </w:p>
    <w:p>
      <w:pPr>
        <w:spacing w:after="0" w:line="4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Robin Harper Cowie</w:t>
      </w:r>
    </w:p>
    <w:p>
      <w:pPr>
        <w:spacing w:after="0" w:line="2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September 30, 2022 as filed with the Securities and Exchange Commission on the date hereof (the “Report”), I certify, pursuant to 18 U.S.C. § 1350, as adopted pursuant to § 906 of the Sarbanes-Oxley Act of 2002, that, to my knowledge:</w:t>
      </w:r>
    </w:p>
    <w:p>
      <w:pPr>
        <w:spacing w:after="0" w:line="197" w:lineRule="exact"/>
        <w:rPr>
          <w:sz w:val="20"/>
          <w:szCs w:val="20"/>
          <w:color w:val="auto"/>
        </w:rPr>
      </w:pPr>
    </w:p>
    <w:p>
      <w:pPr>
        <w:ind w:left="1120" w:hanging="363"/>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80" w:right="20" w:hanging="224"/>
        <w:spacing w:after="0" w:line="261" w:lineRule="auto"/>
        <w:tabs>
          <w:tab w:leader="none" w:pos="11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4820" w:val="left"/>
          <w:tab w:leader="none" w:pos="79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34848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Scott Hutton</w:t>
      </w:r>
    </w:p>
    <w:p>
      <w:pPr>
        <w:spacing w:after="0" w:line="22"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September 30, 2022 as filed with the Securities and Exchange Commission on the date hereof (the “Report”), I certify, pursuant to 18 U.S.C. § 1350, as adopted pursuant to § 906 of the Sarbanes-Oxley Act of 2002, that, to my knowledge:</w:t>
      </w:r>
    </w:p>
    <w:p>
      <w:pPr>
        <w:spacing w:after="0" w:line="197" w:lineRule="exact"/>
        <w:rPr>
          <w:sz w:val="20"/>
          <w:szCs w:val="20"/>
          <w:color w:val="auto"/>
        </w:rPr>
      </w:pPr>
    </w:p>
    <w:p>
      <w:pPr>
        <w:ind w:left="1120" w:hanging="363"/>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80" w:right="20" w:hanging="224"/>
        <w:spacing w:after="0" w:line="261" w:lineRule="auto"/>
        <w:tabs>
          <w:tab w:leader="none" w:pos="11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4820" w:val="left"/>
          <w:tab w:leader="none" w:pos="76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34848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Robin Harper Cowie</w:t>
      </w:r>
    </w:p>
    <w:p>
      <w:pPr>
        <w:spacing w:after="0" w:line="22"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bullet"/>
      <w:start w:val="1"/>
    </w:lvl>
  </w:abstractNum>
  <w:abstractNum w:abstractNumId="8">
    <w:nsid w:val="4353D0CD"/>
    <w:multiLevelType w:val="hybridMultilevel"/>
    <w:lvl w:ilvl="0">
      <w:lvlJc w:val="left"/>
      <w:lvlText w:val="2"/>
      <w:numFmt w:val="bullet"/>
      <w:start w:val="1"/>
    </w:lvl>
  </w:abstractNum>
  <w:abstractNum w:abstractNumId="9">
    <w:nsid w:val="B03E0C6"/>
    <w:multiLevelType w:val="hybridMultilevel"/>
    <w:lvl w:ilvl="0">
      <w:lvlJc w:val="left"/>
      <w:lvlText w:val="3"/>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o"/>
      <w:numFmt w:val="bullet"/>
      <w:start w:val="1"/>
    </w:lvl>
  </w:abstractNum>
  <w:abstractNum w:abstractNumId="17">
    <w:nsid w:val="8138641"/>
    <w:multiLevelType w:val="hybridMultilevel"/>
    <w:lvl w:ilvl="0">
      <w:lvlJc w:val="left"/>
      <w:lvlText w:val="•"/>
      <w:numFmt w:val="bullet"/>
      <w:start w:val="1"/>
    </w:lvl>
    <w:lvl w:ilvl="1">
      <w:lvlJc w:val="left"/>
      <w:lvlText w:val="o"/>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lvl w:ilvl="1">
      <w:lvlJc w:val="left"/>
      <w:lvlText w:val="%2"/>
      <w:numFmt w:val="decimal"/>
      <w:start w:val="104"/>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upperLetter"/>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3"/>
    </w:lvl>
  </w:abstractNum>
  <w:abstractNum w:abstractNumId="27">
    <w:nsid w:val="5577F8E1"/>
    <w:multiLevelType w:val="hybridMultilevel"/>
    <w:lvl w:ilvl="0">
      <w:lvlJc w:val="left"/>
      <w:lvlText w:val="%1"/>
      <w:numFmt w:val="lowerLetter"/>
      <w:start w:val="1"/>
    </w:lvl>
    <w:lvl w:ilvl="1">
      <w:lvlJc w:val="left"/>
      <w:lvlText w:val="(%2)"/>
      <w:numFmt w:val="lowerLetter"/>
      <w:start w:val="2"/>
    </w:lvl>
  </w:abstractNum>
  <w:abstractNum w:abstractNumId="28">
    <w:nsid w:val="440BADFC"/>
    <w:multiLevelType w:val="hybridMultilevel"/>
    <w:lvl w:ilvl="0">
      <w:lvlJc w:val="left"/>
      <w:lvlText w:val="(%1)"/>
      <w:numFmt w:val="lowerLetter"/>
      <w:start w:val="35"/>
    </w:lvl>
    <w:lvl w:ilvl="1">
      <w:lvlJc w:val="left"/>
      <w:lvlText w:val="%2"/>
      <w:numFmt w:val="lowerLetter"/>
      <w:start w:val="1"/>
    </w:lvl>
  </w:abstractNum>
  <w:abstractNum w:abstractNumId="29">
    <w:nsid w:val="5072367"/>
    <w:multiLevelType w:val="hybridMultilevel"/>
    <w:lvl w:ilvl="0">
      <w:lvlJc w:val="left"/>
      <w:lvlText w:val="(%1)"/>
      <w:numFmt w:val="lowerLetter"/>
      <w:start w:val="2"/>
    </w:lvl>
  </w:abstractNum>
  <w:abstractNum w:abstractNumId="30">
    <w:nsid w:val="3804823E"/>
    <w:multiLevelType w:val="hybridMultilevel"/>
    <w:lvl w:ilvl="0">
      <w:lvlJc w:val="left"/>
      <w:lvlText w:val="%1."/>
      <w:numFmt w:val="decimal"/>
      <w:start w:val="4"/>
    </w:lvl>
  </w:abstractNum>
  <w:abstractNum w:abstractNumId="31">
    <w:nsid w:val="77465F01"/>
    <w:multiLevelType w:val="hybridMultilevel"/>
    <w:lvl w:ilvl="0">
      <w:lvlJc w:val="left"/>
      <w:lvlText w:val="%1."/>
      <w:numFmt w:val="decimal"/>
      <w:start w:val="5"/>
    </w:lvl>
  </w:abstractNum>
  <w:abstractNum w:abstractNumId="32">
    <w:nsid w:val="7724C67E"/>
    <w:multiLevelType w:val="hybridMultilevel"/>
    <w:lvl w:ilvl="0">
      <w:lvlJc w:val="left"/>
      <w:lvlText w:val="(%1)"/>
      <w:numFmt w:val="lowerRoman"/>
      <w:start w:val="10"/>
    </w:lvl>
  </w:abstractNum>
  <w:abstractNum w:abstractNumId="33">
    <w:nsid w:val="5C482A97"/>
    <w:multiLevelType w:val="hybridMultilevel"/>
    <w:lvl w:ilvl="0">
      <w:lvlJc w:val="left"/>
      <w:lvlText w:val="%1."/>
      <w:numFmt w:val="decimal"/>
      <w:start w:val="6"/>
    </w:lvl>
  </w:abstractNum>
  <w:abstractNum w:abstractNumId="34">
    <w:nsid w:val="2463B9EA"/>
    <w:multiLevelType w:val="hybridMultilevel"/>
    <w:lvl w:ilvl="0">
      <w:lvlJc w:val="left"/>
      <w:lvlText w:val="%1"/>
      <w:numFmt w:val="decimal"/>
      <w:start w:val="1"/>
    </w:lvl>
    <w:lvl w:ilvl="1">
      <w:lvlJc w:val="left"/>
      <w:lvlText w:val="(%2)"/>
      <w:numFmt w:val="lowerLetter"/>
      <w:start w:val="1"/>
    </w:lvl>
  </w:abstractNum>
  <w:abstractNum w:abstractNumId="35">
    <w:nsid w:val="5E884ADC"/>
    <w:multiLevelType w:val="hybridMultilevel"/>
    <w:lvl w:ilvl="0">
      <w:lvlJc w:val="left"/>
      <w:lvlText w:val="%1."/>
      <w:numFmt w:val="decimal"/>
      <w:start w:val="8"/>
    </w:lvl>
    <w:lvl w:ilvl="1">
      <w:lvlJc w:val="left"/>
      <w:lvlText w:val="%2"/>
      <w:numFmt w:val="lowerLetter"/>
      <w:start w:val="1"/>
    </w:lvl>
  </w:abstractNum>
  <w:abstractNum w:abstractNumId="36">
    <w:nsid w:val="51EAD36B"/>
    <w:multiLevelType w:val="hybridMultilevel"/>
    <w:lvl w:ilvl="0">
      <w:lvlJc w:val="left"/>
      <w:lvlText w:val="%1."/>
      <w:numFmt w:val="decimal"/>
      <w:start w:val="9"/>
    </w:lvl>
  </w:abstractNum>
  <w:abstractNum w:abstractNumId="37">
    <w:nsid w:val="2D517796"/>
    <w:multiLevelType w:val="hybridMultilevel"/>
    <w:lvl w:ilvl="0">
      <w:lvlJc w:val="left"/>
      <w:lvlText w:val="%1."/>
      <w:numFmt w:val="decimal"/>
      <w:start w:val="1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2022-11-03T06:02:18Z</dcterms:created>
  <dcterms:modified xsi:type="dcterms:W3CDTF">2022-11-03T06:02:18Z</dcterms:modified>
</cp:coreProperties>
</file>