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333-296122</w:t>
      </w:r>
    </w:p>
    <w:p>
      <w:pPr>
        <w:spacing w:after="0" w:line="9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234315</wp:posOffset>
            </wp:positionV>
            <wp:extent cx="205740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375,000 Shares of Common Stock</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 identified in this prospectus, or its pledgees, donees, transferees or other successors in interest, from time to time, of up to 375,000 shares, (the “Shares”), of our common stock, par value $0.001 per share, or common stock, issuable upon exercise of certain warrant certificates, (the “Warrant Certificates”), granted to Perceptive Credit Holdings IV, LP (“Perceptive”), in connection with that certain Credit Agreement and Guaranty, (the “Credit Agreement”), dated as of November 16, 2022 (as amended pursuant to that certain First Amendment to Credit Agreement and Guaranty, dated as of May 10, 2023, as amended pursuant to that certain Second Amendment to Credit Agreement and Guaranty, dated as of August 4, 2023, as amended pursuant to that certain Third Amendment to Credit Agreement and Guaranty, dated as of February 29, 2024, as amended pursuant to that certain Fourth Amendment to Credit Agreement and Guaranty, dated as of October 30, 2024, as amended pursuant to that certain Fifth Amendment to Credit Agreement and Guaranty, dated as of February 28, 2025, and as amended pursuant to that certain Sixth Amendment to Credit Agreement and Guaranty, dated as of February 25, 2026), by and between us and Perceptive, as lender and administrative agent. We are registering the Shares on behalf of the selling stockholder, to be offered and sold from time to time, to satisfy certain registration rights that we have granted to the selling stockholder.</w:t>
      </w:r>
    </w:p>
    <w:p>
      <w:pPr>
        <w:spacing w:after="0" w:line="192" w:lineRule="exact"/>
        <w:rPr>
          <w:sz w:val="24"/>
          <w:szCs w:val="24"/>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selling stockholder may resell or dispose of the Shares, or interests therein, at fixed prices, at prevailing market prices at the time of sale or at prices negotiated with purchasers, to or through underwriters, broker-dealers, agents, or through any other means described in the section of this prospectus entitled “Plan of Distribution.” The selling stockholder will bear its respective commissions and discounts, if any, attributable to the sale or disposition of the Shares, or interests therein, held by such selling stockholder. We will bear all costs, expenses and fees in connection with the registration of the Shares. We will not receive any of the proceeds from the sale of the Shares by the selling stockholder. To the extent the Warrant Certificates are exercised on a cash basis, if at all, we will receive proceeds from the exercise of the Warrant Certificate. We cannot predict when or in what amounts the selling stockholder may sell any of the Shares offered by this prospectus.</w:t>
      </w:r>
    </w:p>
    <w:p>
      <w:pPr>
        <w:spacing w:after="0" w:line="18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accompanied by the applicable prospectus supplement.</w:t>
      </w:r>
    </w:p>
    <w:p>
      <w:pPr>
        <w:spacing w:after="0" w:line="229" w:lineRule="exact"/>
        <w:rPr>
          <w:sz w:val="24"/>
          <w:szCs w:val="24"/>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May 28, 2026, the last reported sale price of our common stock was $15.99.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120" w:right="2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6 of this prospectus</w:t>
      </w:r>
      <w:r>
        <w:rPr>
          <w:rFonts w:ascii="Times New Roman" w:cs="Times New Roman" w:eastAsia="Times New Roman" w:hAnsi="Times New Roman"/>
          <w:sz w:val="22"/>
          <w:szCs w:val="22"/>
          <w:b w:val="1"/>
          <w:bCs w:val="1"/>
          <w:i w:val="1"/>
          <w:iCs w:val="1"/>
          <w:color w:val="auto"/>
        </w:rPr>
        <w:t>.</w:t>
      </w:r>
    </w:p>
    <w:p>
      <w:pPr>
        <w:spacing w:after="0" w:line="181" w:lineRule="exact"/>
        <w:rPr>
          <w:sz w:val="24"/>
          <w:szCs w:val="24"/>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29, 2026</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65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21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52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400" w:type="dxa"/>
            <w:vAlign w:val="bottom"/>
            <w:tcBorders>
              <w:top w:val="single" w:sz="8" w:color="0000EE"/>
            </w:tcBorders>
            <w:gridSpan w:val="6"/>
          </w:tcPr>
          <w:p>
            <w:pPr>
              <w:spacing w:after="0"/>
              <w:rPr>
                <w:sz w:val="17"/>
                <w:szCs w:val="17"/>
                <w:color w:val="auto"/>
              </w:rPr>
            </w:pPr>
          </w:p>
        </w:tc>
        <w:tc>
          <w:tcPr>
            <w:tcW w:w="57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You should rely only on the information contained or incorporated by reference in this prospectus. We have not, and the selling stockholder has not, authorized anyone else to provide you with different or additional information from that contained in this prospectus. We take no responsibility for, and can provide no assurance as to the reliability of, any information that others may give. The selling stockholder is offering to sell, and seeking offers to buy, shares of our common stock only in jurisdictions where offers and sales are permitted. You should assume that the information appearing in this prospectus is accurate only as of the date on the front cover of this prospectus, regardless of the time of delivery of this prospectus or of any sale of common stock. Our business, financial condition, results of operations and prospects may have changed since such date. The terms “Biodesix,” the “Company,” “our,” “us” and “we,” as used in this prospectus, refer to Biodesix, Inc., unless we state otherwise or the context indicates otherwise.</w:t>
      </w:r>
    </w:p>
    <w:p>
      <w:pPr>
        <w:spacing w:after="0" w:line="17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This summary is not complete and does not contain all of the information that you need to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of this prospectus, as well as the information incorporated by reference from our most recent Annual Report on Form 10-K and our most recent Quarterly Report on Form 10-Q, before making an investment decision.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are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Diagnostic Tests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offer five blood-based lung diagnostic tests for use across the lung cancer continuum of care:</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 – Nodule Management</w:t>
      </w:r>
    </w:p>
    <w:p>
      <w:pPr>
        <w:spacing w:after="0" w:line="131" w:lineRule="exact"/>
        <w:rPr>
          <w:sz w:val="20"/>
          <w:szCs w:val="20"/>
          <w:color w:val="auto"/>
        </w:rPr>
      </w:pPr>
    </w:p>
    <w:p>
      <w:pPr>
        <w:ind w:left="1240" w:hanging="415"/>
        <w:spacing w:after="0" w:line="241"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assess a suspicious lung nodule’s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u w:val="single" w:color="auto"/>
          <w:color w:val="auto"/>
        </w:rPr>
        <w:t>Lung Cancer Treatment &amp; Monitoring</w:t>
      </w:r>
    </w:p>
    <w:p>
      <w:pPr>
        <w:spacing w:after="0" w:line="131" w:lineRule="exact"/>
        <w:rPr>
          <w:sz w:val="20"/>
          <w:szCs w:val="20"/>
          <w:color w:val="auto"/>
        </w:rPr>
      </w:pPr>
    </w:p>
    <w:p>
      <w:pPr>
        <w:ind w:left="1240" w:right="6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ddPCR, GeneStrat NGS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strategy, are used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82" w:lineRule="auto"/>
        <w:rPr>
          <w:sz w:val="20"/>
          <w:szCs w:val="20"/>
          <w:color w:val="auto"/>
        </w:rPr>
      </w:pPr>
      <w:r>
        <w:rPr>
          <w:rFonts w:ascii="Times New Roman" w:cs="Times New Roman" w:eastAsia="Times New Roman" w:hAnsi="Times New Roman"/>
          <w:sz w:val="18"/>
          <w:szCs w:val="18"/>
          <w:color w:val="auto"/>
        </w:rPr>
        <w:t>stage patients eligible for targeted therapy or clinical trial enrollment. The VeriStrat test is a blood-based proteomic test that provides a personalized view of each patient’s immune response to their lung cancer.</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Development Services</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spacing w:after="0" w:line="180" w:lineRule="exact"/>
        <w:rPr>
          <w:sz w:val="20"/>
          <w:szCs w:val="20"/>
          <w:color w:val="auto"/>
        </w:rPr>
      </w:pPr>
    </w:p>
    <w:p>
      <w:pPr>
        <w:jc w:val="both"/>
        <w:ind w:left="300" w:right="400" w:firstLine="426"/>
        <w:spacing w:after="0" w:line="289" w:lineRule="auto"/>
        <w:rPr>
          <w:sz w:val="20"/>
          <w:szCs w:val="20"/>
          <w:color w:val="auto"/>
        </w:rPr>
      </w:pPr>
      <w:r>
        <w:rPr>
          <w:rFonts w:ascii="Times New Roman" w:cs="Times New Roman" w:eastAsia="Times New Roman" w:hAnsi="Times New Roman"/>
          <w:sz w:val="17"/>
          <w:szCs w:val="17"/>
          <w:color w:val="auto"/>
        </w:rPr>
        <w:t>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w:t>
      </w:r>
    </w:p>
    <w:p>
      <w:pPr>
        <w:spacing w:after="0" w:line="158"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We will be able to take advantage of the scaled disclosures available to smaller reporting companies for so long as our voting and non-voting common stock held by nonaffiliates is less than $250.00 million measured on the last business day of our second fiscal quarter, or our annual revenue is less than $100.00 million during the most recently completed fiscal year and our voting and non-voting common stock held by nonaffiliates is less than $700.00 million measured on the last business day of our second fiscal quarter.</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62"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264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1264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Perceptive Warrants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November 21, 2022, as consideration for the Credit Agreement, the Company issued Perceptive a warrant to purchase up to 250,000 shares of the Company’s common stock. On May 10, 2023, as consideration for the First Amendment to the Credit Agreement, the Company issued Perceptive a warrant to purchase up to 25,000 shares of the Company’s common stock. On February 25, 2026, as consideration for the Sixth Amendment to the Credit Agreement, the Company issued Perceptive a warrant to purchase up to 100,000 shares of the Company’s common stock. In connection with the warrant issued on February 25, 2026, the Company agreed to file, within 90 days of such issuance, a registration statement on Form S-3 covering the resale of all outstanding Perceptive warrants.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that may be offered by the</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Up to 375,000 shares of our common stock.</w:t>
            </w:r>
          </w:p>
        </w:tc>
      </w:tr>
      <w:tr>
        <w:trPr>
          <w:trHeight w:val="234"/>
        </w:trPr>
        <w:tc>
          <w:tcPr>
            <w:tcW w:w="40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selling stockholders</w:t>
            </w:r>
          </w:p>
        </w:tc>
        <w:tc>
          <w:tcPr>
            <w:tcW w:w="6960" w:type="dxa"/>
            <w:vAlign w:val="bottom"/>
            <w:tcBorders>
              <w:right w:val="single" w:sz="8" w:color="auto"/>
            </w:tcBorders>
          </w:tcPr>
          <w:p>
            <w:pPr>
              <w:spacing w:after="0"/>
              <w:rPr>
                <w:sz w:val="20"/>
                <w:szCs w:val="20"/>
                <w:color w:val="auto"/>
              </w:rPr>
            </w:pPr>
          </w:p>
        </w:tc>
      </w:tr>
      <w:tr>
        <w:trPr>
          <w:trHeight w:val="454"/>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Terms of the offering</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selling stockholder will determine when and how they will sell the Shares offered in</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this prospectus, as described in the “Plan of Distribution.”</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by the selling stockholder in</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this offering. See “Use of Proceeds.” To the extent the Warrant Certificates are exercised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on a cash basis, if at all, we will receive proceeds from the exercise of the Warrant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Certificates. We currently intend to use these proceeds, if any, for working capital and</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general corporate purposes. See “Use of Proceeds” in this prospectus for more information.</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See “Risk Factors” in this prospectus and the other information included in, or incorporated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by reference into, this prospectus or any prospectus supplement for a discussion of certain</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factors you should carefully consider before deciding to invest in shares of our common</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stock.</w:t>
            </w:r>
          </w:p>
        </w:tc>
      </w:tr>
      <w:tr>
        <w:trPr>
          <w:trHeight w:val="459"/>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“BDSX”</w:t>
            </w:r>
          </w:p>
        </w:tc>
      </w:tr>
      <w:tr>
        <w:trPr>
          <w:trHeight w:val="186"/>
        </w:trPr>
        <w:tc>
          <w:tcPr>
            <w:tcW w:w="4060" w:type="dxa"/>
            <w:vAlign w:val="bottom"/>
            <w:tcBorders>
              <w:left w:val="single" w:sz="8" w:color="auto"/>
              <w:bottom w:val="single" w:sz="8" w:color="auto"/>
            </w:tcBorders>
          </w:tcPr>
          <w:p>
            <w:pPr>
              <w:spacing w:after="0"/>
              <w:rPr>
                <w:sz w:val="16"/>
                <w:szCs w:val="16"/>
                <w:color w:val="auto"/>
              </w:rPr>
            </w:pPr>
          </w:p>
        </w:tc>
        <w:tc>
          <w:tcPr>
            <w:tcW w:w="6960" w:type="dxa"/>
            <w:vAlign w:val="bottom"/>
            <w:tcBorders>
              <w:bottom w:val="single" w:sz="8" w:color="auto"/>
              <w:right w:val="single" w:sz="8" w:color="auto"/>
            </w:tcBorders>
          </w:tcPr>
          <w:p>
            <w:pPr>
              <w:spacing w:after="0"/>
              <w:rPr>
                <w:sz w:val="16"/>
                <w:szCs w:val="16"/>
                <w:color w:val="auto"/>
              </w:rPr>
            </w:pPr>
          </w:p>
        </w:tc>
      </w:tr>
      <w:tr>
        <w:trPr>
          <w:trHeight w:val="361"/>
        </w:trPr>
        <w:tc>
          <w:tcPr>
            <w:tcW w:w="4060" w:type="dxa"/>
            <w:vAlign w:val="bottom"/>
          </w:tcPr>
          <w:p>
            <w:pPr>
              <w:spacing w:after="0"/>
              <w:rPr>
                <w:sz w:val="24"/>
                <w:szCs w:val="24"/>
                <w:color w:val="auto"/>
              </w:rPr>
            </w:pPr>
          </w:p>
        </w:tc>
        <w:tc>
          <w:tcPr>
            <w:tcW w:w="6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deciding whether to invest in our common stock, you should consider carefully the risks and uncertainties described under the section captioned “Risk Factors” contained in our most recent Annual Report on Form 10-K, our most recent Quarterly Report on Form 10-Q and other filings we make with the Securities and Exchange Commission (the “SEC”) from time to time, which are incorporated by reference herein in their entirety, together with the other information in this prospectus and in the documents incorporated by reference in this prospectus.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risks described in our most recent Annual Report on Form 10-K, our most recent Quarterly Report on Form 10-Q and the other filings we make with the SEC incorporated by reference herein are not the only ones facing our company. Additional risks and uncertainties may also impair our business operations. If any of the risks described in our most recent Annual Report on Form 10-K, our most recent Quarterly Report on Form 10-Q and the other filings incorporated by reference herein occurs, our business, financial condition, results of operations and future growth prospects could be harmed. In these circumstances, the market price of our common stock could decline, and you may lose all or part of your investment.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includes and incorporates by reference “forward-looking statements” within the meaning of the U.S. Private Securities Litigation Reform Act of 1995 and releases issued by the SEC and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and single source suppliers, which make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w:t>
      </w:r>
    </w:p>
    <w:p>
      <w:pPr>
        <w:spacing w:after="0" w:line="130" w:lineRule="exact"/>
        <w:rPr>
          <w:rFonts w:ascii="Times New Roman" w:cs="Times New Roman" w:eastAsia="Times New Roman" w:hAnsi="Times New Roman"/>
          <w:sz w:val="18"/>
          <w:szCs w:val="18"/>
          <w:color w:val="auto"/>
        </w:rPr>
      </w:pPr>
    </w:p>
    <w:p>
      <w:pPr>
        <w:ind w:left="5580" w:right="260" w:hanging="4924"/>
        <w:spacing w:after="0" w:line="454" w:lineRule="auto"/>
        <w:tabs>
          <w:tab w:leader="none" w:pos="10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 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 including enhanced U.S. tariffs, import/export restrictions or other trade barriers, which may have a negative effect on global economic conditions, financial markets and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 disrupt our business, dilute stockholder value and adversely affect our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common stock will maintain compliance with the minimum bid price requirement or other applicable listing standards of The Nasdaq Stock Market LLC (Nasdaq) or another national securities exchange;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covered by this prospectus and any accompanying prospectus supplement. All proceeds from the sale of the Shares will be received by the selling stockholder named herein. We will bear all other costs, fees and expenses incurred in effecting the registration of the Shares covered by this prospectus and any accompanying prospectus supplement, including, without limitation, all registration and filing fees, Nasdaq listing fees and fees and expenses of our counsel and our accountants, in accordance with the terms of the Warrant Certificates. The selling stockholder will pay any discounts, commissions, and fees of underwriters, selling brokers, dealer managers or similar securities industry professionals incurred by such selling stockholder in disposing of the Shares covered by this prospectus.</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 of the Warrant Certificates is not obligated to exercise the Warrant Certificates, and we cannot predict whether the holder of the Warrant Certificates will choose to exercise the Warrant Certificates. We may receive proceeds from any cash exercise of the Warrant Certificates. We currently intend to use such proceeds, if any, for working capital and general corporate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covers the resale from time to time of up to 375,000 Shares issuable upon the vesting and exercise of the Warrant Certificates.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may offer and sell, from time to time, any of the Shares described under the column “Number of Shares Being Offered Hereby (Maximum Number) That May Be Sold” in the table below. Except for the ownership of any securities and the Credit Agreement described above, the selling stockholder has not had any material relationship with us within the past three years.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76"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by the selling stockholder as of May 12, 2026. The following table also provides the number of Shares that may be sold by the selling stockholder under this prospectus and that the selling stockholder will beneficially own assuming all the Shares that may be offered pursuant to this prospectus are sold. The number of shares described under the column “Beneficial Ownership Prior to this Offering” for the selling stockholder includes all shares of our common stock beneficially held by the selling stockholder as of May 12, 2026, which includes the Shares issuable upon the vesting and exercise of the Warrant Certificates. There is a limitation on the aggregate number of shares of common stock beneficially owned by the selling stockholder set forth in the Warrant Certificates (the “Beneficial Ownership Limitation”), due to which the Warrant Certificates may not be exercised if the aggregate number of shares of common stock beneficially owned by the selling stockholder immediately following such exercise would exceed 9.99%. Because the selling stockholder may dispose of all, none or some portion of their Shares, no estimate can be given as to the number of Shares that will be beneficially owned by a selling stockholder upon termination of this offering.</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the table below, however, we have assumed that after termination of this offering none of the Shares covered by this prospectus will be beneficially owned by the selling stockholder and further assumed that the selling stockholder will not acquire beneficial ownership of any additional Shares during the offering. In addition, the selling stockholder may have sold, transferred or otherwise disposed of, or may sell, transfer or otherwise dispose of, at any time and from time to time, the Shares in transactions exempt from the registration requirements of the Securities Act after the date on which the information in the table is presented. See the section titled “Plan of Distribution.”</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92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5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Being Offered</w:t>
            </w:r>
          </w:p>
        </w:tc>
        <w:tc>
          <w:tcPr>
            <w:tcW w:w="16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Hereby (Maximum</w:t>
            </w:r>
          </w:p>
        </w:tc>
        <w:tc>
          <w:tcPr>
            <w:tcW w:w="16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 Sale of the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92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Ownership Prior to</w:t>
            </w:r>
          </w:p>
        </w:tc>
        <w:tc>
          <w:tcPr>
            <w:tcW w:w="15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Number) That</w:t>
            </w:r>
          </w:p>
        </w:tc>
        <w:tc>
          <w:tcPr>
            <w:tcW w:w="16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w:t>
            </w:r>
            <w:r>
              <w:rPr>
                <w:rFonts w:ascii="Times New Roman" w:cs="Times New Roman" w:eastAsia="Times New Roman" w:hAnsi="Times New Roman"/>
                <w:sz w:val="10"/>
                <w:szCs w:val="10"/>
                <w:b w:val="1"/>
                <w:bCs w:val="1"/>
                <w:color w:val="auto"/>
              </w:rPr>
              <w:t>(1)</w:t>
            </w:r>
          </w:p>
        </w:tc>
        <w:tc>
          <w:tcPr>
            <w:tcW w:w="322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this Offering</w:t>
            </w:r>
            <w:r>
              <w:rPr>
                <w:rFonts w:ascii="Times New Roman" w:cs="Times New Roman" w:eastAsia="Times New Roman" w:hAnsi="Times New Roman"/>
                <w:sz w:val="10"/>
                <w:szCs w:val="10"/>
                <w:b w:val="1"/>
                <w:bCs w:val="1"/>
                <w:color w:val="auto"/>
              </w:rPr>
              <w:t>(2)</w:t>
            </w:r>
          </w:p>
        </w:tc>
        <w:tc>
          <w:tcPr>
            <w:tcW w:w="4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May Be Sold</w:t>
            </w:r>
            <w:r>
              <w:rPr>
                <w:rFonts w:ascii="Times New Roman" w:cs="Times New Roman" w:eastAsia="Times New Roman" w:hAnsi="Times New Roman"/>
                <w:sz w:val="10"/>
                <w:szCs w:val="10"/>
                <w:b w:val="1"/>
                <w:bCs w:val="1"/>
                <w:color w:val="auto"/>
              </w:rPr>
              <w:t>(3)</w:t>
            </w:r>
          </w:p>
        </w:tc>
        <w:tc>
          <w:tcPr>
            <w:tcW w:w="340" w:type="dxa"/>
            <w:vAlign w:val="bottom"/>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r>
              <w:rPr>
                <w:rFonts w:ascii="Times New Roman" w:cs="Times New Roman" w:eastAsia="Times New Roman" w:hAnsi="Times New Roman"/>
                <w:sz w:val="10"/>
                <w:szCs w:val="10"/>
                <w:b w:val="1"/>
                <w:bCs w:val="1"/>
                <w:color w:val="auto"/>
              </w:rPr>
              <w:t>(4)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8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Borders>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12"/>
                <w:szCs w:val="12"/>
                <w:color w:val="auto"/>
              </w:rPr>
            </w:pPr>
          </w:p>
        </w:tc>
        <w:tc>
          <w:tcPr>
            <w:tcW w:w="15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375,000</w:t>
            </w:r>
          </w:p>
        </w:tc>
        <w:tc>
          <w:tcPr>
            <w:tcW w:w="640" w:type="dxa"/>
            <w:vAlign w:val="bottom"/>
            <w:tcBorders>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4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Perceptive Credit Holdings IV, LP</w:t>
            </w:r>
          </w:p>
        </w:tc>
        <w:tc>
          <w:tcPr>
            <w:tcW w:w="322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483,694</w:t>
            </w:r>
          </w:p>
        </w:tc>
        <w:tc>
          <w:tcPr>
            <w:tcW w:w="3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1540" w:type="dxa"/>
            <w:vAlign w:val="bottom"/>
            <w:gridSpan w:val="2"/>
            <w:vMerge w:val="continue"/>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108,694</w:t>
            </w: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540" w:right="180" w:hanging="424"/>
        <w:spacing w:after="0" w:line="25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regarding the selling stockholder was provided by the selling stockholder as of May 12, 2026. Perceptive Credit Advisors, LLC (“Perceptive Credit”) is the investment manager to Perceptive and PCOF EQ AIV, LP (“AIV”), and accordingly, may be deemed to beneficially own the securities directly held by Perceptive and AIV. Perceptive Advisors LLC is the general partner of Perceptive Credit, Joseph Edelman is the managing member of Perceptive Advisors LLC, and accordingly, Perceptive Advisors LLC or Mr. Edelman may be deemed to beneficially own the securities held by Perceptive and AIV. Perceptive Credit, Perceptive Advisors LLC and Mr. Edelman disclaim beneficial ownership of such shares except to the extent of its or his pecuniary interest therein. The principal business address and address for notice of Perceptive is 51 Astor Place, 10th Floor, New York, New York 10003.</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0" w:hanging="424"/>
        <w:spacing w:after="0" w:line="276"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reported under “Beneficial Ownership Prior to this Offering” includes (i) 375,000 shares of common stock underlying the Warrant Certificates held by Perceptive, (ii) 51,828 shares of common stock held by Perceptive and (iii) 56,866 shares of common stock held by AIV.</w:t>
      </w:r>
    </w:p>
    <w:p>
      <w:pPr>
        <w:ind w:left="540" w:right="2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in the column “Number of Shares Being Offered Hereby (Maximum Number) That May Be Sold” represents all of the Shares that the selling stockholder may offer and sell from time to time under this prospectus, consisting of all of the Shares issuable upon the exercise of the Warrant Certificates, without giving effect to the Beneficial Ownership Limitation.</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not informed us, and we do not know, when or in what amounts the selling stockholder may offer for sale the Shares pursuant to this offering. For purposes of this table, we have assumed that the selling stockholder will have sold all of the Shares covered by this prospectus upon the completion of this offering.</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registering the Shares issued to the selling stockholder to permit the sale, transfer or other disposition of these Shares by the selling stockholder or their donees, pledgees, transferees or other successors-in-interest from time to time after the date of this prospectus. We will not receive any of the proceeds from the sale by the selling stockholders of its Shares. We will, or will procure to, bear all fees and expenses incident to our obligation to register the Shares. In the event that the selling stockholder elects to sell its Shares through an underwritten offering on a firm commitment or best efforts basis, we will amend the registration statement to which this prospectus relates to disclose all relevant and material information regarding such offering and 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selling stockholder may sell all or a portion of the shares of common stock beneficially owned by it and the Shares offered hereby from time to time. If the Shares are sold through underwriters or broker-dealers, the selling stockholder will be responsible for underwriting discounts (it being understood that the selling stockholder shall not be deemed to be underwriters solely as a result of their participation in this offering) or commissions or agent’s commissions. The Shares may be sold on any national securities exchange or quotation service on which the Shares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 may use any one or more of the following methods when selling their Shares:</w:t>
      </w:r>
    </w:p>
    <w:p>
      <w:pPr>
        <w:spacing w:after="0" w:line="9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“at-the-market” or through market makers or into an existing market for the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stockholders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that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also may resell all or a portion of the Shares in open market transactions in reliance upon Rule 144, as permitted by that rule, or Section 4(a)(1) under the Securities Act, if available, rather than under this prospectus, provided that they meet the criteria and conform to the requirements of those provisions.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broker-dealers to participate in sales. If the selling stockholder effects such transactions by selling Shares to or through underwriters, broker-dealers or agents, such underwriters, broker-dealers or agents may receive commissions in the form of discounts, concessions or commissions from the selling stockholder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sales of the Shares or otherwise, the selling stockholder may enter into hedging transactions with broker-dealers or other financial institutions, which may in turn engage in short sales of the Shares in the course of hedging in positions they assume. The selling stockholder may also sell its Shares short and if such short sale takes place after the date that this registration statement is declared effective by the SEC, the selling stockholder may deliver its Shares covered by this prospectus to close out short positions and to return borrowed shares of common stock in connection with such short sales. The selling stockholder may also loan or pledge its shares of common stock to broker-dealers that in turn may sell such shares, to the extent permitted by applicable law.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 has been advised that it may not use its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 may, from time to time, pledge or grant a security interest in some or all of the shares of common stock owned by it and, if it defaults in the performance of its secured obligations, the pledgees or secured parties may offer and sell the Shares from time to time pursuant to this prospectus or any amendment to this prospectus under Rule 424(b)(3) or other applicable provision of the Securities Act, amending, if necessary, the list of the selling stockholder to include the pledgee, transferee or other successors in interest as selling stockholders under this prospectus. The selling stockholder also may transfer and donate the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 and any broker-dealer or agents participating in the distribution of the Shares may be deemed to be “underwriters” within the meaning of Section 2(a)(11)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2(a)(11)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87" w:lineRule="exact"/>
        <w:rPr>
          <w:sz w:val="20"/>
          <w:szCs w:val="20"/>
          <w:color w:val="auto"/>
        </w:rPr>
      </w:pPr>
    </w:p>
    <w:p>
      <w:pPr>
        <w:ind w:left="120" w:right="300" w:firstLine="440"/>
        <w:spacing w:after="0" w:line="274" w:lineRule="auto"/>
        <w:rPr>
          <w:sz w:val="20"/>
          <w:szCs w:val="20"/>
          <w:color w:val="auto"/>
        </w:rPr>
      </w:pPr>
      <w:r>
        <w:rPr>
          <w:rFonts w:ascii="Times New Roman" w:cs="Times New Roman" w:eastAsia="Times New Roman" w:hAnsi="Times New Roman"/>
          <w:sz w:val="17"/>
          <w:szCs w:val="17"/>
          <w:color w:val="auto"/>
        </w:rPr>
        <w:t>The selling stockholder has informed the Company that it is not a registered broker-dealer and does not have any written or oral agreement or understanding, directly or indirectly, with any person to distribute the Shares. Upon the Company being notified in writing by the selling stockholder that any material arrangement has been entered into with a broker-dealer for the sale of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of common stock involved, (iii) the price at which such shares of common stock were sold, (iv) the commissions paid or discounts or</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concessions allowed to such broker-dealer(s), where applicable, (v) that such broker-dealer(s) did not conduct any investigation to verify the information set out in this prospectus, and (vi) other facts material to the transaction.</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selling stockholder will sell any or all of the Shares registered pursuant to the shelf registration statement, of which this prospectus forms a part.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87"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including, without limitation, SEC filing fees and expenses of compliance with state securities or “blue sky” laws; provided, however, that the selling stockholder will pay all underwriting discounts and selling commissions, if any, and any related legal expenses incurred by 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charter authorizes us to issue up to 200,000,000 shares of common stock, par value $0.001 per share, and 5,000,000 shares of preferred stock, par value $0.001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May 20, 2026, we had outstanding 10,355,809 shares of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properly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September 12, 2025, the Company filed a certificate of amendment of its Certificate of Incorporation with the Secretary of State of the State of Delaware, which caused each twenty (20) shares of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either issued and outstanding or held by the Company in treasury stock immediately prior to 12:01 a.m., Eastern Time, on September 15, 2025 to automatically and without any action on the part of the respective holders thereof, be combined and converted into one (1) share of common stock without increasing or decreasing the par value of each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no shares of preferred stock are outstanding. We have no present plan to issue any shares of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w:t>
      </w:r>
    </w:p>
    <w:p>
      <w:pPr>
        <w:spacing w:after="0" w:line="131" w:lineRule="exact"/>
        <w:rPr>
          <w:sz w:val="20"/>
          <w:szCs w:val="20"/>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a majority of the voting power of all of our then-outstanding shares of the capital stock entitled to vote generally at an election of directors;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 except as otherwise expressly provided by the terms of any series of preferred stock permitting the holders of preferred stock to act by written consent;</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and bylaws</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Massachusetts 02021, and its telephone number is (800) 736-3001.</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shares of common stock being offered hereby will be passed upon for us by Sidley Austin LLP, San Francisco,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 of Sidley Austin LLP own less than 1% of our outstanding common stock.</w:t>
      </w: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2025 and 2024,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This means that we can disclose important information to you by referring you to another document filed separately with the SEC. The information incorporated by reference is considered to be part of this prospectus, except for information superseded by information contained in this prospectus itself or in any subsequently filed incorporated document. This prospectus and any accompanying prospectus supplement incorporate by reference the documents set forth below that have previously been filed with the SEC. These documents contain important information about us and our business and financial condition.</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26,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3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March 31, 2026, filed with the SEC on May 4,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8">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May 20,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40">
        <w:r>
          <w:rPr>
            <w:rFonts w:ascii="Times New Roman" w:cs="Times New Roman" w:eastAsia="Times New Roman" w:hAnsi="Times New Roman"/>
            <w:sz w:val="18"/>
            <w:szCs w:val="18"/>
            <w:u w:val="single" w:color="auto"/>
            <w:color w:val="0000EE"/>
          </w:rPr>
          <w:t>April 9, 2026</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and any previously filed documents.</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in this prospectus, modifies or supersedes such earlier statement. Any statement so modified or superseded shall not be deemed, except as so modified or superseded, to constitute a part of this prospectus.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http://www.sec.gov. Upon request, we will provide, without charge, a copy of any or all of the reports and documents referred to above which have been incorporated by reference into this prospectus. Prospective investors may obtain documents incorporated by reference in this prospectus by requesting them in writing or by telephone from us at our executive offices at:</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919 West Dillon Road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(303) 417-0500</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“Incorporation of Certain Information by Reference” is not incorporated by reference into this prospectus and you should not consider it a part of this prospectus.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1115695</wp:posOffset>
            </wp:positionV>
            <wp:extent cx="2057400" cy="403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057400" cy="40322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Up to 375,000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jpe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36" Type="http://schemas.openxmlformats.org/officeDocument/2006/relationships/hyperlink" Target="http://www.sec.gov/ix?doc=/Archives/edgar/data/1439725/000119312526076547/bdsx-20251231.htm" TargetMode="External"/><Relationship Id="rId37" Type="http://schemas.openxmlformats.org/officeDocument/2006/relationships/hyperlink" Target="http://www.sec.gov/ix?doc=/Archives/edgar/data/1439725/000119312526203960/bdsx-20260331.htm" TargetMode="External"/><Relationship Id="rId38" Type="http://schemas.openxmlformats.org/officeDocument/2006/relationships/hyperlink" Target="http://www.sec.gov/ix?doc=/Archives/edgar/data/1439725/000119312526010114/bdsx-20260112.htm" TargetMode="External"/><Relationship Id="rId39" Type="http://schemas.openxmlformats.org/officeDocument/2006/relationships/hyperlink" Target="http://www.sec.gov/ix?doc=/Archives/edgar/data/1439725/000119312526232631/d103157d8k.htm" TargetMode="External"/><Relationship Id="rId40" Type="http://schemas.openxmlformats.org/officeDocument/2006/relationships/hyperlink" Target="http://www.sec.gov/ix?doc=/Archives/edgar/data/1439725/000119312526149633/d72903ddef14a.htm" TargetMode="External"/><Relationship Id="rId41" Type="http://schemas.openxmlformats.org/officeDocument/2006/relationships/hyperlink" Target="http://www.sec.gov/Archives/edgar/data/1439725/000119312520275716/d941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2026-06-01T05:15:14Z</dcterms:created>
  <dcterms:modified xsi:type="dcterms:W3CDTF">2026-06-01T05:15:14Z</dcterms:modified>
</cp:coreProperties>
</file>