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November 1, 2024.</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20-3986492</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Biodesix, Inc.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919 West Dillon Road</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Louisville, Colorado 80027</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(303) 417-0500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Scott Hutton</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Biodesix,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919 West Dillon Road</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Louisville, Colorado 80027</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(303) 417-0500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Frank F. Rahmani, Esq.</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Samir A. Gandhi, Esq.</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Sidley Austin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555 California Street, Suite 2000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San Francisco, California 94104</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(415) 772-1200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3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9" w:lineRule="exact"/>
        <w:rPr>
          <w:sz w:val="24"/>
          <w:szCs w:val="24"/>
          <w:color w:val="auto"/>
        </w:rPr>
      </w:pPr>
    </w:p>
    <w:p>
      <w:pPr>
        <w:ind w:left="120" w:right="3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2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120" w:right="80" w:firstLine="4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left="120" w:right="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jc w:val="both"/>
        <w:ind w:lef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12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1,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173990</wp:posOffset>
            </wp:positionV>
            <wp:extent cx="202311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1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2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62,202,399 Shares of Common Stock</w:t>
      </w:r>
    </w:p>
    <w:p>
      <w:pPr>
        <w:spacing w:after="0" w:line="2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in this prospectus of up to an aggregate of 62,202,399 shares of our common stock, par value $0.001 per share. We are not selling any common stock under this prospectus and will not receive any of the proceeds from the sale or other disposition of common stock by the selling stockholders.</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the common stock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common stock hereunder.</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shares of common stock offered by this prospectus and we do not know when or in what amount the selling stockholders may sell their shares of common stock hereunder following the effective date of the registration statement of which this prospectus forms a part.</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October 31, 2024, the last reported sale price of our common stock was $1.70.</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0" w:right="3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2 of this prospectus</w:t>
      </w:r>
      <w:r>
        <w:rPr>
          <w:rFonts w:ascii="Times New Roman" w:cs="Times New Roman" w:eastAsia="Times New Roman" w:hAnsi="Times New Roman"/>
          <w:sz w:val="22"/>
          <w:szCs w:val="22"/>
          <w:b w:val="1"/>
          <w:bCs w:val="1"/>
          <w:i w:val="1"/>
          <w:iCs w:val="1"/>
          <w:color w:val="auto"/>
        </w:rPr>
        <w:t>.</w:t>
      </w:r>
    </w:p>
    <w:p>
      <w:pPr>
        <w:spacing w:after="0" w:line="18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The date of this prospectus is          </w:t>
      </w:r>
      <w:r>
        <w:rPr>
          <w:sz w:val="20"/>
          <w:szCs w:val="20"/>
          <w:color w:val="auto"/>
        </w:rPr>
        <w:tab/>
      </w:r>
      <w:r>
        <w:rPr>
          <w:rFonts w:ascii="Times New Roman" w:cs="Times New Roman" w:eastAsia="Times New Roman" w:hAnsi="Times New Roman"/>
          <w:sz w:val="17"/>
          <w:szCs w:val="17"/>
          <w:b w:val="1"/>
          <w:bCs w:val="1"/>
          <w:color w:val="auto"/>
        </w:rPr>
        <w:t>, 2024</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9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gridSpan w:val="3"/>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BIODESIX, INC.</w:t>
            </w:r>
          </w:p>
        </w:tc>
        <w:tc>
          <w:tcPr>
            <w:tcW w:w="1100" w:type="dxa"/>
            <w:vAlign w:val="bottom"/>
            <w:gridSpan w:val="2"/>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440" w:type="dxa"/>
            <w:vAlign w:val="bottom"/>
            <w:gridSpan w:val="6"/>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820" w:type="dxa"/>
            <w:vAlign w:val="bottom"/>
            <w:gridSpan w:val="4"/>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1980" w:type="dxa"/>
            <w:vAlign w:val="bottom"/>
            <w:gridSpan w:val="5"/>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3800" w:type="dxa"/>
            <w:vAlign w:val="bottom"/>
            <w:gridSpan w:val="1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the selling stockholders may, from time to time, sell up to 62,202,399 shares of our common stock in one or more offerings as described in this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time we or the selling stockholders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different information or to make any representation other than those contained in this prospectus.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The selling stockholders are not making an offer to sell, or seeking offers to buy, the securities in any jurisdiction where the offer or sale is not permitted.</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common stock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“Plan of Distribution”.</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common stock hereunder following the effective date of the registration statement of which this prospectus forms a part.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jc w:val="both"/>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terms “Biodesix,” the “Company,” “our,” “us” and “we,” as used in this prospectus, refer to Biodesix, Inc., unless we state otherwise or the context indicates otherwise. This prospectus contains trade names, trademarks and service marks of others, which are the property of their respective owners.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w:t>
      </w: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Annual Report on Form 10-K for the year ended December 31, 2023 and in our Quarterly Reports on Form 10-Q for the periods ended March 31, June 30 and September 30, 2024, and in subsequent filings, which are incorporated by reference into this prospectus. You should also read our audited consolidated financial statements and related notes included in our Annual Report on Form 10-K for the year ended December 31, 2023 and our unaudited consolidated financial statements and related notes included in our Quarterly Reports on Form 10-Q for the quarterly periods ended March 31, 2024, June 30, 2024 and September 30, 2024. Such annual and quarterly reports are incorporated by reference in this prospectus. These risk factors may be amended, supplemented or superseded from time to time by other reports we file with the SEC in the future or by a prospectus supplement relating to a particular offering of our securities. The occurrence of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93"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COVID-19 pandemic on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455" w:right="5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5"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five diagnostic blood-based lung cancer tests across the lung cancer continuum of care.</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33" w:lineRule="exact"/>
        <w:rPr>
          <w:sz w:val="20"/>
          <w:szCs w:val="20"/>
          <w:color w:val="auto"/>
        </w:rPr>
      </w:pPr>
    </w:p>
    <w:p>
      <w:pPr>
        <w:ind w:left="1080" w:right="20" w:hanging="424"/>
        <w:spacing w:after="0" w:line="24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33" w:lineRule="exact"/>
        <w:rPr>
          <w:sz w:val="20"/>
          <w:szCs w:val="20"/>
          <w:color w:val="auto"/>
        </w:rPr>
      </w:pPr>
    </w:p>
    <w:p>
      <w:pPr>
        <w:ind w:left="1080" w:right="80" w:hanging="424"/>
        <w:spacing w:after="0" w:line="233"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ddPCR, GeneStratNGS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our common stock by the selling stockholders. Any proceeds from the sale by the selling stockholders of the common stock offered by this prospectus will be received by the selling stockholders. See “Selling Stockholders.”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320" w:top="455"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identified in the table below of up to an aggregate of 62,202,399 shares of our common stock. The selling stockholders may from time to time offer and sell any or all of the Registration Shares set forth below pursuant to this prospectus and any accompanying prospectus supplement.</w:t>
      </w:r>
    </w:p>
    <w:p>
      <w:pPr>
        <w:spacing w:after="0" w:line="176"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number of shares of common stock beneficially owned by the selling stockholders, the number of shares of common stock that may be offered under this prospectus and the number of shares of common stock owned by the selling stockholders assuming all of the shares covered hereby are sold and assuming the conditions noted in the footnotes thereto. The number of shares beneficially owned by each selling stockholder is determined under rules issued by the SEC. Under these rules, beneficial ownership includes any shares over which a selling stockholder has sole or shared voting power or investment power. In computing the beneficial ownership and percentage ownership of each selling stockholder, we have deemed shares of common stock subject to options that are currently exercisable or exercisable within 60 days of October 25, 2024 and RSUs representing the right to receive shares of common stock that were deferred under the Director Deferred Compensation Plan or that vest within 60 days of October 25, 2024 to be outstanding and to be beneficially owned by the person holding the option or restricted stock unit, although these shares are not considered outstanding for purposes of computing the percentage ownership of any other selling stockholder. Percentage ownership is based on 145,467,295 shares of common stock outstanding as of October 25, 2024. The number of shares of common stock in the column “Number of Shares Being Offered Hereby (Maximum Number) That May Be Sold” represents all of the shares of common stock that the selling stockholders may offer hereunder. The selling stockholders may sell some, all or none of the shares of common stock that may be offered hereunder. We do not know when the shares of common stock will be sold by the selling stockholders, and the selling stockholders may offer the shares of common stock from time to time.</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Lawrence T. Kennedy, Jr. is the Managing Partner and Chief Executive Officer of Westwood Management and has served on our Board of Directors since January 2023. Jack Schuler is a co-founder of Crabtree Partners and has served on our Board of Directors since June 2008. Dr. Matthew Strobeck is Managing Partner of Birchview Capital LP and has served on our Board of Directors since January 2012. John Patience is a co-founder of Crabtree Partners and has served on our Board of Directors since June 2008.</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known to us at October 25, 2024. Unless otherwise indicated, the address for each beneficial owner listed in the table below is c/o Biodesix, Inc., 919 West Dillon Rd., Louisville, Colorado 80027.</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20" w:type="dxa"/>
            <w:vAlign w:val="bottom"/>
            <w:gridSpan w:val="2"/>
            <w:vMerge w:val="restart"/>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Being Offered</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Hereby (Maximum</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Sale of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0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Ownership Prior to</w:t>
            </w: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Number) That May</w:t>
            </w:r>
          </w:p>
        </w:tc>
        <w:tc>
          <w:tcPr>
            <w:tcW w:w="1140" w:type="dxa"/>
            <w:vAlign w:val="bottom"/>
            <w:gridSpan w:val="2"/>
          </w:tcPr>
          <w:p>
            <w:pPr>
              <w:jc w:val="center"/>
              <w:ind w:left="381"/>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w:t>
            </w:r>
          </w:p>
        </w:tc>
        <w:tc>
          <w:tcPr>
            <w:tcW w:w="22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 Sold</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40" w:type="dxa"/>
            <w:vAlign w:val="bottom"/>
            <w:gridSpan w:val="2"/>
            <w:vMerge w:val="continue"/>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Lawrence T. Kennedy, Jr.</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25,657,040</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156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19,603,596</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6,053,444</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Jack Schuler</w:t>
            </w:r>
            <w:r>
              <w:rPr>
                <w:rFonts w:ascii="Times New Roman" w:cs="Times New Roman" w:eastAsia="Times New Roman" w:hAnsi="Times New Roman"/>
                <w:sz w:val="25"/>
                <w:szCs w:val="25"/>
                <w:color w:val="auto"/>
                <w:vertAlign w:val="superscript"/>
              </w:rPr>
              <w:t>(2)</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31,181,581</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21.4%</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30,707,722</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473,859</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Matthew Strobeck</w:t>
            </w:r>
            <w:r>
              <w:rPr>
                <w:rFonts w:ascii="Times New Roman" w:cs="Times New Roman" w:eastAsia="Times New Roman" w:hAnsi="Times New Roman"/>
                <w:sz w:val="25"/>
                <w:szCs w:val="25"/>
                <w:color w:val="auto"/>
                <w:vertAlign w:val="superscript"/>
              </w:rPr>
              <w:t>(3)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6,080,357</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4,809,658</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1,270,699</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5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John Patience</w:t>
            </w:r>
            <w:r>
              <w:rPr>
                <w:rFonts w:ascii="Times New Roman" w:cs="Times New Roman" w:eastAsia="Times New Roman" w:hAnsi="Times New Roman"/>
                <w:sz w:val="26"/>
                <w:szCs w:val="26"/>
                <w:color w:val="auto"/>
                <w:vertAlign w:val="superscript"/>
              </w:rPr>
              <w:t>(4)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7,685,722</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7,081,423</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604,299</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00" w:hanging="424"/>
        <w:spacing w:after="0" w:line="25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24,700 shares of common stock issuable upon the exercise of options held by Mr. Kennedy that are vested and exercisable within 60 days of October 25, 2024, (b) RSUs held by Mr. Kennedy representing the right to receive 284,257 shares of common stock that will vest within 60 days of October 25, 2024 and be deferred under the Director Deferred Compensation Plan until separation from</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540"/>
        <w:spacing w:after="0" w:line="257" w:lineRule="auto"/>
        <w:rPr>
          <w:sz w:val="20"/>
          <w:szCs w:val="20"/>
          <w:color w:val="auto"/>
        </w:rPr>
      </w:pPr>
      <w:r>
        <w:rPr>
          <w:rFonts w:ascii="Times New Roman" w:cs="Times New Roman" w:eastAsia="Times New Roman" w:hAnsi="Times New Roman"/>
          <w:sz w:val="18"/>
          <w:szCs w:val="18"/>
          <w:color w:val="auto"/>
        </w:rPr>
        <w:t>service to the Company, and (c) 9,582,783 shares of common stock held by Lawrence T. Kennedy, Jr. Revocable Trust UAD 6/19/01 and as amended from time to time, (d) 12,267,873 shares of common stock held by Lawrence T. Kennedy, Jr. Perpetuity Trust UAD 6/30/16, (e) 2,775,386 shares of common stock held by KFDI-B LLC, (f) 722,041 shares of common stock held by Lair BDSX GRAT 2022-03-02.</w:t>
      </w:r>
    </w:p>
    <w:p>
      <w:pPr>
        <w:spacing w:after="0" w:line="1"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70,802 shares of common stock issuable upon the exercise of options held by Jack Schuler that are vested and exercisable within</w:t>
      </w:r>
    </w:p>
    <w:p>
      <w:pPr>
        <w:spacing w:after="0" w:line="9" w:lineRule="exact"/>
        <w:rPr>
          <w:rFonts w:ascii="Times New Roman" w:cs="Times New Roman" w:eastAsia="Times New Roman" w:hAnsi="Times New Roman"/>
          <w:sz w:val="18"/>
          <w:szCs w:val="18"/>
          <w:color w:val="auto"/>
        </w:rPr>
      </w:pPr>
    </w:p>
    <w:p>
      <w:pPr>
        <w:jc w:val="both"/>
        <w:ind w:left="54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October 25, 2024, (b) RSUs held by Mr. Schuler representing the right to receive 316,097 shares of common stock that vest within 60 days of October 25, 2024 and be deferred under the Director Deferred Compensation Plan until separation from service to the Company, and (c) 30,794,682 shares of common stock held by Jack W. Schuler Living Trust.</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36,417 shares of common stock issuable upon the exercise of options held by Dr. Matthew Strobeck that are vested and exercisable within 60 days of October 25, 2024, (b) RSUs held by Dr. Matthew representing the right to receive 327,783 shares of common stock that vest within 60 days of October 25, 2024 and be deferred under the Director Deferred Compensation Plan until separation from service to the Company, and (c) 2,542,928 shares of common stock held by Dr. Strobeck, (d) 2,570,879 shares of common stock held by Birchview Fund LLC, (e) 85,673 shares of common stock held by Birchview Capital Separately Managed Account, (f) 40,665 shares of common stock held by Clajer Capital LLC and (g) 119,003 shares of common stock held in each of four UTMA accounts for the benefit of the minor children of Dr. Strobeck (for an aggregate amount of 476,012 shares).</w:t>
      </w:r>
    </w:p>
    <w:p>
      <w:pPr>
        <w:spacing w:after="0" w:line="2"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70,802 shares of common stock issuable upon the exercise of options held by Mr. Patience that are vested and exercisable within 60 days of October 25, 2024, (b) RSUs held by Mr. Patience representing the right to receive 316,097 shares of common stock that vest within 60 days of October 25, 2024 and be deferred under the Director Deferred Compensation Plan until separation from service to the Company, and (c) 2,078,298 shares of common stock held by Patience Enterprises LP, (d) 4,829,611 shares of common stock held by John Patience Living Trust, dated July 23, 1993, and (e) 52,988 shares of common stock held by Diane Patience, and (f) 337,926 shares of common stock held directly by John Patience. Does not include 246,913 shares held by Ventana Charitable Foundation.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are registering the shares of common stock issued to the selling stockholders to permit the sale, transfer or other disposition of these shares by the selling stockholders or their donees, pledgees, transferees or other successors-in-interest from time to time after the date of this prospectus. We will not receive any of the proceeds from the sale by the selling stockholders of their shares of common stock. We will, or will procure to, bear all fees and expenses incident to our obligation to register the shares of common stock. In the event that a selling stockholder elects to sell its shares of common stock through an underwritten offering on a firm commitment or best efforts basis, we will amend the registration statement to which this prospectus relates to disclose all relevant and material information regarding such offering and sale.</w:t>
      </w:r>
    </w:p>
    <w:p>
      <w:pPr>
        <w:spacing w:after="0" w:line="187"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17"/>
          <w:szCs w:val="17"/>
          <w:color w:val="auto"/>
        </w:rPr>
        <w:t>The selling stockholders may sell all or a portion of the shares of common stock beneficially owned by them and offered hereby from time to time. If the shares of common stock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shares of common stock may be sold on any national securities exchange or quotation service on which the securities may be listed or quoted at the time of sale, in the over-the-counter market or in transactions otherwise than on these exchanges or systems or in</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their shares of common stock:</w:t>
      </w:r>
    </w:p>
    <w:p>
      <w:pPr>
        <w:spacing w:after="0" w:line="9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stockholders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that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of common stock in open market transactions in reliance upon Rule 144, as permitted by that rule, or Section 4(a)(1) under the Securities Act, if available, rather than under this prospectus, provided that they meet the criteria and conform to the requirements of those provisions.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their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sales of the shares of common stock or otherwise, the selling stockholders may enter into hedging transactions with broker-dealers or other financial institutions, which may in turn engage in short sales of the shares of common stock in the course of hedging in positions they assume. The selling stockholders may also sell their shares of common stock short and if such short sale takes place after the date that this registration statement is declared effective by the SEC, the selling stockholders may deliver their shares of common stock covered by this prospectus to close out short positions and to return borrowed shares of common stock in connection with such short sales. The selling stockholders may also loan or pledge their shares of common stock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their shares of common stock the resale of which has been registered on this registration statement to cover short sales of our common stock made prior to the date the registration statement, of which this prospectus forms a part, has been declared effective by the SEC.</w:t>
      </w:r>
    </w:p>
    <w:p>
      <w:pPr>
        <w:spacing w:after="0" w:line="19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selling stockholders and any broker-dealer or agents participating in the distribution of the shares of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7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shares of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disclosing (i) the name of each such selling stockholder and of the participating broker-dealer(s), (ii) the number of shares of common stock involved,</w:t>
      </w:r>
    </w:p>
    <w:p>
      <w:pPr>
        <w:spacing w:after="0" w:line="27" w:lineRule="exact"/>
        <w:rPr>
          <w:sz w:val="20"/>
          <w:szCs w:val="20"/>
          <w:color w:val="auto"/>
        </w:rPr>
      </w:pPr>
    </w:p>
    <w:p>
      <w:pPr>
        <w:jc w:val="both"/>
        <w:ind w:left="120" w:right="60" w:hanging="4"/>
        <w:spacing w:after="0" w:line="255"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shares of common stock were sold, (iv) the commissions paid or discounts or concessions allowed to such broker-dealer(s), where applicable, (v) that such broker-dealer(s) did not conduct any investigation to verify the information set out in this prospectus, and (vi) other facts material to the transaction.</w:t>
      </w:r>
    </w:p>
    <w:p>
      <w:pPr>
        <w:spacing w:after="0" w:line="18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U.S. states, the shares of common stock may be sold in such states only through registered or licensed brokers or dealers. In addition, in some U.S.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shelf registration statement, of which this prospectus forms a part.</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Sidley Austin LLP, San Francisco, California. Partners of Sidley Austin LLP own less than 1% of our outstanding common stock.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2023 and 2022,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320" w:top="455" w:right="5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8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periods ended March 31, 2024, June 30, 2024 and September 30, 2024, filed with the SEC on </w:t>
      </w:r>
      <w:hyperlink r:id="rId41">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 xml:space="preserve">August 7,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November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44">
        <w:r>
          <w:rPr>
            <w:rFonts w:ascii="Times New Roman" w:cs="Times New Roman" w:eastAsia="Times New Roman" w:hAnsi="Times New Roman"/>
            <w:sz w:val="18"/>
            <w:szCs w:val="18"/>
            <w:u w:val="single" w:color="auto"/>
            <w:color w:val="0000EE"/>
          </w:rPr>
          <w:t>April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5">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4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April 26, 2024; and</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7">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919 West Dillon Road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(303) 417-0500</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“Information Incorporated by Reference”) is not incorporated by reference into this prospectus or any applicable prospectus supplement and you should not consider it a part of this prospectus, any applicable prospectus supplement, or the registration statement.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652780</wp:posOffset>
            </wp:positionV>
            <wp:extent cx="202311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023110" cy="3600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62,202,399 Shares of Common Stock</w:t>
      </w:r>
    </w:p>
    <w:p>
      <w:pPr>
        <w:spacing w:after="0" w:line="2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1674495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2268220</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2336800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15,427</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35"/>
        </w:trPr>
        <w:tc>
          <w:tcPr>
            <w:tcW w:w="1220" w:type="dxa"/>
            <w:vAlign w:val="bottom"/>
            <w:tcBorders>
              <w:bottom w:val="single" w:sz="8" w:color="auto"/>
            </w:tcBorders>
            <w:gridSpan w:val="2"/>
          </w:tcPr>
          <w:p>
            <w:pPr>
              <w:spacing w:after="0"/>
              <w:rPr>
                <w:sz w:val="11"/>
                <w:szCs w:val="11"/>
                <w:color w:val="auto"/>
              </w:rPr>
            </w:pPr>
          </w:p>
        </w:tc>
        <w:tc>
          <w:tcPr>
            <w:tcW w:w="7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Estimated expenses not presently known.</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81"/>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7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9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60" w:type="dxa"/>
            <w:vAlign w:val="bottom"/>
            <w:gridSpan w:val="16"/>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6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3.1*</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6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Amended and Restated Certificate of Incorporation of the Registrant (previously filed with the Company’s Annual Report on Form 10-K</w:t>
              </w:r>
            </w:hyperlink>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dated December 31, 2020).</w:t>
              </w:r>
            </w:hyperlink>
          </w:p>
        </w:tc>
        <w:tc>
          <w:tcPr>
            <w:tcW w:w="79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280" w:type="dxa"/>
            <w:vAlign w:val="bottom"/>
          </w:tcPr>
          <w:p>
            <w:pPr>
              <w:spacing w:after="0"/>
              <w:rPr>
                <w:sz w:val="24"/>
                <w:szCs w:val="24"/>
                <w:color w:val="auto"/>
              </w:rPr>
            </w:pPr>
          </w:p>
        </w:tc>
        <w:tc>
          <w:tcPr>
            <w:tcW w:w="8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Bylaws of the Registrant (previously filed with the Company’s Annual Report on Form 10-K dated</w:t>
              </w:r>
            </w:hyperlink>
          </w:p>
        </w:tc>
        <w:tc>
          <w:tcPr>
            <w:tcW w:w="1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December 31, 2020).</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28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Specimen stock certificate evidencing shares of Common Stock (previously filed with the Company’s Registration Statement on Form</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S-1/A, with the SEC on October 21, 2020).</w:t>
              </w:r>
            </w:hyperlink>
          </w:p>
        </w:tc>
        <w:tc>
          <w:tcPr>
            <w:tcW w:w="67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80" w:type="dxa"/>
            <w:vAlign w:val="bottom"/>
          </w:tcPr>
          <w:p>
            <w:pPr>
              <w:spacing w:after="0"/>
              <w:rPr>
                <w:sz w:val="24"/>
                <w:szCs w:val="24"/>
                <w:color w:val="auto"/>
              </w:rPr>
            </w:pPr>
          </w:p>
        </w:tc>
        <w:tc>
          <w:tcPr>
            <w:tcW w:w="9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Eleventh Amended and Restated Investor Rights Agreement, (previously filed in the Company’s Registration Statement on Form S-1,</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with the SEC on October 2, 2020).</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280" w:type="dxa"/>
            <w:vAlign w:val="bottom"/>
          </w:tcPr>
          <w:p>
            <w:pPr>
              <w:spacing w:after="0"/>
              <w:rPr>
                <w:sz w:val="24"/>
                <w:szCs w:val="24"/>
                <w:color w:val="auto"/>
              </w:rPr>
            </w:pPr>
          </w:p>
        </w:tc>
        <w:tc>
          <w:tcPr>
            <w:tcW w:w="9880" w:type="dxa"/>
            <w:vAlign w:val="bottom"/>
            <w:gridSpan w:val="15"/>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Warrant to Purchase Stock, dated November 21, 2022, issued by the Company to Perceptive Credit Holdings IV, LP. (previously filed in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the Company’s Current Report on Form 8-K, with the SEC on November 21,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80" w:type="dxa"/>
            <w:vAlign w:val="bottom"/>
          </w:tcPr>
          <w:p>
            <w:pPr>
              <w:spacing w:after="0"/>
              <w:rPr>
                <w:sz w:val="24"/>
                <w:szCs w:val="24"/>
                <w:color w:val="auto"/>
              </w:rPr>
            </w:pPr>
          </w:p>
        </w:tc>
        <w:tc>
          <w:tcPr>
            <w:tcW w:w="60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Opinion of Sidley Austin LLP.</w:t>
            </w:r>
          </w:p>
        </w:tc>
        <w:tc>
          <w:tcPr>
            <w:tcW w:w="3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Sidley Austin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KPMG LLP.</w:t>
            </w:r>
          </w:p>
        </w:tc>
        <w:tc>
          <w:tcPr>
            <w:tcW w:w="5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to this Registration Statement on Form S-3).</w:t>
            </w:r>
          </w:p>
        </w:tc>
        <w:tc>
          <w:tcPr>
            <w:tcW w:w="3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hanging="1144"/>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98"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5" w:lineRule="auto"/>
        <w:tabs>
          <w:tab w:leader="none" w:pos="15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registration statement, or is contained in a form of prospectus filed pursuant to Rule 424(b) that is part of the registration statement.</w:t>
      </w:r>
    </w:p>
    <w:p>
      <w:pPr>
        <w:spacing w:after="0" w:line="131" w:lineRule="exact"/>
        <w:rPr>
          <w:sz w:val="20"/>
          <w:szCs w:val="20"/>
          <w:color w:val="auto"/>
        </w:rPr>
      </w:pPr>
    </w:p>
    <w:p>
      <w:pPr>
        <w:ind w:left="10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540" w:right="14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the purposes of determining any liability under the Securities Act, each filing of the annual reports of the registrant pursuant to Section 13(a)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81" w:lineRule="exact"/>
        <w:rPr>
          <w:sz w:val="20"/>
          <w:szCs w:val="20"/>
          <w:color w:val="auto"/>
        </w:rPr>
      </w:pPr>
    </w:p>
    <w:p>
      <w:pPr>
        <w:ind w:left="540" w:right="40" w:hanging="424"/>
        <w:spacing w:after="0" w:line="254"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5"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Louisville, State of Colorado on this 1st day of November,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the undersigned directors and officers of Biodesix, Inc. (the Company), hereby severally constitute and appoint Scott Hutton and Robin Harper Cowie, and each of them singly, our true and lawful attorneys, with full power to them, and to each of them singly, to sign for us and in our names in the capacities indicated below, the registration statement on Form S-3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spacing w:after="0" w:line="19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50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Hutton</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Hutton</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8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Robin Harper Cowie</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98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Vazquez</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Christopher Vazquez</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980" w:type="dxa"/>
            <w:vAlign w:val="bottom"/>
          </w:tcPr>
          <w:p>
            <w:pPr>
              <w:spacing w:after="0"/>
              <w:rPr>
                <w:sz w:val="19"/>
                <w:szCs w:val="19"/>
                <w:color w:val="auto"/>
              </w:rPr>
            </w:pPr>
          </w:p>
        </w:tc>
      </w:tr>
      <w:tr>
        <w:trPr>
          <w:trHeight w:val="42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5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Patience</w:t>
            </w:r>
          </w:p>
        </w:tc>
        <w:tc>
          <w:tcPr>
            <w:tcW w:w="1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60"/>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II-5</w:t>
            </w:r>
          </w:p>
        </w:tc>
        <w:tc>
          <w:tcPr>
            <w:tcW w:w="19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8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rPr>
              <w:t>/s/ Jean Franchi</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50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Jean Franchi</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 Lawrence T. Kennedy, Jr.</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Lawrence T. Kennedy, Jr.</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Jon Faiz Kayyem, Ph.D.</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Hany Massarany</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5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Hany Massarany</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rPr>
              <w:t>/s/ Jack Schuler</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50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Jack Schuler</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 Ph.D.</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Matthew Strobeck, Ph.D.</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Charles Watts, M.D.</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780" w:type="dxa"/>
            <w:vAlign w:val="bottom"/>
          </w:tcPr>
          <w:p>
            <w:pPr>
              <w:ind w:left="444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120" w:type="dxa"/>
            <w:vAlign w:val="bottom"/>
          </w:tcPr>
          <w:p>
            <w:pPr>
              <w:spacing w:after="0"/>
              <w:rPr>
                <w:sz w:val="19"/>
                <w:szCs w:val="19"/>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Charles Watts, M.D.</w:t>
            </w:r>
          </w:p>
        </w:tc>
        <w:tc>
          <w:tcPr>
            <w:tcW w:w="11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0820"/>
          </w:cols>
          <w:pgMar w:left="320" w:top="446" w:right="7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6299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7"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234"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November 1,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ind w:left="84" w:hanging="84"/>
        <w:spacing w:after="0"/>
        <w:tabs>
          <w:tab w:leader="none" w:pos="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919 West Dillon Rd.</w:t>
      </w:r>
    </w:p>
    <w:p>
      <w:pPr>
        <w:spacing w:after="0" w:line="32"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Louisville, Colorado 80027</w:t>
      </w:r>
    </w:p>
    <w:p>
      <w:pPr>
        <w:spacing w:after="0" w:line="135"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 on Form S-3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S-3 (the “Registration Statement”), being filed by Biodesix, Inc., a Delaware corporation (the “Company”), with the Securities and Exchange Commission under the Securities Act of 1933, as amended (the “Securities Act”). The Registration Statement relates to the registration under the Securities Act of 62,202,399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Shares may be offered and sold by the selling stockholders referenced in the prospectus, as amended or supplemented from time to time, which forms a part of the Registration Statement.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the Company’s amended and restated certificate of incorporation, the Company’s amended and restated bylaws and the resolutions adopted by the board of directors of the Company relating to the Registration Statement and the issuance by the Company of the Shares.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8"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and the other limitations, qualifications and assumptions set forth herein, we are of the opinion that the Shares are validly issued, fully paid and non-assessable.</w:t>
      </w:r>
    </w:p>
    <w:p>
      <w:pPr>
        <w:spacing w:after="0" w:line="162" w:lineRule="exact"/>
        <w:rPr>
          <w:sz w:val="20"/>
          <w:szCs w:val="20"/>
          <w:color w:val="auto"/>
        </w:rPr>
      </w:pPr>
    </w:p>
    <w:p>
      <w:pPr>
        <w:ind w:left="4" w:right="160"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1024"/>
          </w:cols>
          <w:pgMar w:left="436" w:top="117"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02665" cy="436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100266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1225 17th Street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Denver, CO 80202-5598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 2024, with respect to the financial statements of Biodesix, Inc., incorporated herein by reference, and to the reference to our firm under the heading “Experts” in the prospectus.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w:t>
      </w:r>
    </w:p>
    <w:p>
      <w:pPr>
        <w:spacing w:after="0" w:line="207" w:lineRule="exact"/>
        <w:rPr>
          <w:sz w:val="20"/>
          <w:szCs w:val="20"/>
          <w:color w:val="auto"/>
        </w:rPr>
      </w:pPr>
    </w:p>
    <w:p>
      <w:pPr>
        <w:jc w:val="center"/>
        <w:ind w:right="20"/>
        <w:spacing w:after="0" w:line="289" w:lineRule="auto"/>
        <w:rPr>
          <w:sz w:val="20"/>
          <w:szCs w:val="20"/>
          <w:color w:val="auto"/>
        </w:rPr>
      </w:pPr>
      <w:r>
        <w:rPr>
          <w:rFonts w:ascii="Times New Roman" w:cs="Times New Roman" w:eastAsia="Times New Roman" w:hAnsi="Times New Roman"/>
          <w:sz w:val="17"/>
          <w:szCs w:val="17"/>
          <w:color w:val="auto"/>
        </w:rPr>
        <w:t>KPMG LLP, a Delaware limited liability partnership and a member firm of the KPMG global organization of independent member firms affiliated with KPMG International Limited, a private English company limited by guarantee.</w:t>
      </w:r>
    </w:p>
    <w:p>
      <w:pPr>
        <w:sectPr>
          <w:pgSz w:w="11900" w:h="16838" w:orient="portrait"/>
          <w:cols w:equalWidth="0" w:num="1">
            <w:col w:w="11020"/>
          </w:cols>
          <w:pgMar w:left="440"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vMerge w:val="restart"/>
          </w:tcPr>
          <w:p>
            <w:pPr>
              <w:jc w:val="center"/>
              <w:ind w:left="42"/>
              <w:spacing w:after="0"/>
              <w:rPr>
                <w:sz w:val="20"/>
                <w:szCs w:val="20"/>
                <w:color w:val="auto"/>
              </w:rPr>
            </w:pPr>
            <w:r>
              <w:rPr>
                <w:rFonts w:ascii="Times New Roman" w:cs="Times New Roman" w:eastAsia="Times New Roman" w:hAnsi="Times New Roman"/>
                <w:sz w:val="13"/>
                <w:szCs w:val="13"/>
                <w:color w:val="auto"/>
                <w:w w:val="95"/>
              </w:rPr>
              <w:t>Fee</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Proposed</w:t>
            </w:r>
          </w:p>
        </w:tc>
        <w:tc>
          <w:tcPr>
            <w:tcW w:w="13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8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98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98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3"/>
                <w:szCs w:val="13"/>
                <w:color w:val="auto"/>
                <w:w w:val="97"/>
              </w:rPr>
              <w:t>Rule</w:t>
            </w:r>
          </w:p>
        </w:tc>
        <w:tc>
          <w:tcPr>
            <w:tcW w:w="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ind w:right="59"/>
              <w:spacing w:after="0" w:line="176" w:lineRule="exact"/>
              <w:rPr>
                <w:sz w:val="20"/>
                <w:szCs w:val="20"/>
                <w:color w:val="auto"/>
              </w:rPr>
            </w:pPr>
            <w:r>
              <w:rPr>
                <w:rFonts w:ascii="Times New Roman" w:cs="Times New Roman" w:eastAsia="Times New Roman" w:hAnsi="Times New Roman"/>
                <w:sz w:val="13"/>
                <w:szCs w:val="13"/>
                <w:color w:val="auto"/>
              </w:rPr>
              <w:t>Registered</w:t>
            </w:r>
            <w:r>
              <w:rPr>
                <w:rFonts w:ascii="Times New Roman" w:cs="Times New Roman" w:eastAsia="Times New Roman" w:hAnsi="Times New Roman"/>
                <w:sz w:val="18"/>
                <w:szCs w:val="18"/>
                <w:color w:val="auto"/>
                <w:vertAlign w:val="superscript"/>
              </w:rPr>
              <w:t>(1)</w:t>
            </w:r>
          </w:p>
        </w:tc>
        <w:tc>
          <w:tcPr>
            <w:tcW w:w="6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86"/>
              </w:rPr>
              <w:t>Unit</w:t>
            </w:r>
            <w:r>
              <w:rPr>
                <w:rFonts w:ascii="Times New Roman" w:cs="Times New Roman" w:eastAsia="Times New Roman" w:hAnsi="Times New Roman"/>
                <w:sz w:val="18"/>
                <w:szCs w:val="18"/>
                <w:color w:val="auto"/>
                <w:w w:val="86"/>
                <w:vertAlign w:val="superscript"/>
              </w:rPr>
              <w:t>(2)</w:t>
            </w:r>
          </w:p>
        </w:tc>
        <w:tc>
          <w:tcPr>
            <w:tcW w:w="13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88"/>
              </w:rPr>
              <w:t>Price</w:t>
            </w:r>
            <w:r>
              <w:rPr>
                <w:rFonts w:ascii="Times New Roman" w:cs="Times New Roman" w:eastAsia="Times New Roman" w:hAnsi="Times New Roman"/>
                <w:sz w:val="18"/>
                <w:szCs w:val="18"/>
                <w:color w:val="auto"/>
                <w:w w:val="88"/>
                <w:vertAlign w:val="superscript"/>
              </w:rPr>
              <w:t>(2)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w:t>
            </w: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$0.001</w:t>
            </w: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98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8"/>
              </w:rPr>
              <w:t>Rule 457(c)</w:t>
            </w:r>
          </w:p>
        </w:tc>
        <w:tc>
          <w:tcPr>
            <w:tcW w:w="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62,202,399</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$100,767,886.38</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$15,427.53</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105"/>
              <w:spacing w:after="0"/>
              <w:rPr>
                <w:sz w:val="20"/>
                <w:szCs w:val="20"/>
                <w:color w:val="auto"/>
              </w:rPr>
            </w:pPr>
            <w:r>
              <w:rPr>
                <w:rFonts w:ascii="Times New Roman" w:cs="Times New Roman" w:eastAsia="Times New Roman" w:hAnsi="Times New Roman"/>
                <w:sz w:val="18"/>
                <w:szCs w:val="18"/>
                <w:color w:val="auto"/>
                <w:w w:val="98"/>
              </w:rPr>
              <w:t>Carry Forward Securities</w:t>
            </w: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15,427.53</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Total Fees Previously Paid </w:t>
            </w: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15,427.53</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1817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6" w:lineRule="exact"/>
        <w:rPr>
          <w:sz w:val="20"/>
          <w:szCs w:val="20"/>
          <w:color w:val="auto"/>
        </w:rPr>
      </w:pPr>
    </w:p>
    <w:p>
      <w:pPr>
        <w:ind w:left="424" w:right="40" w:hanging="424"/>
        <w:spacing w:after="0" w:line="241"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shareholders of Biodesix, Inc. (the “Registrant”) are registering 62,202,399 shares of common stock, par value $0.001 per share (the “Common Stock”), that may be issued pursuant to the prospectus to which this exhibit is attached. Pursuant to Rule 416 under the Securities Act of 1933, as amended, this registration statement also covers such an indeterminate amount of shares of common stock as may become issuable to prevent dilution resulting from stock splits, stock dividends and similar events.</w:t>
      </w:r>
    </w:p>
    <w:p>
      <w:pPr>
        <w:spacing w:after="0" w:line="82" w:lineRule="exact"/>
        <w:rPr>
          <w:rFonts w:ascii="Times New Roman" w:cs="Times New Roman" w:eastAsia="Times New Roman" w:hAnsi="Times New Roman"/>
          <w:sz w:val="14"/>
          <w:szCs w:val="14"/>
          <w:color w:val="auto"/>
        </w:rPr>
      </w:pPr>
    </w:p>
    <w:p>
      <w:pPr>
        <w:ind w:left="424" w:right="120" w:hanging="424"/>
        <w:spacing w:after="0" w:line="241"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based on the average of the high and low prices of the shares of Common Stock on The NASDAQ Global Market on October 28, 2024 (such date being within five business days of the date that this registration statement was first filed with the Securities and Exchange Commission, in accordance with Rule 457(c) under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Roman"/>
      <w:start w:val="3"/>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07"/>
    </w:lvl>
  </w:abstractNum>
  <w:abstractNum w:abstractNumId="12">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4E6AFB66"/>
    <w:multiLevelType w:val="hybridMultilevel"/>
    <w:lvl w:ilvl="0">
      <w:lvlJc w:val="left"/>
      <w:lvlText w:val="(%1)"/>
      <w:numFmt w:val="decimal"/>
      <w:start w:val="2"/>
    </w:lvl>
    <w:lvl w:ilvl="1">
      <w:lvlJc w:val="left"/>
      <w:lvlText w:val="(%2)"/>
      <w:numFmt w:val="lowerRoman"/>
      <w:start w:val="1"/>
    </w:lvl>
  </w:abstractNum>
  <w:abstractNum w:abstractNumId="14">
    <w:nsid w:val="25E45D32"/>
    <w:multiLevelType w:val="hybridMultilevel"/>
    <w:lvl w:ilvl="0">
      <w:lvlJc w:val="left"/>
      <w:lvlText w:val="%1"/>
      <w:numFmt w:val="lowerLetter"/>
      <w:start w:val="1"/>
    </w:lvl>
    <w:lvl w:ilvl="1">
      <w:lvlJc w:val="left"/>
      <w:lvlText w:val="(%2)"/>
      <w:numFmt w:val="lowerRoman"/>
      <w:start w:val="1"/>
    </w:lvl>
  </w:abstractNum>
  <w:abstractNum w:abstractNumId="15">
    <w:nsid w:val="519B500D"/>
    <w:multiLevelType w:val="hybridMultilevel"/>
    <w:lvl w:ilvl="0">
      <w:lvlJc w:val="left"/>
      <w:lvlText w:val="(%1)"/>
      <w:numFmt w:val="lowerLetter"/>
      <w:start w:val="2"/>
    </w:lvl>
    <w:lvl w:ilvl="1">
      <w:lvlJc w:val="left"/>
      <w:lvlText w:val="%2"/>
      <w:numFmt w:val="lowerRoman"/>
      <w:start w:val="1"/>
    </w:lvl>
  </w:abstractNum>
  <w:abstractNum w:abstractNumId="16">
    <w:nsid w:val="431BD7B7"/>
    <w:multiLevelType w:val="hybridMultilevel"/>
    <w:lvl w:ilvl="0">
      <w:lvlJc w:val="left"/>
      <w:lvlText w:val="(%1)"/>
      <w:numFmt w:val="lowerLetter"/>
      <w:start w:val="3"/>
    </w:lvl>
    <w:lvl w:ilvl="1">
      <w:lvlJc w:val="left"/>
      <w:lvlText w:val="(%2)"/>
      <w:numFmt w:val="decimal"/>
      <w:start w:val="1"/>
    </w:lvl>
  </w:abstractNum>
  <w:abstractNum w:abstractNumId="17">
    <w:nsid w:val="3F2DBA31"/>
    <w:multiLevelType w:val="hybridMultilevel"/>
    <w:lvl w:ilvl="0">
      <w:lvlJc w:val="left"/>
      <w:lvlText w:val=" "/>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jpe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jpeg"/><Relationship Id="rId72" Type="http://schemas.openxmlformats.org/officeDocument/2006/relationships/image" Target="media/image52.jpeg"/><Relationship Id="rId73" Type="http://schemas.openxmlformats.org/officeDocument/2006/relationships/image" Target="media/image53.png"/><Relationship Id="rId40" Type="http://schemas.openxmlformats.org/officeDocument/2006/relationships/hyperlink" Target="http://www.sec.gov/ix?doc=/Archives/edgar/data/1439725/000095017024023513/bdsx-20231231.htm" TargetMode="External"/><Relationship Id="rId41" Type="http://schemas.openxmlformats.org/officeDocument/2006/relationships/hyperlink" Target="http://www.sec.gov/ix?doc=/Archives/edgar/data/1439725/000095017024055651/bdsx-20240331.htm" TargetMode="External"/><Relationship Id="rId42" Type="http://schemas.openxmlformats.org/officeDocument/2006/relationships/hyperlink" Target="http://www.sec.gov/ix?doc=/Archives/edgar/data/1439725/000095017024092773/bdsx-20240630.htm" TargetMode="External"/><Relationship Id="rId43" Type="http://schemas.openxmlformats.org/officeDocument/2006/relationships/hyperlink" Target="http://www.sec.gov/ix?doc=/Archives/edgar/data/1439725/000095017024119792/bdsx-20240930.htm" TargetMode="External"/><Relationship Id="rId44" Type="http://schemas.openxmlformats.org/officeDocument/2006/relationships/hyperlink" Target="http://www.sec.gov/ix?doc=/Archives/edgar/data/1439725/000119312524090787/d779805d8k.htm" TargetMode="External"/><Relationship Id="rId45" Type="http://schemas.openxmlformats.org/officeDocument/2006/relationships/hyperlink" Target="http://www.sec.gov/ix?doc=/Archives/edgar/data/1439725/000119312524145965/d832577d8k.htm" TargetMode="External"/><Relationship Id="rId46" Type="http://schemas.openxmlformats.org/officeDocument/2006/relationships/hyperlink" Target="http://www.sec.gov/Archives/edgar/data/1439725/000119312524118069/d674951ddef14a.htm" TargetMode="External"/><Relationship Id="rId47" Type="http://schemas.openxmlformats.org/officeDocument/2006/relationships/hyperlink" Target="http://www.sec.gov/Archives/edgar/data/1439725/000119312520275716/d94177d8a12b.htm" TargetMode="External"/><Relationship Id="rId59" Type="http://schemas.openxmlformats.org/officeDocument/2006/relationships/hyperlink" Target="http://www.sec.gov/Archives/edgar/data/1439725/000156459020056735/bdsx-ex31_716.htm" TargetMode="External"/><Relationship Id="rId60" Type="http://schemas.openxmlformats.org/officeDocument/2006/relationships/hyperlink" Target="http://www.sec.gov/Archives/edgar/data/1439725/000156459020056735/bdsx-ex32_717.htm" TargetMode="External"/><Relationship Id="rId61" Type="http://schemas.openxmlformats.org/officeDocument/2006/relationships/hyperlink" Target="http://www.sec.gov/Archives/edgar/data/1439725/000119312520273369/d937421dex41.htm" TargetMode="External"/><Relationship Id="rId62" Type="http://schemas.openxmlformats.org/officeDocument/2006/relationships/hyperlink" Target="http://www.sec.gov/Archives/edgar/data/1439725/000119312520262422/d937421dex42.htm" TargetMode="External"/><Relationship Id="rId63" Type="http://schemas.openxmlformats.org/officeDocument/2006/relationships/hyperlink" Target="http://www.sec.gov/Archives/edgar/data/1439725/000095017022025530/bdsx-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2024-11-01T06:14:56Z</dcterms:created>
  <dcterms:modified xsi:type="dcterms:W3CDTF">2024-11-01T06:14:56Z</dcterms:modified>
</cp:coreProperties>
</file>