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5"/>
          <w:szCs w:val="25"/>
          <w:color w:val="auto"/>
        </w:rPr>
        <w:t>SECURITIES AND EXCHANGE COMMISSION</w:t>
      </w:r>
    </w:p>
    <w:p>
      <w:pPr>
        <w:spacing w:after="0" w:line="2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16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color w:val="auto"/>
        </w:rPr>
        <w:t>SCHEDULE 13G*</w:t>
      </w:r>
    </w:p>
    <w:p>
      <w:pPr>
        <w:spacing w:after="0" w:line="3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(Rule 13d-102)</w:t>
      </w:r>
    </w:p>
    <w:p>
      <w:pPr>
        <w:spacing w:after="0" w:line="20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INFORMATION TO BE INCLUDED</w:t>
      </w:r>
    </w:p>
    <w:p>
      <w:pPr>
        <w:spacing w:after="0" w:line="2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IN STATEMENTS FILED PURSUANT</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TO RULES 13d-1(b), (c), AND</w:t>
      </w:r>
    </w:p>
    <w:p>
      <w:pPr>
        <w:spacing w:after="0" w:line="9" w:lineRule="exact"/>
        <w:rPr>
          <w:sz w:val="24"/>
          <w:szCs w:val="24"/>
          <w:color w:val="auto"/>
        </w:rPr>
      </w:pPr>
    </w:p>
    <w:p>
      <w:pPr>
        <w:jc w:val="both"/>
        <w:ind w:left="4240" w:right="4160" w:hanging="26"/>
        <w:spacing w:after="0" w:line="250" w:lineRule="auto"/>
        <w:tabs>
          <w:tab w:leader="none" w:pos="446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AMENDMENTS THERETO FILED PURSUANT TO RULE 13d-2</w:t>
      </w:r>
    </w:p>
    <w:p>
      <w:pPr>
        <w:ind w:left="4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NO. 4)*</w:t>
      </w:r>
    </w:p>
    <w:p>
      <w:pPr>
        <w:spacing w:after="0" w:line="18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43"/>
          <w:szCs w:val="43"/>
          <w:color w:val="auto"/>
        </w:rPr>
        <w:t>Biodesix,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4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09075X108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(CUSIP Number)</w:t>
      </w:r>
    </w:p>
    <w:p>
      <w:pPr>
        <w:spacing w:after="0" w:line="200" w:lineRule="exact"/>
        <w:rPr>
          <w:sz w:val="24"/>
          <w:szCs w:val="24"/>
          <w:color w:val="auto"/>
        </w:rPr>
      </w:pPr>
    </w:p>
    <w:p>
      <w:pPr>
        <w:spacing w:after="0" w:line="250"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25" w:lineRule="exact"/>
        <w:rPr>
          <w:sz w:val="24"/>
          <w:szCs w:val="24"/>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509270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57" w:right="379" w:bottom="1440" w:gutter="0" w:footer="0" w:header="0"/>
        </w:sectPr>
      </w:pPr>
    </w:p>
    <w:bookmarkStart w:id="1" w:name="page2"/>
    <w:bookmarkEnd w:id="1"/>
    <w:p>
      <w:pPr>
        <w:ind w:left="13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52978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5297805"/>
                    </a:xfrm>
                    <a:prstGeom prst="rect">
                      <a:avLst/>
                    </a:prstGeom>
                    <a:noFill/>
                  </pic:spPr>
                </pic:pic>
              </a:graphicData>
            </a:graphic>
          </wp:anchor>
        </w:drawing>
        <w:t>NAMES OF REPORTING PERSONS</w:t>
      </w:r>
    </w:p>
    <w:p>
      <w:pPr>
        <w:spacing w:after="0" w:line="31" w:lineRule="exact"/>
        <w:rPr>
          <w:sz w:val="20"/>
          <w:szCs w:val="20"/>
          <w:color w:val="auto"/>
        </w:rPr>
      </w:pPr>
    </w:p>
    <w:p>
      <w:pPr>
        <w:ind w:left="1420" w:right="3980" w:hanging="811"/>
        <w:spacing w:after="0" w:line="181" w:lineRule="auto"/>
        <w:tabs>
          <w:tab w:leader="none" w:pos="1378" w:val="left"/>
        </w:tabs>
        <w:numPr>
          <w:ilvl w:val="0"/>
          <w:numId w:val="3"/>
        </w:numPr>
        <w:rPr>
          <w:rFonts w:ascii="Times New Roman" w:cs="Times New Roman" w:eastAsia="Times New Roman" w:hAnsi="Times New Roman"/>
          <w:sz w:val="46"/>
          <w:szCs w:val="46"/>
          <w:b w:val="1"/>
          <w:bCs w:val="1"/>
          <w:color w:val="auto"/>
          <w:vertAlign w:val="subscript"/>
        </w:rPr>
      </w:pPr>
      <w:r>
        <w:rPr>
          <w:rFonts w:ascii="Times New Roman" w:cs="Times New Roman" w:eastAsia="Times New Roman" w:hAnsi="Times New Roman"/>
          <w:sz w:val="16"/>
          <w:szCs w:val="16"/>
          <w:b w:val="1"/>
          <w:bCs w:val="1"/>
          <w:color w:val="auto"/>
        </w:rPr>
        <w:t xml:space="preserve">I.R.S. IDENTIFICATION NOS. OF ABOVE PERSONS (ENTITIES ONLY) </w:t>
      </w:r>
      <w:r>
        <w:rPr>
          <w:rFonts w:ascii="Times New Roman" w:cs="Times New Roman" w:eastAsia="Times New Roman" w:hAnsi="Times New Roman"/>
          <w:sz w:val="16"/>
          <w:szCs w:val="16"/>
          <w:color w:val="auto"/>
        </w:rPr>
        <w:t>Telemark Asset Management, LLC</w:t>
      </w:r>
    </w:p>
    <w:p>
      <w:pPr>
        <w:spacing w:after="0" w:line="92"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p>
      <w:pPr>
        <w:ind w:left="600"/>
        <w:spacing w:after="0" w:line="265" w:lineRule="exact"/>
        <w:tabs>
          <w:tab w:leader="none" w:pos="1360" w:val="left"/>
        </w:tabs>
        <w:rPr>
          <w:sz w:val="20"/>
          <w:szCs w:val="20"/>
          <w:color w:val="auto"/>
        </w:rPr>
      </w:pPr>
      <w:r>
        <w:rPr>
          <w:rFonts w:ascii="Times New Roman" w:cs="Times New Roman" w:eastAsia="Times New Roman" w:hAnsi="Times New Roman"/>
          <w:sz w:val="30"/>
          <w:szCs w:val="30"/>
          <w:b w:val="1"/>
          <w:bCs w:val="1"/>
          <w:color w:val="auto"/>
        </w:rPr>
        <w:t>2</w:t>
      </w:r>
      <w:r>
        <w:rPr>
          <w:sz w:val="20"/>
          <w:szCs w:val="20"/>
          <w:color w:val="auto"/>
        </w:rPr>
        <w:tab/>
      </w:r>
      <w:r>
        <w:rPr>
          <w:rFonts w:ascii="Times New Roman" w:cs="Times New Roman" w:eastAsia="Times New Roman" w:hAnsi="Times New Roman"/>
          <w:sz w:val="17"/>
          <w:szCs w:val="17"/>
          <w:color w:val="auto"/>
        </w:rPr>
        <w:t>(a)</w:t>
      </w:r>
      <w:r>
        <w:rPr>
          <w:rFonts w:ascii="MS PGothic" w:cs="MS PGothic" w:eastAsia="MS PGothic" w:hAnsi="MS PGothic"/>
          <w:sz w:val="17"/>
          <w:szCs w:val="17"/>
          <w:color w:val="auto"/>
        </w:rPr>
        <w:t>☐</w:t>
      </w:r>
    </w:p>
    <w:p>
      <w:pPr>
        <w:spacing w:after="0" w:line="1" w:lineRule="exact"/>
        <w:rPr>
          <w:sz w:val="20"/>
          <w:szCs w:val="20"/>
          <w:color w:val="auto"/>
        </w:rPr>
      </w:pPr>
    </w:p>
    <w:p>
      <w:pPr>
        <w:ind w:left="138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p>
      <w:pPr>
        <w:ind w:left="1380"/>
        <w:spacing w:after="0" w:line="198" w:lineRule="auto"/>
        <w:rPr>
          <w:sz w:val="20"/>
          <w:szCs w:val="20"/>
          <w:color w:val="auto"/>
        </w:rPr>
      </w:pPr>
      <w:r>
        <w:rPr>
          <w:rFonts w:ascii="Times New Roman" w:cs="Times New Roman" w:eastAsia="Times New Roman" w:hAnsi="Times New Roman"/>
          <w:sz w:val="18"/>
          <w:szCs w:val="18"/>
          <w:b w:val="1"/>
          <w:bCs w:val="1"/>
          <w:color w:val="auto"/>
        </w:rPr>
        <w:t>SEC USE ONLY</w:t>
      </w:r>
    </w:p>
    <w:p>
      <w:pPr>
        <w:ind w:left="600"/>
        <w:spacing w:after="0"/>
        <w:rPr>
          <w:sz w:val="20"/>
          <w:szCs w:val="20"/>
          <w:color w:val="auto"/>
        </w:rPr>
      </w:pPr>
      <w:r>
        <w:rPr>
          <w:rFonts w:ascii="Times New Roman" w:cs="Times New Roman" w:eastAsia="Times New Roman" w:hAnsi="Times New Roman"/>
          <w:sz w:val="32"/>
          <w:szCs w:val="32"/>
          <w:b w:val="1"/>
          <w:bCs w:val="1"/>
          <w:color w:val="auto"/>
        </w:rPr>
        <w:t>3</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32"/>
                <w:szCs w:val="32"/>
                <w:b w:val="1"/>
                <w:bCs w:val="1"/>
                <w:color w:val="auto"/>
              </w:rPr>
              <w:t>4</w:t>
            </w:r>
          </w:p>
        </w:tc>
        <w:tc>
          <w:tcPr>
            <w:tcW w:w="10420" w:type="dxa"/>
            <w:vAlign w:val="bottom"/>
            <w:gridSpan w:val="3"/>
          </w:tcPr>
          <w:p>
            <w:pPr>
              <w:ind w:left="56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324"/>
        </w:trPr>
        <w:tc>
          <w:tcPr>
            <w:tcW w:w="820" w:type="dxa"/>
            <w:vAlign w:val="bottom"/>
            <w:vMerge w:val="continue"/>
          </w:tcPr>
          <w:p>
            <w:pPr>
              <w:spacing w:after="0"/>
              <w:rPr>
                <w:sz w:val="24"/>
                <w:szCs w:val="24"/>
                <w:color w:val="auto"/>
              </w:rPr>
            </w:pPr>
          </w:p>
        </w:tc>
        <w:tc>
          <w:tcPr>
            <w:tcW w:w="14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Delaware</w:t>
            </w:r>
          </w:p>
        </w:tc>
        <w:tc>
          <w:tcPr>
            <w:tcW w:w="90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2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8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8"/>
        </w:trPr>
        <w:tc>
          <w:tcPr>
            <w:tcW w:w="820" w:type="dxa"/>
            <w:vAlign w:val="bottom"/>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vMerge w:val="restart"/>
          </w:tcPr>
          <w:p>
            <w:pPr>
              <w:jc w:val="right"/>
              <w:ind w:right="218"/>
              <w:spacing w:after="0"/>
              <w:rPr>
                <w:sz w:val="20"/>
                <w:szCs w:val="20"/>
                <w:color w:val="auto"/>
              </w:rPr>
            </w:pPr>
            <w:r>
              <w:rPr>
                <w:rFonts w:ascii="Times New Roman" w:cs="Times New Roman" w:eastAsia="Times New Roman" w:hAnsi="Times New Roman"/>
                <w:sz w:val="32"/>
                <w:szCs w:val="32"/>
                <w:b w:val="1"/>
                <w:bCs w:val="1"/>
                <w:color w:val="auto"/>
              </w:rPr>
              <w:t>5</w:t>
            </w:r>
          </w:p>
        </w:tc>
        <w:tc>
          <w:tcPr>
            <w:tcW w:w="8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0" w:type="dxa"/>
            <w:vAlign w:val="bottom"/>
          </w:tcPr>
          <w:p>
            <w:pPr>
              <w:spacing w:after="0"/>
              <w:rPr>
                <w:sz w:val="1"/>
                <w:szCs w:val="1"/>
                <w:color w:val="auto"/>
              </w:rPr>
            </w:pPr>
          </w:p>
        </w:tc>
      </w:tr>
      <w:tr>
        <w:trPr>
          <w:trHeight w:val="302"/>
        </w:trPr>
        <w:tc>
          <w:tcPr>
            <w:tcW w:w="820" w:type="dxa"/>
            <w:vAlign w:val="bottom"/>
          </w:tcPr>
          <w:p>
            <w:pPr>
              <w:spacing w:after="0"/>
              <w:rPr>
                <w:sz w:val="24"/>
                <w:szCs w:val="24"/>
                <w:color w:val="auto"/>
              </w:rPr>
            </w:pPr>
          </w:p>
        </w:tc>
        <w:tc>
          <w:tcPr>
            <w:tcW w:w="142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vMerge w:val="continue"/>
          </w:tcPr>
          <w:p>
            <w:pPr>
              <w:spacing w:after="0"/>
              <w:rPr>
                <w:sz w:val="24"/>
                <w:szCs w:val="24"/>
                <w:color w:val="auto"/>
              </w:rPr>
            </w:pPr>
          </w:p>
        </w:tc>
        <w:tc>
          <w:tcPr>
            <w:tcW w:w="8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15"/>
        </w:trPr>
        <w:tc>
          <w:tcPr>
            <w:tcW w:w="224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900" w:type="dxa"/>
            <w:vAlign w:val="bottom"/>
            <w:tcBorders>
              <w:bottom w:val="single" w:sz="8" w:color="auto"/>
              <w:right w:val="single" w:sz="8" w:color="auto"/>
            </w:tcBorders>
          </w:tcPr>
          <w:p>
            <w:pPr>
              <w:spacing w:after="0"/>
              <w:rPr>
                <w:sz w:val="10"/>
                <w:szCs w:val="10"/>
                <w:color w:val="auto"/>
              </w:rPr>
            </w:pPr>
          </w:p>
        </w:tc>
        <w:tc>
          <w:tcPr>
            <w:tcW w:w="8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240" w:type="dxa"/>
            <w:vAlign w:val="bottom"/>
            <w:tcBorders>
              <w:right w:val="single" w:sz="8" w:color="auto"/>
            </w:tcBorders>
            <w:gridSpan w:val="2"/>
            <w:vMerge w:val="continue"/>
          </w:tcPr>
          <w:p>
            <w:pPr>
              <w:spacing w:after="0"/>
              <w:rPr>
                <w:sz w:val="8"/>
                <w:szCs w:val="8"/>
                <w:color w:val="auto"/>
              </w:rPr>
            </w:pPr>
          </w:p>
        </w:tc>
        <w:tc>
          <w:tcPr>
            <w:tcW w:w="900" w:type="dxa"/>
            <w:vAlign w:val="bottom"/>
            <w:tcBorders>
              <w:right w:val="single" w:sz="8" w:color="auto"/>
            </w:tcBorders>
            <w:vMerge w:val="restart"/>
          </w:tcPr>
          <w:p>
            <w:pPr>
              <w:jc w:val="right"/>
              <w:ind w:right="218"/>
              <w:spacing w:after="0"/>
              <w:rPr>
                <w:sz w:val="20"/>
                <w:szCs w:val="20"/>
                <w:color w:val="auto"/>
              </w:rPr>
            </w:pPr>
            <w:r>
              <w:rPr>
                <w:rFonts w:ascii="Times New Roman" w:cs="Times New Roman" w:eastAsia="Times New Roman" w:hAnsi="Times New Roman"/>
                <w:sz w:val="32"/>
                <w:szCs w:val="32"/>
                <w:b w:val="1"/>
                <w:bCs w:val="1"/>
                <w:color w:val="auto"/>
              </w:rPr>
              <w:t>6</w:t>
            </w:r>
          </w:p>
        </w:tc>
        <w:tc>
          <w:tcPr>
            <w:tcW w:w="81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139"/>
        </w:trPr>
        <w:tc>
          <w:tcPr>
            <w:tcW w:w="224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900" w:type="dxa"/>
            <w:vAlign w:val="bottom"/>
            <w:tcBorders>
              <w:right w:val="single" w:sz="8" w:color="auto"/>
            </w:tcBorders>
            <w:vMerge w:val="continue"/>
          </w:tcPr>
          <w:p>
            <w:pPr>
              <w:spacing w:after="0"/>
              <w:rPr>
                <w:sz w:val="12"/>
                <w:szCs w:val="12"/>
                <w:color w:val="auto"/>
              </w:rPr>
            </w:pPr>
          </w:p>
        </w:tc>
        <w:tc>
          <w:tcPr>
            <w:tcW w:w="8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240" w:type="dxa"/>
            <w:vAlign w:val="bottom"/>
            <w:tcBorders>
              <w:right w:val="single" w:sz="8" w:color="auto"/>
            </w:tcBorders>
            <w:gridSpan w:val="2"/>
            <w:vMerge w:val="continue"/>
          </w:tcPr>
          <w:p>
            <w:pPr>
              <w:spacing w:after="0"/>
              <w:rPr>
                <w:sz w:val="6"/>
                <w:szCs w:val="6"/>
                <w:color w:val="auto"/>
              </w:rPr>
            </w:pPr>
          </w:p>
        </w:tc>
        <w:tc>
          <w:tcPr>
            <w:tcW w:w="900" w:type="dxa"/>
            <w:vAlign w:val="bottom"/>
            <w:tcBorders>
              <w:right w:val="single" w:sz="8" w:color="auto"/>
            </w:tcBorders>
            <w:vMerge w:val="continue"/>
          </w:tcPr>
          <w:p>
            <w:pPr>
              <w:spacing w:after="0"/>
              <w:rPr>
                <w:sz w:val="6"/>
                <w:szCs w:val="6"/>
                <w:color w:val="auto"/>
              </w:rPr>
            </w:pPr>
          </w:p>
        </w:tc>
        <w:tc>
          <w:tcPr>
            <w:tcW w:w="81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8,282,490 shares</w:t>
            </w:r>
          </w:p>
        </w:tc>
        <w:tc>
          <w:tcPr>
            <w:tcW w:w="0" w:type="dxa"/>
            <w:vAlign w:val="bottom"/>
          </w:tcPr>
          <w:p>
            <w:pPr>
              <w:spacing w:after="0"/>
              <w:rPr>
                <w:sz w:val="1"/>
                <w:szCs w:val="1"/>
                <w:color w:val="auto"/>
              </w:rPr>
            </w:pPr>
          </w:p>
        </w:tc>
      </w:tr>
      <w:tr>
        <w:trPr>
          <w:trHeight w:val="216"/>
        </w:trPr>
        <w:tc>
          <w:tcPr>
            <w:tcW w:w="22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900" w:type="dxa"/>
            <w:vAlign w:val="bottom"/>
            <w:tcBorders>
              <w:right w:val="single" w:sz="8" w:color="auto"/>
            </w:tcBorders>
            <w:vMerge w:val="continue"/>
          </w:tcPr>
          <w:p>
            <w:pPr>
              <w:spacing w:after="0"/>
              <w:rPr>
                <w:sz w:val="18"/>
                <w:szCs w:val="18"/>
                <w:color w:val="auto"/>
              </w:rPr>
            </w:pPr>
          </w:p>
        </w:tc>
        <w:tc>
          <w:tcPr>
            <w:tcW w:w="8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224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 BY</w:t>
            </w:r>
          </w:p>
        </w:tc>
        <w:tc>
          <w:tcPr>
            <w:tcW w:w="900" w:type="dxa"/>
            <w:vAlign w:val="bottom"/>
            <w:tcBorders>
              <w:bottom w:val="single" w:sz="8" w:color="auto"/>
              <w:right w:val="single" w:sz="8" w:color="auto"/>
            </w:tcBorders>
          </w:tcPr>
          <w:p>
            <w:pPr>
              <w:spacing w:after="0"/>
              <w:rPr>
                <w:sz w:val="10"/>
                <w:szCs w:val="10"/>
                <w:color w:val="auto"/>
              </w:rPr>
            </w:pPr>
          </w:p>
        </w:tc>
        <w:tc>
          <w:tcPr>
            <w:tcW w:w="8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240" w:type="dxa"/>
            <w:vAlign w:val="bottom"/>
            <w:tcBorders>
              <w:right w:val="single" w:sz="8" w:color="auto"/>
            </w:tcBorders>
            <w:gridSpan w:val="2"/>
            <w:vMerge w:val="continue"/>
          </w:tcPr>
          <w:p>
            <w:pPr>
              <w:spacing w:after="0"/>
              <w:rPr>
                <w:sz w:val="6"/>
                <w:szCs w:val="6"/>
                <w:color w:val="auto"/>
              </w:rPr>
            </w:pPr>
          </w:p>
        </w:tc>
        <w:tc>
          <w:tcPr>
            <w:tcW w:w="900" w:type="dxa"/>
            <w:vAlign w:val="bottom"/>
            <w:tcBorders>
              <w:right w:val="single" w:sz="8" w:color="auto"/>
            </w:tcBorders>
          </w:tcPr>
          <w:p>
            <w:pPr>
              <w:spacing w:after="0"/>
              <w:rPr>
                <w:sz w:val="6"/>
                <w:szCs w:val="6"/>
                <w:color w:val="auto"/>
              </w:rPr>
            </w:pPr>
          </w:p>
        </w:tc>
        <w:tc>
          <w:tcPr>
            <w:tcW w:w="81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166"/>
        </w:trPr>
        <w:tc>
          <w:tcPr>
            <w:tcW w:w="820" w:type="dxa"/>
            <w:vAlign w:val="bottom"/>
          </w:tcPr>
          <w:p>
            <w:pPr>
              <w:spacing w:after="0"/>
              <w:rPr>
                <w:sz w:val="14"/>
                <w:szCs w:val="14"/>
                <w:color w:val="auto"/>
              </w:rPr>
            </w:pPr>
          </w:p>
        </w:tc>
        <w:tc>
          <w:tcPr>
            <w:tcW w:w="1420" w:type="dxa"/>
            <w:vAlign w:val="bottom"/>
            <w:tcBorders>
              <w:right w:val="single" w:sz="8" w:color="auto"/>
            </w:tcBorders>
            <w:vMerge w:val="restart"/>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9"/>
              </w:rPr>
              <w:t>EACH</w:t>
            </w:r>
          </w:p>
        </w:tc>
        <w:tc>
          <w:tcPr>
            <w:tcW w:w="900" w:type="dxa"/>
            <w:vAlign w:val="bottom"/>
            <w:tcBorders>
              <w:right w:val="single" w:sz="8" w:color="auto"/>
            </w:tcBorders>
            <w:vMerge w:val="restart"/>
          </w:tcPr>
          <w:p>
            <w:pPr>
              <w:jc w:val="right"/>
              <w:ind w:right="218"/>
              <w:spacing w:after="0"/>
              <w:rPr>
                <w:sz w:val="20"/>
                <w:szCs w:val="20"/>
                <w:color w:val="auto"/>
              </w:rPr>
            </w:pPr>
            <w:r>
              <w:rPr>
                <w:rFonts w:ascii="Times New Roman" w:cs="Times New Roman" w:eastAsia="Times New Roman" w:hAnsi="Times New Roman"/>
                <w:sz w:val="32"/>
                <w:szCs w:val="32"/>
                <w:b w:val="1"/>
                <w:bCs w:val="1"/>
                <w:color w:val="auto"/>
              </w:rPr>
              <w:t>7</w:t>
            </w:r>
          </w:p>
        </w:tc>
        <w:tc>
          <w:tcPr>
            <w:tcW w:w="8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820" w:type="dxa"/>
            <w:vAlign w:val="bottom"/>
          </w:tcPr>
          <w:p>
            <w:pPr>
              <w:spacing w:after="0"/>
              <w:rPr>
                <w:sz w:val="4"/>
                <w:szCs w:val="4"/>
                <w:color w:val="auto"/>
              </w:rPr>
            </w:pPr>
          </w:p>
        </w:tc>
        <w:tc>
          <w:tcPr>
            <w:tcW w:w="1420" w:type="dxa"/>
            <w:vAlign w:val="bottom"/>
            <w:tcBorders>
              <w:right w:val="single" w:sz="8" w:color="auto"/>
            </w:tcBorders>
            <w:vMerge w:val="continue"/>
          </w:tcPr>
          <w:p>
            <w:pPr>
              <w:spacing w:after="0"/>
              <w:rPr>
                <w:sz w:val="4"/>
                <w:szCs w:val="4"/>
                <w:color w:val="auto"/>
              </w:rPr>
            </w:pPr>
          </w:p>
        </w:tc>
        <w:tc>
          <w:tcPr>
            <w:tcW w:w="900" w:type="dxa"/>
            <w:vAlign w:val="bottom"/>
            <w:tcBorders>
              <w:right w:val="single" w:sz="8" w:color="auto"/>
            </w:tcBorders>
            <w:vMerge w:val="continue"/>
          </w:tcPr>
          <w:p>
            <w:pPr>
              <w:spacing w:after="0"/>
              <w:rPr>
                <w:sz w:val="4"/>
                <w:szCs w:val="4"/>
                <w:color w:val="auto"/>
              </w:rPr>
            </w:pPr>
          </w:p>
        </w:tc>
        <w:tc>
          <w:tcPr>
            <w:tcW w:w="8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2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REPORTING</w:t>
            </w:r>
          </w:p>
        </w:tc>
        <w:tc>
          <w:tcPr>
            <w:tcW w:w="900" w:type="dxa"/>
            <w:vAlign w:val="bottom"/>
            <w:tcBorders>
              <w:right w:val="single" w:sz="8" w:color="auto"/>
            </w:tcBorders>
            <w:vMerge w:val="continue"/>
          </w:tcPr>
          <w:p>
            <w:pPr>
              <w:spacing w:after="0"/>
              <w:rPr>
                <w:sz w:val="18"/>
                <w:szCs w:val="18"/>
                <w:color w:val="auto"/>
              </w:rPr>
            </w:pPr>
          </w:p>
        </w:tc>
        <w:tc>
          <w:tcPr>
            <w:tcW w:w="8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51"/>
        </w:trPr>
        <w:tc>
          <w:tcPr>
            <w:tcW w:w="224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PERSON WITH</w:t>
            </w:r>
          </w:p>
        </w:tc>
        <w:tc>
          <w:tcPr>
            <w:tcW w:w="900" w:type="dxa"/>
            <w:vAlign w:val="bottom"/>
            <w:tcBorders>
              <w:bottom w:val="single" w:sz="8" w:color="auto"/>
              <w:right w:val="single" w:sz="8" w:color="auto"/>
            </w:tcBorders>
          </w:tcPr>
          <w:p>
            <w:pPr>
              <w:spacing w:after="0"/>
              <w:rPr>
                <w:sz w:val="13"/>
                <w:szCs w:val="13"/>
                <w:color w:val="auto"/>
              </w:rPr>
            </w:pPr>
          </w:p>
        </w:tc>
        <w:tc>
          <w:tcPr>
            <w:tcW w:w="8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2240" w:type="dxa"/>
            <w:vAlign w:val="bottom"/>
            <w:tcBorders>
              <w:right w:val="single" w:sz="8" w:color="auto"/>
            </w:tcBorders>
            <w:gridSpan w:val="2"/>
            <w:vMerge w:val="continue"/>
          </w:tcPr>
          <w:p>
            <w:pPr>
              <w:spacing w:after="0"/>
              <w:rPr>
                <w:sz w:val="5"/>
                <w:szCs w:val="5"/>
                <w:color w:val="auto"/>
              </w:rPr>
            </w:pPr>
          </w:p>
        </w:tc>
        <w:tc>
          <w:tcPr>
            <w:tcW w:w="900" w:type="dxa"/>
            <w:vAlign w:val="bottom"/>
            <w:tcBorders>
              <w:right w:val="single" w:sz="8" w:color="auto"/>
            </w:tcBorders>
            <w:vMerge w:val="restart"/>
          </w:tcPr>
          <w:p>
            <w:pPr>
              <w:jc w:val="right"/>
              <w:ind w:right="218"/>
              <w:spacing w:after="0"/>
              <w:rPr>
                <w:sz w:val="20"/>
                <w:szCs w:val="20"/>
                <w:color w:val="auto"/>
              </w:rPr>
            </w:pPr>
            <w:r>
              <w:rPr>
                <w:rFonts w:ascii="Times New Roman" w:cs="Times New Roman" w:eastAsia="Times New Roman" w:hAnsi="Times New Roman"/>
                <w:sz w:val="32"/>
                <w:szCs w:val="32"/>
                <w:b w:val="1"/>
                <w:bCs w:val="1"/>
                <w:color w:val="auto"/>
              </w:rPr>
              <w:t>8</w:t>
            </w:r>
          </w:p>
        </w:tc>
        <w:tc>
          <w:tcPr>
            <w:tcW w:w="81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0" w:type="dxa"/>
            <w:vAlign w:val="bottom"/>
          </w:tcPr>
          <w:p>
            <w:pPr>
              <w:spacing w:after="0"/>
              <w:rPr>
                <w:sz w:val="1"/>
                <w:szCs w:val="1"/>
                <w:color w:val="auto"/>
              </w:rPr>
            </w:pPr>
          </w:p>
        </w:tc>
      </w:tr>
      <w:tr>
        <w:trPr>
          <w:trHeight w:val="171"/>
        </w:trPr>
        <w:tc>
          <w:tcPr>
            <w:tcW w:w="820" w:type="dxa"/>
            <w:vAlign w:val="bottom"/>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vMerge w:val="continue"/>
          </w:tcPr>
          <w:p>
            <w:pPr>
              <w:spacing w:after="0"/>
              <w:rPr>
                <w:sz w:val="14"/>
                <w:szCs w:val="14"/>
                <w:color w:val="auto"/>
              </w:rPr>
            </w:pPr>
          </w:p>
        </w:tc>
        <w:tc>
          <w:tcPr>
            <w:tcW w:w="8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2"/>
        </w:trPr>
        <w:tc>
          <w:tcPr>
            <w:tcW w:w="820" w:type="dxa"/>
            <w:vAlign w:val="bottom"/>
          </w:tcPr>
          <w:p>
            <w:pPr>
              <w:spacing w:after="0"/>
              <w:rPr>
                <w:sz w:val="24"/>
                <w:szCs w:val="24"/>
                <w:color w:val="auto"/>
              </w:rPr>
            </w:pPr>
          </w:p>
        </w:tc>
        <w:tc>
          <w:tcPr>
            <w:tcW w:w="142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vMerge w:val="continue"/>
          </w:tcPr>
          <w:p>
            <w:pPr>
              <w:spacing w:after="0"/>
              <w:rPr>
                <w:sz w:val="24"/>
                <w:szCs w:val="24"/>
                <w:color w:val="auto"/>
              </w:rPr>
            </w:pPr>
          </w:p>
        </w:tc>
        <w:tc>
          <w:tcPr>
            <w:tcW w:w="8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See Row 6 above</w:t>
            </w:r>
          </w:p>
        </w:tc>
        <w:tc>
          <w:tcPr>
            <w:tcW w:w="0" w:type="dxa"/>
            <w:vAlign w:val="bottom"/>
          </w:tcPr>
          <w:p>
            <w:pPr>
              <w:spacing w:after="0"/>
              <w:rPr>
                <w:sz w:val="1"/>
                <w:szCs w:val="1"/>
                <w:color w:val="auto"/>
              </w:rPr>
            </w:pPr>
          </w:p>
        </w:tc>
      </w:tr>
      <w:tr>
        <w:trPr>
          <w:trHeight w:val="115"/>
        </w:trPr>
        <w:tc>
          <w:tcPr>
            <w:tcW w:w="820" w:type="dxa"/>
            <w:vAlign w:val="bottom"/>
            <w:tcBorders>
              <w:bottom w:val="single" w:sz="8" w:color="auto"/>
            </w:tcBorders>
          </w:tcPr>
          <w:p>
            <w:pPr>
              <w:spacing w:after="0"/>
              <w:rPr>
                <w:sz w:val="10"/>
                <w:szCs w:val="10"/>
                <w:color w:val="auto"/>
              </w:rPr>
            </w:pPr>
          </w:p>
        </w:tc>
        <w:tc>
          <w:tcPr>
            <w:tcW w:w="1420" w:type="dxa"/>
            <w:vAlign w:val="bottom"/>
            <w:tcBorders>
              <w:bottom w:val="single" w:sz="8" w:color="auto"/>
              <w:right w:val="single" w:sz="8" w:color="auto"/>
            </w:tcBorders>
          </w:tcPr>
          <w:p>
            <w:pPr>
              <w:spacing w:after="0"/>
              <w:rPr>
                <w:sz w:val="10"/>
                <w:szCs w:val="10"/>
                <w:color w:val="auto"/>
              </w:rPr>
            </w:pPr>
          </w:p>
        </w:tc>
        <w:tc>
          <w:tcPr>
            <w:tcW w:w="900" w:type="dxa"/>
            <w:vAlign w:val="bottom"/>
            <w:tcBorders>
              <w:bottom w:val="single" w:sz="8" w:color="auto"/>
              <w:right w:val="single" w:sz="8" w:color="auto"/>
            </w:tcBorders>
          </w:tcPr>
          <w:p>
            <w:pPr>
              <w:spacing w:after="0"/>
              <w:rPr>
                <w:sz w:val="10"/>
                <w:szCs w:val="10"/>
                <w:color w:val="auto"/>
              </w:rPr>
            </w:pPr>
          </w:p>
        </w:tc>
        <w:tc>
          <w:tcPr>
            <w:tcW w:w="8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8"/>
        </w:trPr>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32"/>
                <w:szCs w:val="32"/>
                <w:b w:val="1"/>
                <w:bCs w:val="1"/>
                <w:color w:val="auto"/>
              </w:rPr>
              <w:t>9</w:t>
            </w:r>
          </w:p>
        </w:tc>
        <w:tc>
          <w:tcPr>
            <w:tcW w:w="10420" w:type="dxa"/>
            <w:vAlign w:val="bottom"/>
            <w:gridSpan w:val="3"/>
          </w:tcPr>
          <w:p>
            <w:pPr>
              <w:ind w:left="56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302"/>
        </w:trPr>
        <w:tc>
          <w:tcPr>
            <w:tcW w:w="820" w:type="dxa"/>
            <w:vAlign w:val="bottom"/>
            <w:vMerge w:val="continue"/>
          </w:tcPr>
          <w:p>
            <w:pPr>
              <w:spacing w:after="0"/>
              <w:rPr>
                <w:sz w:val="24"/>
                <w:szCs w:val="24"/>
                <w:color w:val="auto"/>
              </w:rPr>
            </w:pPr>
          </w:p>
        </w:tc>
        <w:tc>
          <w:tcPr>
            <w:tcW w:w="23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See Row 6 above</w:t>
            </w:r>
          </w:p>
        </w:tc>
        <w:tc>
          <w:tcPr>
            <w:tcW w:w="8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p>
      <w:pPr>
        <w:ind w:left="520"/>
        <w:spacing w:after="0" w:line="379" w:lineRule="exact"/>
        <w:tabs>
          <w:tab w:leader="none" w:pos="1360" w:val="left"/>
        </w:tabs>
        <w:rPr>
          <w:sz w:val="20"/>
          <w:szCs w:val="20"/>
          <w:color w:val="auto"/>
        </w:rPr>
      </w:pPr>
      <w:r>
        <w:rPr>
          <w:rFonts w:ascii="Times New Roman" w:cs="Times New Roman" w:eastAsia="Times New Roman" w:hAnsi="Times New Roman"/>
          <w:sz w:val="32"/>
          <w:szCs w:val="32"/>
          <w:b w:val="1"/>
          <w:bCs w:val="1"/>
          <w:color w:val="auto"/>
        </w:rPr>
        <w:t>10</w:t>
      </w:r>
      <w:r>
        <w:rPr>
          <w:sz w:val="20"/>
          <w:szCs w:val="20"/>
          <w:color w:val="auto"/>
        </w:rPr>
        <w:tab/>
      </w:r>
      <w:r>
        <w:rPr>
          <w:rFonts w:ascii="MS PGothic" w:cs="MS PGothic" w:eastAsia="MS PGothic" w:hAnsi="MS PGothic"/>
          <w:sz w:val="36"/>
          <w:szCs w:val="36"/>
          <w:color w:val="auto"/>
          <w:vertAlign w:val="subscript"/>
        </w:rPr>
        <w:t>☐</w:t>
      </w:r>
    </w:p>
    <w:p>
      <w:pPr>
        <w:spacing w:after="0" w:line="122"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p>
      <w:pPr>
        <w:ind w:left="540"/>
        <w:spacing w:after="0" w:line="181" w:lineRule="auto"/>
        <w:tabs>
          <w:tab w:leader="none" w:pos="1400" w:val="left"/>
        </w:tabs>
        <w:rPr>
          <w:sz w:val="20"/>
          <w:szCs w:val="20"/>
          <w:color w:val="auto"/>
        </w:rPr>
      </w:pPr>
      <w:r>
        <w:rPr>
          <w:rFonts w:ascii="Times New Roman" w:cs="Times New Roman" w:eastAsia="Times New Roman" w:hAnsi="Times New Roman"/>
          <w:sz w:val="27"/>
          <w:szCs w:val="27"/>
          <w:b w:val="1"/>
          <w:bCs w:val="1"/>
          <w:color w:val="auto"/>
          <w:vertAlign w:val="superscript"/>
        </w:rPr>
        <w:t>11</w:t>
      </w:r>
      <w:r>
        <w:rPr>
          <w:sz w:val="20"/>
          <w:szCs w:val="20"/>
          <w:color w:val="auto"/>
        </w:rPr>
        <w:tab/>
      </w:r>
      <w:r>
        <w:rPr>
          <w:rFonts w:ascii="Times New Roman" w:cs="Times New Roman" w:eastAsia="Times New Roman" w:hAnsi="Times New Roman"/>
          <w:sz w:val="14"/>
          <w:szCs w:val="14"/>
          <w:color w:val="auto"/>
        </w:rPr>
        <w:t>5.70%</w:t>
      </w:r>
    </w:p>
    <w:p>
      <w:pPr>
        <w:spacing w:after="0" w:line="23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p>
      <w:pPr>
        <w:ind w:left="520"/>
        <w:spacing w:after="0" w:line="181" w:lineRule="auto"/>
        <w:tabs>
          <w:tab w:leader="none" w:pos="1400" w:val="left"/>
        </w:tabs>
        <w:rPr>
          <w:sz w:val="20"/>
          <w:szCs w:val="20"/>
          <w:color w:val="auto"/>
        </w:rPr>
      </w:pPr>
      <w:r>
        <w:rPr>
          <w:rFonts w:ascii="Times New Roman" w:cs="Times New Roman" w:eastAsia="Times New Roman" w:hAnsi="Times New Roman"/>
          <w:sz w:val="27"/>
          <w:szCs w:val="27"/>
          <w:b w:val="1"/>
          <w:bCs w:val="1"/>
          <w:color w:val="auto"/>
          <w:vertAlign w:val="superscript"/>
        </w:rPr>
        <w:t>12</w:t>
      </w:r>
      <w:r>
        <w:rPr>
          <w:sz w:val="20"/>
          <w:szCs w:val="20"/>
          <w:color w:val="auto"/>
        </w:rPr>
        <w:tab/>
      </w:r>
      <w:r>
        <w:rPr>
          <w:rFonts w:ascii="Times New Roman" w:cs="Times New Roman" w:eastAsia="Times New Roman" w:hAnsi="Times New Roman"/>
          <w:sz w:val="14"/>
          <w:szCs w:val="14"/>
          <w:color w:val="auto"/>
        </w:rPr>
        <w:t>IA;OO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 w:name="page3"/>
    <w:bookmarkEnd w:id="2"/>
    <w:p>
      <w:pPr>
        <w:ind w:left="13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52978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5297805"/>
                    </a:xfrm>
                    <a:prstGeom prst="rect">
                      <a:avLst/>
                    </a:prstGeom>
                    <a:noFill/>
                  </pic:spPr>
                </pic:pic>
              </a:graphicData>
            </a:graphic>
          </wp:anchor>
        </w:drawing>
        <w:t>NAMES OF REPORTING PERSONS</w:t>
      </w:r>
    </w:p>
    <w:p>
      <w:pPr>
        <w:spacing w:after="0" w:line="31" w:lineRule="exact"/>
        <w:rPr>
          <w:sz w:val="20"/>
          <w:szCs w:val="20"/>
          <w:color w:val="auto"/>
        </w:rPr>
      </w:pPr>
    </w:p>
    <w:p>
      <w:pPr>
        <w:ind w:left="1420" w:right="3980" w:hanging="811"/>
        <w:spacing w:after="0" w:line="181" w:lineRule="auto"/>
        <w:tabs>
          <w:tab w:leader="none" w:pos="1378" w:val="left"/>
        </w:tabs>
        <w:numPr>
          <w:ilvl w:val="0"/>
          <w:numId w:val="4"/>
        </w:numPr>
        <w:rPr>
          <w:rFonts w:ascii="Times New Roman" w:cs="Times New Roman" w:eastAsia="Times New Roman" w:hAnsi="Times New Roman"/>
          <w:sz w:val="46"/>
          <w:szCs w:val="46"/>
          <w:b w:val="1"/>
          <w:bCs w:val="1"/>
          <w:color w:val="auto"/>
          <w:vertAlign w:val="subscript"/>
        </w:rPr>
      </w:pPr>
      <w:r>
        <w:rPr>
          <w:rFonts w:ascii="Times New Roman" w:cs="Times New Roman" w:eastAsia="Times New Roman" w:hAnsi="Times New Roman"/>
          <w:sz w:val="16"/>
          <w:szCs w:val="16"/>
          <w:b w:val="1"/>
          <w:bCs w:val="1"/>
          <w:color w:val="auto"/>
        </w:rPr>
        <w:t xml:space="preserve">I.R.S. IDENTIFICATION NOS. OF ABOVE PERSONS (ENTITIES ONLY) </w:t>
      </w:r>
      <w:r>
        <w:rPr>
          <w:rFonts w:ascii="Times New Roman" w:cs="Times New Roman" w:eastAsia="Times New Roman" w:hAnsi="Times New Roman"/>
          <w:sz w:val="16"/>
          <w:szCs w:val="16"/>
          <w:color w:val="auto"/>
        </w:rPr>
        <w:t>Telemark Fund, LP</w:t>
      </w:r>
    </w:p>
    <w:p>
      <w:pPr>
        <w:spacing w:after="0" w:line="92"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p>
      <w:pPr>
        <w:ind w:left="600"/>
        <w:spacing w:after="0" w:line="265" w:lineRule="exact"/>
        <w:tabs>
          <w:tab w:leader="none" w:pos="1360" w:val="left"/>
        </w:tabs>
        <w:rPr>
          <w:sz w:val="20"/>
          <w:szCs w:val="20"/>
          <w:color w:val="auto"/>
        </w:rPr>
      </w:pPr>
      <w:r>
        <w:rPr>
          <w:rFonts w:ascii="Times New Roman" w:cs="Times New Roman" w:eastAsia="Times New Roman" w:hAnsi="Times New Roman"/>
          <w:sz w:val="30"/>
          <w:szCs w:val="30"/>
          <w:b w:val="1"/>
          <w:bCs w:val="1"/>
          <w:color w:val="auto"/>
        </w:rPr>
        <w:t>2</w:t>
      </w:r>
      <w:r>
        <w:rPr>
          <w:sz w:val="20"/>
          <w:szCs w:val="20"/>
          <w:color w:val="auto"/>
        </w:rPr>
        <w:tab/>
      </w:r>
      <w:r>
        <w:rPr>
          <w:rFonts w:ascii="Times New Roman" w:cs="Times New Roman" w:eastAsia="Times New Roman" w:hAnsi="Times New Roman"/>
          <w:sz w:val="17"/>
          <w:szCs w:val="17"/>
          <w:color w:val="auto"/>
        </w:rPr>
        <w:t>(a)</w:t>
      </w:r>
      <w:r>
        <w:rPr>
          <w:rFonts w:ascii="MS PGothic" w:cs="MS PGothic" w:eastAsia="MS PGothic" w:hAnsi="MS PGothic"/>
          <w:sz w:val="17"/>
          <w:szCs w:val="17"/>
          <w:color w:val="auto"/>
        </w:rPr>
        <w:t>☐</w:t>
      </w:r>
    </w:p>
    <w:p>
      <w:pPr>
        <w:spacing w:after="0" w:line="1" w:lineRule="exact"/>
        <w:rPr>
          <w:sz w:val="20"/>
          <w:szCs w:val="20"/>
          <w:color w:val="auto"/>
        </w:rPr>
      </w:pPr>
    </w:p>
    <w:p>
      <w:pPr>
        <w:ind w:left="138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p>
      <w:pPr>
        <w:ind w:left="1380"/>
        <w:spacing w:after="0" w:line="198" w:lineRule="auto"/>
        <w:rPr>
          <w:sz w:val="20"/>
          <w:szCs w:val="20"/>
          <w:color w:val="auto"/>
        </w:rPr>
      </w:pPr>
      <w:r>
        <w:rPr>
          <w:rFonts w:ascii="Times New Roman" w:cs="Times New Roman" w:eastAsia="Times New Roman" w:hAnsi="Times New Roman"/>
          <w:sz w:val="18"/>
          <w:szCs w:val="18"/>
          <w:b w:val="1"/>
          <w:bCs w:val="1"/>
          <w:color w:val="auto"/>
        </w:rPr>
        <w:t>SEC USE ONLY</w:t>
      </w:r>
    </w:p>
    <w:p>
      <w:pPr>
        <w:ind w:left="600"/>
        <w:spacing w:after="0"/>
        <w:rPr>
          <w:sz w:val="20"/>
          <w:szCs w:val="20"/>
          <w:color w:val="auto"/>
        </w:rPr>
      </w:pPr>
      <w:r>
        <w:rPr>
          <w:rFonts w:ascii="Times New Roman" w:cs="Times New Roman" w:eastAsia="Times New Roman" w:hAnsi="Times New Roman"/>
          <w:sz w:val="32"/>
          <w:szCs w:val="32"/>
          <w:b w:val="1"/>
          <w:bCs w:val="1"/>
          <w:color w:val="auto"/>
        </w:rPr>
        <w:t>3</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32"/>
                <w:szCs w:val="32"/>
                <w:b w:val="1"/>
                <w:bCs w:val="1"/>
                <w:color w:val="auto"/>
              </w:rPr>
              <w:t>4</w:t>
            </w:r>
          </w:p>
        </w:tc>
        <w:tc>
          <w:tcPr>
            <w:tcW w:w="10420" w:type="dxa"/>
            <w:vAlign w:val="bottom"/>
            <w:gridSpan w:val="3"/>
          </w:tcPr>
          <w:p>
            <w:pPr>
              <w:ind w:left="56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324"/>
        </w:trPr>
        <w:tc>
          <w:tcPr>
            <w:tcW w:w="820" w:type="dxa"/>
            <w:vAlign w:val="bottom"/>
            <w:vMerge w:val="continue"/>
          </w:tcPr>
          <w:p>
            <w:pPr>
              <w:spacing w:after="0"/>
              <w:rPr>
                <w:sz w:val="24"/>
                <w:szCs w:val="24"/>
                <w:color w:val="auto"/>
              </w:rPr>
            </w:pPr>
          </w:p>
        </w:tc>
        <w:tc>
          <w:tcPr>
            <w:tcW w:w="14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Delaware</w:t>
            </w:r>
          </w:p>
        </w:tc>
        <w:tc>
          <w:tcPr>
            <w:tcW w:w="90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2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8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8"/>
        </w:trPr>
        <w:tc>
          <w:tcPr>
            <w:tcW w:w="820" w:type="dxa"/>
            <w:vAlign w:val="bottom"/>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vMerge w:val="restart"/>
          </w:tcPr>
          <w:p>
            <w:pPr>
              <w:jc w:val="right"/>
              <w:ind w:right="218"/>
              <w:spacing w:after="0"/>
              <w:rPr>
                <w:sz w:val="20"/>
                <w:szCs w:val="20"/>
                <w:color w:val="auto"/>
              </w:rPr>
            </w:pPr>
            <w:r>
              <w:rPr>
                <w:rFonts w:ascii="Times New Roman" w:cs="Times New Roman" w:eastAsia="Times New Roman" w:hAnsi="Times New Roman"/>
                <w:sz w:val="32"/>
                <w:szCs w:val="32"/>
                <w:b w:val="1"/>
                <w:bCs w:val="1"/>
                <w:color w:val="auto"/>
              </w:rPr>
              <w:t>5</w:t>
            </w:r>
          </w:p>
        </w:tc>
        <w:tc>
          <w:tcPr>
            <w:tcW w:w="8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0" w:type="dxa"/>
            <w:vAlign w:val="bottom"/>
          </w:tcPr>
          <w:p>
            <w:pPr>
              <w:spacing w:after="0"/>
              <w:rPr>
                <w:sz w:val="1"/>
                <w:szCs w:val="1"/>
                <w:color w:val="auto"/>
              </w:rPr>
            </w:pPr>
          </w:p>
        </w:tc>
      </w:tr>
      <w:tr>
        <w:trPr>
          <w:trHeight w:val="302"/>
        </w:trPr>
        <w:tc>
          <w:tcPr>
            <w:tcW w:w="820" w:type="dxa"/>
            <w:vAlign w:val="bottom"/>
          </w:tcPr>
          <w:p>
            <w:pPr>
              <w:spacing w:after="0"/>
              <w:rPr>
                <w:sz w:val="24"/>
                <w:szCs w:val="24"/>
                <w:color w:val="auto"/>
              </w:rPr>
            </w:pPr>
          </w:p>
        </w:tc>
        <w:tc>
          <w:tcPr>
            <w:tcW w:w="142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vMerge w:val="continue"/>
          </w:tcPr>
          <w:p>
            <w:pPr>
              <w:spacing w:after="0"/>
              <w:rPr>
                <w:sz w:val="24"/>
                <w:szCs w:val="24"/>
                <w:color w:val="auto"/>
              </w:rPr>
            </w:pPr>
          </w:p>
        </w:tc>
        <w:tc>
          <w:tcPr>
            <w:tcW w:w="8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15"/>
        </w:trPr>
        <w:tc>
          <w:tcPr>
            <w:tcW w:w="224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900" w:type="dxa"/>
            <w:vAlign w:val="bottom"/>
            <w:tcBorders>
              <w:bottom w:val="single" w:sz="8" w:color="auto"/>
              <w:right w:val="single" w:sz="8" w:color="auto"/>
            </w:tcBorders>
          </w:tcPr>
          <w:p>
            <w:pPr>
              <w:spacing w:after="0"/>
              <w:rPr>
                <w:sz w:val="10"/>
                <w:szCs w:val="10"/>
                <w:color w:val="auto"/>
              </w:rPr>
            </w:pPr>
          </w:p>
        </w:tc>
        <w:tc>
          <w:tcPr>
            <w:tcW w:w="8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240" w:type="dxa"/>
            <w:vAlign w:val="bottom"/>
            <w:tcBorders>
              <w:right w:val="single" w:sz="8" w:color="auto"/>
            </w:tcBorders>
            <w:gridSpan w:val="2"/>
            <w:vMerge w:val="continue"/>
          </w:tcPr>
          <w:p>
            <w:pPr>
              <w:spacing w:after="0"/>
              <w:rPr>
                <w:sz w:val="8"/>
                <w:szCs w:val="8"/>
                <w:color w:val="auto"/>
              </w:rPr>
            </w:pPr>
          </w:p>
        </w:tc>
        <w:tc>
          <w:tcPr>
            <w:tcW w:w="900" w:type="dxa"/>
            <w:vAlign w:val="bottom"/>
            <w:tcBorders>
              <w:right w:val="single" w:sz="8" w:color="auto"/>
            </w:tcBorders>
            <w:vMerge w:val="restart"/>
          </w:tcPr>
          <w:p>
            <w:pPr>
              <w:jc w:val="right"/>
              <w:ind w:right="218"/>
              <w:spacing w:after="0"/>
              <w:rPr>
                <w:sz w:val="20"/>
                <w:szCs w:val="20"/>
                <w:color w:val="auto"/>
              </w:rPr>
            </w:pPr>
            <w:r>
              <w:rPr>
                <w:rFonts w:ascii="Times New Roman" w:cs="Times New Roman" w:eastAsia="Times New Roman" w:hAnsi="Times New Roman"/>
                <w:sz w:val="32"/>
                <w:szCs w:val="32"/>
                <w:b w:val="1"/>
                <w:bCs w:val="1"/>
                <w:color w:val="auto"/>
              </w:rPr>
              <w:t>6</w:t>
            </w:r>
          </w:p>
        </w:tc>
        <w:tc>
          <w:tcPr>
            <w:tcW w:w="81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139"/>
        </w:trPr>
        <w:tc>
          <w:tcPr>
            <w:tcW w:w="224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900" w:type="dxa"/>
            <w:vAlign w:val="bottom"/>
            <w:tcBorders>
              <w:right w:val="single" w:sz="8" w:color="auto"/>
            </w:tcBorders>
            <w:vMerge w:val="continue"/>
          </w:tcPr>
          <w:p>
            <w:pPr>
              <w:spacing w:after="0"/>
              <w:rPr>
                <w:sz w:val="12"/>
                <w:szCs w:val="12"/>
                <w:color w:val="auto"/>
              </w:rPr>
            </w:pPr>
          </w:p>
        </w:tc>
        <w:tc>
          <w:tcPr>
            <w:tcW w:w="8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240" w:type="dxa"/>
            <w:vAlign w:val="bottom"/>
            <w:tcBorders>
              <w:right w:val="single" w:sz="8" w:color="auto"/>
            </w:tcBorders>
            <w:gridSpan w:val="2"/>
            <w:vMerge w:val="continue"/>
          </w:tcPr>
          <w:p>
            <w:pPr>
              <w:spacing w:after="0"/>
              <w:rPr>
                <w:sz w:val="6"/>
                <w:szCs w:val="6"/>
                <w:color w:val="auto"/>
              </w:rPr>
            </w:pPr>
          </w:p>
        </w:tc>
        <w:tc>
          <w:tcPr>
            <w:tcW w:w="900" w:type="dxa"/>
            <w:vAlign w:val="bottom"/>
            <w:tcBorders>
              <w:right w:val="single" w:sz="8" w:color="auto"/>
            </w:tcBorders>
            <w:vMerge w:val="continue"/>
          </w:tcPr>
          <w:p>
            <w:pPr>
              <w:spacing w:after="0"/>
              <w:rPr>
                <w:sz w:val="6"/>
                <w:szCs w:val="6"/>
                <w:color w:val="auto"/>
              </w:rPr>
            </w:pPr>
          </w:p>
        </w:tc>
        <w:tc>
          <w:tcPr>
            <w:tcW w:w="81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8,282,490 shares</w:t>
            </w:r>
          </w:p>
        </w:tc>
        <w:tc>
          <w:tcPr>
            <w:tcW w:w="0" w:type="dxa"/>
            <w:vAlign w:val="bottom"/>
          </w:tcPr>
          <w:p>
            <w:pPr>
              <w:spacing w:after="0"/>
              <w:rPr>
                <w:sz w:val="1"/>
                <w:szCs w:val="1"/>
                <w:color w:val="auto"/>
              </w:rPr>
            </w:pPr>
          </w:p>
        </w:tc>
      </w:tr>
      <w:tr>
        <w:trPr>
          <w:trHeight w:val="216"/>
        </w:trPr>
        <w:tc>
          <w:tcPr>
            <w:tcW w:w="22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900" w:type="dxa"/>
            <w:vAlign w:val="bottom"/>
            <w:tcBorders>
              <w:right w:val="single" w:sz="8" w:color="auto"/>
            </w:tcBorders>
            <w:vMerge w:val="continue"/>
          </w:tcPr>
          <w:p>
            <w:pPr>
              <w:spacing w:after="0"/>
              <w:rPr>
                <w:sz w:val="18"/>
                <w:szCs w:val="18"/>
                <w:color w:val="auto"/>
              </w:rPr>
            </w:pPr>
          </w:p>
        </w:tc>
        <w:tc>
          <w:tcPr>
            <w:tcW w:w="8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224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 BY</w:t>
            </w:r>
          </w:p>
        </w:tc>
        <w:tc>
          <w:tcPr>
            <w:tcW w:w="900" w:type="dxa"/>
            <w:vAlign w:val="bottom"/>
            <w:tcBorders>
              <w:bottom w:val="single" w:sz="8" w:color="auto"/>
              <w:right w:val="single" w:sz="8" w:color="auto"/>
            </w:tcBorders>
          </w:tcPr>
          <w:p>
            <w:pPr>
              <w:spacing w:after="0"/>
              <w:rPr>
                <w:sz w:val="10"/>
                <w:szCs w:val="10"/>
                <w:color w:val="auto"/>
              </w:rPr>
            </w:pPr>
          </w:p>
        </w:tc>
        <w:tc>
          <w:tcPr>
            <w:tcW w:w="8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240" w:type="dxa"/>
            <w:vAlign w:val="bottom"/>
            <w:tcBorders>
              <w:right w:val="single" w:sz="8" w:color="auto"/>
            </w:tcBorders>
            <w:gridSpan w:val="2"/>
            <w:vMerge w:val="continue"/>
          </w:tcPr>
          <w:p>
            <w:pPr>
              <w:spacing w:after="0"/>
              <w:rPr>
                <w:sz w:val="6"/>
                <w:szCs w:val="6"/>
                <w:color w:val="auto"/>
              </w:rPr>
            </w:pPr>
          </w:p>
        </w:tc>
        <w:tc>
          <w:tcPr>
            <w:tcW w:w="900" w:type="dxa"/>
            <w:vAlign w:val="bottom"/>
            <w:tcBorders>
              <w:right w:val="single" w:sz="8" w:color="auto"/>
            </w:tcBorders>
          </w:tcPr>
          <w:p>
            <w:pPr>
              <w:spacing w:after="0"/>
              <w:rPr>
                <w:sz w:val="6"/>
                <w:szCs w:val="6"/>
                <w:color w:val="auto"/>
              </w:rPr>
            </w:pPr>
          </w:p>
        </w:tc>
        <w:tc>
          <w:tcPr>
            <w:tcW w:w="81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166"/>
        </w:trPr>
        <w:tc>
          <w:tcPr>
            <w:tcW w:w="820" w:type="dxa"/>
            <w:vAlign w:val="bottom"/>
          </w:tcPr>
          <w:p>
            <w:pPr>
              <w:spacing w:after="0"/>
              <w:rPr>
                <w:sz w:val="14"/>
                <w:szCs w:val="14"/>
                <w:color w:val="auto"/>
              </w:rPr>
            </w:pPr>
          </w:p>
        </w:tc>
        <w:tc>
          <w:tcPr>
            <w:tcW w:w="1420" w:type="dxa"/>
            <w:vAlign w:val="bottom"/>
            <w:tcBorders>
              <w:right w:val="single" w:sz="8" w:color="auto"/>
            </w:tcBorders>
            <w:vMerge w:val="restart"/>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9"/>
              </w:rPr>
              <w:t>EACH</w:t>
            </w:r>
          </w:p>
        </w:tc>
        <w:tc>
          <w:tcPr>
            <w:tcW w:w="900" w:type="dxa"/>
            <w:vAlign w:val="bottom"/>
            <w:tcBorders>
              <w:right w:val="single" w:sz="8" w:color="auto"/>
            </w:tcBorders>
            <w:vMerge w:val="restart"/>
          </w:tcPr>
          <w:p>
            <w:pPr>
              <w:jc w:val="right"/>
              <w:ind w:right="218"/>
              <w:spacing w:after="0"/>
              <w:rPr>
                <w:sz w:val="20"/>
                <w:szCs w:val="20"/>
                <w:color w:val="auto"/>
              </w:rPr>
            </w:pPr>
            <w:r>
              <w:rPr>
                <w:rFonts w:ascii="Times New Roman" w:cs="Times New Roman" w:eastAsia="Times New Roman" w:hAnsi="Times New Roman"/>
                <w:sz w:val="32"/>
                <w:szCs w:val="32"/>
                <w:b w:val="1"/>
                <w:bCs w:val="1"/>
                <w:color w:val="auto"/>
              </w:rPr>
              <w:t>7</w:t>
            </w:r>
          </w:p>
        </w:tc>
        <w:tc>
          <w:tcPr>
            <w:tcW w:w="8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820" w:type="dxa"/>
            <w:vAlign w:val="bottom"/>
          </w:tcPr>
          <w:p>
            <w:pPr>
              <w:spacing w:after="0"/>
              <w:rPr>
                <w:sz w:val="4"/>
                <w:szCs w:val="4"/>
                <w:color w:val="auto"/>
              </w:rPr>
            </w:pPr>
          </w:p>
        </w:tc>
        <w:tc>
          <w:tcPr>
            <w:tcW w:w="1420" w:type="dxa"/>
            <w:vAlign w:val="bottom"/>
            <w:tcBorders>
              <w:right w:val="single" w:sz="8" w:color="auto"/>
            </w:tcBorders>
            <w:vMerge w:val="continue"/>
          </w:tcPr>
          <w:p>
            <w:pPr>
              <w:spacing w:after="0"/>
              <w:rPr>
                <w:sz w:val="4"/>
                <w:szCs w:val="4"/>
                <w:color w:val="auto"/>
              </w:rPr>
            </w:pPr>
          </w:p>
        </w:tc>
        <w:tc>
          <w:tcPr>
            <w:tcW w:w="900" w:type="dxa"/>
            <w:vAlign w:val="bottom"/>
            <w:tcBorders>
              <w:right w:val="single" w:sz="8" w:color="auto"/>
            </w:tcBorders>
            <w:vMerge w:val="continue"/>
          </w:tcPr>
          <w:p>
            <w:pPr>
              <w:spacing w:after="0"/>
              <w:rPr>
                <w:sz w:val="4"/>
                <w:szCs w:val="4"/>
                <w:color w:val="auto"/>
              </w:rPr>
            </w:pPr>
          </w:p>
        </w:tc>
        <w:tc>
          <w:tcPr>
            <w:tcW w:w="8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2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REPORTING</w:t>
            </w:r>
          </w:p>
        </w:tc>
        <w:tc>
          <w:tcPr>
            <w:tcW w:w="900" w:type="dxa"/>
            <w:vAlign w:val="bottom"/>
            <w:tcBorders>
              <w:right w:val="single" w:sz="8" w:color="auto"/>
            </w:tcBorders>
            <w:vMerge w:val="continue"/>
          </w:tcPr>
          <w:p>
            <w:pPr>
              <w:spacing w:after="0"/>
              <w:rPr>
                <w:sz w:val="18"/>
                <w:szCs w:val="18"/>
                <w:color w:val="auto"/>
              </w:rPr>
            </w:pPr>
          </w:p>
        </w:tc>
        <w:tc>
          <w:tcPr>
            <w:tcW w:w="8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51"/>
        </w:trPr>
        <w:tc>
          <w:tcPr>
            <w:tcW w:w="224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PERSON WITH</w:t>
            </w:r>
          </w:p>
        </w:tc>
        <w:tc>
          <w:tcPr>
            <w:tcW w:w="900" w:type="dxa"/>
            <w:vAlign w:val="bottom"/>
            <w:tcBorders>
              <w:bottom w:val="single" w:sz="8" w:color="auto"/>
              <w:right w:val="single" w:sz="8" w:color="auto"/>
            </w:tcBorders>
          </w:tcPr>
          <w:p>
            <w:pPr>
              <w:spacing w:after="0"/>
              <w:rPr>
                <w:sz w:val="13"/>
                <w:szCs w:val="13"/>
                <w:color w:val="auto"/>
              </w:rPr>
            </w:pPr>
          </w:p>
        </w:tc>
        <w:tc>
          <w:tcPr>
            <w:tcW w:w="8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2240" w:type="dxa"/>
            <w:vAlign w:val="bottom"/>
            <w:tcBorders>
              <w:right w:val="single" w:sz="8" w:color="auto"/>
            </w:tcBorders>
            <w:gridSpan w:val="2"/>
            <w:vMerge w:val="continue"/>
          </w:tcPr>
          <w:p>
            <w:pPr>
              <w:spacing w:after="0"/>
              <w:rPr>
                <w:sz w:val="5"/>
                <w:szCs w:val="5"/>
                <w:color w:val="auto"/>
              </w:rPr>
            </w:pPr>
          </w:p>
        </w:tc>
        <w:tc>
          <w:tcPr>
            <w:tcW w:w="900" w:type="dxa"/>
            <w:vAlign w:val="bottom"/>
            <w:tcBorders>
              <w:right w:val="single" w:sz="8" w:color="auto"/>
            </w:tcBorders>
            <w:vMerge w:val="restart"/>
          </w:tcPr>
          <w:p>
            <w:pPr>
              <w:jc w:val="right"/>
              <w:ind w:right="218"/>
              <w:spacing w:after="0"/>
              <w:rPr>
                <w:sz w:val="20"/>
                <w:szCs w:val="20"/>
                <w:color w:val="auto"/>
              </w:rPr>
            </w:pPr>
            <w:r>
              <w:rPr>
                <w:rFonts w:ascii="Times New Roman" w:cs="Times New Roman" w:eastAsia="Times New Roman" w:hAnsi="Times New Roman"/>
                <w:sz w:val="32"/>
                <w:szCs w:val="32"/>
                <w:b w:val="1"/>
                <w:bCs w:val="1"/>
                <w:color w:val="auto"/>
              </w:rPr>
              <w:t>8</w:t>
            </w:r>
          </w:p>
        </w:tc>
        <w:tc>
          <w:tcPr>
            <w:tcW w:w="81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0" w:type="dxa"/>
            <w:vAlign w:val="bottom"/>
          </w:tcPr>
          <w:p>
            <w:pPr>
              <w:spacing w:after="0"/>
              <w:rPr>
                <w:sz w:val="1"/>
                <w:szCs w:val="1"/>
                <w:color w:val="auto"/>
              </w:rPr>
            </w:pPr>
          </w:p>
        </w:tc>
      </w:tr>
      <w:tr>
        <w:trPr>
          <w:trHeight w:val="171"/>
        </w:trPr>
        <w:tc>
          <w:tcPr>
            <w:tcW w:w="820" w:type="dxa"/>
            <w:vAlign w:val="bottom"/>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vMerge w:val="continue"/>
          </w:tcPr>
          <w:p>
            <w:pPr>
              <w:spacing w:after="0"/>
              <w:rPr>
                <w:sz w:val="14"/>
                <w:szCs w:val="14"/>
                <w:color w:val="auto"/>
              </w:rPr>
            </w:pPr>
          </w:p>
        </w:tc>
        <w:tc>
          <w:tcPr>
            <w:tcW w:w="8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2"/>
        </w:trPr>
        <w:tc>
          <w:tcPr>
            <w:tcW w:w="820" w:type="dxa"/>
            <w:vAlign w:val="bottom"/>
          </w:tcPr>
          <w:p>
            <w:pPr>
              <w:spacing w:after="0"/>
              <w:rPr>
                <w:sz w:val="24"/>
                <w:szCs w:val="24"/>
                <w:color w:val="auto"/>
              </w:rPr>
            </w:pPr>
          </w:p>
        </w:tc>
        <w:tc>
          <w:tcPr>
            <w:tcW w:w="142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vMerge w:val="continue"/>
          </w:tcPr>
          <w:p>
            <w:pPr>
              <w:spacing w:after="0"/>
              <w:rPr>
                <w:sz w:val="24"/>
                <w:szCs w:val="24"/>
                <w:color w:val="auto"/>
              </w:rPr>
            </w:pPr>
          </w:p>
        </w:tc>
        <w:tc>
          <w:tcPr>
            <w:tcW w:w="8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See Row 6 above</w:t>
            </w:r>
          </w:p>
        </w:tc>
        <w:tc>
          <w:tcPr>
            <w:tcW w:w="0" w:type="dxa"/>
            <w:vAlign w:val="bottom"/>
          </w:tcPr>
          <w:p>
            <w:pPr>
              <w:spacing w:after="0"/>
              <w:rPr>
                <w:sz w:val="1"/>
                <w:szCs w:val="1"/>
                <w:color w:val="auto"/>
              </w:rPr>
            </w:pPr>
          </w:p>
        </w:tc>
      </w:tr>
      <w:tr>
        <w:trPr>
          <w:trHeight w:val="115"/>
        </w:trPr>
        <w:tc>
          <w:tcPr>
            <w:tcW w:w="820" w:type="dxa"/>
            <w:vAlign w:val="bottom"/>
            <w:tcBorders>
              <w:bottom w:val="single" w:sz="8" w:color="auto"/>
            </w:tcBorders>
          </w:tcPr>
          <w:p>
            <w:pPr>
              <w:spacing w:after="0"/>
              <w:rPr>
                <w:sz w:val="10"/>
                <w:szCs w:val="10"/>
                <w:color w:val="auto"/>
              </w:rPr>
            </w:pPr>
          </w:p>
        </w:tc>
        <w:tc>
          <w:tcPr>
            <w:tcW w:w="1420" w:type="dxa"/>
            <w:vAlign w:val="bottom"/>
            <w:tcBorders>
              <w:bottom w:val="single" w:sz="8" w:color="auto"/>
              <w:right w:val="single" w:sz="8" w:color="auto"/>
            </w:tcBorders>
          </w:tcPr>
          <w:p>
            <w:pPr>
              <w:spacing w:after="0"/>
              <w:rPr>
                <w:sz w:val="10"/>
                <w:szCs w:val="10"/>
                <w:color w:val="auto"/>
              </w:rPr>
            </w:pPr>
          </w:p>
        </w:tc>
        <w:tc>
          <w:tcPr>
            <w:tcW w:w="900" w:type="dxa"/>
            <w:vAlign w:val="bottom"/>
            <w:tcBorders>
              <w:bottom w:val="single" w:sz="8" w:color="auto"/>
              <w:right w:val="single" w:sz="8" w:color="auto"/>
            </w:tcBorders>
          </w:tcPr>
          <w:p>
            <w:pPr>
              <w:spacing w:after="0"/>
              <w:rPr>
                <w:sz w:val="10"/>
                <w:szCs w:val="10"/>
                <w:color w:val="auto"/>
              </w:rPr>
            </w:pPr>
          </w:p>
        </w:tc>
        <w:tc>
          <w:tcPr>
            <w:tcW w:w="8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8"/>
        </w:trPr>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32"/>
                <w:szCs w:val="32"/>
                <w:b w:val="1"/>
                <w:bCs w:val="1"/>
                <w:color w:val="auto"/>
              </w:rPr>
              <w:t>9</w:t>
            </w:r>
          </w:p>
        </w:tc>
        <w:tc>
          <w:tcPr>
            <w:tcW w:w="10420" w:type="dxa"/>
            <w:vAlign w:val="bottom"/>
            <w:gridSpan w:val="3"/>
          </w:tcPr>
          <w:p>
            <w:pPr>
              <w:ind w:left="56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302"/>
        </w:trPr>
        <w:tc>
          <w:tcPr>
            <w:tcW w:w="820" w:type="dxa"/>
            <w:vAlign w:val="bottom"/>
            <w:vMerge w:val="continue"/>
          </w:tcPr>
          <w:p>
            <w:pPr>
              <w:spacing w:after="0"/>
              <w:rPr>
                <w:sz w:val="24"/>
                <w:szCs w:val="24"/>
                <w:color w:val="auto"/>
              </w:rPr>
            </w:pPr>
          </w:p>
        </w:tc>
        <w:tc>
          <w:tcPr>
            <w:tcW w:w="23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See Row 6 above</w:t>
            </w:r>
          </w:p>
        </w:tc>
        <w:tc>
          <w:tcPr>
            <w:tcW w:w="8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p>
      <w:pPr>
        <w:ind w:left="520"/>
        <w:spacing w:after="0" w:line="379" w:lineRule="exact"/>
        <w:tabs>
          <w:tab w:leader="none" w:pos="1360" w:val="left"/>
        </w:tabs>
        <w:rPr>
          <w:sz w:val="20"/>
          <w:szCs w:val="20"/>
          <w:color w:val="auto"/>
        </w:rPr>
      </w:pPr>
      <w:r>
        <w:rPr>
          <w:rFonts w:ascii="Times New Roman" w:cs="Times New Roman" w:eastAsia="Times New Roman" w:hAnsi="Times New Roman"/>
          <w:sz w:val="32"/>
          <w:szCs w:val="32"/>
          <w:b w:val="1"/>
          <w:bCs w:val="1"/>
          <w:color w:val="auto"/>
        </w:rPr>
        <w:t>10</w:t>
      </w:r>
      <w:r>
        <w:rPr>
          <w:sz w:val="20"/>
          <w:szCs w:val="20"/>
          <w:color w:val="auto"/>
        </w:rPr>
        <w:tab/>
      </w:r>
      <w:r>
        <w:rPr>
          <w:rFonts w:ascii="MS PGothic" w:cs="MS PGothic" w:eastAsia="MS PGothic" w:hAnsi="MS PGothic"/>
          <w:sz w:val="36"/>
          <w:szCs w:val="36"/>
          <w:color w:val="auto"/>
          <w:vertAlign w:val="subscript"/>
        </w:rPr>
        <w:t>☐</w:t>
      </w:r>
    </w:p>
    <w:p>
      <w:pPr>
        <w:spacing w:after="0" w:line="122"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p>
      <w:pPr>
        <w:ind w:left="540"/>
        <w:spacing w:after="0" w:line="181" w:lineRule="auto"/>
        <w:tabs>
          <w:tab w:leader="none" w:pos="1400" w:val="left"/>
        </w:tabs>
        <w:rPr>
          <w:sz w:val="20"/>
          <w:szCs w:val="20"/>
          <w:color w:val="auto"/>
        </w:rPr>
      </w:pPr>
      <w:r>
        <w:rPr>
          <w:rFonts w:ascii="Times New Roman" w:cs="Times New Roman" w:eastAsia="Times New Roman" w:hAnsi="Times New Roman"/>
          <w:sz w:val="27"/>
          <w:szCs w:val="27"/>
          <w:b w:val="1"/>
          <w:bCs w:val="1"/>
          <w:color w:val="auto"/>
          <w:vertAlign w:val="superscript"/>
        </w:rPr>
        <w:t>11</w:t>
      </w:r>
      <w:r>
        <w:rPr>
          <w:sz w:val="20"/>
          <w:szCs w:val="20"/>
          <w:color w:val="auto"/>
        </w:rPr>
        <w:tab/>
      </w:r>
      <w:r>
        <w:rPr>
          <w:rFonts w:ascii="Times New Roman" w:cs="Times New Roman" w:eastAsia="Times New Roman" w:hAnsi="Times New Roman"/>
          <w:sz w:val="14"/>
          <w:szCs w:val="14"/>
          <w:color w:val="auto"/>
        </w:rPr>
        <w:t>5.70%</w:t>
      </w:r>
    </w:p>
    <w:p>
      <w:pPr>
        <w:spacing w:after="0" w:line="202"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p>
      <w:pPr>
        <w:ind w:left="520"/>
        <w:spacing w:after="0" w:line="237" w:lineRule="auto"/>
        <w:tabs>
          <w:tab w:leader="none" w:pos="1400" w:val="left"/>
        </w:tabs>
        <w:rPr>
          <w:sz w:val="20"/>
          <w:szCs w:val="20"/>
          <w:color w:val="auto"/>
        </w:rPr>
      </w:pPr>
      <w:r>
        <w:rPr>
          <w:rFonts w:ascii="Times New Roman" w:cs="Times New Roman" w:eastAsia="Times New Roman" w:hAnsi="Times New Roman"/>
          <w:sz w:val="32"/>
          <w:szCs w:val="32"/>
          <w:b w:val="1"/>
          <w:bCs w:val="1"/>
          <w:color w:val="auto"/>
        </w:rPr>
        <w:t>12</w:t>
      </w:r>
      <w:r>
        <w:rPr>
          <w:sz w:val="20"/>
          <w:szCs w:val="20"/>
          <w:color w:val="auto"/>
        </w:rPr>
        <w:tab/>
      </w:r>
      <w:r>
        <w:rPr>
          <w:rFonts w:ascii="Times New Roman" w:cs="Times New Roman" w:eastAsia="Times New Roman" w:hAnsi="Times New Roman"/>
          <w:sz w:val="36"/>
          <w:szCs w:val="36"/>
          <w:color w:val="auto"/>
          <w:vertAlign w:val="subscript"/>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335280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 w:name="page4"/>
    <w:bookmarkEnd w:id="3"/>
    <w:p>
      <w:pPr>
        <w:ind w:left="13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52978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5297805"/>
                    </a:xfrm>
                    <a:prstGeom prst="rect">
                      <a:avLst/>
                    </a:prstGeom>
                    <a:noFill/>
                  </pic:spPr>
                </pic:pic>
              </a:graphicData>
            </a:graphic>
          </wp:anchor>
        </w:drawing>
        <w:t>NAMES OF REPORTING PERSONS</w:t>
      </w:r>
    </w:p>
    <w:p>
      <w:pPr>
        <w:spacing w:after="0" w:line="31" w:lineRule="exact"/>
        <w:rPr>
          <w:sz w:val="20"/>
          <w:szCs w:val="20"/>
          <w:color w:val="auto"/>
        </w:rPr>
      </w:pPr>
    </w:p>
    <w:p>
      <w:pPr>
        <w:ind w:left="1420" w:right="3980" w:hanging="811"/>
        <w:spacing w:after="0" w:line="181" w:lineRule="auto"/>
        <w:tabs>
          <w:tab w:leader="none" w:pos="1375" w:val="left"/>
        </w:tabs>
        <w:numPr>
          <w:ilvl w:val="0"/>
          <w:numId w:val="5"/>
        </w:numPr>
        <w:rPr>
          <w:rFonts w:ascii="Times New Roman" w:cs="Times New Roman" w:eastAsia="Times New Roman" w:hAnsi="Times New Roman"/>
          <w:sz w:val="46"/>
          <w:szCs w:val="46"/>
          <w:b w:val="1"/>
          <w:bCs w:val="1"/>
          <w:color w:val="auto"/>
          <w:vertAlign w:val="subscript"/>
        </w:rPr>
      </w:pPr>
      <w:r>
        <w:rPr>
          <w:rFonts w:ascii="Times New Roman" w:cs="Times New Roman" w:eastAsia="Times New Roman" w:hAnsi="Times New Roman"/>
          <w:sz w:val="16"/>
          <w:szCs w:val="16"/>
          <w:b w:val="1"/>
          <w:bCs w:val="1"/>
          <w:color w:val="auto"/>
        </w:rPr>
        <w:t xml:space="preserve">I.R.S. IDENTIFICATION NOS. OF ABOVE PERSONS (ENTITIES ONLY) </w:t>
      </w:r>
      <w:r>
        <w:rPr>
          <w:rFonts w:ascii="Times New Roman" w:cs="Times New Roman" w:eastAsia="Times New Roman" w:hAnsi="Times New Roman"/>
          <w:sz w:val="16"/>
          <w:szCs w:val="16"/>
          <w:color w:val="auto"/>
        </w:rPr>
        <w:t>Colin S. McNay</w:t>
      </w:r>
    </w:p>
    <w:p>
      <w:pPr>
        <w:spacing w:after="0" w:line="92"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p>
      <w:pPr>
        <w:ind w:left="600"/>
        <w:spacing w:after="0" w:line="265" w:lineRule="exact"/>
        <w:tabs>
          <w:tab w:leader="none" w:pos="1360" w:val="left"/>
        </w:tabs>
        <w:rPr>
          <w:sz w:val="20"/>
          <w:szCs w:val="20"/>
          <w:color w:val="auto"/>
        </w:rPr>
      </w:pPr>
      <w:r>
        <w:rPr>
          <w:rFonts w:ascii="Times New Roman" w:cs="Times New Roman" w:eastAsia="Times New Roman" w:hAnsi="Times New Roman"/>
          <w:sz w:val="30"/>
          <w:szCs w:val="30"/>
          <w:b w:val="1"/>
          <w:bCs w:val="1"/>
          <w:color w:val="auto"/>
        </w:rPr>
        <w:t>2</w:t>
      </w:r>
      <w:r>
        <w:rPr>
          <w:sz w:val="20"/>
          <w:szCs w:val="20"/>
          <w:color w:val="auto"/>
        </w:rPr>
        <w:tab/>
      </w:r>
      <w:r>
        <w:rPr>
          <w:rFonts w:ascii="Times New Roman" w:cs="Times New Roman" w:eastAsia="Times New Roman" w:hAnsi="Times New Roman"/>
          <w:sz w:val="17"/>
          <w:szCs w:val="17"/>
          <w:color w:val="auto"/>
        </w:rPr>
        <w:t>(a)</w:t>
      </w:r>
      <w:r>
        <w:rPr>
          <w:rFonts w:ascii="MS PGothic" w:cs="MS PGothic" w:eastAsia="MS PGothic" w:hAnsi="MS PGothic"/>
          <w:sz w:val="17"/>
          <w:szCs w:val="17"/>
          <w:color w:val="auto"/>
        </w:rPr>
        <w:t>☐</w:t>
      </w:r>
    </w:p>
    <w:p>
      <w:pPr>
        <w:spacing w:after="0" w:line="1" w:lineRule="exact"/>
        <w:rPr>
          <w:sz w:val="20"/>
          <w:szCs w:val="20"/>
          <w:color w:val="auto"/>
        </w:rPr>
      </w:pPr>
    </w:p>
    <w:p>
      <w:pPr>
        <w:ind w:left="138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p>
      <w:pPr>
        <w:ind w:left="1380"/>
        <w:spacing w:after="0" w:line="198" w:lineRule="auto"/>
        <w:rPr>
          <w:sz w:val="20"/>
          <w:szCs w:val="20"/>
          <w:color w:val="auto"/>
        </w:rPr>
      </w:pPr>
      <w:r>
        <w:rPr>
          <w:rFonts w:ascii="Times New Roman" w:cs="Times New Roman" w:eastAsia="Times New Roman" w:hAnsi="Times New Roman"/>
          <w:sz w:val="18"/>
          <w:szCs w:val="18"/>
          <w:b w:val="1"/>
          <w:bCs w:val="1"/>
          <w:color w:val="auto"/>
        </w:rPr>
        <w:t>SEC USE ONLY</w:t>
      </w:r>
    </w:p>
    <w:p>
      <w:pPr>
        <w:ind w:left="600"/>
        <w:spacing w:after="0"/>
        <w:rPr>
          <w:sz w:val="20"/>
          <w:szCs w:val="20"/>
          <w:color w:val="auto"/>
        </w:rPr>
      </w:pPr>
      <w:r>
        <w:rPr>
          <w:rFonts w:ascii="Times New Roman" w:cs="Times New Roman" w:eastAsia="Times New Roman" w:hAnsi="Times New Roman"/>
          <w:sz w:val="32"/>
          <w:szCs w:val="32"/>
          <w:b w:val="1"/>
          <w:bCs w:val="1"/>
          <w:color w:val="auto"/>
        </w:rPr>
        <w:t>3</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32"/>
                <w:szCs w:val="32"/>
                <w:b w:val="1"/>
                <w:bCs w:val="1"/>
                <w:color w:val="auto"/>
              </w:rPr>
              <w:t>4</w:t>
            </w:r>
          </w:p>
        </w:tc>
        <w:tc>
          <w:tcPr>
            <w:tcW w:w="10420" w:type="dxa"/>
            <w:vAlign w:val="bottom"/>
            <w:gridSpan w:val="3"/>
          </w:tcPr>
          <w:p>
            <w:pPr>
              <w:ind w:left="56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324"/>
        </w:trPr>
        <w:tc>
          <w:tcPr>
            <w:tcW w:w="820" w:type="dxa"/>
            <w:vAlign w:val="bottom"/>
            <w:vMerge w:val="continue"/>
          </w:tcPr>
          <w:p>
            <w:pPr>
              <w:spacing w:after="0"/>
              <w:rPr>
                <w:sz w:val="24"/>
                <w:szCs w:val="24"/>
                <w:color w:val="auto"/>
              </w:rPr>
            </w:pPr>
          </w:p>
        </w:tc>
        <w:tc>
          <w:tcPr>
            <w:tcW w:w="14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USA</w:t>
            </w:r>
          </w:p>
        </w:tc>
        <w:tc>
          <w:tcPr>
            <w:tcW w:w="90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2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8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8"/>
        </w:trPr>
        <w:tc>
          <w:tcPr>
            <w:tcW w:w="820" w:type="dxa"/>
            <w:vAlign w:val="bottom"/>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vMerge w:val="restart"/>
          </w:tcPr>
          <w:p>
            <w:pPr>
              <w:jc w:val="right"/>
              <w:ind w:right="218"/>
              <w:spacing w:after="0"/>
              <w:rPr>
                <w:sz w:val="20"/>
                <w:szCs w:val="20"/>
                <w:color w:val="auto"/>
              </w:rPr>
            </w:pPr>
            <w:r>
              <w:rPr>
                <w:rFonts w:ascii="Times New Roman" w:cs="Times New Roman" w:eastAsia="Times New Roman" w:hAnsi="Times New Roman"/>
                <w:sz w:val="32"/>
                <w:szCs w:val="32"/>
                <w:b w:val="1"/>
                <w:bCs w:val="1"/>
                <w:color w:val="auto"/>
              </w:rPr>
              <w:t>5</w:t>
            </w:r>
          </w:p>
        </w:tc>
        <w:tc>
          <w:tcPr>
            <w:tcW w:w="8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0" w:type="dxa"/>
            <w:vAlign w:val="bottom"/>
          </w:tcPr>
          <w:p>
            <w:pPr>
              <w:spacing w:after="0"/>
              <w:rPr>
                <w:sz w:val="1"/>
                <w:szCs w:val="1"/>
                <w:color w:val="auto"/>
              </w:rPr>
            </w:pPr>
          </w:p>
        </w:tc>
      </w:tr>
      <w:tr>
        <w:trPr>
          <w:trHeight w:val="302"/>
        </w:trPr>
        <w:tc>
          <w:tcPr>
            <w:tcW w:w="820" w:type="dxa"/>
            <w:vAlign w:val="bottom"/>
          </w:tcPr>
          <w:p>
            <w:pPr>
              <w:spacing w:after="0"/>
              <w:rPr>
                <w:sz w:val="24"/>
                <w:szCs w:val="24"/>
                <w:color w:val="auto"/>
              </w:rPr>
            </w:pPr>
          </w:p>
        </w:tc>
        <w:tc>
          <w:tcPr>
            <w:tcW w:w="142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vMerge w:val="continue"/>
          </w:tcPr>
          <w:p>
            <w:pPr>
              <w:spacing w:after="0"/>
              <w:rPr>
                <w:sz w:val="24"/>
                <w:szCs w:val="24"/>
                <w:color w:val="auto"/>
              </w:rPr>
            </w:pPr>
          </w:p>
        </w:tc>
        <w:tc>
          <w:tcPr>
            <w:tcW w:w="8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15"/>
        </w:trPr>
        <w:tc>
          <w:tcPr>
            <w:tcW w:w="224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900" w:type="dxa"/>
            <w:vAlign w:val="bottom"/>
            <w:tcBorders>
              <w:bottom w:val="single" w:sz="8" w:color="auto"/>
              <w:right w:val="single" w:sz="8" w:color="auto"/>
            </w:tcBorders>
          </w:tcPr>
          <w:p>
            <w:pPr>
              <w:spacing w:after="0"/>
              <w:rPr>
                <w:sz w:val="10"/>
                <w:szCs w:val="10"/>
                <w:color w:val="auto"/>
              </w:rPr>
            </w:pPr>
          </w:p>
        </w:tc>
        <w:tc>
          <w:tcPr>
            <w:tcW w:w="8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240" w:type="dxa"/>
            <w:vAlign w:val="bottom"/>
            <w:tcBorders>
              <w:right w:val="single" w:sz="8" w:color="auto"/>
            </w:tcBorders>
            <w:gridSpan w:val="2"/>
            <w:vMerge w:val="continue"/>
          </w:tcPr>
          <w:p>
            <w:pPr>
              <w:spacing w:after="0"/>
              <w:rPr>
                <w:sz w:val="8"/>
                <w:szCs w:val="8"/>
                <w:color w:val="auto"/>
              </w:rPr>
            </w:pPr>
          </w:p>
        </w:tc>
        <w:tc>
          <w:tcPr>
            <w:tcW w:w="900" w:type="dxa"/>
            <w:vAlign w:val="bottom"/>
            <w:tcBorders>
              <w:right w:val="single" w:sz="8" w:color="auto"/>
            </w:tcBorders>
            <w:vMerge w:val="restart"/>
          </w:tcPr>
          <w:p>
            <w:pPr>
              <w:jc w:val="right"/>
              <w:ind w:right="218"/>
              <w:spacing w:after="0"/>
              <w:rPr>
                <w:sz w:val="20"/>
                <w:szCs w:val="20"/>
                <w:color w:val="auto"/>
              </w:rPr>
            </w:pPr>
            <w:r>
              <w:rPr>
                <w:rFonts w:ascii="Times New Roman" w:cs="Times New Roman" w:eastAsia="Times New Roman" w:hAnsi="Times New Roman"/>
                <w:sz w:val="32"/>
                <w:szCs w:val="32"/>
                <w:b w:val="1"/>
                <w:bCs w:val="1"/>
                <w:color w:val="auto"/>
              </w:rPr>
              <w:t>6</w:t>
            </w:r>
          </w:p>
        </w:tc>
        <w:tc>
          <w:tcPr>
            <w:tcW w:w="81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139"/>
        </w:trPr>
        <w:tc>
          <w:tcPr>
            <w:tcW w:w="224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900" w:type="dxa"/>
            <w:vAlign w:val="bottom"/>
            <w:tcBorders>
              <w:right w:val="single" w:sz="8" w:color="auto"/>
            </w:tcBorders>
            <w:vMerge w:val="continue"/>
          </w:tcPr>
          <w:p>
            <w:pPr>
              <w:spacing w:after="0"/>
              <w:rPr>
                <w:sz w:val="12"/>
                <w:szCs w:val="12"/>
                <w:color w:val="auto"/>
              </w:rPr>
            </w:pPr>
          </w:p>
        </w:tc>
        <w:tc>
          <w:tcPr>
            <w:tcW w:w="8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240" w:type="dxa"/>
            <w:vAlign w:val="bottom"/>
            <w:tcBorders>
              <w:right w:val="single" w:sz="8" w:color="auto"/>
            </w:tcBorders>
            <w:gridSpan w:val="2"/>
            <w:vMerge w:val="continue"/>
          </w:tcPr>
          <w:p>
            <w:pPr>
              <w:spacing w:after="0"/>
              <w:rPr>
                <w:sz w:val="6"/>
                <w:szCs w:val="6"/>
                <w:color w:val="auto"/>
              </w:rPr>
            </w:pPr>
          </w:p>
        </w:tc>
        <w:tc>
          <w:tcPr>
            <w:tcW w:w="900" w:type="dxa"/>
            <w:vAlign w:val="bottom"/>
            <w:tcBorders>
              <w:right w:val="single" w:sz="8" w:color="auto"/>
            </w:tcBorders>
            <w:vMerge w:val="continue"/>
          </w:tcPr>
          <w:p>
            <w:pPr>
              <w:spacing w:after="0"/>
              <w:rPr>
                <w:sz w:val="6"/>
                <w:szCs w:val="6"/>
                <w:color w:val="auto"/>
              </w:rPr>
            </w:pPr>
          </w:p>
        </w:tc>
        <w:tc>
          <w:tcPr>
            <w:tcW w:w="81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8,282,490 shares</w:t>
            </w:r>
          </w:p>
        </w:tc>
        <w:tc>
          <w:tcPr>
            <w:tcW w:w="0" w:type="dxa"/>
            <w:vAlign w:val="bottom"/>
          </w:tcPr>
          <w:p>
            <w:pPr>
              <w:spacing w:after="0"/>
              <w:rPr>
                <w:sz w:val="1"/>
                <w:szCs w:val="1"/>
                <w:color w:val="auto"/>
              </w:rPr>
            </w:pPr>
          </w:p>
        </w:tc>
      </w:tr>
      <w:tr>
        <w:trPr>
          <w:trHeight w:val="216"/>
        </w:trPr>
        <w:tc>
          <w:tcPr>
            <w:tcW w:w="22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900" w:type="dxa"/>
            <w:vAlign w:val="bottom"/>
            <w:tcBorders>
              <w:right w:val="single" w:sz="8" w:color="auto"/>
            </w:tcBorders>
            <w:vMerge w:val="continue"/>
          </w:tcPr>
          <w:p>
            <w:pPr>
              <w:spacing w:after="0"/>
              <w:rPr>
                <w:sz w:val="18"/>
                <w:szCs w:val="18"/>
                <w:color w:val="auto"/>
              </w:rPr>
            </w:pPr>
          </w:p>
        </w:tc>
        <w:tc>
          <w:tcPr>
            <w:tcW w:w="8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224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 BY</w:t>
            </w:r>
          </w:p>
        </w:tc>
        <w:tc>
          <w:tcPr>
            <w:tcW w:w="900" w:type="dxa"/>
            <w:vAlign w:val="bottom"/>
            <w:tcBorders>
              <w:bottom w:val="single" w:sz="8" w:color="auto"/>
              <w:right w:val="single" w:sz="8" w:color="auto"/>
            </w:tcBorders>
          </w:tcPr>
          <w:p>
            <w:pPr>
              <w:spacing w:after="0"/>
              <w:rPr>
                <w:sz w:val="10"/>
                <w:szCs w:val="10"/>
                <w:color w:val="auto"/>
              </w:rPr>
            </w:pPr>
          </w:p>
        </w:tc>
        <w:tc>
          <w:tcPr>
            <w:tcW w:w="8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240" w:type="dxa"/>
            <w:vAlign w:val="bottom"/>
            <w:tcBorders>
              <w:right w:val="single" w:sz="8" w:color="auto"/>
            </w:tcBorders>
            <w:gridSpan w:val="2"/>
            <w:vMerge w:val="continue"/>
          </w:tcPr>
          <w:p>
            <w:pPr>
              <w:spacing w:after="0"/>
              <w:rPr>
                <w:sz w:val="6"/>
                <w:szCs w:val="6"/>
                <w:color w:val="auto"/>
              </w:rPr>
            </w:pPr>
          </w:p>
        </w:tc>
        <w:tc>
          <w:tcPr>
            <w:tcW w:w="900" w:type="dxa"/>
            <w:vAlign w:val="bottom"/>
            <w:tcBorders>
              <w:right w:val="single" w:sz="8" w:color="auto"/>
            </w:tcBorders>
          </w:tcPr>
          <w:p>
            <w:pPr>
              <w:spacing w:after="0"/>
              <w:rPr>
                <w:sz w:val="6"/>
                <w:szCs w:val="6"/>
                <w:color w:val="auto"/>
              </w:rPr>
            </w:pPr>
          </w:p>
        </w:tc>
        <w:tc>
          <w:tcPr>
            <w:tcW w:w="81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166"/>
        </w:trPr>
        <w:tc>
          <w:tcPr>
            <w:tcW w:w="820" w:type="dxa"/>
            <w:vAlign w:val="bottom"/>
          </w:tcPr>
          <w:p>
            <w:pPr>
              <w:spacing w:after="0"/>
              <w:rPr>
                <w:sz w:val="14"/>
                <w:szCs w:val="14"/>
                <w:color w:val="auto"/>
              </w:rPr>
            </w:pPr>
          </w:p>
        </w:tc>
        <w:tc>
          <w:tcPr>
            <w:tcW w:w="1420" w:type="dxa"/>
            <w:vAlign w:val="bottom"/>
            <w:tcBorders>
              <w:right w:val="single" w:sz="8" w:color="auto"/>
            </w:tcBorders>
            <w:vMerge w:val="restart"/>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9"/>
              </w:rPr>
              <w:t>EACH</w:t>
            </w:r>
          </w:p>
        </w:tc>
        <w:tc>
          <w:tcPr>
            <w:tcW w:w="900" w:type="dxa"/>
            <w:vAlign w:val="bottom"/>
            <w:tcBorders>
              <w:right w:val="single" w:sz="8" w:color="auto"/>
            </w:tcBorders>
            <w:vMerge w:val="restart"/>
          </w:tcPr>
          <w:p>
            <w:pPr>
              <w:jc w:val="right"/>
              <w:ind w:right="218"/>
              <w:spacing w:after="0"/>
              <w:rPr>
                <w:sz w:val="20"/>
                <w:szCs w:val="20"/>
                <w:color w:val="auto"/>
              </w:rPr>
            </w:pPr>
            <w:r>
              <w:rPr>
                <w:rFonts w:ascii="Times New Roman" w:cs="Times New Roman" w:eastAsia="Times New Roman" w:hAnsi="Times New Roman"/>
                <w:sz w:val="32"/>
                <w:szCs w:val="32"/>
                <w:b w:val="1"/>
                <w:bCs w:val="1"/>
                <w:color w:val="auto"/>
              </w:rPr>
              <w:t>7</w:t>
            </w:r>
          </w:p>
        </w:tc>
        <w:tc>
          <w:tcPr>
            <w:tcW w:w="8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820" w:type="dxa"/>
            <w:vAlign w:val="bottom"/>
          </w:tcPr>
          <w:p>
            <w:pPr>
              <w:spacing w:after="0"/>
              <w:rPr>
                <w:sz w:val="4"/>
                <w:szCs w:val="4"/>
                <w:color w:val="auto"/>
              </w:rPr>
            </w:pPr>
          </w:p>
        </w:tc>
        <w:tc>
          <w:tcPr>
            <w:tcW w:w="1420" w:type="dxa"/>
            <w:vAlign w:val="bottom"/>
            <w:tcBorders>
              <w:right w:val="single" w:sz="8" w:color="auto"/>
            </w:tcBorders>
            <w:vMerge w:val="continue"/>
          </w:tcPr>
          <w:p>
            <w:pPr>
              <w:spacing w:after="0"/>
              <w:rPr>
                <w:sz w:val="4"/>
                <w:szCs w:val="4"/>
                <w:color w:val="auto"/>
              </w:rPr>
            </w:pPr>
          </w:p>
        </w:tc>
        <w:tc>
          <w:tcPr>
            <w:tcW w:w="900" w:type="dxa"/>
            <w:vAlign w:val="bottom"/>
            <w:tcBorders>
              <w:right w:val="single" w:sz="8" w:color="auto"/>
            </w:tcBorders>
            <w:vMerge w:val="continue"/>
          </w:tcPr>
          <w:p>
            <w:pPr>
              <w:spacing w:after="0"/>
              <w:rPr>
                <w:sz w:val="4"/>
                <w:szCs w:val="4"/>
                <w:color w:val="auto"/>
              </w:rPr>
            </w:pPr>
          </w:p>
        </w:tc>
        <w:tc>
          <w:tcPr>
            <w:tcW w:w="8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2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REPORTING</w:t>
            </w:r>
          </w:p>
        </w:tc>
        <w:tc>
          <w:tcPr>
            <w:tcW w:w="900" w:type="dxa"/>
            <w:vAlign w:val="bottom"/>
            <w:tcBorders>
              <w:right w:val="single" w:sz="8" w:color="auto"/>
            </w:tcBorders>
            <w:vMerge w:val="continue"/>
          </w:tcPr>
          <w:p>
            <w:pPr>
              <w:spacing w:after="0"/>
              <w:rPr>
                <w:sz w:val="18"/>
                <w:szCs w:val="18"/>
                <w:color w:val="auto"/>
              </w:rPr>
            </w:pPr>
          </w:p>
        </w:tc>
        <w:tc>
          <w:tcPr>
            <w:tcW w:w="8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51"/>
        </w:trPr>
        <w:tc>
          <w:tcPr>
            <w:tcW w:w="224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PERSON WITH</w:t>
            </w:r>
          </w:p>
        </w:tc>
        <w:tc>
          <w:tcPr>
            <w:tcW w:w="900" w:type="dxa"/>
            <w:vAlign w:val="bottom"/>
            <w:tcBorders>
              <w:bottom w:val="single" w:sz="8" w:color="auto"/>
              <w:right w:val="single" w:sz="8" w:color="auto"/>
            </w:tcBorders>
          </w:tcPr>
          <w:p>
            <w:pPr>
              <w:spacing w:after="0"/>
              <w:rPr>
                <w:sz w:val="13"/>
                <w:szCs w:val="13"/>
                <w:color w:val="auto"/>
              </w:rPr>
            </w:pPr>
          </w:p>
        </w:tc>
        <w:tc>
          <w:tcPr>
            <w:tcW w:w="8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2240" w:type="dxa"/>
            <w:vAlign w:val="bottom"/>
            <w:tcBorders>
              <w:right w:val="single" w:sz="8" w:color="auto"/>
            </w:tcBorders>
            <w:gridSpan w:val="2"/>
            <w:vMerge w:val="continue"/>
          </w:tcPr>
          <w:p>
            <w:pPr>
              <w:spacing w:after="0"/>
              <w:rPr>
                <w:sz w:val="5"/>
                <w:szCs w:val="5"/>
                <w:color w:val="auto"/>
              </w:rPr>
            </w:pPr>
          </w:p>
        </w:tc>
        <w:tc>
          <w:tcPr>
            <w:tcW w:w="900" w:type="dxa"/>
            <w:vAlign w:val="bottom"/>
            <w:tcBorders>
              <w:right w:val="single" w:sz="8" w:color="auto"/>
            </w:tcBorders>
            <w:vMerge w:val="restart"/>
          </w:tcPr>
          <w:p>
            <w:pPr>
              <w:jc w:val="right"/>
              <w:ind w:right="218"/>
              <w:spacing w:after="0"/>
              <w:rPr>
                <w:sz w:val="20"/>
                <w:szCs w:val="20"/>
                <w:color w:val="auto"/>
              </w:rPr>
            </w:pPr>
            <w:r>
              <w:rPr>
                <w:rFonts w:ascii="Times New Roman" w:cs="Times New Roman" w:eastAsia="Times New Roman" w:hAnsi="Times New Roman"/>
                <w:sz w:val="32"/>
                <w:szCs w:val="32"/>
                <w:b w:val="1"/>
                <w:bCs w:val="1"/>
                <w:color w:val="auto"/>
              </w:rPr>
              <w:t>8</w:t>
            </w:r>
          </w:p>
        </w:tc>
        <w:tc>
          <w:tcPr>
            <w:tcW w:w="81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0" w:type="dxa"/>
            <w:vAlign w:val="bottom"/>
          </w:tcPr>
          <w:p>
            <w:pPr>
              <w:spacing w:after="0"/>
              <w:rPr>
                <w:sz w:val="1"/>
                <w:szCs w:val="1"/>
                <w:color w:val="auto"/>
              </w:rPr>
            </w:pPr>
          </w:p>
        </w:tc>
      </w:tr>
      <w:tr>
        <w:trPr>
          <w:trHeight w:val="171"/>
        </w:trPr>
        <w:tc>
          <w:tcPr>
            <w:tcW w:w="820" w:type="dxa"/>
            <w:vAlign w:val="bottom"/>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vMerge w:val="continue"/>
          </w:tcPr>
          <w:p>
            <w:pPr>
              <w:spacing w:after="0"/>
              <w:rPr>
                <w:sz w:val="14"/>
                <w:szCs w:val="14"/>
                <w:color w:val="auto"/>
              </w:rPr>
            </w:pPr>
          </w:p>
        </w:tc>
        <w:tc>
          <w:tcPr>
            <w:tcW w:w="8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2"/>
        </w:trPr>
        <w:tc>
          <w:tcPr>
            <w:tcW w:w="820" w:type="dxa"/>
            <w:vAlign w:val="bottom"/>
          </w:tcPr>
          <w:p>
            <w:pPr>
              <w:spacing w:after="0"/>
              <w:rPr>
                <w:sz w:val="24"/>
                <w:szCs w:val="24"/>
                <w:color w:val="auto"/>
              </w:rPr>
            </w:pPr>
          </w:p>
        </w:tc>
        <w:tc>
          <w:tcPr>
            <w:tcW w:w="142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vMerge w:val="continue"/>
          </w:tcPr>
          <w:p>
            <w:pPr>
              <w:spacing w:after="0"/>
              <w:rPr>
                <w:sz w:val="24"/>
                <w:szCs w:val="24"/>
                <w:color w:val="auto"/>
              </w:rPr>
            </w:pPr>
          </w:p>
        </w:tc>
        <w:tc>
          <w:tcPr>
            <w:tcW w:w="8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See Row 6 above</w:t>
            </w:r>
          </w:p>
        </w:tc>
        <w:tc>
          <w:tcPr>
            <w:tcW w:w="0" w:type="dxa"/>
            <w:vAlign w:val="bottom"/>
          </w:tcPr>
          <w:p>
            <w:pPr>
              <w:spacing w:after="0"/>
              <w:rPr>
                <w:sz w:val="1"/>
                <w:szCs w:val="1"/>
                <w:color w:val="auto"/>
              </w:rPr>
            </w:pPr>
          </w:p>
        </w:tc>
      </w:tr>
      <w:tr>
        <w:trPr>
          <w:trHeight w:val="115"/>
        </w:trPr>
        <w:tc>
          <w:tcPr>
            <w:tcW w:w="820" w:type="dxa"/>
            <w:vAlign w:val="bottom"/>
            <w:tcBorders>
              <w:bottom w:val="single" w:sz="8" w:color="auto"/>
            </w:tcBorders>
          </w:tcPr>
          <w:p>
            <w:pPr>
              <w:spacing w:after="0"/>
              <w:rPr>
                <w:sz w:val="10"/>
                <w:szCs w:val="10"/>
                <w:color w:val="auto"/>
              </w:rPr>
            </w:pPr>
          </w:p>
        </w:tc>
        <w:tc>
          <w:tcPr>
            <w:tcW w:w="1420" w:type="dxa"/>
            <w:vAlign w:val="bottom"/>
            <w:tcBorders>
              <w:bottom w:val="single" w:sz="8" w:color="auto"/>
              <w:right w:val="single" w:sz="8" w:color="auto"/>
            </w:tcBorders>
          </w:tcPr>
          <w:p>
            <w:pPr>
              <w:spacing w:after="0"/>
              <w:rPr>
                <w:sz w:val="10"/>
                <w:szCs w:val="10"/>
                <w:color w:val="auto"/>
              </w:rPr>
            </w:pPr>
          </w:p>
        </w:tc>
        <w:tc>
          <w:tcPr>
            <w:tcW w:w="900" w:type="dxa"/>
            <w:vAlign w:val="bottom"/>
            <w:tcBorders>
              <w:bottom w:val="single" w:sz="8" w:color="auto"/>
              <w:right w:val="single" w:sz="8" w:color="auto"/>
            </w:tcBorders>
          </w:tcPr>
          <w:p>
            <w:pPr>
              <w:spacing w:after="0"/>
              <w:rPr>
                <w:sz w:val="10"/>
                <w:szCs w:val="10"/>
                <w:color w:val="auto"/>
              </w:rPr>
            </w:pPr>
          </w:p>
        </w:tc>
        <w:tc>
          <w:tcPr>
            <w:tcW w:w="8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8"/>
        </w:trPr>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32"/>
                <w:szCs w:val="32"/>
                <w:b w:val="1"/>
                <w:bCs w:val="1"/>
                <w:color w:val="auto"/>
              </w:rPr>
              <w:t>9</w:t>
            </w:r>
          </w:p>
        </w:tc>
        <w:tc>
          <w:tcPr>
            <w:tcW w:w="10420" w:type="dxa"/>
            <w:vAlign w:val="bottom"/>
            <w:gridSpan w:val="3"/>
          </w:tcPr>
          <w:p>
            <w:pPr>
              <w:ind w:left="56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302"/>
        </w:trPr>
        <w:tc>
          <w:tcPr>
            <w:tcW w:w="820" w:type="dxa"/>
            <w:vAlign w:val="bottom"/>
            <w:vMerge w:val="continue"/>
          </w:tcPr>
          <w:p>
            <w:pPr>
              <w:spacing w:after="0"/>
              <w:rPr>
                <w:sz w:val="24"/>
                <w:szCs w:val="24"/>
                <w:color w:val="auto"/>
              </w:rPr>
            </w:pPr>
          </w:p>
        </w:tc>
        <w:tc>
          <w:tcPr>
            <w:tcW w:w="23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See Row 6 above</w:t>
            </w:r>
          </w:p>
        </w:tc>
        <w:tc>
          <w:tcPr>
            <w:tcW w:w="8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p>
      <w:pPr>
        <w:ind w:left="520"/>
        <w:spacing w:after="0" w:line="379" w:lineRule="exact"/>
        <w:tabs>
          <w:tab w:leader="none" w:pos="1360" w:val="left"/>
        </w:tabs>
        <w:rPr>
          <w:sz w:val="20"/>
          <w:szCs w:val="20"/>
          <w:color w:val="auto"/>
        </w:rPr>
      </w:pPr>
      <w:r>
        <w:rPr>
          <w:rFonts w:ascii="Times New Roman" w:cs="Times New Roman" w:eastAsia="Times New Roman" w:hAnsi="Times New Roman"/>
          <w:sz w:val="32"/>
          <w:szCs w:val="32"/>
          <w:b w:val="1"/>
          <w:bCs w:val="1"/>
          <w:color w:val="auto"/>
        </w:rPr>
        <w:t>10</w:t>
      </w:r>
      <w:r>
        <w:rPr>
          <w:sz w:val="20"/>
          <w:szCs w:val="20"/>
          <w:color w:val="auto"/>
        </w:rPr>
        <w:tab/>
      </w:r>
      <w:r>
        <w:rPr>
          <w:rFonts w:ascii="MS PGothic" w:cs="MS PGothic" w:eastAsia="MS PGothic" w:hAnsi="MS PGothic"/>
          <w:sz w:val="36"/>
          <w:szCs w:val="36"/>
          <w:color w:val="auto"/>
          <w:vertAlign w:val="subscript"/>
        </w:rPr>
        <w:t>☐</w:t>
      </w:r>
    </w:p>
    <w:p>
      <w:pPr>
        <w:spacing w:after="0" w:line="122"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p>
      <w:pPr>
        <w:ind w:left="540"/>
        <w:spacing w:after="0" w:line="181" w:lineRule="auto"/>
        <w:tabs>
          <w:tab w:leader="none" w:pos="1400" w:val="left"/>
        </w:tabs>
        <w:rPr>
          <w:sz w:val="20"/>
          <w:szCs w:val="20"/>
          <w:color w:val="auto"/>
        </w:rPr>
      </w:pPr>
      <w:r>
        <w:rPr>
          <w:rFonts w:ascii="Times New Roman" w:cs="Times New Roman" w:eastAsia="Times New Roman" w:hAnsi="Times New Roman"/>
          <w:sz w:val="27"/>
          <w:szCs w:val="27"/>
          <w:b w:val="1"/>
          <w:bCs w:val="1"/>
          <w:color w:val="auto"/>
          <w:vertAlign w:val="superscript"/>
        </w:rPr>
        <w:t>11</w:t>
      </w:r>
      <w:r>
        <w:rPr>
          <w:sz w:val="20"/>
          <w:szCs w:val="20"/>
          <w:color w:val="auto"/>
        </w:rPr>
        <w:tab/>
      </w:r>
      <w:r>
        <w:rPr>
          <w:rFonts w:ascii="Times New Roman" w:cs="Times New Roman" w:eastAsia="Times New Roman" w:hAnsi="Times New Roman"/>
          <w:sz w:val="14"/>
          <w:szCs w:val="14"/>
          <w:color w:val="auto"/>
        </w:rPr>
        <w:t>5.70%</w:t>
      </w:r>
    </w:p>
    <w:p>
      <w:pPr>
        <w:spacing w:after="0" w:line="202"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p>
      <w:pPr>
        <w:ind w:left="520"/>
        <w:spacing w:after="0" w:line="237" w:lineRule="auto"/>
        <w:tabs>
          <w:tab w:leader="none" w:pos="1400" w:val="left"/>
        </w:tabs>
        <w:rPr>
          <w:sz w:val="20"/>
          <w:szCs w:val="20"/>
          <w:color w:val="auto"/>
        </w:rPr>
      </w:pPr>
      <w:r>
        <w:rPr>
          <w:rFonts w:ascii="Times New Roman" w:cs="Times New Roman" w:eastAsia="Times New Roman" w:hAnsi="Times New Roman"/>
          <w:sz w:val="32"/>
          <w:szCs w:val="32"/>
          <w:b w:val="1"/>
          <w:bCs w:val="1"/>
          <w:color w:val="auto"/>
        </w:rPr>
        <w:t>12</w:t>
      </w:r>
      <w:r>
        <w:rPr>
          <w:sz w:val="20"/>
          <w:szCs w:val="20"/>
          <w:color w:val="auto"/>
        </w:rPr>
        <w:tab/>
      </w:r>
      <w:r>
        <w:rPr>
          <w:rFonts w:ascii="Times New Roman" w:cs="Times New Roman" w:eastAsia="Times New Roman" w:hAnsi="Times New Roman"/>
          <w:sz w:val="36"/>
          <w:szCs w:val="36"/>
          <w:color w:val="auto"/>
          <w:vertAlign w:val="subscript"/>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335280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 w:name="page5"/>
    <w:bookmarkEnd w:id="4"/>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Name of Issuer: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Biodesix, Inc.</w:t>
      </w:r>
    </w:p>
    <w:p>
      <w:pPr>
        <w:spacing w:after="0" w:line="22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8"/>
          <w:szCs w:val="18"/>
          <w:b w:val="1"/>
          <w:bCs w:val="1"/>
          <w:color w:val="auto"/>
        </w:rPr>
        <w:t>Address of Issuer's Principal Executive Offices: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919 West Dillon Rd.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Louisville, CO 80027</w:t>
      </w:r>
    </w:p>
    <w:p>
      <w:pPr>
        <w:spacing w:after="0" w:line="203"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2(a).</w:t>
      </w:r>
      <w:r>
        <w:rPr>
          <w:sz w:val="20"/>
          <w:szCs w:val="20"/>
          <w:color w:val="auto"/>
        </w:rPr>
        <w:tab/>
      </w:r>
      <w:r>
        <w:rPr>
          <w:rFonts w:ascii="Times New Roman" w:cs="Times New Roman" w:eastAsia="Times New Roman" w:hAnsi="Times New Roman"/>
          <w:sz w:val="18"/>
          <w:szCs w:val="18"/>
          <w:b w:val="1"/>
          <w:bCs w:val="1"/>
          <w:color w:val="auto"/>
        </w:rPr>
        <w:t>Name of Person Filing:</w:t>
      </w:r>
    </w:p>
    <w:p>
      <w:pPr>
        <w:spacing w:after="0" w:line="22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This Schedule 13G is being jointly filed by Telemark Asset Management, LLC, Telemark Fund, LP and Colin McNay (collectively, the “Reporting Persons”) with respect to shares of Common Stock of Biodesix, Inc. Telemark Asset Management, LLC is the investment adviser of Telemark Fund, LP. Colin McNay is the President and sole owner of Telemark Asset Management, LLC.</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Each Reporting Person declares that neither the filing of this statement nor anything herein shall be construed as an admission that such Reporting Person is, for the purposes of Section 13(d) or 13(g) of the Act or any other purpose, the beneficial owner of any securities covered by this statement other than the securities actually owned by such person (if any).</w:t>
      </w:r>
    </w:p>
    <w:p>
      <w:pPr>
        <w:spacing w:after="0" w:line="17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2(b).</w:t>
      </w:r>
      <w:r>
        <w:rPr>
          <w:sz w:val="20"/>
          <w:szCs w:val="20"/>
          <w:color w:val="auto"/>
        </w:rPr>
        <w:tab/>
      </w:r>
      <w:r>
        <w:rPr>
          <w:rFonts w:ascii="Times New Roman" w:cs="Times New Roman" w:eastAsia="Times New Roman" w:hAnsi="Times New Roman"/>
          <w:sz w:val="17"/>
          <w:szCs w:val="17"/>
          <w:b w:val="1"/>
          <w:bCs w:val="1"/>
          <w:color w:val="auto"/>
        </w:rPr>
        <w:t>Address of Principal Business Office or, if none, Residence: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address of the principal office of each Reporting Person is: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International Place, Suite 4620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 02110</w:t>
      </w:r>
    </w:p>
    <w:p>
      <w:pPr>
        <w:spacing w:after="0" w:line="203"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2(c).</w:t>
      </w:r>
      <w:r>
        <w:rPr>
          <w:sz w:val="20"/>
          <w:szCs w:val="20"/>
          <w:color w:val="auto"/>
        </w:rPr>
        <w:tab/>
      </w:r>
      <w:r>
        <w:rPr>
          <w:rFonts w:ascii="Times New Roman" w:cs="Times New Roman" w:eastAsia="Times New Roman" w:hAnsi="Times New Roman"/>
          <w:sz w:val="18"/>
          <w:szCs w:val="18"/>
          <w:b w:val="1"/>
          <w:bCs w:val="1"/>
          <w:color w:val="auto"/>
        </w:rPr>
        <w:t>Citizenship:</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Telemark Asset Management, LLC is a Delaware limited liability company and Telemark Fund, LP is a Delaware limited partnership. Colin McNay is a U.S. citizen.</w:t>
      </w:r>
    </w:p>
    <w:p>
      <w:pPr>
        <w:spacing w:after="0" w:line="158"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2(d).</w:t>
      </w:r>
      <w:r>
        <w:rPr>
          <w:sz w:val="20"/>
          <w:szCs w:val="20"/>
          <w:color w:val="auto"/>
        </w:rPr>
        <w:tab/>
      </w:r>
      <w:r>
        <w:rPr>
          <w:rFonts w:ascii="Times New Roman" w:cs="Times New Roman" w:eastAsia="Times New Roman" w:hAnsi="Times New Roman"/>
          <w:sz w:val="17"/>
          <w:szCs w:val="17"/>
          <w:b w:val="1"/>
          <w:bCs w:val="1"/>
          <w:color w:val="auto"/>
        </w:rPr>
        <w:t>Title of Class of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par value $0.001 per share</w:t>
      </w:r>
    </w:p>
    <w:p>
      <w:pPr>
        <w:spacing w:after="0" w:line="22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2(e).</w:t>
      </w:r>
      <w:r>
        <w:rPr>
          <w:sz w:val="20"/>
          <w:szCs w:val="20"/>
          <w:color w:val="auto"/>
        </w:rPr>
        <w:tab/>
      </w:r>
      <w:r>
        <w:rPr>
          <w:rFonts w:ascii="Times New Roman" w:cs="Times New Roman" w:eastAsia="Times New Roman" w:hAnsi="Times New Roman"/>
          <w:sz w:val="17"/>
          <w:szCs w:val="17"/>
          <w:b w:val="1"/>
          <w:bCs w:val="1"/>
          <w:color w:val="auto"/>
        </w:rPr>
        <w:t>CUSIP Number: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09075X108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5" w:name="page6"/>
    <w:bookmarkEnd w:id="5"/>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If This Statement Is Filed Pursuant to Sections 240.13d-1(b) or 240.13d-2(b) or (c), Check Whether the Person Filing Is a(n):</w:t>
      </w:r>
    </w:p>
    <w:p>
      <w:pPr>
        <w:spacing w:after="0" w:line="188" w:lineRule="exact"/>
        <w:rPr>
          <w:sz w:val="20"/>
          <w:szCs w:val="20"/>
          <w:color w:val="auto"/>
        </w:rPr>
      </w:pPr>
    </w:p>
    <w:p>
      <w:pPr>
        <w:ind w:left="860" w:hanging="488"/>
        <w:spacing w:after="0" w:line="207" w:lineRule="exact"/>
        <w:tabs>
          <w:tab w:leader="none" w:pos="860" w:val="left"/>
        </w:tabs>
        <w:numPr>
          <w:ilvl w:val="0"/>
          <w:numId w:val="6"/>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Broker or dealer registered under Section 15 of the Act (15 U.S.C. 78o);</w:t>
      </w:r>
    </w:p>
    <w:p>
      <w:pPr>
        <w:spacing w:after="0" w:line="225" w:lineRule="exact"/>
        <w:rPr>
          <w:rFonts w:ascii="Times New Roman" w:cs="Times New Roman" w:eastAsia="Times New Roman" w:hAnsi="Times New Roman"/>
          <w:sz w:val="18"/>
          <w:szCs w:val="18"/>
          <w:b w:val="1"/>
          <w:bCs w:val="1"/>
          <w:color w:val="auto"/>
        </w:rPr>
      </w:pPr>
    </w:p>
    <w:p>
      <w:pPr>
        <w:ind w:left="860" w:hanging="488"/>
        <w:spacing w:after="0" w:line="207" w:lineRule="exact"/>
        <w:tabs>
          <w:tab w:leader="none" w:pos="860" w:val="left"/>
        </w:tabs>
        <w:numPr>
          <w:ilvl w:val="0"/>
          <w:numId w:val="6"/>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Bank as defined in Section 3(a)(6) of the Act (15 U.S.C. 78c);</w:t>
      </w:r>
    </w:p>
    <w:p>
      <w:pPr>
        <w:spacing w:after="0" w:line="225" w:lineRule="exact"/>
        <w:rPr>
          <w:rFonts w:ascii="Times New Roman" w:cs="Times New Roman" w:eastAsia="Times New Roman" w:hAnsi="Times New Roman"/>
          <w:sz w:val="18"/>
          <w:szCs w:val="18"/>
          <w:b w:val="1"/>
          <w:bCs w:val="1"/>
          <w:color w:val="auto"/>
        </w:rPr>
      </w:pPr>
    </w:p>
    <w:p>
      <w:pPr>
        <w:ind w:left="860" w:hanging="488"/>
        <w:spacing w:after="0" w:line="207" w:lineRule="exact"/>
        <w:tabs>
          <w:tab w:leader="none" w:pos="860" w:val="left"/>
        </w:tabs>
        <w:numPr>
          <w:ilvl w:val="0"/>
          <w:numId w:val="6"/>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Insurance company as defined in Section 3(a)(19) of the Act (15 U.S.C. 78c);</w:t>
      </w:r>
    </w:p>
    <w:p>
      <w:pPr>
        <w:spacing w:after="0" w:line="225" w:lineRule="exact"/>
        <w:rPr>
          <w:rFonts w:ascii="Times New Roman" w:cs="Times New Roman" w:eastAsia="Times New Roman" w:hAnsi="Times New Roman"/>
          <w:sz w:val="18"/>
          <w:szCs w:val="18"/>
          <w:b w:val="1"/>
          <w:bCs w:val="1"/>
          <w:color w:val="auto"/>
        </w:rPr>
      </w:pPr>
    </w:p>
    <w:p>
      <w:pPr>
        <w:ind w:left="860" w:hanging="488"/>
        <w:spacing w:after="0" w:line="207" w:lineRule="exact"/>
        <w:tabs>
          <w:tab w:leader="none" w:pos="860" w:val="left"/>
        </w:tabs>
        <w:numPr>
          <w:ilvl w:val="0"/>
          <w:numId w:val="6"/>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Investment company registered under Section 8 of the Investment Company Act of 1940 (15 U.S.C. 80a-8);</w:t>
      </w:r>
    </w:p>
    <w:p>
      <w:pPr>
        <w:spacing w:after="0" w:line="225" w:lineRule="exact"/>
        <w:rPr>
          <w:rFonts w:ascii="Times New Roman" w:cs="Times New Roman" w:eastAsia="Times New Roman" w:hAnsi="Times New Roman"/>
          <w:sz w:val="18"/>
          <w:szCs w:val="18"/>
          <w:b w:val="1"/>
          <w:bCs w:val="1"/>
          <w:color w:val="auto"/>
        </w:rPr>
      </w:pPr>
    </w:p>
    <w:p>
      <w:pPr>
        <w:ind w:left="860" w:hanging="488"/>
        <w:spacing w:after="0" w:line="207" w:lineRule="exact"/>
        <w:tabs>
          <w:tab w:leader="none" w:pos="860" w:val="left"/>
        </w:tabs>
        <w:numPr>
          <w:ilvl w:val="0"/>
          <w:numId w:val="6"/>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Investment adviser in accordance with Section 240.13d-1(b)(1)(ii)(E);</w:t>
      </w:r>
    </w:p>
    <w:p>
      <w:pPr>
        <w:spacing w:after="0" w:line="225" w:lineRule="exact"/>
        <w:rPr>
          <w:rFonts w:ascii="Times New Roman" w:cs="Times New Roman" w:eastAsia="Times New Roman" w:hAnsi="Times New Roman"/>
          <w:sz w:val="18"/>
          <w:szCs w:val="18"/>
          <w:b w:val="1"/>
          <w:bCs w:val="1"/>
          <w:color w:val="auto"/>
        </w:rPr>
      </w:pPr>
    </w:p>
    <w:p>
      <w:pPr>
        <w:ind w:left="860" w:hanging="488"/>
        <w:spacing w:after="0" w:line="207" w:lineRule="exact"/>
        <w:tabs>
          <w:tab w:leader="none" w:pos="860" w:val="left"/>
        </w:tabs>
        <w:numPr>
          <w:ilvl w:val="0"/>
          <w:numId w:val="6"/>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Employee benefit plan or endowment fund in accordance with Section 240.13d-1(b)(1)(ii)(F);</w:t>
      </w:r>
    </w:p>
    <w:p>
      <w:pPr>
        <w:spacing w:after="0" w:line="225" w:lineRule="exact"/>
        <w:rPr>
          <w:rFonts w:ascii="Times New Roman" w:cs="Times New Roman" w:eastAsia="Times New Roman" w:hAnsi="Times New Roman"/>
          <w:sz w:val="18"/>
          <w:szCs w:val="18"/>
          <w:b w:val="1"/>
          <w:bCs w:val="1"/>
          <w:color w:val="auto"/>
        </w:rPr>
      </w:pPr>
    </w:p>
    <w:p>
      <w:pPr>
        <w:ind w:left="860" w:hanging="488"/>
        <w:spacing w:after="0" w:line="207" w:lineRule="exact"/>
        <w:tabs>
          <w:tab w:leader="none" w:pos="860" w:val="left"/>
        </w:tabs>
        <w:numPr>
          <w:ilvl w:val="0"/>
          <w:numId w:val="6"/>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Parent holding company or control person in accordance with Section 240.13d-1(b)(1)(ii)(G);</w:t>
      </w:r>
    </w:p>
    <w:p>
      <w:pPr>
        <w:spacing w:after="0" w:line="225" w:lineRule="exact"/>
        <w:rPr>
          <w:rFonts w:ascii="Times New Roman" w:cs="Times New Roman" w:eastAsia="Times New Roman" w:hAnsi="Times New Roman"/>
          <w:sz w:val="18"/>
          <w:szCs w:val="18"/>
          <w:b w:val="1"/>
          <w:bCs w:val="1"/>
          <w:color w:val="auto"/>
        </w:rPr>
      </w:pPr>
    </w:p>
    <w:p>
      <w:pPr>
        <w:ind w:left="860" w:hanging="488"/>
        <w:spacing w:after="0" w:line="207" w:lineRule="exact"/>
        <w:tabs>
          <w:tab w:leader="none" w:pos="860" w:val="left"/>
        </w:tabs>
        <w:numPr>
          <w:ilvl w:val="0"/>
          <w:numId w:val="6"/>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Savings association as defined in Section 3(b) of the Federal Deposit Insurance Act (12 U.S.C. 1813);</w:t>
      </w:r>
    </w:p>
    <w:p>
      <w:pPr>
        <w:spacing w:after="0" w:line="225" w:lineRule="exact"/>
        <w:rPr>
          <w:rFonts w:ascii="Times New Roman" w:cs="Times New Roman" w:eastAsia="Times New Roman" w:hAnsi="Times New Roman"/>
          <w:sz w:val="18"/>
          <w:szCs w:val="18"/>
          <w:b w:val="1"/>
          <w:bCs w:val="1"/>
          <w:color w:val="auto"/>
        </w:rPr>
      </w:pPr>
    </w:p>
    <w:p>
      <w:pPr>
        <w:ind w:left="860" w:hanging="488"/>
        <w:spacing w:after="0" w:line="245" w:lineRule="exact"/>
        <w:tabs>
          <w:tab w:leader="none" w:pos="860" w:val="left"/>
        </w:tabs>
        <w:numPr>
          <w:ilvl w:val="0"/>
          <w:numId w:val="6"/>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Church plan that is excluded from the definition of an investment company under Section 3(c)(14) of the Investment Company Act of 1940 (15 U.S.C. 80a-3);</w:t>
      </w:r>
    </w:p>
    <w:p>
      <w:pPr>
        <w:spacing w:after="0" w:line="158" w:lineRule="exact"/>
        <w:rPr>
          <w:rFonts w:ascii="Times New Roman" w:cs="Times New Roman" w:eastAsia="Times New Roman" w:hAnsi="Times New Roman"/>
          <w:sz w:val="18"/>
          <w:szCs w:val="18"/>
          <w:b w:val="1"/>
          <w:bCs w:val="1"/>
          <w:color w:val="auto"/>
        </w:rPr>
      </w:pPr>
    </w:p>
    <w:p>
      <w:pPr>
        <w:ind w:left="860" w:hanging="488"/>
        <w:spacing w:after="0" w:line="207" w:lineRule="exact"/>
        <w:tabs>
          <w:tab w:leader="none" w:pos="860" w:val="left"/>
        </w:tabs>
        <w:numPr>
          <w:ilvl w:val="0"/>
          <w:numId w:val="6"/>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A non-U.S. institution in accordance with Section 240.13d-1(b)(1)(ii)(J);</w:t>
      </w:r>
    </w:p>
    <w:p>
      <w:pPr>
        <w:spacing w:after="0" w:line="225" w:lineRule="exact"/>
        <w:rPr>
          <w:rFonts w:ascii="Times New Roman" w:cs="Times New Roman" w:eastAsia="Times New Roman" w:hAnsi="Times New Roman"/>
          <w:sz w:val="18"/>
          <w:szCs w:val="18"/>
          <w:b w:val="1"/>
          <w:bCs w:val="1"/>
          <w:color w:val="auto"/>
        </w:rPr>
      </w:pPr>
    </w:p>
    <w:p>
      <w:pPr>
        <w:ind w:left="860" w:hanging="488"/>
        <w:spacing w:after="0" w:line="207" w:lineRule="exact"/>
        <w:tabs>
          <w:tab w:leader="none" w:pos="860" w:val="left"/>
        </w:tabs>
        <w:numPr>
          <w:ilvl w:val="0"/>
          <w:numId w:val="6"/>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Group, in accordance with Section 240.13d-1(b)(1)(ii)(K). If filing as a non-U.S. institution in accordance with Section 240.13d-1(b)</w:t>
      </w:r>
    </w:p>
    <w:p>
      <w:pPr>
        <w:spacing w:after="0" w:line="69" w:lineRule="exact"/>
        <w:rPr>
          <w:rFonts w:ascii="Times New Roman" w:cs="Times New Roman" w:eastAsia="Times New Roman" w:hAnsi="Times New Roman"/>
          <w:sz w:val="18"/>
          <w:szCs w:val="18"/>
          <w:b w:val="1"/>
          <w:bCs w:val="1"/>
          <w:color w:val="auto"/>
        </w:rPr>
      </w:pPr>
    </w:p>
    <w:p>
      <w:pPr>
        <w:ind w:left="8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(1)(ii)(J), please specify the type of institution: ____________________________ .</w:t>
      </w:r>
    </w:p>
    <w:p>
      <w:pPr>
        <w:spacing w:after="0" w:line="20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Ownership.</w:t>
      </w:r>
    </w:p>
    <w:p>
      <w:pPr>
        <w:spacing w:after="0" w:line="229" w:lineRule="exact"/>
        <w:rPr>
          <w:sz w:val="20"/>
          <w:szCs w:val="20"/>
          <w:color w:val="auto"/>
        </w:rPr>
      </w:pPr>
    </w:p>
    <w:p>
      <w:pPr>
        <w:ind w:left="860" w:hanging="488"/>
        <w:spacing w:after="0"/>
        <w:tabs>
          <w:tab w:leader="none" w:pos="8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860" w:hanging="488"/>
        <w:spacing w:after="0"/>
        <w:tabs>
          <w:tab w:leader="none" w:pos="8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Reporting Person may be deemed to beneficially own what constitutes approximately 5.70% of the shares outstanding.</w:t>
      </w:r>
    </w:p>
    <w:p>
      <w:pPr>
        <w:spacing w:after="0" w:line="225" w:lineRule="exact"/>
        <w:rPr>
          <w:sz w:val="20"/>
          <w:szCs w:val="20"/>
          <w:color w:val="auto"/>
        </w:rPr>
      </w:pPr>
    </w:p>
    <w:p>
      <w:pPr>
        <w:ind w:left="860" w:hanging="488"/>
        <w:spacing w:after="0"/>
        <w:tabs>
          <w:tab w:leader="none" w:pos="8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225" w:lineRule="exact"/>
        <w:rPr>
          <w:sz w:val="20"/>
          <w:szCs w:val="20"/>
          <w:color w:val="auto"/>
        </w:rPr>
      </w:pPr>
    </w:p>
    <w:p>
      <w:pPr>
        <w:ind w:left="860" w:hanging="488"/>
        <w:spacing w:after="0"/>
        <w:tabs>
          <w:tab w:leader="none" w:pos="8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w:t>
      </w:r>
    </w:p>
    <w:p>
      <w:pPr>
        <w:spacing w:after="0" w:line="225" w:lineRule="exact"/>
        <w:rPr>
          <w:rFonts w:ascii="Times New Roman" w:cs="Times New Roman" w:eastAsia="Times New Roman" w:hAnsi="Times New Roman"/>
          <w:sz w:val="18"/>
          <w:szCs w:val="18"/>
          <w:color w:val="auto"/>
        </w:rPr>
      </w:pPr>
    </w:p>
    <w:p>
      <w:pPr>
        <w:ind w:left="860" w:hanging="488"/>
        <w:spacing w:after="0"/>
        <w:tabs>
          <w:tab w:leader="none" w:pos="8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8,282,490 shares</w:t>
      </w:r>
    </w:p>
    <w:p>
      <w:pPr>
        <w:spacing w:after="0" w:line="225" w:lineRule="exact"/>
        <w:rPr>
          <w:rFonts w:ascii="Times New Roman" w:cs="Times New Roman" w:eastAsia="Times New Roman" w:hAnsi="Times New Roman"/>
          <w:sz w:val="18"/>
          <w:szCs w:val="18"/>
          <w:color w:val="auto"/>
        </w:rPr>
      </w:pPr>
    </w:p>
    <w:p>
      <w:pPr>
        <w:ind w:left="860" w:hanging="488"/>
        <w:spacing w:after="0"/>
        <w:tabs>
          <w:tab w:leader="none" w:pos="8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225" w:lineRule="exact"/>
        <w:rPr>
          <w:rFonts w:ascii="Times New Roman" w:cs="Times New Roman" w:eastAsia="Times New Roman" w:hAnsi="Times New Roman"/>
          <w:sz w:val="18"/>
          <w:szCs w:val="18"/>
          <w:color w:val="auto"/>
        </w:rPr>
      </w:pPr>
    </w:p>
    <w:p>
      <w:pPr>
        <w:ind w:left="860" w:hanging="488"/>
        <w:spacing w:after="0"/>
        <w:tabs>
          <w:tab w:leader="none" w:pos="8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8,282,490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6" w:name="page7"/>
    <w:bookmarkEnd w:id="6"/>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229" w:lineRule="exact"/>
        <w:rPr>
          <w:sz w:val="20"/>
          <w:szCs w:val="20"/>
          <w:color w:val="auto"/>
        </w:rPr>
      </w:pPr>
    </w:p>
    <w:p>
      <w:pPr>
        <w:ind w:right="420"/>
        <w:spacing w:after="0" w:line="239"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16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Ownership of More Than Five Percent on Behalf of Another Person.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1140" w:right="660" w:hanging="1133"/>
        <w:spacing w:after="0" w:line="286" w:lineRule="auto"/>
        <w:tabs>
          <w:tab w:leader="none" w:pos="112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of the Reporting Person hereby makes the following certification:</w:t>
      </w:r>
    </w:p>
    <w:p>
      <w:pPr>
        <w:spacing w:after="0" w:line="225"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372110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549" w:right="4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the signatory’s knowledge and belief, the signatory certifies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21, 2024</w:t>
      </w:r>
    </w:p>
    <w:p>
      <w:pPr>
        <w:spacing w:after="0" w:line="22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TELEMARK ASSET MANAGEMENT, LLC</w:t>
      </w:r>
    </w:p>
    <w:p>
      <w:pPr>
        <w:spacing w:after="0" w:line="225" w:lineRule="exact"/>
        <w:rPr>
          <w:sz w:val="20"/>
          <w:szCs w:val="20"/>
          <w:color w:val="auto"/>
        </w:rPr>
      </w:pPr>
    </w:p>
    <w:tbl>
      <w:tblPr>
        <w:tblLayout w:type="fixed"/>
        <w:tblInd w:w="5200" w:type="dxa"/>
        <w:tblCellMar>
          <w:top w:w="0" w:type="dxa"/>
          <w:left w:w="0" w:type="dxa"/>
          <w:bottom w:w="0" w:type="dxa"/>
          <w:right w:w="0" w:type="dxa"/>
        </w:tblCellMar>
      </w:tblPr>
      <w:tr>
        <w:trPr>
          <w:trHeight w:val="234"/>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Brian C. Miley</w:t>
            </w:r>
          </w:p>
        </w:tc>
      </w:tr>
      <w:tr>
        <w:trPr>
          <w:trHeight w:val="191"/>
        </w:trPr>
        <w:tc>
          <w:tcPr>
            <w:tcW w:w="1200" w:type="dxa"/>
            <w:vAlign w:val="bottom"/>
          </w:tcPr>
          <w:p>
            <w:pPr>
              <w:spacing w:after="0"/>
              <w:rPr>
                <w:sz w:val="16"/>
                <w:szCs w:val="16"/>
                <w:color w:val="auto"/>
              </w:rPr>
            </w:pPr>
          </w:p>
        </w:tc>
        <w:tc>
          <w:tcPr>
            <w:tcW w:w="48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Brian C. Miley</w:t>
            </w:r>
          </w:p>
        </w:tc>
      </w:tr>
      <w:tr>
        <w:trPr>
          <w:trHeight w:val="234"/>
        </w:trPr>
        <w:tc>
          <w:tcPr>
            <w:tcW w:w="120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Title: Chief Financial Officer</w:t>
            </w:r>
          </w:p>
        </w:tc>
      </w:tr>
    </w:tbl>
    <w:p>
      <w:pPr>
        <w:spacing w:after="0" w:line="200" w:lineRule="exact"/>
        <w:rPr>
          <w:sz w:val="20"/>
          <w:szCs w:val="20"/>
          <w:color w:val="auto"/>
        </w:rPr>
      </w:pPr>
    </w:p>
    <w:p>
      <w:pPr>
        <w:spacing w:after="0" w:line="21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TELEMARK FUND, LP</w:t>
      </w:r>
    </w:p>
    <w:p>
      <w:pPr>
        <w:spacing w:after="0" w:line="22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By: Telemark Asset Management, LLC,</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80" w:type="dxa"/>
            <w:vAlign w:val="bottom"/>
          </w:tcPr>
          <w:p>
            <w:pPr>
              <w:spacing w:after="0"/>
              <w:rPr>
                <w:sz w:val="20"/>
                <w:szCs w:val="20"/>
                <w:color w:val="auto"/>
              </w:rPr>
            </w:pPr>
          </w:p>
        </w:tc>
        <w:tc>
          <w:tcPr>
            <w:tcW w:w="5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investment adviser</w:t>
            </w:r>
          </w:p>
        </w:tc>
      </w:tr>
      <w:tr>
        <w:trPr>
          <w:trHeight w:val="414"/>
        </w:trPr>
        <w:tc>
          <w:tcPr>
            <w:tcW w:w="5480" w:type="dxa"/>
            <w:vAlign w:val="bottom"/>
          </w:tcPr>
          <w:p>
            <w:pPr>
              <w:ind w:left="5200"/>
              <w:spacing w:after="0"/>
              <w:rPr>
                <w:sz w:val="20"/>
                <w:szCs w:val="20"/>
                <w:color w:val="auto"/>
              </w:rPr>
            </w:pPr>
            <w:r>
              <w:rPr>
                <w:rFonts w:ascii="Times New Roman" w:cs="Times New Roman" w:eastAsia="Times New Roman" w:hAnsi="Times New Roman"/>
                <w:sz w:val="18"/>
                <w:szCs w:val="18"/>
                <w:color w:val="auto"/>
                <w:w w:val="99"/>
              </w:rPr>
              <w:t>By:</w:t>
            </w:r>
          </w:p>
        </w:tc>
        <w:tc>
          <w:tcPr>
            <w:tcW w:w="920" w:type="dxa"/>
            <w:vAlign w:val="bottom"/>
          </w:tcPr>
          <w:p>
            <w:pPr>
              <w:spacing w:after="0"/>
              <w:rPr>
                <w:sz w:val="24"/>
                <w:szCs w:val="24"/>
                <w:color w:val="auto"/>
              </w:rPr>
            </w:pPr>
          </w:p>
        </w:tc>
        <w:tc>
          <w:tcPr>
            <w:tcW w:w="4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Brian C. Miley</w:t>
            </w:r>
          </w:p>
        </w:tc>
      </w:tr>
      <w:tr>
        <w:trPr>
          <w:trHeight w:val="191"/>
        </w:trPr>
        <w:tc>
          <w:tcPr>
            <w:tcW w:w="54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8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Brian C. Miley</w:t>
            </w:r>
          </w:p>
        </w:tc>
      </w:tr>
      <w:tr>
        <w:trPr>
          <w:trHeight w:val="234"/>
        </w:trPr>
        <w:tc>
          <w:tcPr>
            <w:tcW w:w="54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Title: Chief Financial Officer</w:t>
            </w:r>
          </w:p>
        </w:tc>
      </w:tr>
      <w:tr>
        <w:trPr>
          <w:trHeight w:val="864"/>
        </w:trPr>
        <w:tc>
          <w:tcPr>
            <w:tcW w:w="5480" w:type="dxa"/>
            <w:vAlign w:val="bottom"/>
          </w:tcPr>
          <w:p>
            <w:pPr>
              <w:ind w:left="5200"/>
              <w:spacing w:after="0"/>
              <w:rPr>
                <w:sz w:val="20"/>
                <w:szCs w:val="20"/>
                <w:color w:val="auto"/>
              </w:rPr>
            </w:pPr>
            <w:r>
              <w:rPr>
                <w:rFonts w:ascii="Times New Roman" w:cs="Times New Roman" w:eastAsia="Times New Roman" w:hAnsi="Times New Roman"/>
                <w:sz w:val="18"/>
                <w:szCs w:val="18"/>
                <w:color w:val="auto"/>
                <w:w w:val="99"/>
              </w:rPr>
              <w:t>By:</w:t>
            </w:r>
          </w:p>
        </w:tc>
        <w:tc>
          <w:tcPr>
            <w:tcW w:w="920" w:type="dxa"/>
            <w:vAlign w:val="bottom"/>
          </w:tcPr>
          <w:p>
            <w:pPr>
              <w:spacing w:after="0"/>
              <w:rPr>
                <w:sz w:val="24"/>
                <w:szCs w:val="24"/>
                <w:color w:val="auto"/>
              </w:rPr>
            </w:pPr>
          </w:p>
        </w:tc>
        <w:tc>
          <w:tcPr>
            <w:tcW w:w="4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Colin McNay</w:t>
            </w:r>
          </w:p>
        </w:tc>
      </w:tr>
      <w:tr>
        <w:trPr>
          <w:trHeight w:val="191"/>
        </w:trPr>
        <w:tc>
          <w:tcPr>
            <w:tcW w:w="54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8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Colin McNay</w:t>
            </w:r>
          </w:p>
        </w:tc>
      </w:tr>
      <w:tr>
        <w:trPr>
          <w:trHeight w:val="216"/>
        </w:trPr>
        <w:tc>
          <w:tcPr>
            <w:tcW w:w="5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Title: President and sole owner of</w:t>
            </w:r>
          </w:p>
        </w:tc>
      </w:tr>
      <w:tr>
        <w:trPr>
          <w:trHeight w:val="234"/>
        </w:trPr>
        <w:tc>
          <w:tcPr>
            <w:tcW w:w="54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8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Telemark Asset Management, LLC</w:t>
            </w:r>
          </w:p>
        </w:tc>
      </w:tr>
      <w:tr>
        <w:trPr>
          <w:trHeight w:val="1046"/>
        </w:trPr>
        <w:tc>
          <w:tcPr>
            <w:tcW w:w="54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49" w:right="339" w:bottom="1440" w:gutter="0" w:footer="0" w:header="0"/>
        </w:sectPr>
      </w:pPr>
    </w:p>
    <w:bookmarkStart w:id="8" w:name="page9"/>
    <w:bookmarkEnd w:id="8"/>
    <w:p>
      <w:pPr>
        <w:spacing w:after="0" w:line="1" w:lineRule="exact"/>
        <w:rPr>
          <w:sz w:val="20"/>
          <w:szCs w:val="20"/>
          <w:color w:val="auto"/>
        </w:rPr>
      </w:pPr>
    </w:p>
    <w:tbl>
      <w:tblPr>
        <w:tblLayout w:type="fixed"/>
        <w:tblInd w:w="1440" w:type="dxa"/>
        <w:tblCellMar>
          <w:top w:w="0" w:type="dxa"/>
          <w:left w:w="0" w:type="dxa"/>
          <w:bottom w:w="0" w:type="dxa"/>
          <w:right w:w="0" w:type="dxa"/>
        </w:tblCellMar>
      </w:tblPr>
      <w:tr>
        <w:trPr>
          <w:trHeight w:val="238"/>
        </w:trPr>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260" w:type="dxa"/>
            <w:vAlign w:val="bottom"/>
            <w:gridSpan w:val="3"/>
          </w:tcPr>
          <w:p>
            <w:pPr>
              <w:ind w:left="9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92"/>
        </w:trPr>
        <w:tc>
          <w:tcPr>
            <w:tcW w:w="1440" w:type="dxa"/>
            <w:vAlign w:val="bottom"/>
            <w:gridSpan w:val="4"/>
          </w:tcPr>
          <w:p>
            <w:pPr>
              <w:jc w:val="center"/>
              <w:ind w:right="920"/>
              <w:spacing w:after="0"/>
              <w:rPr>
                <w:sz w:val="20"/>
                <w:szCs w:val="20"/>
                <w:color w:val="auto"/>
              </w:rPr>
            </w:pPr>
            <w:r>
              <w:rPr>
                <w:rFonts w:ascii="Times New Roman" w:cs="Times New Roman" w:eastAsia="Times New Roman" w:hAnsi="Times New Roman"/>
                <w:sz w:val="18"/>
                <w:szCs w:val="18"/>
                <w:color w:val="auto"/>
                <w:w w:val="98"/>
              </w:rPr>
              <w:t>Exhibit</w:t>
            </w:r>
          </w:p>
        </w:tc>
        <w:tc>
          <w:tcPr>
            <w:tcW w:w="3620" w:type="dxa"/>
            <w:vAlign w:val="bottom"/>
          </w:tcPr>
          <w:p>
            <w:pPr>
              <w:spacing w:after="0"/>
              <w:rPr>
                <w:sz w:val="24"/>
                <w:szCs w:val="24"/>
                <w:color w:val="auto"/>
              </w:rPr>
            </w:pPr>
          </w:p>
        </w:tc>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 of Exhibit</w:t>
            </w:r>
          </w:p>
        </w:tc>
      </w:tr>
      <w:tr>
        <w:trPr>
          <w:trHeight w:val="20"/>
        </w:trPr>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20" w:type="dxa"/>
            <w:vAlign w:val="bottom"/>
            <w:gridSpan w:val="2"/>
          </w:tcPr>
          <w:p>
            <w:pPr>
              <w:jc w:val="center"/>
              <w:spacing w:after="0" w:line="19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6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Joint Filing Agreement</w:t>
            </w:r>
          </w:p>
        </w:tc>
      </w:tr>
      <w:tr>
        <w:trPr>
          <w:trHeight w:val="20"/>
        </w:trPr>
        <w:tc>
          <w:tcPr>
            <w:tcW w:w="1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20" w:type="dxa"/>
            <w:vAlign w:val="bottom"/>
            <w:tcBorders>
              <w:right w:val="single" w:sz="8" w:color="0000EE"/>
            </w:tcBorders>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r>
    </w:tbl>
    <w:p>
      <w:pPr>
        <w:sectPr>
          <w:pgSz w:w="11900" w:h="16838" w:orient="portrait"/>
          <w:cols w:equalWidth="0" w:num="1">
            <w:col w:w="9019"/>
          </w:cols>
          <w:pgMar w:left="1440" w:top="333" w:right="1440"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The undersigned hereby agree that the Statement on the Schedule 13G filed herewith (and any amendments thereto), relating to the common stock of Biodesix, Inc. is being filed jointly with the Securities and Exchange Commission pursuant to Rule 13d-1(c) under the Securities Exchange Act of 1934, as amended, on behalf of each of the undersigned.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Agreement may be executed in counterparts and each of such counterparts taken together shall constitute one and the same instrument.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undersigned hereby execute this Agreement as of June 24, 2024.</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TELEMARK ASSET MANAGEMENT, LLC</w:t>
      </w:r>
    </w:p>
    <w:p>
      <w:pPr>
        <w:spacing w:after="0" w:line="225"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Brian C. Miley</w:t>
            </w:r>
          </w:p>
        </w:tc>
      </w:tr>
      <w:tr>
        <w:trPr>
          <w:trHeight w:val="191"/>
        </w:trPr>
        <w:tc>
          <w:tcPr>
            <w:tcW w:w="560" w:type="dxa"/>
            <w:vAlign w:val="bottom"/>
          </w:tcPr>
          <w:p>
            <w:pPr>
              <w:spacing w:after="0"/>
              <w:rPr>
                <w:sz w:val="16"/>
                <w:szCs w:val="16"/>
                <w:color w:val="auto"/>
              </w:rPr>
            </w:pP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Brian C. Miley</w:t>
            </w:r>
          </w:p>
        </w:tc>
      </w:tr>
      <w:tr>
        <w:trPr>
          <w:trHeight w:val="234"/>
        </w:trPr>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Title: Chief Financial Officer</w:t>
            </w:r>
          </w:p>
        </w:tc>
      </w:tr>
    </w:tbl>
    <w:p>
      <w:pPr>
        <w:spacing w:after="0" w:line="200" w:lineRule="exact"/>
        <w:rPr>
          <w:sz w:val="20"/>
          <w:szCs w:val="20"/>
          <w:color w:val="auto"/>
        </w:rPr>
      </w:pPr>
    </w:p>
    <w:p>
      <w:pPr>
        <w:spacing w:after="0" w:line="21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TELEMARK FUND, LP</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Telemark Asset Management, LLC,</w:t>
      </w:r>
    </w:p>
    <w:p>
      <w:pPr>
        <w:spacing w:after="0" w:line="27"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p>
        </w:tc>
        <w:tc>
          <w:tcPr>
            <w:tcW w:w="5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investment adviser</w:t>
            </w:r>
          </w:p>
        </w:tc>
      </w:tr>
      <w:tr>
        <w:trPr>
          <w:trHeight w:val="41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w w:val="99"/>
              </w:rPr>
              <w:t>By:</w:t>
            </w:r>
          </w:p>
        </w:tc>
        <w:tc>
          <w:tcPr>
            <w:tcW w:w="280" w:type="dxa"/>
            <w:vAlign w:val="bottom"/>
          </w:tcPr>
          <w:p>
            <w:pPr>
              <w:spacing w:after="0"/>
              <w:rPr>
                <w:sz w:val="24"/>
                <w:szCs w:val="24"/>
                <w:color w:val="auto"/>
              </w:rPr>
            </w:pP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Brian C. Miley</w:t>
            </w:r>
          </w:p>
        </w:tc>
      </w:tr>
      <w:tr>
        <w:trPr>
          <w:trHeight w:val="191"/>
        </w:trPr>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Brian C. Miley</w:t>
            </w:r>
          </w:p>
        </w:tc>
      </w:tr>
      <w:tr>
        <w:trPr>
          <w:trHeight w:val="234"/>
        </w:trPr>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Title: Chief Financial Officer</w:t>
            </w:r>
          </w:p>
        </w:tc>
      </w:tr>
      <w:tr>
        <w:trPr>
          <w:trHeight w:val="86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w w:val="99"/>
              </w:rPr>
              <w:t>By:</w:t>
            </w:r>
          </w:p>
        </w:tc>
        <w:tc>
          <w:tcPr>
            <w:tcW w:w="280" w:type="dxa"/>
            <w:vAlign w:val="bottom"/>
          </w:tcPr>
          <w:p>
            <w:pPr>
              <w:spacing w:after="0"/>
              <w:rPr>
                <w:sz w:val="24"/>
                <w:szCs w:val="24"/>
                <w:color w:val="auto"/>
              </w:rPr>
            </w:pP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Colin McNay</w:t>
            </w:r>
          </w:p>
        </w:tc>
      </w:tr>
      <w:tr>
        <w:trPr>
          <w:trHeight w:val="228"/>
        </w:trPr>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Name: Colin McNay, in his individual capacity</w:t>
            </w: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lowerLetter"/>
      <w:start w:val="4"/>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bullet"/>
      <w:start w:val="1"/>
    </w:lvl>
  </w:abstractNum>
  <w:abstractNum w:abstractNumId="3">
    <w:nsid w:val="41B71EFB"/>
    <w:multiLevelType w:val="hybridMultilevel"/>
    <w:lvl w:ilvl="0">
      <w:lvlJc w:val="left"/>
      <w:lvlText w:val="1"/>
      <w:numFmt w:val="bullet"/>
      <w:start w:val="1"/>
    </w:lvl>
  </w:abstractNum>
  <w:abstractNum w:abstractNumId="4">
    <w:nsid w:val="79E2A9E3"/>
    <w:multiLevelType w:val="hybridMultilevel"/>
    <w:lvl w:ilvl="0">
      <w:lvlJc w:val="left"/>
      <w:lvlText w:val="1"/>
      <w:numFmt w:val="bullet"/>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2"/>
    </w:lvl>
  </w:abstractNum>
  <w:abstractNum w:abstractNumId="8">
    <w:nsid w:val="12200854"/>
    <w:multiLevelType w:val="hybridMultilevel"/>
    <w:lvl w:ilvl="0">
      <w:lvlJc w:val="left"/>
      <w:lvlText w:val="(%1)"/>
      <w:numFmt w:val="lowerLetter"/>
      <w:start w:val="3"/>
    </w:lvl>
  </w:abstractNum>
  <w:abstractNum w:abstractNumId="9">
    <w:nsid w:val="4DB127F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2024-06-24T11:18:29Z</dcterms:created>
  <dcterms:modified xsi:type="dcterms:W3CDTF">2024-06-24T11:18:29Z</dcterms:modified>
</cp:coreProperties>
</file>