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2640"/>
        <w:spacing w:after="0"/>
        <w:rPr>
          <w:sz w:val="20"/>
          <w:szCs w:val="20"/>
          <w:color w:val="auto"/>
        </w:rPr>
      </w:pPr>
      <w:r>
        <w:rPr>
          <w:rFonts w:ascii="Arial" w:cs="Arial" w:eastAsia="Arial" w:hAnsi="Arial"/>
          <w:sz w:val="18"/>
          <w:szCs w:val="18"/>
          <w:b w:val="1"/>
          <w:bCs w:val="1"/>
          <w:color w:val="auto"/>
        </w:rPr>
        <w:t>As filed with the Securities and Exchange Commission on November 15, 2021.</w:t>
      </w:r>
    </w:p>
    <w:p>
      <w:pPr>
        <w:spacing w:after="0" w:line="27" w:lineRule="exact"/>
        <w:rPr>
          <w:sz w:val="24"/>
          <w:szCs w:val="24"/>
          <w:color w:val="auto"/>
        </w:rPr>
      </w:pPr>
    </w:p>
    <w:p>
      <w:pPr>
        <w:ind w:left="90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123190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REGISTRATION STATEMENT</w:t>
      </w:r>
    </w:p>
    <w:p>
      <w:pPr>
        <w:jc w:val="center"/>
        <w:ind w:right="-27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BIODESIX, INC.</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960"/>
          </w:cols>
          <w:pgMar w:left="320" w:top="230" w:right="619" w:bottom="1440" w:gutter="0" w:footer="0" w:header="0"/>
        </w:sectPr>
      </w:pPr>
    </w:p>
    <w:p>
      <w:pPr>
        <w:spacing w:after="0" w:line="232"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20-3986492</w:t>
      </w:r>
    </w:p>
    <w:p>
      <w:pPr>
        <w:spacing w:after="0" w:line="31" w:lineRule="exact"/>
        <w:rPr>
          <w:sz w:val="24"/>
          <w:szCs w:val="24"/>
          <w:color w:val="auto"/>
        </w:rPr>
      </w:pPr>
    </w:p>
    <w:p>
      <w:pPr>
        <w:sectPr>
          <w:pgSz w:w="11900" w:h="16838" w:orient="portrait"/>
          <w:cols w:equalWidth="0" w:num="2">
            <w:col w:w="7300" w:space="720"/>
            <w:col w:w="2940"/>
          </w:cols>
          <w:pgMar w:left="320" w:top="230" w:right="619" w:bottom="144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780"/>
        <w:spacing w:after="0"/>
        <w:rPr>
          <w:sz w:val="20"/>
          <w:szCs w:val="20"/>
          <w:color w:val="auto"/>
        </w:rPr>
      </w:pPr>
      <w:r>
        <w:rPr>
          <w:rFonts w:ascii="Arial" w:cs="Arial" w:eastAsia="Arial" w:hAnsi="Arial"/>
          <w:sz w:val="14"/>
          <w:szCs w:val="14"/>
          <w:b w:val="1"/>
          <w:bCs w:val="1"/>
          <w:color w:val="auto"/>
        </w:rPr>
        <w:t>(I.R.S. Employer</w:t>
      </w:r>
    </w:p>
    <w:p>
      <w:pPr>
        <w:jc w:val="center"/>
        <w:ind w:right="1780"/>
        <w:spacing w:after="0"/>
        <w:rPr>
          <w:sz w:val="20"/>
          <w:szCs w:val="20"/>
          <w:color w:val="auto"/>
        </w:rPr>
      </w:pPr>
      <w:r>
        <w:rPr>
          <w:rFonts w:ascii="Arial" w:cs="Arial" w:eastAsia="Arial" w:hAnsi="Arial"/>
          <w:sz w:val="13"/>
          <w:szCs w:val="13"/>
          <w:b w:val="1"/>
          <w:bCs w:val="1"/>
          <w:color w:val="auto"/>
        </w:rPr>
        <w:t>Identification Number)</w:t>
      </w:r>
    </w:p>
    <w:p>
      <w:pPr>
        <w:spacing w:after="0" w:line="21" w:lineRule="exact"/>
        <w:rPr>
          <w:sz w:val="24"/>
          <w:szCs w:val="24"/>
          <w:color w:val="auto"/>
        </w:rPr>
      </w:pPr>
    </w:p>
    <w:p>
      <w:pPr>
        <w:sectPr>
          <w:pgSz w:w="11900" w:h="16838" w:orient="portrait"/>
          <w:cols w:equalWidth="0" w:num="2">
            <w:col w:w="7020" w:space="720"/>
            <w:col w:w="3220"/>
          </w:cols>
          <w:pgMar w:left="320" w:top="230" w:right="619" w:bottom="1440" w:gutter="0" w:footer="0" w:header="0"/>
          <w:type w:val="continuous"/>
        </w:sectPr>
      </w:pPr>
    </w:p>
    <w:p>
      <w:pPr>
        <w:jc w:val="center"/>
        <w:ind w:right="-279"/>
        <w:spacing w:after="0"/>
        <w:rPr>
          <w:sz w:val="20"/>
          <w:szCs w:val="20"/>
          <w:color w:val="auto"/>
        </w:rPr>
      </w:pPr>
      <w:r>
        <w:rPr>
          <w:rFonts w:ascii="Arial" w:cs="Arial" w:eastAsia="Arial" w:hAnsi="Arial"/>
          <w:sz w:val="18"/>
          <w:szCs w:val="18"/>
          <w:b w:val="1"/>
          <w:bCs w:val="1"/>
          <w:color w:val="auto"/>
        </w:rPr>
        <w:t>Biodesix, Inc.</w:t>
      </w:r>
    </w:p>
    <w:p>
      <w:pPr>
        <w:spacing w:after="0" w:line="8" w:lineRule="exact"/>
        <w:rPr>
          <w:sz w:val="24"/>
          <w:szCs w:val="24"/>
          <w:color w:val="auto"/>
        </w:rPr>
      </w:pPr>
    </w:p>
    <w:p>
      <w:pPr>
        <w:jc w:val="center"/>
        <w:ind w:right="-279"/>
        <w:spacing w:after="0"/>
        <w:rPr>
          <w:sz w:val="20"/>
          <w:szCs w:val="20"/>
          <w:color w:val="auto"/>
        </w:rPr>
      </w:pPr>
      <w:r>
        <w:rPr>
          <w:rFonts w:ascii="Arial" w:cs="Arial" w:eastAsia="Arial" w:hAnsi="Arial"/>
          <w:sz w:val="16"/>
          <w:szCs w:val="16"/>
          <w:b w:val="1"/>
          <w:bCs w:val="1"/>
          <w:color w:val="auto"/>
        </w:rPr>
        <w:t>2970 Wilderness Place, Suite 100</w:t>
      </w:r>
    </w:p>
    <w:p>
      <w:pPr>
        <w:spacing w:after="0" w:line="32"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Boulder, Colorado 80301</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(303) 417-0500</w:t>
      </w:r>
    </w:p>
    <w:p>
      <w:pPr>
        <w:sectPr>
          <w:pgSz w:w="11900" w:h="16838" w:orient="portrait"/>
          <w:cols w:equalWidth="0" w:num="1">
            <w:col w:w="10960"/>
          </w:cols>
          <w:pgMar w:left="320" w:top="230" w:right="619" w:bottom="1440" w:gutter="0" w:footer="0" w:header="0"/>
          <w:type w:val="continuous"/>
        </w:sectPr>
      </w:pPr>
    </w:p>
    <w:p>
      <w:pPr>
        <w:spacing w:after="0" w:line="9"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Scott Hutton</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Biodesix, Inc.</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2970 Wilderness Place, Suite 100</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Boulder, Colorado 80301</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(303) 417-0500</w:t>
      </w:r>
    </w:p>
    <w:p>
      <w:pPr>
        <w:spacing w:after="0" w:line="2"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Frank F. Rahmani, Esq.</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Samir A. Gandhi, Esq.</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Sidley Austin LLP</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555 California Street, Suite 2000</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San Francisco, California 94104</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Telephone: (415) 772-1200</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Facsimile: (415) 772-7400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this registration statement becomes effective.</w:t>
      </w:r>
    </w:p>
    <w:p>
      <w:pPr>
        <w:spacing w:after="0" w:line="252" w:lineRule="exact"/>
        <w:rPr>
          <w:sz w:val="24"/>
          <w:szCs w:val="24"/>
          <w:color w:val="auto"/>
        </w:rPr>
      </w:pPr>
    </w:p>
    <w:p>
      <w:pPr>
        <w:ind w:left="120" w:right="540" w:firstLine="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firstLine="4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10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ectPr>
          <w:pgSz w:w="11900" w:h="16838" w:orient="portrait"/>
          <w:cols w:equalWidth="0" w:num="1">
            <w:col w:w="10960"/>
          </w:cols>
          <w:pgMar w:left="320" w:top="230" w:right="6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0"/>
          <w:szCs w:val="20"/>
          <w:color w:val="auto"/>
        </w:rPr>
      </w:pPr>
    </w:p>
    <w:p>
      <w:pPr>
        <w:ind w:left="120" w:right="60" w:firstLine="4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left="120" w:right="720" w:firstLine="440"/>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8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left="12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ind w:left="1780"/>
              <w:spacing w:after="0"/>
              <w:rPr>
                <w:sz w:val="20"/>
                <w:szCs w:val="20"/>
                <w:color w:val="auto"/>
              </w:rPr>
            </w:pPr>
            <w:r>
              <w:rPr>
                <w:rFonts w:ascii="Arial" w:cs="Arial" w:eastAsia="Arial" w:hAnsi="Arial"/>
                <w:sz w:val="14"/>
                <w:szCs w:val="14"/>
                <w:b w:val="1"/>
                <w:bCs w:val="1"/>
                <w:color w:val="auto"/>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right w:val="single" w:sz="8" w:color="auto"/>
            </w:tcBorders>
          </w:tcPr>
          <w:p>
            <w:pPr>
              <w:ind w:left="1620"/>
              <w:spacing w:after="0"/>
              <w:rPr>
                <w:sz w:val="20"/>
                <w:szCs w:val="20"/>
                <w:color w:val="auto"/>
              </w:rPr>
            </w:pPr>
            <w:r>
              <w:rPr>
                <w:rFonts w:ascii="Arial" w:cs="Arial" w:eastAsia="Arial" w:hAnsi="Arial"/>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Per Unit(2)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Fee(3)</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Preferred Stock, $0.001 par value per share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Warrants</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Rights to purchase common stock, preferred stock or units(4)</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Units(4)</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Borders>
              <w:bottom w:val="single" w:sz="8" w:color="auto"/>
              <w:right w:val="single" w:sz="8" w:color="auto"/>
            </w:tcBorders>
          </w:tcPr>
          <w:p>
            <w:pPr>
              <w:jc w:val="right"/>
              <w:ind w:right="164"/>
              <w:spacing w:after="0"/>
              <w:rPr>
                <w:sz w:val="20"/>
                <w:szCs w:val="20"/>
                <w:color w:val="auto"/>
              </w:rPr>
            </w:pPr>
            <w:r>
              <w:rPr>
                <w:rFonts w:ascii="Arial" w:cs="Arial" w:eastAsia="Arial" w:hAnsi="Arial"/>
                <w:sz w:val="18"/>
                <w:szCs w:val="18"/>
                <w:b w:val="1"/>
                <w:bCs w:val="1"/>
                <w:color w:val="auto"/>
              </w:rPr>
              <w:t>$250,000,000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 N./A.</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$250,000,000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$23,175</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60" w:hanging="424"/>
        <w:spacing w:after="0" w:line="268"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There are being registered hereunder such indeterminate number of shares of common stock, such indeterminate number of shares of preferred stock and such indeterminate number of warrants to purchase common stock or preferred stock as shall have an aggregate initial offering price not to exceed $250,000,000. In addition, pursuant to Rule 416 under the Securities Act of 1933, as amended, or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2" w:lineRule="exact"/>
        <w:rPr>
          <w:rFonts w:ascii="Arial" w:cs="Arial" w:eastAsia="Arial" w:hAnsi="Arial"/>
          <w:sz w:val="17"/>
          <w:szCs w:val="17"/>
          <w:color w:val="auto"/>
        </w:rPr>
      </w:pPr>
    </w:p>
    <w:p>
      <w:pPr>
        <w:ind w:left="540" w:right="80" w:hanging="424"/>
        <w:spacing w:after="0" w:line="25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per class of security will be determined from time to time, in connection with the issuance of the securities registered hereunder and is not specified as to each class of the security pursuant to General Instruction II.D. of Form S-3 under the Securities Act.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9" w:lineRule="exact"/>
        <w:rPr>
          <w:rFonts w:ascii="Arial" w:cs="Arial" w:eastAsia="Arial" w:hAnsi="Arial"/>
          <w:sz w:val="18"/>
          <w:szCs w:val="18"/>
          <w:color w:val="auto"/>
        </w:rPr>
      </w:pPr>
    </w:p>
    <w:p>
      <w:pPr>
        <w:ind w:left="540" w:right="60" w:hanging="424"/>
        <w:spacing w:after="0" w:line="273"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Rights will represent rights to purchase shares of common stock, shares of preferred stock or units registered hereby. Because the rights will provide a right only to purchase such securities offered hereunder, no additional registration fee is required. Each unit will represent an interest in two or more securities registered pursuant to this registration statement, which may or may not be separable. Because the units will provide a right only to purchase such securities offered hereunder, no additional registration fee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20" w:right="200" w:firstLine="440"/>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167640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registration statement contains two prospectuses:</w:t>
      </w:r>
    </w:p>
    <w:p>
      <w:pPr>
        <w:spacing w:after="0" w:line="131" w:lineRule="exact"/>
        <w:rPr>
          <w:sz w:val="20"/>
          <w:szCs w:val="20"/>
          <w:color w:val="auto"/>
        </w:rPr>
      </w:pPr>
    </w:p>
    <w:p>
      <w:pPr>
        <w:ind w:left="1080" w:right="14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base prospectus which covers the offering, issuance and sale by the Registrant and/or selling securityholders of up to a maximum aggregate offering price of $250,000,000 of the Registrant’s common stock, preferred stock, warrants, rights to purchase common stock, preferred stock and units; and</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sales agreement prospectus covering the offering, issuance and sale by the Registrant of up to a maximum aggregate offering price of $50,000,000 of shares of the Registrant’s common stock that may be offered, issued and sold from time to time under a sales agreement, dated November 15, 2021, with Cowen and Company, LLC.</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base prospectus immediately follows this explanatory note. The specific terms of any securities to be offered pursuant to the base prospectus will be specified in a prospectus supplement to the base prospectus. The sales agreement prospectus immediately follows the base prospectus. The common stock that may be offered, issued and sold by the Registrant under the sales agreement prospectus is included in the $250,000,000 of securities that may be offered, issued and sold by the Registrant and/or selling stockholders under the base prospectus. Upon termination of the sales agreement with Cowen and Company, LLC, any portion of the $50,000,000 included in the sales agreement prospectus that is not sold pursuant to such sales agreement will be available for sale in other offerings pursuant to the base prospectus and a corresponding prospectus supplement related to any such other offering.</w:t>
      </w:r>
    </w:p>
    <w:p>
      <w:pPr>
        <w:sectPr>
          <w:pgSz w:w="11900" w:h="16838" w:orient="portrait"/>
          <w:cols w:equalWidth="0" w:num="1">
            <w:col w:w="11040"/>
          </w:cols>
          <w:pgMar w:left="320" w:top="459" w:right="5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314" w:lineRule="auto"/>
        <w:rPr>
          <w:sz w:val="20"/>
          <w:szCs w:val="20"/>
          <w:color w:val="auto"/>
        </w:rPr>
      </w:pPr>
      <w:r>
        <w:rPr>
          <w:rFonts w:ascii="Arial" w:cs="Arial" w:eastAsia="Arial" w:hAnsi="Arial"/>
          <w:sz w:val="16"/>
          <w:szCs w:val="16"/>
          <w:b w:val="1"/>
          <w:bCs w:val="1"/>
          <w:color w:val="FF4338"/>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or jurisdiction where such offer or sale is not permitted.</w:t>
      </w:r>
    </w:p>
    <w:p>
      <w:pPr>
        <w:spacing w:after="0" w:line="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November 15,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171450</wp:posOffset>
            </wp:positionV>
            <wp:extent cx="1997075"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970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$250,000,000</w:t>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BIODESIX, INC.</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Rights to Purchase Common Stock, Preferred Stock or Units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We and/or any selling securityholder may offer and sell from time to time our shares of common stock, shares of preferred stock, warrants, rights to purchase common stock, preferred stock or units, as well as units that include any of these securities. We and/or any selling securityholder may sell any combination of these securities in one or more offerings with an aggregate offering price of up to $250,000,000.</w:t>
      </w:r>
    </w:p>
    <w:p>
      <w:pPr>
        <w:spacing w:after="0" w:line="165"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This prospectus provides a general description of the securities we or any selling securityholder may offer. Each time we and/or any securityholder offers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offer and sell securities unless accompanied by the applicable prospectus supplement.</w:t>
      </w:r>
    </w:p>
    <w:p>
      <w:pPr>
        <w:spacing w:after="0" w:line="22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“BDSX.” On November 12, 2021, the last reported sale price of our common stock was $7.81.</w:t>
      </w:r>
    </w:p>
    <w:p>
      <w:pPr>
        <w:spacing w:after="0" w:line="170"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color w:val="auto"/>
        </w:rPr>
        <w:t>We and/or any selling securityholder may sell the securities directly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p>
    <w:p>
      <w:pPr>
        <w:spacing w:after="0" w:line="14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We are an “emerging growth company” and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an Emerging Growth Company and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213360</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right="32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2 of this prospectus</w:t>
      </w:r>
      <w:r>
        <w:rPr>
          <w:rFonts w:ascii="Arial" w:cs="Arial" w:eastAsia="Arial" w:hAnsi="Arial"/>
          <w:sz w:val="22"/>
          <w:szCs w:val="22"/>
          <w:b w:val="1"/>
          <w:bCs w:val="1"/>
          <w:i w:val="1"/>
          <w:iCs w:val="1"/>
          <w:color w:val="auto"/>
        </w:rPr>
        <w:t>.</w:t>
      </w:r>
    </w:p>
    <w:p>
      <w:pPr>
        <w:spacing w:after="0" w:line="189"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ectPr>
          <w:pgSz w:w="11900" w:h="16838" w:orient="portrait"/>
          <w:cols w:equalWidth="0" w:num="1">
            <w:col w:w="11100"/>
          </w:cols>
          <w:pgMar w:left="320" w:top="459" w:right="47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140" w:type="dxa"/>
            <w:vAlign w:val="bottom"/>
            <w:gridSpan w:val="1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69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402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120" w:type="dxa"/>
            <w:vAlign w:val="bottom"/>
          </w:tcPr>
          <w:p>
            <w:pPr>
              <w:spacing w:after="0"/>
              <w:rPr>
                <w:sz w:val="19"/>
                <w:szCs w:val="19"/>
                <w:color w:val="auto"/>
              </w:rPr>
            </w:pPr>
          </w:p>
        </w:tc>
        <w:tc>
          <w:tcPr>
            <w:tcW w:w="2220" w:type="dxa"/>
            <w:vAlign w:val="bottom"/>
            <w:tcBorders>
              <w:top w:val="single" w:sz="8" w:color="0000EE"/>
            </w:tcBorders>
            <w:gridSpan w:val="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1800" w:type="dxa"/>
            <w:vAlign w:val="bottom"/>
            <w:gridSpan w:val="6"/>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402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FORWARD-LOOKING STATEMENTS</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120" w:type="dxa"/>
            <w:vAlign w:val="bottom"/>
          </w:tcPr>
          <w:p>
            <w:pPr>
              <w:spacing w:after="0"/>
              <w:rPr>
                <w:sz w:val="19"/>
                <w:szCs w:val="19"/>
                <w:color w:val="auto"/>
              </w:rPr>
            </w:pPr>
          </w:p>
        </w:tc>
        <w:tc>
          <w:tcPr>
            <w:tcW w:w="2920" w:type="dxa"/>
            <w:vAlign w:val="bottom"/>
            <w:tcBorders>
              <w:top w:val="single" w:sz="8" w:color="0000EE"/>
            </w:tcBorders>
            <w:gridSpan w:val="1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BIODESIX, INC.</w:t>
              </w:r>
            </w:hyperlink>
          </w:p>
        </w:tc>
        <w:tc>
          <w:tcPr>
            <w:tcW w:w="1100" w:type="dxa"/>
            <w:vAlign w:val="bottom"/>
            <w:gridSpan w:val="2"/>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5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USE OF PROCEEDS</w:t>
              </w:r>
            </w:hyperlink>
          </w:p>
        </w:tc>
        <w:tc>
          <w:tcPr>
            <w:tcW w:w="2440" w:type="dxa"/>
            <w:vAlign w:val="bottom"/>
            <w:gridSpan w:val="10"/>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120" w:type="dxa"/>
            <w:vAlign w:val="bottom"/>
          </w:tcPr>
          <w:p>
            <w:pPr>
              <w:spacing w:after="0"/>
              <w:rPr>
                <w:sz w:val="19"/>
                <w:szCs w:val="19"/>
                <w:color w:val="auto"/>
              </w:rPr>
            </w:pPr>
          </w:p>
        </w:tc>
        <w:tc>
          <w:tcPr>
            <w:tcW w:w="4020" w:type="dxa"/>
            <w:vAlign w:val="bottom"/>
            <w:gridSpan w:val="1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DESCRIPTION OF CAPITAL STOCK</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120" w:type="dxa"/>
            <w:vAlign w:val="bottom"/>
          </w:tcPr>
          <w:p>
            <w:pPr>
              <w:spacing w:after="0"/>
              <w:rPr>
                <w:sz w:val="19"/>
                <w:szCs w:val="19"/>
                <w:color w:val="auto"/>
              </w:rPr>
            </w:pPr>
          </w:p>
        </w:tc>
        <w:tc>
          <w:tcPr>
            <w:tcW w:w="24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DESCRIPTION OF WARRANTS</w:t>
              </w:r>
            </w:hyperlink>
          </w:p>
        </w:tc>
        <w:tc>
          <w:tcPr>
            <w:tcW w:w="380" w:type="dxa"/>
            <w:vAlign w:val="bottom"/>
            <w:tcBorders>
              <w:top w:val="single" w:sz="8" w:color="0000EE"/>
            </w:tcBorders>
            <w:gridSpan w:val="2"/>
          </w:tcPr>
          <w:p>
            <w:pPr>
              <w:spacing w:after="0"/>
              <w:rPr>
                <w:sz w:val="19"/>
                <w:szCs w:val="19"/>
                <w:color w:val="auto"/>
              </w:rPr>
            </w:pPr>
          </w:p>
        </w:tc>
        <w:tc>
          <w:tcPr>
            <w:tcW w:w="1160" w:type="dxa"/>
            <w:vAlign w:val="bottom"/>
            <w:gridSpan w:val="3"/>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120" w:type="dxa"/>
            <w:vAlign w:val="bottom"/>
          </w:tcPr>
          <w:p>
            <w:pPr>
              <w:spacing w:after="0"/>
              <w:rPr>
                <w:sz w:val="19"/>
                <w:szCs w:val="19"/>
                <w:color w:val="auto"/>
              </w:rPr>
            </w:pPr>
          </w:p>
        </w:tc>
        <w:tc>
          <w:tcPr>
            <w:tcW w:w="21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DESCRIPTION OF RIGHTS</w:t>
              </w:r>
            </w:hyperlink>
          </w:p>
        </w:tc>
        <w:tc>
          <w:tcPr>
            <w:tcW w:w="1880" w:type="dxa"/>
            <w:vAlign w:val="bottom"/>
            <w:gridSpan w:val="7"/>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120" w:type="dxa"/>
            <w:vAlign w:val="bottom"/>
          </w:tcPr>
          <w:p>
            <w:pPr>
              <w:spacing w:after="0"/>
              <w:rPr>
                <w:sz w:val="19"/>
                <w:szCs w:val="19"/>
                <w:color w:val="auto"/>
              </w:rPr>
            </w:pPr>
          </w:p>
        </w:tc>
        <w:tc>
          <w:tcPr>
            <w:tcW w:w="202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DESCRIPTION OF UNITS</w:t>
              </w:r>
            </w:hyperlink>
          </w:p>
        </w:tc>
        <w:tc>
          <w:tcPr>
            <w:tcW w:w="2000" w:type="dxa"/>
            <w:vAlign w:val="bottom"/>
            <w:gridSpan w:val="9"/>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120" w:type="dxa"/>
            <w:vAlign w:val="bottom"/>
          </w:tcPr>
          <w:p>
            <w:pPr>
              <w:spacing w:after="0"/>
              <w:rPr>
                <w:sz w:val="19"/>
                <w:szCs w:val="19"/>
                <w:color w:val="auto"/>
              </w:rPr>
            </w:pPr>
          </w:p>
        </w:tc>
        <w:tc>
          <w:tcPr>
            <w:tcW w:w="250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SELLING SECURITYHOLDERS</w:t>
              </w:r>
            </w:hyperlink>
          </w:p>
        </w:tc>
        <w:tc>
          <w:tcPr>
            <w:tcW w:w="1520" w:type="dxa"/>
            <w:vAlign w:val="bottom"/>
            <w:gridSpan w:val="4"/>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120" w:type="dxa"/>
            <w:vAlign w:val="bottom"/>
          </w:tcPr>
          <w:p>
            <w:pPr>
              <w:spacing w:after="0"/>
              <w:rPr>
                <w:sz w:val="19"/>
                <w:szCs w:val="19"/>
                <w:color w:val="auto"/>
              </w:rPr>
            </w:pPr>
          </w:p>
        </w:tc>
        <w:tc>
          <w:tcPr>
            <w:tcW w:w="402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PLAN OF DISTRIBUTION</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120" w:type="dxa"/>
            <w:vAlign w:val="bottom"/>
          </w:tcPr>
          <w:p>
            <w:pPr>
              <w:spacing w:after="0"/>
              <w:rPr>
                <w:sz w:val="19"/>
                <w:szCs w:val="19"/>
                <w:color w:val="auto"/>
              </w:rPr>
            </w:pPr>
          </w:p>
        </w:tc>
        <w:tc>
          <w:tcPr>
            <w:tcW w:w="14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19"/>
                <w:szCs w:val="19"/>
                <w:color w:val="auto"/>
              </w:rPr>
            </w:pPr>
          </w:p>
        </w:tc>
        <w:tc>
          <w:tcPr>
            <w:tcW w:w="1980" w:type="dxa"/>
            <w:vAlign w:val="bottom"/>
            <w:gridSpan w:val="8"/>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120" w:type="dxa"/>
            <w:vAlign w:val="bottom"/>
          </w:tcPr>
          <w:p>
            <w:pPr>
              <w:spacing w:after="0"/>
              <w:rPr>
                <w:sz w:val="19"/>
                <w:szCs w:val="19"/>
                <w:color w:val="auto"/>
              </w:rPr>
            </w:pPr>
          </w:p>
        </w:tc>
        <w:tc>
          <w:tcPr>
            <w:tcW w:w="402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EXPERTS</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4020" w:type="dxa"/>
            <w:vAlign w:val="bottom"/>
            <w:gridSpan w:val="1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WHERE YOU CAN FIND MORE INFORMATION</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3800" w:type="dxa"/>
            <w:vAlign w:val="bottom"/>
            <w:gridSpan w:val="1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402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INFORMATION INCORPORATED BY REFERENCE</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using a “shelf” registration process. Under this shelf registration process, we may offer and sell from time to time any combination of the securities described in this prospectus in one or more offerings in amounts, at prices and on terms that we determine at the time of the offering, with an aggregate offering price of up to $250,000,000. This prospectus provides you with a general description of the securities we may offer. The securities may also be sold by selling securityholders.</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Each time we and/or any securityholder offer securities,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You should read both this prospectus and any accompanying prospectus supplement together with the additional information incorporated by reference. See “Where You Can Find More Information” and “Information Incorporated by Reference.” We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We are not making an offer to sell the securities in any jurisdiction where the offer or sale is not permitted.</w:t>
      </w:r>
    </w:p>
    <w:p>
      <w:pPr>
        <w:spacing w:after="0" w:line="16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and/or any securityholder may sell our securities to or through underwriters, dealers or agents, directly to purchasers or through a combination of any of these methods of sale, as designated from time to time. We and our agents reserve the sole right to accept or reject in whole or in part any proposed purchase of our securities. An applicable prospectus supplement, which we will provide each time we offer the securities, will set forth the names of any underwriters, dealers or agents involved in the sale of our securities, and any related fee, commission or discount arrangements. See “Plan of Distribution.”</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9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terms “Biodesix,” the “Company,” “our,” “us” and “we,” as used in this prospectus, refer to Biodesix, Inc., unless we state otherwise or the context indicates otherwise.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consider the specific risks discussed or incorporated by reference into the applicable prospectus supplement, together with all the other information contained in the prospectus or incorporated by reference into this prospectus and the applicable prospectus supplement. You should also consider the risks, uncertainties and assumptions discussed under the caption “Risk Factors” included in our Annual Report on Form 10-K for the year ended December 31, 2020 and in our Quarterly Reports on Form 10-Q for the periods ended March 31, June 30 and September 30, 2021, and in subsequent filings, which are incorporated by reference into this prospectus. These risk factors may be amended, supplemented or superseded from time to time by other reports we file with the SEC in the future or by a prospectus supplement relating to a particular offering of our securities. The occurrence of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This prospectus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 are “forward-looking statements” for purposes of this prospectus.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about:</w:t>
      </w:r>
    </w:p>
    <w:p>
      <w:pPr>
        <w:spacing w:after="0" w:line="83" w:lineRule="exact"/>
        <w:rPr>
          <w:sz w:val="20"/>
          <w:szCs w:val="20"/>
          <w:color w:val="auto"/>
        </w:rPr>
      </w:pPr>
    </w:p>
    <w:p>
      <w:pPr>
        <w:ind w:left="1080" w:hanging="424"/>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or worldwide, including the continuing spread of COVID-19 (including notable and severe mutations of the virus) may have a material adverse effect on our operations, our ability to generate revenues and income, and our ability to maintain compliance with our debt covenants and, under certain circumstances, remain a going concern;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significant fluctuation in our operating results, causing our operating results to fall below expectations or any guidance we provide;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our COVID-19 and antibody testing program and our ability to meet such demand;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suppliers, including courier services, contract manufacturers and single source suppliers; making us vulnerable to supply problems and price fluctuations;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or man-made disasters and other similar events, including the COVID-19 pandemic, negatively impacting our business, financial condition, and results of operations;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incurrence of substantial liabilities and limiting or halting the marketing and sale of our diagnostic tests due to product liability lawsuits;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uncertainties and factors, including those set forth under “Risk Factors”.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320" w:top="459" w:right="5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“Risk Factors” contained in this prospectus and any related free writing prospectus, and in any other documents incorporated herein or therein. Any forward-looking statement in this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This prospectus and the documents incorporated by reference may also contain estimates, projections and other information concerning our industry and our business, including estimated market size,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320" w:top="459" w:right="5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Company performs its blood-based diagnostic tests in its laboratory facilities, which are located in Boulder, Colorado and De Soto, Kansas. In May 2020, the Federal Drug Administration (FDA) granted Emergency Use Authorization (EUA) of the Bio-Rad SARS-CoV-2 Droplet Digital</w:t>
      </w:r>
      <w:r>
        <w:rPr>
          <w:rFonts w:ascii="Arial" w:cs="Arial" w:eastAsia="Arial" w:hAnsi="Arial"/>
          <w:sz w:val="15"/>
          <w:szCs w:val="15"/>
          <w:color w:val="auto"/>
        </w:rPr>
        <w:t>™</w:t>
      </w:r>
      <w:r>
        <w:rPr>
          <w:rFonts w:ascii="Arial" w:cs="Arial" w:eastAsia="Arial" w:hAnsi="Arial"/>
          <w:sz w:val="18"/>
          <w:szCs w:val="18"/>
          <w:color w:val="auto"/>
        </w:rPr>
        <w:t xml:space="preserve"> polymerase chain reaction (ddPCR) test to detect Coronavirus Disease 2019 (COVID-19) infection. In April 2020, the FDA authorized the Platelia SARS-CoV-2 Total Ab test to detect COVID-19 antibodies.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Blood-Based Lung Tests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offers four blood-based lung cancer tests across the lung cancer continuum of care:</w:t>
      </w:r>
    </w:p>
    <w:p>
      <w:pPr>
        <w:spacing w:after="0" w:line="131" w:lineRule="exact"/>
        <w:rPr>
          <w:sz w:val="20"/>
          <w:szCs w:val="20"/>
          <w:color w:val="auto"/>
        </w:rPr>
      </w:pPr>
    </w:p>
    <w:p>
      <w:pPr>
        <w:ind w:left="1080" w:right="10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Nodify XL2</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Nodify CDT</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tests, marketed as our Nodify Lung</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Nodule Risk Assessment testing strategy, assess the risk of lung</w:t>
      </w:r>
      <w:r>
        <w:rPr>
          <w:rFonts w:ascii="Arial" w:cs="Arial" w:eastAsia="Arial" w:hAnsi="Arial"/>
          <w:sz w:val="18"/>
          <w:szCs w:val="18"/>
          <w:i w:val="1"/>
          <w:iCs w:val="1"/>
          <w:color w:val="auto"/>
        </w:rPr>
        <w:t xml:space="preserve"> </w:t>
      </w:r>
      <w:r>
        <w:rPr>
          <w:rFonts w:ascii="Arial" w:cs="Arial" w:eastAsia="Arial" w:hAnsi="Arial"/>
          <w:sz w:val="18"/>
          <w:szCs w:val="18"/>
          <w:color w:val="auto"/>
        </w:rPr>
        <w:t>cancer to help identify the most appropriate treatment pathway. We believe we are the only company to offer two commercial blood-based tests to help physicians reclassify risk of malignancy in patients with suspicious lung nodules.</w:t>
      </w:r>
    </w:p>
    <w:p>
      <w:pPr>
        <w:spacing w:after="0" w:line="89" w:lineRule="exact"/>
        <w:rPr>
          <w:rFonts w:ascii="Arial" w:cs="Arial" w:eastAsia="Arial" w:hAnsi="Arial"/>
          <w:sz w:val="18"/>
          <w:szCs w:val="18"/>
          <w:color w:val="auto"/>
        </w:rPr>
      </w:pPr>
    </w:p>
    <w:p>
      <w:pPr>
        <w:ind w:left="1080" w:right="200" w:hanging="424"/>
        <w:spacing w:after="0" w:line="279"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GeneStrat</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VeriStrat</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tests, marketed as our Biodesix Lung Reflex</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testing strategy, are used following diagnosis of lung cancer to</w:t>
      </w:r>
      <w:r>
        <w:rPr>
          <w:rFonts w:ascii="Arial" w:cs="Arial" w:eastAsia="Arial" w:hAnsi="Arial"/>
          <w:sz w:val="17"/>
          <w:szCs w:val="17"/>
          <w:i w:val="1"/>
          <w:iCs w:val="1"/>
          <w:color w:val="auto"/>
        </w:rPr>
        <w:t xml:space="preserve"> </w:t>
      </w:r>
      <w:r>
        <w:rPr>
          <w:rFonts w:ascii="Arial" w:cs="Arial" w:eastAsia="Arial" w:hAnsi="Arial"/>
          <w:sz w:val="17"/>
          <w:szCs w:val="17"/>
          <w:color w:val="auto"/>
        </w:rPr>
        <w:t>measure the presence of mutations in the tumor and the state of the patient’s immune system to establish the patient’s prognosis and help guide treatment decisions. The GeneStrat targeted tumor profiling test and the VeriStrat immune profiling test have a 36-hour average turnaround time, providing physicians with timely results to facilitate treatment decisions.</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COVID-19 Tests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operate and have commercialized the Biodesix WorkSafe</w:t>
      </w:r>
      <w:r>
        <w:rPr>
          <w:rFonts w:ascii="Arial" w:cs="Arial" w:eastAsia="Arial" w:hAnsi="Arial"/>
          <w:sz w:val="14"/>
          <w:szCs w:val="14"/>
          <w:color w:val="auto"/>
        </w:rPr>
        <w:t>™</w:t>
      </w:r>
      <w:r>
        <w:rPr>
          <w:rFonts w:ascii="Arial" w:cs="Arial" w:eastAsia="Arial" w:hAnsi="Arial"/>
          <w:sz w:val="17"/>
          <w:szCs w:val="17"/>
          <w:color w:val="auto"/>
        </w:rPr>
        <w:t xml:space="preserve"> testing program, under which the Company offers three SARS-CoV-2 tests:</w:t>
      </w:r>
    </w:p>
    <w:p>
      <w:pPr>
        <w:spacing w:after="0" w:line="142" w:lineRule="exact"/>
        <w:rPr>
          <w:sz w:val="20"/>
          <w:szCs w:val="20"/>
          <w:color w:val="auto"/>
        </w:rPr>
      </w:pPr>
    </w:p>
    <w:p>
      <w:pPr>
        <w:ind w:left="1080" w:right="14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Bio-Rad SARS-CoV-2 ddPCR </w:t>
      </w:r>
      <w:r>
        <w:rPr>
          <w:rFonts w:ascii="Arial" w:cs="Arial" w:eastAsia="Arial" w:hAnsi="Arial"/>
          <w:sz w:val="18"/>
          <w:szCs w:val="18"/>
          <w:color w:val="auto"/>
        </w:rPr>
        <w:t>test, which is authorized by the FDA to be performed by Clinical Laboratory Institute Amendments (CLIA)</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laboratories that perform high complexity tests. The ddPCR test is designed to detect the presence of infection by the SARS-CoV-2 virus.</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Platelia SARS-CoV-2 Total Ab </w:t>
      </w:r>
      <w:r>
        <w:rPr>
          <w:rFonts w:ascii="Arial" w:cs="Arial" w:eastAsia="Arial" w:hAnsi="Arial"/>
          <w:sz w:val="18"/>
          <w:szCs w:val="18"/>
          <w:color w:val="auto"/>
        </w:rPr>
        <w:t>test, which is an antibody test, authorized by the FDA, intended for detecting a B-cell immune response to</w:t>
      </w:r>
      <w:r>
        <w:rPr>
          <w:rFonts w:ascii="Arial" w:cs="Arial" w:eastAsia="Arial" w:hAnsi="Arial"/>
          <w:sz w:val="18"/>
          <w:szCs w:val="18"/>
          <w:i w:val="1"/>
          <w:iCs w:val="1"/>
          <w:color w:val="auto"/>
        </w:rPr>
        <w:t xml:space="preserve"> </w:t>
      </w:r>
      <w:r>
        <w:rPr>
          <w:rFonts w:ascii="Arial" w:cs="Arial" w:eastAsia="Arial" w:hAnsi="Arial"/>
          <w:sz w:val="18"/>
          <w:szCs w:val="18"/>
          <w:color w:val="auto"/>
        </w:rPr>
        <w:t>SARS-CoV-2, indicating recent or prior infection.</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cPass</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SARS-CoV-2 Neutralization Antibody </w:t>
      </w:r>
      <w:r>
        <w:rPr>
          <w:rFonts w:ascii="Arial" w:cs="Arial" w:eastAsia="Arial" w:hAnsi="Arial"/>
          <w:sz w:val="18"/>
          <w:szCs w:val="18"/>
          <w:color w:val="auto"/>
        </w:rPr>
        <w:t>test</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the first blood-based surrogate neutralizing antibody test with FDA EUA and</w:t>
      </w:r>
      <w:r>
        <w:rPr>
          <w:rFonts w:ascii="Arial" w:cs="Arial" w:eastAsia="Arial" w:hAnsi="Arial"/>
          <w:sz w:val="18"/>
          <w:szCs w:val="18"/>
          <w:i w:val="1"/>
          <w:iCs w:val="1"/>
          <w:color w:val="auto"/>
        </w:rPr>
        <w:t xml:space="preserve"> </w:t>
      </w:r>
      <w:r>
        <w:rPr>
          <w:rFonts w:ascii="Arial" w:cs="Arial" w:eastAsia="Arial" w:hAnsi="Arial"/>
          <w:sz w:val="18"/>
          <w:szCs w:val="18"/>
          <w:color w:val="auto"/>
        </w:rPr>
        <w:t>uses ELISA technology to qualitatively detect circulating neutralizing antibodies to the receptor binding domain (RBD) in the spike protein of SARS-CoV-2 that are produced in response to vaccination or a previous SARS-CoV-2 infection. This test was commercially introduced during the second quarter 2021 in partnership with GenScript Biotech Corporation.</w:t>
      </w:r>
    </w:p>
    <w:p>
      <w:pPr>
        <w:spacing w:after="0" w:line="18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These tests under the Biodesix WorkSafe</w:t>
      </w:r>
      <w:r>
        <w:rPr>
          <w:rFonts w:ascii="Arial" w:cs="Arial" w:eastAsia="Arial" w:hAnsi="Arial"/>
          <w:sz w:val="15"/>
          <w:szCs w:val="15"/>
          <w:color w:val="auto"/>
        </w:rPr>
        <w:t>™</w:t>
      </w:r>
      <w:r>
        <w:rPr>
          <w:rFonts w:ascii="Arial" w:cs="Arial" w:eastAsia="Arial" w:hAnsi="Arial"/>
          <w:sz w:val="18"/>
          <w:szCs w:val="18"/>
          <w:color w:val="auto"/>
        </w:rPr>
        <w:t xml:space="preserve"> testing program are utilized by healthcare providers, including hospitals and nursing homes, and are also offered to businesses and educational systems to assist in their back-to-work or back-to-school strategies, a crucial element of restarting economic activity.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In developing the Company’s products, the Company has built or gained access to unique biorepositories, proprietary technology, and bioinformatics methods that it believes are important to the development of new targeted therapies, determining clinical trial eligibility and guiding treatment selection.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the Company’s testing services are made available through its clinical laboratories.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7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92" w:lineRule="exact"/>
        <w:rPr>
          <w:sz w:val="20"/>
          <w:szCs w:val="20"/>
          <w:color w:val="auto"/>
        </w:rPr>
      </w:pPr>
    </w:p>
    <w:p>
      <w:pPr>
        <w:ind w:left="120" w:right="820" w:firstLine="440"/>
        <w:spacing w:after="0" w:line="291" w:lineRule="auto"/>
        <w:rPr>
          <w:sz w:val="20"/>
          <w:szCs w:val="20"/>
          <w:color w:val="auto"/>
        </w:rPr>
      </w:pPr>
      <w:r>
        <w:rPr>
          <w:rFonts w:ascii="Arial" w:cs="Arial" w:eastAsia="Arial" w:hAnsi="Arial"/>
          <w:sz w:val="16"/>
          <w:szCs w:val="16"/>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w:t>
      </w:r>
    </w:p>
    <w:p>
      <w:pPr>
        <w:ind w:left="120" w:right="140"/>
        <w:spacing w:after="0" w:line="260" w:lineRule="auto"/>
        <w:rPr>
          <w:sz w:val="20"/>
          <w:szCs w:val="20"/>
          <w:color w:val="auto"/>
        </w:rPr>
      </w:pPr>
      <w:r>
        <w:rPr>
          <w:rFonts w:ascii="Arial" w:cs="Arial" w:eastAsia="Arial" w:hAnsi="Arial"/>
          <w:sz w:val="18"/>
          <w:szCs w:val="18"/>
          <w:color w:val="auto"/>
        </w:rPr>
        <w:t>by non-affiliates; (iii) the date on which we have issued, in any three-year period, more than $1.0 billion in non-convertible debt securities; and (iv) the last day of the fiscal year ending after the fifth anniversary of the completion of our initial public offering.</w:t>
      </w:r>
    </w:p>
    <w:p>
      <w:pPr>
        <w:spacing w:after="0" w:line="18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Additionally, we are a “smaller reporting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9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certain risks related to our status as an emerging growth company, see “Risk Factors—Risks Related to our Common Stock and this Offering —We are an “emerging growth company” and a “smaller reporting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company,” and the reduced disclosure requirements applicable to emerging growth companies and smaller reporting companies may make our common stock less attractive to investors.”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We were incorporated in Delaware in 2005 as Elston Technologies, Inc. Our principal executive offices are located at 2970 Wilderness Place, Suite 100, Boulder, Colorado 80301, and our telephone number is (303) 417-0500. On June 20, 2006, we changed our name to Biodesix, Inc.</w:t>
      </w:r>
    </w:p>
    <w:p>
      <w:pPr>
        <w:spacing w:after="0" w:line="12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 or in deciding whether to purchase our securities.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filings with the SEC are posted on our website at www.biodesix.com. Other than the specifically incorporated SEC filings, the information found on or accessible through our website is not part of this or any other report we file with or furnish to the SEC. The public can also obtain copies of these filings by accessing the SEC’s website at http://www.sec.gov.</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will retain broad discretion over the use of the net proceeds from the sale of the securities offered hereby. Except as described in any prospectus supplement or any related free writing prospectus that we may authorize to be provided to you, we currently intend to use the net proceeds from the sale of the securities offered hereby for general corporate purposes, including working capital, operating expenses and capital expenditures. We may also use a portion of the net proceeds to acquire or invest in businesses and products that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We intend to invest the net proceeds to us from the sale of securities offered hereby that are not used as described above in short-term, investment-grade, interest-bearing instruments.</w:t>
      </w:r>
    </w:p>
    <w:p>
      <w:pPr>
        <w:spacing w:after="0" w:line="17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Unless otherwise set forth in the applicable prospectus supplement, we will not receive any proceeds in the event that securities are sold by a selling securityholder.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i w:val="1"/>
          <w:iCs w:val="1"/>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Our charter authorizes to issue up to 200,000,000 shares of common stock, $0.001 par value per share, and 5,000,000 shares of preferred stock, $0.001 par value per share. The following summary sets forth some of the general terms of our common stock. Because this is a summary, it does not contain all of the information that may be important to you. For a more detailed description of our common stock, you should read our amended and restated certificate of incorporation and the amended and restated bylaws, each of which is an exhibit to our Annual Report on Form 10-K to which this summary is also an exhibit, and the applicable provisions of the Delaware General Corporation Law (the “DGCL”).</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November 12, 2021, we had outstanding 27,020,576 shares of common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Under our amended and restated certificate of incorporation and amended and restated bylaws, our stockholders do not have cumulative voting rights. Because of this, the holders of a majority of the shares of common stock entitled to vote in any election of directors can elect all of the directors standing for election.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Rights</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 No shares of preferred stock are outstanding. We have no present plan to issue any shares of preferred stock.</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are party to the Eleventh Amended and Restated Investor Rights Agreement (the “IRA”) which provides that certain holders of shares of common stock have the right to demand that we file a registration statement for their shares of our common stock or request that their shares of our common stock be covered by a registration statement that we are otherwise filing, including, in each case, shares of our common stock that were issued upon conversion of convertible preferred stock. These shares are referred to as registrable securities.</w:t>
      </w:r>
    </w:p>
    <w:p>
      <w:pPr>
        <w:spacing w:after="0" w:line="17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registration of shares of common stock pursuant to the exercise of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piggyback and Form S-3 registrations described below.</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Generally, in an underwritten offering, if we determine in good faith in consultation with the underwriters, we have the right, subject to specified conditions, to limit the number of shares the holders may include. The piggyback and Form S-3 registration rights described below will terminate on the date five years following the closing of our initial public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holders of at least 10% of the registrable securities then outstanding are entitled to certain registration rights on Form S-3. The holders of these shares can request that we register all or a portion of their shares on Form S-3 if we are eligible to file a registration statement on Form S-3 and the aggregate price to the public of the shares offered is in excess of $5.0 million. We are required to effect no more than two Form S-3 registration statements that are declared or ordered effective in any 12-month period. We may postpone the filing of a registration statement for up to 120 days not more than once in a 12-month period if in the good faith judgment of our Board of Directors such registration would be seriously detrimental to 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registrable securities are entitled to certain piggyback registration rights.</w:t>
      </w:r>
    </w:p>
    <w:p>
      <w:pPr>
        <w:spacing w:after="0" w:line="22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we register any of our securities for public sale, either for our own account or for the account of other security holders, we will also have to register all registrable securities that the holders of such securities request in writing be registered. This piggyback registration right does not apply to a registration relating to any of our stock plans, stock purchase or similar plan, a transaction under Rule 145 of the Securities Act or a registration related to stock issued upon conversion of debt securities. We, based on consultation with the underwriters of any underwritten offering will have the right to limit the number of shares registered by these holders if the underwriters determine that including all registrable securities will jeopardize the success of the offering.</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Pursuant to the IRA, we are required to pay all registration expenses, including all registration and filing fees, printing expenses, fees and disbursements of our counsel and reasonable fees and disbursements not to exceed $75,000 of one counsel representing all Holders, as defined in the IRA, participating in the offering, blue sky fees and expenses and the expense of any special audits incident to or required by any such registration, other than any underwriting discounts and selling commissions attributable to the sale of registrable securities, as defined in the IRA.</w:t>
      </w:r>
    </w:p>
    <w:p>
      <w:pPr>
        <w:spacing w:after="0" w:line="17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IRA contains customary cross-indemnification provisions, pursuant to which we are obligated to indemnify Holders, as defined in the IRA, beneficially owning registrable securities covered by a registration statement in the event of material misstatements or omissions in the registration statement attributable to us, and each Holder, as defined in the IRA, is obligated to indemnify us for material misstatements or omissions in the registration statement attributable to them.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Certificate of Incorporation and Bylaws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amended and restated certificate of incorporation and amended and restated bylaws:</w:t>
      </w:r>
    </w:p>
    <w:p>
      <w:pPr>
        <w:spacing w:after="0" w:line="131" w:lineRule="exact"/>
        <w:rPr>
          <w:sz w:val="20"/>
          <w:szCs w:val="20"/>
          <w:color w:val="auto"/>
        </w:rPr>
      </w:pPr>
    </w:p>
    <w:p>
      <w:pPr>
        <w:ind w:left="1080" w:right="2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they may designate, including the right to approve an acquisition or other change of control;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w:t>
      </w:r>
    </w:p>
    <w:p>
      <w:pPr>
        <w:spacing w:after="0" w:line="130" w:lineRule="exact"/>
        <w:rPr>
          <w:rFonts w:ascii="Arial" w:cs="Arial" w:eastAsia="Arial" w:hAnsi="Arial"/>
          <w:sz w:val="18"/>
          <w:szCs w:val="18"/>
          <w:color w:val="auto"/>
        </w:rPr>
      </w:pPr>
    </w:p>
    <w:p>
      <w:pPr>
        <w:ind w:left="1080" w:right="380" w:hanging="424"/>
        <w:spacing w:after="0" w:line="286"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 and</w:t>
      </w:r>
    </w:p>
    <w:p>
      <w:pPr>
        <w:spacing w:after="0" w:line="70"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provide that special meetings of our stockholders may be called only by the chairman of our Board of Directors, our chief executive officer or by our Board of Directors pursuant to a resolution adopted by a majority of the total number of authorized directors; and</w:t>
      </w:r>
    </w:p>
    <w:p>
      <w:pPr>
        <w:spacing w:after="0" w:line="51"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amendment of any of these provisions would require approval by the holders of at least 66 2/3% of the voting power of all of our then-outstanding capital stock entitled to vote generally in the election of directors, voting together as a single class.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combination of these provisions make it more difficult for our existing stockholders to replace our Board of Directors as well as for another party to obtain control of us by replacing our Board of Directors. Since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4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business combination statute</w:t>
      </w:r>
    </w:p>
    <w:p>
      <w:pPr>
        <w:spacing w:after="0" w:line="117"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certificate of incorporation and bylaws</w:t>
      </w:r>
    </w:p>
    <w:p>
      <w:pPr>
        <w:spacing w:after="0" w:line="11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Nasdaq Global Market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“BDSX.”</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authorized but unissued shares of common stock and preferred stock are available for future issuance without stockholder approval, subject to any limitations imposed by the listing requirements of The Nasdaq</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Global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150 Royall Street, Canton, Massachusetts 02021, and its telephone number is (800) 962-4284.</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320" w:top="459" w:right="6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may issue warrants for the purchase of shares of our common stock or shares of our preferred stock.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8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Warrants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76"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designation and terms of the shares of common stock or shares of preferred stock that may be purchased upon exercise of the warrants;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that the warrants are issued with and the number of warrants issued with each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142" w:lineRule="exact"/>
        <w:rPr>
          <w:rFonts w:ascii="Arial" w:cs="Arial" w:eastAsia="Arial" w:hAnsi="Arial"/>
          <w:sz w:val="17"/>
          <w:szCs w:val="17"/>
          <w:color w:val="auto"/>
        </w:rPr>
      </w:pPr>
    </w:p>
    <w:p>
      <w:pPr>
        <w:ind w:left="1080" w:right="4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shares of common stock or shares of preferred stock that may be purchased upon exercise of a warrant and the price at which the shares may be purchased upon exercise;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warrant will entitle the holder of the warrant to purchase at the exercise price set forth in the applicable prospectus supplement the number of shares of common stock or shares of preferred stock. Unless we otherwise specify in the applicable prospectus supplement,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88"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Until a holder exercises the warrants to purchase our shares of common stock or shares of preferred stock, the holder will not have any rights as a holder of our shares of common stock or shares of preferred stock, as the case may be, by virtue of ownership of warrants.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may issue rights to purchase common stock, preferred stock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applicable prospectus supplement will describe the following terms of any rights we may issue, including some or all of the following:</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and aggregate number of the rights;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subscription price or a formula for the determination of the subscription price for the rights and the currency or currencies in which the subscription price may be payable;</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rights are issued and the number of rights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the rights issued to each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rights to purchase common stock or preferred stock, the type of stock and number of shares of stock purchasable upon exercise of one right;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date on which the right to exercise the rights will commence, and the date on which the rights will expire (subject to any extension);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rights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13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on the rights of any merger, consolidation, sale or other disposition of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any rights to redeem or call the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rights;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backstop or other purchase arrangement that we may enter into in connection with the rights offering;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 and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Rights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5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6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76" w:lineRule="exact"/>
        <w:rPr>
          <w:sz w:val="20"/>
          <w:szCs w:val="20"/>
          <w:color w:val="auto"/>
        </w:rPr>
      </w:pPr>
    </w:p>
    <w:p>
      <w:pPr>
        <w:ind w:left="1080" w:right="4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provision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securities may be offered and sold from time to time by the Company and/or by one or more selling securityholders to be identified in the future. Information about selling securityholders, where applicable, will be set forth in a prospectus supplement or in filings we make with the SEC under the Exchange Act which are incorporated by reference into this prospectus.</w:t>
      </w: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or any selling securityholder may sell the securities offered by this prospectus in any one or more of the following ways from time to time:</w:t>
      </w:r>
    </w:p>
    <w:p>
      <w:pPr>
        <w:spacing w:after="0" w:line="154"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or through one or more underwriters, brokers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agents to investors or the public;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directly to agents or other purchasers;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though a combination of any such methods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any other method described in the applicable prospectus supplement.</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securityholders. This prospectus may be used in connection with any offering of our securities through any of these methods or other methods described in the applicable prospectus supplement.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applicable prospectus supplement will set forth the terms of the offering and the method of distribution and will identify any firms acting as underwriters, dealers or agents in connection with the offering, including:</w:t>
      </w:r>
    </w:p>
    <w:p>
      <w:pPr>
        <w:spacing w:after="0" w:line="76"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5540" w:right="4720" w:hanging="4884"/>
        <w:spacing w:after="0" w:line="490" w:lineRule="auto"/>
        <w:tabs>
          <w:tab w:leader="none" w:pos="109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purchase price of the securities and the proceeds to us from the sale; 19</w:t>
      </w:r>
    </w:p>
    <w:p>
      <w:pPr>
        <w:sectPr>
          <w:pgSz w:w="11900" w:h="16838" w:orient="portrait"/>
          <w:cols w:equalWidth="0" w:num="1">
            <w:col w:w="10980"/>
          </w:cols>
          <w:pgMar w:left="320" w:top="459" w:right="5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over-allotment options under which the underwriters may purchase additional shares of common stock from us;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underwriting discounts, concessions, commissions or agency fees and other items constituting compensation to underwriters, dealers or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securities exchange or market on which the common stock offered in the prospectus supplement may be listed.</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17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6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two business days,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6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securities directly in transactions not involving underwriters, dealers or agents.</w:t>
      </w:r>
    </w:p>
    <w:p>
      <w:pPr>
        <w:spacing w:after="0" w:line="225"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4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use underwriters with whom we have a material relationship. We will describe the nature of such relationship in the applicable prospectus supplement.</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70"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validity of the securities being offered hereby will be passed upon for us by Sidley Austin LLP.</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financial statements of Biodesix, Inc. as of December 31, 2020 and 2019, and for each of the years in the two-year period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have been incorporated by reference herein and in the registration statement in reliance upon the report of KPMG LLP, independent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registered public accounting firm, incorporated by reference herein, and upon the authority of said firm as experts in accounting and auditing.</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filed with the SEC a registration statement on Form S-3 under the Securities Act of 1933, as amended (the “Securities Act”), with respect to the securities offered by this prospectus and any applicable prospectus supplement. This prospectus and any applicable prospectus supplement do not contain all of the information set forth in the registration statement and its exhibits and schedules in accordance with SEC rules and regulations. For further information with respect to our company and the securities being offered by this prospectus and any applicable prospectus supplement, we refer you to the registration statement, including its exhibits and schedules. Statements contained in this prospectus and any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file annual, quarterly and current reports, proxy statements and other documents with the SEC under the U.S. Securities Exchange Act of 1934, as amended (the “Exchange Act”). The SEC maintains a website that contains reports, proxy and information statements and other information regarding issuers, including us, that file electronically with the SEC. You may obtain documents that we file with the SEC at http://www.sec.gov. We also make these documents available on our website at www.biodesix.com. Our website and the information contained or accessible through our website is not incorporated by reference in this prospectus or any prospectus supplement, and you should not consider it part of this prospectus or any prospectus supplement.</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any applicable prospectus supplement itself or in any subsequently filed incorporated document. This prospectus and any applicable prospectus supplement incorporate by reference the documents set forth below that we have previously filed with the SEC (Commission File</w:t>
      </w:r>
    </w:p>
    <w:p>
      <w:pPr>
        <w:spacing w:after="0" w:line="2"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No. 001-39659), other than information in such documents that is deemed to be furnished and not filed. These documents contain important information about us and our business and financial condition.</w:t>
      </w:r>
    </w:p>
    <w:p>
      <w:pPr>
        <w:spacing w:after="0" w:line="9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Annual Report on Form 10-K for the year ended </w:t>
      </w:r>
      <w:hyperlink r:id="rId49">
        <w:r>
          <w:rPr>
            <w:rFonts w:ascii="Arial" w:cs="Arial" w:eastAsia="Arial" w:hAnsi="Arial"/>
            <w:sz w:val="18"/>
            <w:szCs w:val="18"/>
            <w:u w:val="single" w:color="auto"/>
            <w:color w:val="0000EE"/>
          </w:rPr>
          <w:t>December 31, 2020</w:t>
        </w:r>
      </w:hyperlink>
      <w:r>
        <w:rPr>
          <w:rFonts w:ascii="Arial" w:cs="Arial" w:eastAsia="Arial" w:hAnsi="Arial"/>
          <w:sz w:val="18"/>
          <w:szCs w:val="18"/>
          <w:color w:val="auto"/>
        </w:rPr>
        <w:t>, filed with the SEC on March 16, 2021;</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periods ended </w:t>
      </w:r>
      <w:hyperlink r:id="rId50">
        <w:r>
          <w:rPr>
            <w:rFonts w:ascii="Arial" w:cs="Arial" w:eastAsia="Arial" w:hAnsi="Arial"/>
            <w:sz w:val="18"/>
            <w:szCs w:val="18"/>
            <w:u w:val="single" w:color="auto"/>
            <w:color w:val="0000EE"/>
          </w:rPr>
          <w:t>March 31, 2021</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June 30,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September 30, 2021, filed with the SEC on May 11, 2021, August 10, 2021 and November 15, 2021, respectively;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with the SEC on </w:t>
      </w:r>
      <w:hyperlink r:id="rId52">
        <w:r>
          <w:rPr>
            <w:rFonts w:ascii="Arial" w:cs="Arial" w:eastAsia="Arial" w:hAnsi="Arial"/>
            <w:sz w:val="18"/>
            <w:szCs w:val="18"/>
            <w:u w:val="single" w:color="auto"/>
            <w:color w:val="0000EE"/>
          </w:rPr>
          <w:t>January 5,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(Item 5.02 only), </w:t>
      </w:r>
      <w:hyperlink r:id="rId53">
        <w:r>
          <w:rPr>
            <w:rFonts w:ascii="Arial" w:cs="Arial" w:eastAsia="Arial" w:hAnsi="Arial"/>
            <w:sz w:val="18"/>
            <w:szCs w:val="18"/>
            <w:u w:val="single" w:color="auto"/>
            <w:color w:val="0000EE"/>
          </w:rPr>
          <w:t>March 23,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4">
        <w:r>
          <w:rPr>
            <w:rFonts w:ascii="Arial" w:cs="Arial" w:eastAsia="Arial" w:hAnsi="Arial"/>
            <w:sz w:val="18"/>
            <w:szCs w:val="18"/>
            <w:u w:val="single" w:color="auto"/>
            <w:color w:val="0000EE"/>
          </w:rPr>
          <w:t>May 27, 2021</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6"/>
        </w:numPr>
        <w:rPr>
          <w:rFonts w:ascii="Arial" w:cs="Arial" w:eastAsia="Arial" w:hAnsi="Arial"/>
          <w:sz w:val="18"/>
          <w:szCs w:val="18"/>
          <w:color w:val="0000EE"/>
        </w:rPr>
      </w:pPr>
      <w:hyperlink r:id="rId55">
        <w:r>
          <w:rPr>
            <w:rFonts w:ascii="Arial" w:cs="Arial" w:eastAsia="Arial" w:hAnsi="Arial"/>
            <w:sz w:val="18"/>
            <w:szCs w:val="18"/>
            <w:color w:val="auto"/>
          </w:rPr>
          <w:t xml:space="preserve">the information specifically incorporated by reference into our Annual Report on Form 10-K from our </w:t>
        </w:r>
        <w:r>
          <w:rPr>
            <w:rFonts w:ascii="Arial" w:cs="Arial" w:eastAsia="Arial" w:hAnsi="Arial"/>
            <w:sz w:val="18"/>
            <w:szCs w:val="18"/>
            <w:u w:val="single" w:color="auto"/>
            <w:color w:val="0000EE"/>
          </w:rPr>
          <w:t>Definitive Proxy Statement on</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Schedule 14A</w:t>
        </w:r>
        <w:r>
          <w:rPr>
            <w:rFonts w:ascii="Arial" w:cs="Arial" w:eastAsia="Arial" w:hAnsi="Arial"/>
            <w:sz w:val="18"/>
            <w:szCs w:val="18"/>
            <w:color w:val="000000"/>
          </w:rPr>
          <w:t>, filed with the SEC on April 29, 2021; and</w:t>
        </w:r>
      </w:hyperlink>
    </w:p>
    <w:p>
      <w:pPr>
        <w:spacing w:after="0" w:line="75" w:lineRule="exact"/>
        <w:rPr>
          <w:rFonts w:ascii="Arial" w:cs="Arial" w:eastAsia="Arial" w:hAnsi="Arial"/>
          <w:sz w:val="18"/>
          <w:szCs w:val="18"/>
          <w:color w:val="0000EE"/>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6">
        <w:r>
          <w:rPr>
            <w:rFonts w:ascii="Arial" w:cs="Arial" w:eastAsia="Arial" w:hAnsi="Arial"/>
            <w:sz w:val="18"/>
            <w:szCs w:val="18"/>
            <w:u w:val="single" w:color="auto"/>
            <w:color w:val="0000EE"/>
          </w:rPr>
          <w:t>Form 8-A</w:t>
        </w:r>
      </w:hyperlink>
      <w:r>
        <w:rPr>
          <w:rFonts w:ascii="Arial" w:cs="Arial" w:eastAsia="Arial" w:hAnsi="Arial"/>
          <w:sz w:val="18"/>
          <w:szCs w:val="18"/>
          <w:color w:val="auto"/>
        </w:rPr>
        <w:t>, dated October 26, 2020.</w:t>
      </w:r>
    </w:p>
    <w:p>
      <w:pPr>
        <w:spacing w:after="0" w:line="225" w:lineRule="exact"/>
        <w:rPr>
          <w:rFonts w:ascii="Arial" w:cs="Arial" w:eastAsia="Arial" w:hAnsi="Arial"/>
          <w:sz w:val="18"/>
          <w:szCs w:val="18"/>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All documents that we file (but not those that we furnish) pursuant to Section 13(a), 13(c), 14 or 15(d) of the Exchange Act, after the date of the initial registration statement of which this prospectus is a part and prior to the</w:t>
      </w:r>
    </w:p>
    <w:p>
      <w:pPr>
        <w:spacing w:after="0" w:line="10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6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 this prospectus or any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You can obtain any of the filings incorporated by reference into this prospectus or any applicable prospectus supplement through us or from the SEC through the SEC’s website at http://www.sec.gov. Upon request, we will provide, without charge, a copy of any or all of the reports and documents referred to above which have been incorporated by reference into this prospectus or any applicable prospectus supplement. Prospective investors may obtain documents incorporated by reference in this prospectus or any applicable prospectus supplement by requesting them in writing or by telephone from us at our executive offices at:</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Biodesix,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2970 Wilderness Place, Suite 100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Boulder, Colorado 80301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(303) 417-0500</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reports and documents incorporated by reference herein may also be found in the “Investor Relations” section of our website at www.biodesix.com. The content of our website and any information that is linked to or accessible from our website (other than our filings with the SEC that are incorporated by reference, as set forth under “Information Incorporated by Reference”) is not incorporated by reference into this prospectus or any applicable prospectus supplement and you should not consider it a part of this prospectus, any applicable prospectus supplement, or the registration statement.</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59"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40"/>
        <w:spacing w:after="0"/>
        <w:rPr>
          <w:sz w:val="20"/>
          <w:szCs w:val="20"/>
          <w:color w:val="auto"/>
        </w:rPr>
      </w:pPr>
      <w:r>
        <w:rPr>
          <w:rFonts w:ascii="Arial" w:cs="Arial" w:eastAsia="Arial" w:hAnsi="Arial"/>
          <w:sz w:val="29"/>
          <w:szCs w:val="29"/>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340360</wp:posOffset>
            </wp:positionV>
            <wp:extent cx="1997075" cy="360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9970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Rights to Purchase Common Stock, Preferred Stock or Units</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1671955</wp:posOffset>
            </wp:positionV>
            <wp:extent cx="147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2265680</wp:posOffset>
            </wp:positionV>
            <wp:extent cx="6995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2325370</wp:posOffset>
            </wp:positionV>
            <wp:extent cx="699516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314" w:lineRule="auto"/>
        <w:rPr>
          <w:sz w:val="20"/>
          <w:szCs w:val="20"/>
          <w:color w:val="auto"/>
        </w:rPr>
      </w:pPr>
      <w:r>
        <w:rPr>
          <w:rFonts w:ascii="Arial" w:cs="Arial" w:eastAsia="Arial" w:hAnsi="Arial"/>
          <w:sz w:val="16"/>
          <w:szCs w:val="16"/>
          <w:b w:val="1"/>
          <w:bCs w:val="1"/>
          <w:color w:val="FF4338"/>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or jurisdiction where such offer or sale is not permitted.</w:t>
      </w:r>
    </w:p>
    <w:p>
      <w:pPr>
        <w:spacing w:after="0" w:line="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NOVEMBER 15,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Up to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178435</wp:posOffset>
            </wp:positionV>
            <wp:extent cx="1997075" cy="360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9970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entered into a sales agreement with Cowen and Company, LLC (“Cowen”) relating to shares of our common stock, par value $0.001 per share, offered by this prospectus. In accordance with the terms of the sales agreement, we may offer and sell shares of our common stock having an aggregate offering price of up to $50,000,000 from time to time through Cowen acting as our agent.</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“BDSX”. On November 12, 2021, the last reported sale price of our common stock on The NASDAQ Global Market was $7.81 per share.</w:t>
      </w:r>
    </w:p>
    <w:p>
      <w:pPr>
        <w:spacing w:after="0" w:line="170"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Sales of our common stock, if any, under this prospectus will be made in sales deemed to be “at the market offerings” as defined in Rule 415 promulgated under the Securities Act of 1933, as amended (the “Securities Act”). Cowen is not required to sell any specific amount of securities, but will act as our sales agent using commercially reasonable efforts consistent with its normal trading and sales practices, on mutually agreed terms between Cowen and us. There is no arrangement for funds to be received in any escrow, trust or similar arrangement.</w:t>
      </w:r>
    </w:p>
    <w:p>
      <w:pPr>
        <w:spacing w:after="0" w:line="17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compensation to Cowen for sales of common stock sold pursuant to the sales agreement will be an amount equal to 3% of the gross proceeds of any shares of common stock sold under the sales agreement. In connection with the sale of the common stock on our behalf, Cowen will be deemed to be an “underwriter” within the meaning of the Securities Act and the compensation of Cowen will be deemed to be underwriting commissions or discounts. See “Plan of Distribution” beginning on page S-20 for additional information regarding the compensation to be paid to Cowen. We have also agreed to provide indemnification and contribution to Cowen with respect to certain liabilities, including liabilities under the Securities Act or the Securities Exchange Act of 1934, as amended (the “Exchange Act”).</w:t>
      </w:r>
    </w:p>
    <w:p>
      <w:pPr>
        <w:spacing w:after="0" w:line="17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are an “emerging growth company” and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an Emerging Growth Company and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213360</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firstLine="44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Our business and an investment in our common stock involve significant risks. These risks are described under the caption “</w:t>
      </w:r>
      <w:hyperlink w:anchor="page3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S-7 of this prospectus and in the documents incorporated by reference into this prospectus.</w:t>
      </w:r>
    </w:p>
    <w:p>
      <w:pPr>
        <w:spacing w:after="0" w:line="186"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Cowen</w:t>
      </w:r>
    </w:p>
    <w:p>
      <w:pPr>
        <w:spacing w:after="0" w:line="230"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2021</w:t>
      </w:r>
    </w:p>
    <w:p>
      <w:pPr>
        <w:sectPr>
          <w:pgSz w:w="11900" w:h="16838" w:orient="portrait"/>
          <w:cols w:equalWidth="0" w:num="1">
            <w:col w:w="11120"/>
          </w:cols>
          <w:pgMar w:left="320" w:top="459" w:right="4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8660" w:type="dxa"/>
            <w:vAlign w:val="bottom"/>
            <w:gridSpan w:val="1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4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40" w:type="dxa"/>
            <w:vAlign w:val="bottom"/>
            <w:gridSpan w:val="3"/>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540" w:type="dxa"/>
            <w:vAlign w:val="bottom"/>
            <w:gridSpan w:val="1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ABOUT THIS PROSPECTUS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1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INDUSTRY AND MARKET DATA</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120" w:type="dxa"/>
            <w:vAlign w:val="bottom"/>
          </w:tcPr>
          <w:p>
            <w:pPr>
              <w:spacing w:after="0"/>
              <w:rPr>
                <w:sz w:val="17"/>
                <w:szCs w:val="17"/>
                <w:color w:val="auto"/>
              </w:rPr>
            </w:pPr>
          </w:p>
        </w:tc>
        <w:tc>
          <w:tcPr>
            <w:tcW w:w="26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PROSPECTUS SUMMARY</w:t>
              </w:r>
            </w:hyperlink>
          </w:p>
        </w:tc>
        <w:tc>
          <w:tcPr>
            <w:tcW w:w="590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THE OFFERING</w:t>
              </w:r>
            </w:hyperlink>
          </w:p>
        </w:tc>
        <w:tc>
          <w:tcPr>
            <w:tcW w:w="800" w:type="dxa"/>
            <w:vAlign w:val="bottom"/>
            <w:tcBorders>
              <w:top w:val="single" w:sz="8" w:color="0000EE"/>
            </w:tcBorders>
            <w:gridSpan w:val="4"/>
          </w:tcPr>
          <w:p>
            <w:pPr>
              <w:spacing w:after="0"/>
              <w:rPr>
                <w:sz w:val="17"/>
                <w:szCs w:val="17"/>
                <w:color w:val="auto"/>
              </w:rPr>
            </w:pPr>
          </w:p>
        </w:tc>
        <w:tc>
          <w:tcPr>
            <w:tcW w:w="646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120" w:type="dxa"/>
            <w:vAlign w:val="bottom"/>
          </w:tcPr>
          <w:p>
            <w:pPr>
              <w:spacing w:after="0"/>
              <w:rPr>
                <w:sz w:val="17"/>
                <w:szCs w:val="17"/>
                <w:color w:val="auto"/>
              </w:rPr>
            </w:pPr>
          </w:p>
        </w:tc>
        <w:tc>
          <w:tcPr>
            <w:tcW w:w="8540" w:type="dxa"/>
            <w:vAlign w:val="bottom"/>
            <w:gridSpan w:val="1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1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SPECIAL NOTE REGARDING FORWARD-LOOKING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USE OF PROCEEDS</w:t>
              </w:r>
            </w:hyperlink>
          </w:p>
        </w:tc>
        <w:tc>
          <w:tcPr>
            <w:tcW w:w="3740" w:type="dxa"/>
            <w:vAlign w:val="bottom"/>
            <w:tcBorders>
              <w:top w:val="single" w:sz="8" w:color="0000EE"/>
            </w:tcBorders>
            <w:gridSpan w:val="8"/>
          </w:tcPr>
          <w:p>
            <w:pPr>
              <w:spacing w:after="0"/>
              <w:rPr>
                <w:sz w:val="17"/>
                <w:szCs w:val="17"/>
                <w:color w:val="auto"/>
              </w:rPr>
            </w:pPr>
          </w:p>
        </w:tc>
        <w:tc>
          <w:tcPr>
            <w:tcW w:w="322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DILUTION</w:t>
              </w:r>
            </w:hyperlink>
          </w:p>
        </w:tc>
        <w:tc>
          <w:tcPr>
            <w:tcW w:w="768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120" w:type="dxa"/>
            <w:vAlign w:val="bottom"/>
          </w:tcPr>
          <w:p>
            <w:pPr>
              <w:spacing w:after="0"/>
              <w:rPr>
                <w:sz w:val="17"/>
                <w:szCs w:val="17"/>
                <w:color w:val="auto"/>
              </w:rPr>
            </w:pPr>
          </w:p>
        </w:tc>
        <w:tc>
          <w:tcPr>
            <w:tcW w:w="8540" w:type="dxa"/>
            <w:vAlign w:val="bottom"/>
            <w:gridSpan w:val="1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CAPITAL STOCK</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PLAN OF DISTRIBUTION</w:t>
              </w:r>
            </w:hyperlink>
          </w:p>
        </w:tc>
        <w:tc>
          <w:tcPr>
            <w:tcW w:w="568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S-20</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650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r>
      <w:tr>
        <w:trPr>
          <w:trHeight w:val="196"/>
        </w:trPr>
        <w:tc>
          <w:tcPr>
            <w:tcW w:w="120" w:type="dxa"/>
            <w:vAlign w:val="bottom"/>
          </w:tcPr>
          <w:p>
            <w:pPr>
              <w:spacing w:after="0"/>
              <w:rPr>
                <w:sz w:val="17"/>
                <w:szCs w:val="17"/>
                <w:color w:val="auto"/>
              </w:rPr>
            </w:pPr>
          </w:p>
        </w:tc>
        <w:tc>
          <w:tcPr>
            <w:tcW w:w="8540" w:type="dxa"/>
            <w:vAlign w:val="bottom"/>
            <w:gridSpan w:val="1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1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S-23</w:t>
            </w:r>
          </w:p>
        </w:tc>
      </w:tr>
      <w:tr>
        <w:trPr>
          <w:trHeight w:val="20"/>
        </w:trPr>
        <w:tc>
          <w:tcPr>
            <w:tcW w:w="120" w:type="dxa"/>
            <w:vAlign w:val="bottom"/>
          </w:tcPr>
          <w:p>
            <w:pPr>
              <w:spacing w:after="0" w:line="20" w:lineRule="exact"/>
              <w:rPr>
                <w:sz w:val="1"/>
                <w:szCs w:val="1"/>
                <w:color w:val="auto"/>
              </w:rPr>
            </w:pPr>
          </w:p>
        </w:tc>
        <w:tc>
          <w:tcPr>
            <w:tcW w:w="3800" w:type="dxa"/>
            <w:vAlign w:val="bottom"/>
            <w:gridSpan w:val="1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INCORPORATION OF CERTAIN INFORMATION BY REFERENCE</w:t>
              </w:r>
            </w:hyperlink>
          </w:p>
        </w:tc>
        <w:tc>
          <w:tcPr>
            <w:tcW w:w="33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S-23</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46"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This prospectus is part of a shelf registration statement on Form S-3 that we filed with the Securities and Exchange Commission (the “SEC”). Under the shelf registration process, we may offer shares of our common stock having an aggregate offering price of up to $50,000,000 from time to time under this prospectus at prices and on terms to be determined by market conditions at the time of the offering.</w:t>
      </w:r>
    </w:p>
    <w:p>
      <w:pPr>
        <w:spacing w:after="0" w:line="16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provide information to you about this offering of shares of our common stock in two separate documents that are bound together: (1) this sales agreement prospectus,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sales agreement prospectus is inconsistent with the accompanying base prospectus, you should rely on this prospectus. However,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6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have not, and Cowen has not, authorized any other person to provide you with any information other than that contained in, or incorporated by reference into, this prospectus and in any free writing prospectus that we may authorize for use in connection with this offering. We and Cowen take no responsibility for, and can provide no assurance as to the reliability of, any other information that others may give you. We are not, and Cowen is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“Where You Can Find More Information” and “Incorporation of Certain Information By Reference.”</w:t>
      </w:r>
    </w:p>
    <w:p>
      <w:pPr>
        <w:spacing w:after="0" w:line="17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this prospectus, the terms “Biodesix,” “Company,” “we,” “us,” “our” and similar terms refer to Biodesix, Inc., a Delaware corporation, and its subsidiaries unless the context otherwise requires.</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This prospectus and the information incorporated herein by reference include trademarks, service marks and trade names owned by us or other companies. All trademarks, service marks and trade names included or incorporated by reference in this prospectus are the property of their respective owners.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data included in this prospectus and the documents incorporated by reference herein contains estimates, projections and other information concerning our industry and our business, including estimated market size, projected growth rates and the incidence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9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This industry, business, market, medical and other information involves a number of assumptions and limitations, and you are cautioned not to give undue weight to such estimates. Third-party industry and general publications, research, surveys and studies generally state that the information contained therein has been obtained from sources believed to be reliable, although they do not guarantee the accuracy or completeness of such information. While we believe that each of these studies and publications is reliable, we have not independently verified any of the data from third-party sources. Although we are responsible for all of the disclosure contained in this prospectus and the documents incorporated by reference herein and we believe the market position, market opportunity, market size and medical information included in this prospectus and the documents incorporated by reference herein is reliable, such information is inherently imprecise. Data regarding the industries in which we compete and our market position and market share within these industries are inherently imprecise and are subject to significant business, economic and competitive uncertainties beyond our control, but we believe that they generally indicate size, position and market share within these industries. We believe these estimates to be accurate as of the date of this prospectus or as of the date of the documents incorporated by reference herein.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As a result, you should be aware that market, ranking and other similar industry data included in this prospectus and the documents incorporated by reference herein, and estimates and beliefs based on that data, may not be reliable and are subject to change based on various factors, including those discussed under “Risk Factors” and “Special Note Regarding Forward-Looking Statements.”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i w:val="1"/>
          <w:iCs w:val="1"/>
          <w:color w:val="auto"/>
        </w:rPr>
        <w:t>This summary highlights certain information about us, this offering and selected information contained elsewhere in or incorporated by reference into this prospectus. This summary is not complete and does not contain all of the information that you should consider before deciding whether to invest in the securities covered by this prospectus. For a more complete understanding of Biodesix and this offering, we encourage you to read and consider carefully the more detailed information in this prospectus, including the information incorporated by reference in this prospectus and the information included in any free writing prospectus that we have authorized for use in connection with this offering, including the information referred to under the heading “Risk Factors” in this prospectus beginning on page S-</w:t>
      </w:r>
      <w:r>
        <w:rPr>
          <w:rFonts w:ascii="Arial" w:cs="Arial" w:eastAsia="Arial" w:hAnsi="Arial"/>
          <w:sz w:val="17"/>
          <w:szCs w:val="17"/>
          <w:color w:val="auto"/>
        </w:rPr>
        <w:t>7</w:t>
      </w:r>
      <w:r>
        <w:rPr>
          <w:rFonts w:ascii="Arial" w:cs="Arial" w:eastAsia="Arial" w:hAnsi="Arial"/>
          <w:sz w:val="17"/>
          <w:szCs w:val="17"/>
          <w:i w:val="1"/>
          <w:iCs w:val="1"/>
          <w:color w:val="auto"/>
        </w:rPr>
        <w:t>.</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Company performs its blood-based diagnostic tests in its laboratory facilities, which are located in Boulder, Colorado and De Soto, Kansas. In May 2020, the Federal Drug Administration (FDA) granted Emergency Use Authorization (EUA) of the Bio-Rad SARS-CoV-2 Droplet Digital</w:t>
      </w:r>
      <w:r>
        <w:rPr>
          <w:rFonts w:ascii="Arial" w:cs="Arial" w:eastAsia="Arial" w:hAnsi="Arial"/>
          <w:sz w:val="15"/>
          <w:szCs w:val="15"/>
          <w:color w:val="auto"/>
        </w:rPr>
        <w:t>™</w:t>
      </w:r>
      <w:r>
        <w:rPr>
          <w:rFonts w:ascii="Arial" w:cs="Arial" w:eastAsia="Arial" w:hAnsi="Arial"/>
          <w:sz w:val="18"/>
          <w:szCs w:val="18"/>
          <w:color w:val="auto"/>
        </w:rPr>
        <w:t xml:space="preserve"> polymerase chain reaction (ddPCR) test to detect Coronavirus Disease 2019 (COVID-19) infection. In April 2020, the FDA authorized the Platelia SARS-CoV-2 Total Ab test to detect COVID-19 antibodies.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Blood-Based Lung Tests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offers four blood-based lung cancer tests across the lung cancer continuum of care:</w:t>
      </w:r>
    </w:p>
    <w:p>
      <w:pPr>
        <w:spacing w:after="0" w:line="131" w:lineRule="exact"/>
        <w:rPr>
          <w:sz w:val="20"/>
          <w:szCs w:val="20"/>
          <w:color w:val="auto"/>
        </w:rPr>
      </w:pPr>
    </w:p>
    <w:p>
      <w:pPr>
        <w:ind w:left="1080" w:right="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Nodify XL2</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Nodify CDT</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tests, marketed as our Nodify Lung</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Nodule Risk Assessment testing strategy, assess the risk of lung</w:t>
      </w:r>
      <w:r>
        <w:rPr>
          <w:rFonts w:ascii="Arial" w:cs="Arial" w:eastAsia="Arial" w:hAnsi="Arial"/>
          <w:sz w:val="18"/>
          <w:szCs w:val="18"/>
          <w:i w:val="1"/>
          <w:iCs w:val="1"/>
          <w:color w:val="auto"/>
        </w:rPr>
        <w:t xml:space="preserve"> </w:t>
      </w:r>
      <w:r>
        <w:rPr>
          <w:rFonts w:ascii="Arial" w:cs="Arial" w:eastAsia="Arial" w:hAnsi="Arial"/>
          <w:sz w:val="18"/>
          <w:szCs w:val="18"/>
          <w:color w:val="auto"/>
        </w:rPr>
        <w:t>cancer to help identify the most appropriate treatment pathway. We believe we are the only company to offer two commercial blood-based tests to help physicians reclassify risk of malignancy in patients with suspicious lung nodules.</w:t>
      </w:r>
    </w:p>
    <w:p>
      <w:pPr>
        <w:spacing w:after="0" w:line="89" w:lineRule="exact"/>
        <w:rPr>
          <w:rFonts w:ascii="Arial" w:cs="Arial" w:eastAsia="Arial" w:hAnsi="Arial"/>
          <w:sz w:val="18"/>
          <w:szCs w:val="18"/>
          <w:color w:val="auto"/>
        </w:rPr>
      </w:pPr>
    </w:p>
    <w:p>
      <w:pPr>
        <w:ind w:left="1080" w:right="180" w:hanging="424"/>
        <w:spacing w:after="0" w:line="279"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GeneStrat</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VeriStrat</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tests, marketed as our Biodesix Lung Reflex</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testing strategy, are used following diagnosis of lung cancer to</w:t>
      </w:r>
      <w:r>
        <w:rPr>
          <w:rFonts w:ascii="Arial" w:cs="Arial" w:eastAsia="Arial" w:hAnsi="Arial"/>
          <w:sz w:val="17"/>
          <w:szCs w:val="17"/>
          <w:i w:val="1"/>
          <w:iCs w:val="1"/>
          <w:color w:val="auto"/>
        </w:rPr>
        <w:t xml:space="preserve"> </w:t>
      </w:r>
      <w:r>
        <w:rPr>
          <w:rFonts w:ascii="Arial" w:cs="Arial" w:eastAsia="Arial" w:hAnsi="Arial"/>
          <w:sz w:val="17"/>
          <w:szCs w:val="17"/>
          <w:color w:val="auto"/>
        </w:rPr>
        <w:t>measure the presence of mutations in the tumor and the state of the patient’s immune system to establish the patient’s prognosis and help guide treatment decisions. The GeneStrat targeted tumor profiling test and the VeriStrat immune profiling test have a 36-hour average turnaround time, providing physicians with timely results to facilitate treatment decisions.</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COVID-19 Tests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operate and have commercialized the Biodesix WorkSafe</w:t>
      </w:r>
      <w:r>
        <w:rPr>
          <w:rFonts w:ascii="Arial" w:cs="Arial" w:eastAsia="Arial" w:hAnsi="Arial"/>
          <w:sz w:val="14"/>
          <w:szCs w:val="14"/>
          <w:color w:val="auto"/>
        </w:rPr>
        <w:t>™</w:t>
      </w:r>
      <w:r>
        <w:rPr>
          <w:rFonts w:ascii="Arial" w:cs="Arial" w:eastAsia="Arial" w:hAnsi="Arial"/>
          <w:sz w:val="17"/>
          <w:szCs w:val="17"/>
          <w:color w:val="auto"/>
        </w:rPr>
        <w:t xml:space="preserve"> testing program, under which the Company offers three SARS-CoV-2 tests:</w:t>
      </w:r>
    </w:p>
    <w:p>
      <w:pPr>
        <w:spacing w:after="0" w:line="142" w:lineRule="exact"/>
        <w:rPr>
          <w:sz w:val="20"/>
          <w:szCs w:val="20"/>
          <w:color w:val="auto"/>
        </w:rPr>
      </w:pPr>
    </w:p>
    <w:p>
      <w:pPr>
        <w:ind w:left="1080" w:right="12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Bio-Rad SARS-CoV-2 ddPCR </w:t>
      </w:r>
      <w:r>
        <w:rPr>
          <w:rFonts w:ascii="Arial" w:cs="Arial" w:eastAsia="Arial" w:hAnsi="Arial"/>
          <w:sz w:val="18"/>
          <w:szCs w:val="18"/>
          <w:color w:val="auto"/>
        </w:rPr>
        <w:t>test, which is authorized by the FDA to be performed by Clinical Laboratory Institute Amendments (CLIA)</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laboratories that perform high complexity tests. The ddPCR test is designed to detect the presence of infection by the SARS-CoV-2 virus.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Platelia SARS-CoV-2 Total Ab </w:t>
      </w:r>
      <w:r>
        <w:rPr>
          <w:rFonts w:ascii="Arial" w:cs="Arial" w:eastAsia="Arial" w:hAnsi="Arial"/>
          <w:sz w:val="18"/>
          <w:szCs w:val="18"/>
          <w:color w:val="auto"/>
        </w:rPr>
        <w:t>test, which is an antibody test, authorized by the FDA, intended for detecting a B-cell immune response to</w:t>
      </w:r>
      <w:r>
        <w:rPr>
          <w:rFonts w:ascii="Arial" w:cs="Arial" w:eastAsia="Arial" w:hAnsi="Arial"/>
          <w:sz w:val="18"/>
          <w:szCs w:val="18"/>
          <w:i w:val="1"/>
          <w:iCs w:val="1"/>
          <w:color w:val="auto"/>
        </w:rPr>
        <w:t xml:space="preserve"> </w:t>
      </w:r>
      <w:r>
        <w:rPr>
          <w:rFonts w:ascii="Arial" w:cs="Arial" w:eastAsia="Arial" w:hAnsi="Arial"/>
          <w:sz w:val="18"/>
          <w:szCs w:val="18"/>
          <w:color w:val="auto"/>
        </w:rPr>
        <w:t>SARS-CoV-2, indicating recent or prior infection.</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cPass</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SARS-CoV-2 Neutralization Antibody </w:t>
      </w:r>
      <w:r>
        <w:rPr>
          <w:rFonts w:ascii="Arial" w:cs="Arial" w:eastAsia="Arial" w:hAnsi="Arial"/>
          <w:sz w:val="18"/>
          <w:szCs w:val="18"/>
          <w:color w:val="auto"/>
        </w:rPr>
        <w:t>test</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the first blood-based surrogate neutralizing antibody test with FDA EUA and</w:t>
      </w:r>
      <w:r>
        <w:rPr>
          <w:rFonts w:ascii="Arial" w:cs="Arial" w:eastAsia="Arial" w:hAnsi="Arial"/>
          <w:sz w:val="18"/>
          <w:szCs w:val="18"/>
          <w:i w:val="1"/>
          <w:iCs w:val="1"/>
          <w:color w:val="auto"/>
        </w:rPr>
        <w:t xml:space="preserve"> </w:t>
      </w:r>
      <w:r>
        <w:rPr>
          <w:rFonts w:ascii="Arial" w:cs="Arial" w:eastAsia="Arial" w:hAnsi="Arial"/>
          <w:sz w:val="18"/>
          <w:szCs w:val="18"/>
          <w:color w:val="auto"/>
        </w:rPr>
        <w:t>uses ELISA technology to qualitatively detect circulating neutralizing antibodies to the receptor binding domain (RBD) in the spike protein of SARS-CoV-2 that are produced in response to vaccination or a previous SARS-CoV-2 infection. This test was commercially introduced during the second quarter 2021 in partnership with GenScript Biotech Corporation.</w:t>
      </w:r>
    </w:p>
    <w:p>
      <w:pPr>
        <w:spacing w:after="0" w:line="18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These tests under the Biodesix WorkSafe</w:t>
      </w:r>
      <w:r>
        <w:rPr>
          <w:rFonts w:ascii="Arial" w:cs="Arial" w:eastAsia="Arial" w:hAnsi="Arial"/>
          <w:sz w:val="15"/>
          <w:szCs w:val="15"/>
          <w:color w:val="auto"/>
        </w:rPr>
        <w:t>™</w:t>
      </w:r>
      <w:r>
        <w:rPr>
          <w:rFonts w:ascii="Arial" w:cs="Arial" w:eastAsia="Arial" w:hAnsi="Arial"/>
          <w:sz w:val="18"/>
          <w:szCs w:val="18"/>
          <w:color w:val="auto"/>
        </w:rPr>
        <w:t xml:space="preserve"> testing program are utilized by healthcare providers, including hospitals and nursing homes, and are also offered to businesses and educational systems to assist in their back-to-work or back-to-school strategies, a crucial element of restarting economic activity.</w:t>
      </w:r>
    </w:p>
    <w:p>
      <w:pPr>
        <w:spacing w:after="0" w:line="184"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In developing the Company’s products, the Company has built or gained access to unique biorepositories, proprietary technology, and bioinformatics methods that it believes are important to the development of new targeted therapies, determining clinical trial eligibility and guiding treatment selection.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the Company’s testing services are made available through its clinical laboratories.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7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our initial public offering.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9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For certain risks related to our status as an emerging growth company, see “Risk Factors—Risks Related to our Common Stock and this Offering —We are an “emerging growth company” and a “smaller reporting company,” and the reduced disclosure requirements applicable to emerging growth companies and smaller reporting companies may make our common stock less attractive to investors.”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We were incorporated in Delaware in 2005 as Elston Technologies, Inc. Our principal executive offices are located at 2970 Wilderness Place, Suite 100, Boulder, Colorado 80301, and our telephone number is (303) 417-0500. On June 20, 2006, we changed our name to Biodesix, Inc.</w:t>
      </w:r>
    </w:p>
    <w:p>
      <w:pPr>
        <w:spacing w:after="0" w:line="12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 or in deciding whether to purchase our common stock.</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filings with the SEC are posted on our website at www.biodesix.com. Other than the specifically incorporated SEC filings, the information found on or accessible through our website is not part of this or any other report we file with or furnish to the SEC. The public can also obtain copies of these filings by accessing the SEC’s website at http://www.sec.gov.</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459" w:right="4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404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70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7080" w:type="dxa"/>
            <w:vAlign w:val="bottom"/>
          </w:tcPr>
          <w:p>
            <w:pPr>
              <w:ind w:left="90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Common stock offered by us</w:t>
            </w:r>
          </w:p>
        </w:tc>
        <w:tc>
          <w:tcPr>
            <w:tcW w:w="7080" w:type="dxa"/>
            <w:vAlign w:val="bottom"/>
          </w:tcPr>
          <w:p>
            <w:pPr>
              <w:ind w:left="260"/>
              <w:spacing w:after="0"/>
              <w:rPr>
                <w:sz w:val="20"/>
                <w:szCs w:val="20"/>
                <w:color w:val="auto"/>
              </w:rPr>
            </w:pPr>
            <w:r>
              <w:rPr>
                <w:rFonts w:ascii="Arial" w:cs="Arial" w:eastAsia="Arial" w:hAnsi="Arial"/>
                <w:sz w:val="18"/>
                <w:szCs w:val="18"/>
                <w:color w:val="auto"/>
              </w:rPr>
              <w:t>Shares having an aggregate offering price of up to $50,000,000.</w:t>
            </w:r>
          </w:p>
        </w:tc>
      </w:tr>
      <w:tr>
        <w:trPr>
          <w:trHeight w:val="458"/>
        </w:trPr>
        <w:tc>
          <w:tcPr>
            <w:tcW w:w="4040" w:type="dxa"/>
            <w:vAlign w:val="bottom"/>
            <w:gridSpan w:val="2"/>
          </w:tcPr>
          <w:p>
            <w:pPr>
              <w:ind w:left="120"/>
              <w:spacing w:after="0"/>
              <w:rPr>
                <w:sz w:val="20"/>
                <w:szCs w:val="20"/>
                <w:color w:val="auto"/>
              </w:rPr>
            </w:pPr>
            <w:r>
              <w:rPr>
                <w:rFonts w:ascii="Arial" w:cs="Arial" w:eastAsia="Arial" w:hAnsi="Arial"/>
                <w:sz w:val="18"/>
                <w:szCs w:val="18"/>
                <w:color w:val="auto"/>
                <w:w w:val="96"/>
              </w:rPr>
              <w:t>Common stock to be outstanding after this offering</w:t>
            </w:r>
          </w:p>
        </w:tc>
        <w:tc>
          <w:tcPr>
            <w:tcW w:w="7080" w:type="dxa"/>
            <w:vAlign w:val="bottom"/>
          </w:tcPr>
          <w:p>
            <w:pPr>
              <w:ind w:left="260"/>
              <w:spacing w:after="0"/>
              <w:rPr>
                <w:sz w:val="20"/>
                <w:szCs w:val="20"/>
                <w:color w:val="auto"/>
              </w:rPr>
            </w:pPr>
            <w:r>
              <w:rPr>
                <w:rFonts w:ascii="Arial" w:cs="Arial" w:eastAsia="Arial" w:hAnsi="Arial"/>
                <w:sz w:val="18"/>
                <w:szCs w:val="18"/>
                <w:color w:val="auto"/>
                <w:w w:val="90"/>
              </w:rPr>
              <w:t>Up to 33,422,118 shares, assuming the sale of $50,000,000 of shares at a sales price of $7.81</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per share, which was the last reported sale price on The NASDAQ Global Market on</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1"/>
              </w:rPr>
              <w:t>November 12, 2021. The actual number of shares issued and outstanding will vary depending</w:t>
            </w:r>
          </w:p>
        </w:tc>
      </w:tr>
      <w:tr>
        <w:trPr>
          <w:trHeight w:val="230"/>
        </w:trPr>
        <w:tc>
          <w:tcPr>
            <w:tcW w:w="1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on the sales price under this offering.</w:t>
            </w:r>
          </w:p>
        </w:tc>
      </w:tr>
      <w:tr>
        <w:trPr>
          <w:trHeight w:val="445"/>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Manner of offering</w:t>
            </w:r>
          </w:p>
        </w:tc>
        <w:tc>
          <w:tcPr>
            <w:tcW w:w="7080" w:type="dxa"/>
            <w:vAlign w:val="bottom"/>
          </w:tcPr>
          <w:p>
            <w:pPr>
              <w:ind w:left="260"/>
              <w:spacing w:after="0"/>
              <w:rPr>
                <w:sz w:val="20"/>
                <w:szCs w:val="20"/>
                <w:color w:val="auto"/>
              </w:rPr>
            </w:pPr>
            <w:r>
              <w:rPr>
                <w:rFonts w:ascii="Arial" w:cs="Arial" w:eastAsia="Arial" w:hAnsi="Arial"/>
                <w:sz w:val="18"/>
                <w:szCs w:val="18"/>
                <w:color w:val="auto"/>
                <w:w w:val="91"/>
              </w:rPr>
              <w:t>“At-the-market” offering that may be made from time to time through our sales agent, Cowen.</w:t>
            </w:r>
          </w:p>
        </w:tc>
      </w:tr>
      <w:tr>
        <w:trPr>
          <w:trHeight w:val="230"/>
        </w:trPr>
        <w:tc>
          <w:tcPr>
            <w:tcW w:w="1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See “Plan of Distribution” on page S-20 of this prospectus.</w:t>
            </w:r>
          </w:p>
        </w:tc>
      </w:tr>
      <w:tr>
        <w:trPr>
          <w:trHeight w:val="445"/>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Use of proceeds</w:t>
            </w:r>
          </w:p>
        </w:tc>
        <w:tc>
          <w:tcPr>
            <w:tcW w:w="7080" w:type="dxa"/>
            <w:vAlign w:val="bottom"/>
          </w:tcPr>
          <w:p>
            <w:pPr>
              <w:ind w:left="260"/>
              <w:spacing w:after="0"/>
              <w:rPr>
                <w:sz w:val="20"/>
                <w:szCs w:val="20"/>
                <w:color w:val="auto"/>
              </w:rPr>
            </w:pPr>
            <w:r>
              <w:rPr>
                <w:rFonts w:ascii="Arial" w:cs="Arial" w:eastAsia="Arial" w:hAnsi="Arial"/>
                <w:sz w:val="18"/>
                <w:szCs w:val="18"/>
                <w:color w:val="auto"/>
                <w:w w:val="97"/>
              </w:rPr>
              <w:t>Our management will retain broad discretion regarding the allocation and use of the net</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3"/>
              </w:rPr>
              <w:t>proceeds from this offering. We currently intend to use the net proceeds from this offering, if</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any, for general corporate purposes, including for (1) commercial expansion of sales,</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3"/>
              </w:rPr>
              <w:t>marketing, reimbursement, customer support and business development, (2) supporting our</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6"/>
              </w:rPr>
              <w:t>product pipeline and research and development, (3) funding the expansion of technology</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4"/>
              </w:rPr>
              <w:t>integration efforts and automation and (4) our Integrated Diagnostics acquisition milestone</w:t>
            </w:r>
          </w:p>
        </w:tc>
      </w:tr>
      <w:tr>
        <w:trPr>
          <w:trHeight w:val="230"/>
        </w:trPr>
        <w:tc>
          <w:tcPr>
            <w:tcW w:w="1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payments. See “Use of Proceeds” on page S-13 of this prospectus.</w:t>
            </w:r>
          </w:p>
        </w:tc>
      </w:tr>
      <w:tr>
        <w:trPr>
          <w:trHeight w:val="459"/>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NASDAQ Global Market symbol</w:t>
            </w:r>
          </w:p>
        </w:tc>
        <w:tc>
          <w:tcPr>
            <w:tcW w:w="7080" w:type="dxa"/>
            <w:vAlign w:val="bottom"/>
          </w:tcPr>
          <w:p>
            <w:pPr>
              <w:ind w:left="260"/>
              <w:spacing w:after="0"/>
              <w:rPr>
                <w:sz w:val="20"/>
                <w:szCs w:val="20"/>
                <w:color w:val="auto"/>
              </w:rPr>
            </w:pPr>
            <w:r>
              <w:rPr>
                <w:rFonts w:ascii="Arial" w:cs="Arial" w:eastAsia="Arial" w:hAnsi="Arial"/>
                <w:sz w:val="18"/>
                <w:szCs w:val="18"/>
                <w:color w:val="auto"/>
              </w:rPr>
              <w:t>“BDSX”</w:t>
            </w:r>
          </w:p>
        </w:tc>
      </w:tr>
      <w:tr>
        <w:trPr>
          <w:trHeight w:val="458"/>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Risk factors</w:t>
            </w:r>
          </w:p>
        </w:tc>
        <w:tc>
          <w:tcPr>
            <w:tcW w:w="7080" w:type="dxa"/>
            <w:vAlign w:val="bottom"/>
          </w:tcPr>
          <w:p>
            <w:pPr>
              <w:ind w:left="260"/>
              <w:spacing w:after="0"/>
              <w:rPr>
                <w:sz w:val="20"/>
                <w:szCs w:val="20"/>
                <w:color w:val="auto"/>
              </w:rPr>
            </w:pPr>
            <w:r>
              <w:rPr>
                <w:rFonts w:ascii="Arial" w:cs="Arial" w:eastAsia="Arial" w:hAnsi="Arial"/>
                <w:sz w:val="18"/>
                <w:szCs w:val="18"/>
                <w:color w:val="auto"/>
                <w:w w:val="96"/>
              </w:rPr>
              <w:t>Investing in our securities involves a high degree of risk. See “Risk Factors” beginning on</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0"/>
              </w:rPr>
              <w:t>page S-7 of this prospectus and the other information included in, or incorporated by reference</w:t>
            </w:r>
          </w:p>
        </w:tc>
      </w:tr>
      <w:tr>
        <w:trPr>
          <w:trHeight w:val="216"/>
        </w:trPr>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7"/>
              </w:rPr>
              <w:t>into, this prospectus for a discussion of certain factors that you should carefully consider</w:t>
            </w:r>
          </w:p>
        </w:tc>
      </w:tr>
      <w:tr>
        <w:trPr>
          <w:trHeight w:val="230"/>
        </w:trPr>
        <w:tc>
          <w:tcPr>
            <w:tcW w:w="1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before deciding to invest in shares of our common stock.</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620" w:firstLine="440"/>
        <w:spacing w:after="0" w:line="277" w:lineRule="auto"/>
        <w:rPr>
          <w:sz w:val="20"/>
          <w:szCs w:val="20"/>
          <w:color w:val="auto"/>
        </w:rPr>
      </w:pPr>
      <w:r>
        <w:rPr>
          <w:rFonts w:ascii="Arial" w:cs="Arial" w:eastAsia="Arial" w:hAnsi="Arial"/>
          <w:sz w:val="18"/>
          <w:szCs w:val="18"/>
          <w:color w:val="auto"/>
        </w:rPr>
        <w:t>The number of shares of common stock shown above to be outstanding immediately following this offering is based on 27,020,070 shares outstanding as of September 30, 2021 and excludes:</w:t>
      </w:r>
    </w:p>
    <w:p>
      <w:pPr>
        <w:spacing w:after="0" w:line="76"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691,918 shares of common stock reserved for future issuance under our 2020 Equity Incentive Plan (the “2020 Incentive Plan”); and</w:t>
      </w:r>
    </w:p>
    <w:p>
      <w:pPr>
        <w:spacing w:after="0" w:line="142"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295,251 shares of common stock reserved for issuance pursuant to future awards under our under our 2020 Employee Stock Purchase Plan (“ESPP”).</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reflects and assumes no exercise of outstanding options or warrants.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45"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Investing in our securities common stock involves a high degree of risk. You should consider and read carefully all of the risks and uncertainties described below, as well as all the other information contained in the prospectus or incorporated by reference into this prospectus. You should also consider the risks, uncertainties and assumptions discussed under the caption “Risk Factors” included in our Annual Report on Form 10-K for the year ended December 31, 2020 and in our Quarterly Reports on Form 10-Q for the periods ended March 31, June 30 and September 30, 2021, and in subsequent filings, which are incorporated by reference into this prospectus. These risk factors may be amended, supplemented or superseded from time to time by other reports we file with the SEC in the future.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could spend the proceeds in ways with which you may not agree. Accordingly, you will be relying on the judgment of our management with regard to the use of the net proceeds, and you will not have the opportunity, as part of your investment decision, to assess whether the proceeds are being used appropriately. It is possible that the net proceeds will be invested or otherwise used in a way that does not yield a favorable, or any, return for the Company.</w:t>
      </w:r>
    </w:p>
    <w:p>
      <w:pPr>
        <w:spacing w:after="0" w:line="27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Investors in this offering will experience immediate and substantial dilution in the net tangible book value per share of the common stock they purchase.</w:t>
      </w:r>
    </w:p>
    <w:p>
      <w:pPr>
        <w:spacing w:after="0" w:line="6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Since the price per share of our common stock being offered is higher than the net tangible book value per share of our common stock, you will suffer substantial dilution in the net tangible book value of the common stock you purchase in this offering. See the section entitled “Dilution” in this prospectus for a more detailed discussion of the dilution you will incur if you purchase common stock in this offering. In addition, we have a significant number of options outstanding. If the holders of these options exercise such options, you may incur further dilution.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stockholders may experience significant dilution as a result of future equity offerings and exercise of outstanding options.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16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addition, we have a number of securities allowing the purchase of our common stock. As of November 12, 2021, 719,509 shares of common stock were reserved for future issuance under the 2020 Incentive Plan and 295,251 shares of common stock were reserved for future issuance under the ESPP. As of that date,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there were also options to purchase 3,210,703 shares of our common stock outstanding and 119,192 restricted stock units outstanding. The exercise of outstanding options having an exercise price per share that is less than the offering price per share in this offering will increase dilution to investors in this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incurred significant losses since inception, including as a consequence of the COVID-19 pandemic.</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of September 30, 2021, we maintained cash and cash equivalents of $47.9 million and we are fully drawn under our $30 million Loan and Security Agreement dated March 19, 2021 (the “2021 Term Loan”). We have incurred significant losses since inception and, as a result, we have funded our operations to date primarily through the sale of common stock in our initial public offering in October 2020, the issuance of notes payable, and from our two primary revenue sources: (i) diagnostic testing, which include lung diagnostic testing and COVID-19 testing, and (ii) providing biopharmaceutical companies with development and testing services.</w:t>
      </w:r>
    </w:p>
    <w:p>
      <w:pPr>
        <w:spacing w:after="0" w:line="188"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As a result of the impact of the COVID-19 pandemic on our operations and our obligation to remain in compliance with our financial covenants under our 2021 Term Loan, our management has determined that there is a substantial doubt about our ability to continue as a going concern over the next twelve months. If we are not able to improve our operating results, we may need to limit our operations substantially. We will need to raise additional capital to increase our liquidity but there is no assurance that we will be able to secure any such funding in a sufficient amount or on terms that are acceptable to us.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Furthermore, the reaction of investors to the inclusion of a going concern statement in our periodic filings, and our potential inability to continue as a going concern, could materially adversely affect the price of our common stock.</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 is not possible to predict the aggregate proceeds resulting from sales made under the sales agreement.</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Subject to certain limitations in the sales agreement and compliance with applicable law, we have the discretion to deliver a placement notice to Cowen at any time throughout the term of the sales agreement. The number of shares that are sold through Cowen after delivering a placement notice will fluctuate based on a number of factors, including the market price of our common stock during the sales period, any limits we may set with Cowen in any applicable placement notice and the demand for our common stock. Because the price per share of each share sold pursuant to the sales agreement will fluctuate over time, it is not currently possible to predict the aggregate proceeds to be raised in connection with sales under the sales agreement.</w:t>
      </w:r>
    </w:p>
    <w:p>
      <w:pPr>
        <w:spacing w:after="0" w:line="30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common stock offered hereby will be sold in “at-the-market offerings” and investors who buy shares at different times will likely pay different prices.</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stock price has been and is likely to continue to be volatile. The stock market in general and the market for pharmaceutical and biotechnology companies in particular have experienced extreme volatility that has often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been unrelated to the operating performance of particular companies. As a result of this volatility, our stockholders may not be able to sell our common stock at or above the price they paid for it. The market price for our common stock may be influenced by many factors, including:</w:t>
      </w:r>
    </w:p>
    <w:p>
      <w:pPr>
        <w:spacing w:after="0" w:line="52"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demand for our diagnostic tests, which may vary significantly;</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cost of manufacturing our diagnostic tests, which may vary depending on the quantity of production and the terms of our agreements with third-party suppliers and manufacturers;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pricing pressures;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 hired salespeople become effective, and the cost and level of investment therein;</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 in the competitive landscape of our industry, including consolidation among our competitors or future partners;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lung cancer treatment equipment, and potential future diagnostic tests that compete with our diagnostic test;</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diagnostic tests or any enhancements to such tests we develop or competing diagnostic tests;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positive or negative coverage, or public perception, of our diagnostic tests or those of our competitors or broader industry trends;</w:t>
      </w:r>
    </w:p>
    <w:p>
      <w:pPr>
        <w:spacing w:after="0" w:line="142" w:lineRule="exact"/>
        <w:rPr>
          <w:rFonts w:ascii="Arial" w:cs="Arial" w:eastAsia="Arial" w:hAnsi="Arial"/>
          <w:sz w:val="17"/>
          <w:szCs w:val="17"/>
          <w:color w:val="auto"/>
        </w:rPr>
      </w:pPr>
    </w:p>
    <w:p>
      <w:pPr>
        <w:ind w:left="1080" w:right="8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if any, of the spread of COVID-19, and the resulting effects on the number of patients treated or the demand for our non-COVID-19 diagnostic tests;</w:t>
      </w:r>
    </w:p>
    <w:p>
      <w:pPr>
        <w:spacing w:after="0" w:line="75"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licenses, regulatory approval, commercialization activities, acquisitions and other strategic transactions, or other significant events relating to our diagnostic tests, which may change from time to time;</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cost of obtaining regulatory approvals or clearances for planned or future improvements or enhancements to our diagnostic tests;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regulatory approvals or applications;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discounts and incentives for our diagnostic tests;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market conditions; and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other factors described in the “Risk Factors” sections of our Form 10-K for the year ended December 31, 2020 and in our Quarterly Reports on Form 10-Q for the periods ended March 31, June 30 and September 30, 2021, and in subsequent filings, which are incorporated by reference into this prospectus</w:t>
      </w:r>
    </w:p>
    <w:p>
      <w:pPr>
        <w:spacing w:after="0" w:line="184"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In addition, the spread of COVID-19 has caused a broad impact globally. While the potential economic impact brought by, and the duration of, COVID-19 may be difficult to assess or predict, it has significantly disrupted global financial markets, and a recession or market correction resulting from the spread or continuation of COVID-19 could materially affect our business and the value of our common stock.</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This prospectus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 are “forward-looking statements” for purposes of this prospectus.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about:</w:t>
      </w:r>
    </w:p>
    <w:p>
      <w:pPr>
        <w:spacing w:after="0" w:line="83" w:lineRule="exact"/>
        <w:rPr>
          <w:sz w:val="20"/>
          <w:szCs w:val="20"/>
          <w:color w:val="auto"/>
        </w:rPr>
      </w:pPr>
    </w:p>
    <w:p>
      <w:pPr>
        <w:ind w:left="1080" w:hanging="424"/>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or worldwide, including the continuing spread of COVID-19 (including notable and severe mutations of the virus) may have a material adverse effect on our operations, our ability to generate revenues and income, and our ability to maintain compliance with our debt covenants and, under certain circumstances, remain a going concern;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significant fluctuation in our operating results, causing our operating results to fall below expectations or any guidance we provide;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demand for our COVID-19 and antibody testing program and our ability to meet such demand;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suppliers, including courier services, contract manufacturers and single source suppliers; making us vulnerable to supply problems and price fluctuations;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or man-made disasters and other similar events, including the COVID-19 pandemic, negatively impacting our business, financial condition, and results of operations;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incurrence of substantial liabilities and limiting or halting the marketing and sale of our diagnostic tests due to product liability lawsuits;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risks, uncertainties and factors, including those set forth under “Risk Factors”.</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“Risk Factors” contained in this prospectus and any related free writing prospectus, and in any other documents incorporated herein or therein. Any forward-looking statement in this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980"/>
          </w:cols>
          <w:pgMar w:left="320" w:top="459" w:right="5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and the documents incorporated by reference, may also contain estimates, projections and other information concerning our industry and our business, including estimated market size,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920"/>
          </w:cols>
          <w:pgMar w:left="320" w:top="459" w:right="6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We may issue and sell shares of our common stock having an aggregate sales proceeds of up to $50,000,000 from time to time. The amount of proceeds from this offering will depend upon the number of shares of our common stock sold and the market price at which they are sold. There can be no assurance that we will be able to sell any shares under, or fully utilize, the sales agreement with Cowen as a source of financing.</w:t>
      </w:r>
    </w:p>
    <w:p>
      <w:pPr>
        <w:spacing w:after="0" w:line="14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will retain broad discretion over the use of the net proceeds from the sale of the securities offered hereby. We currently intend to use the net proceeds from this offering, if any, for general corporate purposes, including for (1) commercial expansion of sales, marketing, reimbursement, customer support and business development, (2) supporting our product pipeline and research and development, (3) funding the expansion of technology integration efforts and automation and (4) our Integrated Diagnostics acquisition milestone payments. The amount and timing of these expenditures will depend on a number of factors, such as the timing, scope, progress and results of our commercial expansion and research and development efforts.</w:t>
      </w:r>
    </w:p>
    <w:p>
      <w:pPr>
        <w:spacing w:after="0" w:line="161"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As of the date of this prospectus, we cannot specify with certainty all of the particular uses for the net proceeds to us from this offering, if any. As a result, our management will have broad discretion regarding the timing and application of the net proceeds from this offering. Pending the application of the net proceeds, we intend to invest the net proceeds in short-term, investment grade, interest-bearing securities.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If you invest in our common stock, you will experience dilution to the extent of the difference between the price per share you pay in this offering and the net tangible book value per share of our common stock immediately after this offering. Our net tangible book value as of September 30, 2021 was approximately $16,033,000, or $0.59 per share of our common stock. Net tangible book value per share as of September 30, 2021 is equal to our total tangible assets minus total liabilities, all divided by the number of shares of common stock outstanding as of September 30, 2021.</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After giving effect to the sale of $50,000,000 of shares of our common stock in this offering at an assumed offering price of $7.81 per share, the last reported sale price of our common stock on The NASDAQ Global Market on November 12, 2021, and after deducting estimated offering commissions and expenses payable by us, our as adjusted net tangible book value would have been approximately $64,233,000, or $1.92 per share of common stock, as of September 30, 2021. This represents an immediate increase in net tangible book value of approximately $1.33 per share to existing stockholders and an immediate dilution of approximately $5.89 per share to investors in this offering. The following table illustrates this calculation on a per share basis.</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6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$7.81</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September 30, 2021</w:t>
            </w:r>
          </w:p>
        </w:tc>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rPr>
              <w:t>$0.59</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6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Increase in net tangible book value per share attributable to</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6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this offering</w:t>
            </w: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09"/>
        </w:trPr>
        <w:tc>
          <w:tcPr>
            <w:tcW w:w="6760" w:type="dxa"/>
            <w:vAlign w:val="bottom"/>
          </w:tcPr>
          <w:p>
            <w:pPr>
              <w:spacing w:after="0"/>
              <w:rPr>
                <w:sz w:val="20"/>
                <w:szCs w:val="20"/>
                <w:color w:val="auto"/>
              </w:rPr>
            </w:pPr>
            <w:r>
              <w:rPr>
                <w:rFonts w:ascii="Arial" w:cs="Arial" w:eastAsia="Arial" w:hAnsi="Arial"/>
                <w:sz w:val="18"/>
                <w:szCs w:val="18"/>
                <w:color w:val="auto"/>
                <w:w w:val="93"/>
              </w:rPr>
              <w:t>As adjusted net tangible book value per share as of September 30, 2021, after giving effect</w:t>
            </w: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to this offering</w:t>
            </w:r>
          </w:p>
        </w:tc>
        <w:tc>
          <w:tcPr>
            <w:tcW w:w="160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16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$5.89</w:t>
            </w:r>
          </w:p>
        </w:tc>
      </w:tr>
    </w:tbl>
    <w:p>
      <w:pPr>
        <w:spacing w:after="0" w:line="20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table above assumes for illustrative purposes that an aggregate of 6,402,048 shares of our common stock are sold at a price of $7.81 per share, the last reported sale price of our common stock on The NASDAQ Global Market on November 12, 2021, for aggregate gross proceeds of $50,000,000. The shares sold in this offering, if any, will be sold from time to time at various prices. An increase of $1.00 per share in the price at which the shares are sold from the assumed offering price of $7.81 per share shown in the table above, assuming $50,000,000 of shares of our common stock is sold at that price, would increase our adjusted net tangible book value per share after the offering to $1.96 per share and would increase the dilution in net tangible book value per share to new investors in this offering to $6.85 per share, after deducting commissions and estimated aggregate offering expenses payable by us. A decrease of $1.00 per share in the price at which the shares are sold from the assumed offering price of $7.81 per share shown in the table above, assuming $50,000,000 of shares of our common stock is sold at that price, would decrease our adjusted net tangible book value per share after the offering to $1.87 per share and would decrease the dilution in net tangible book value per share to new investors in this offering to $4.94 per share, after deducting commissions and estimated aggregate offering expenses payable by us. This information is supplied for illustrative purposes only.</w:t>
      </w:r>
    </w:p>
    <w:p>
      <w:pPr>
        <w:spacing w:after="0" w:line="168"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number of shares of common stock shown above to be outstanding immediately following this offering is based on 27,020,070 shares outstanding as of September 30, 2021 and excludes:</w:t>
      </w:r>
    </w:p>
    <w:p>
      <w:pPr>
        <w:spacing w:after="0" w:line="76"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691,918 shares of common stock reserved for future issuance under the 2020 Incentive Plan;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295,251 shares of common stock reserved for issuance pursuant to future awards under the ESPP.</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also reflects and assumes no exercise of outstanding options or warrants.</w:t>
      </w:r>
    </w:p>
    <w:p>
      <w:pPr>
        <w:spacing w:after="0" w:line="225"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above illustration of dilution per share to investors participating in this offering assumes no exercise of outstanding options to purchase our common stock. The exercise of outstanding options having an exercise price per share that is less than the offering price per share in this offering will increase dilution to investors in this offering.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i w:val="1"/>
          <w:iCs w:val="1"/>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Our charter authorizes to issue up to 200,000,000 shares of common stock, $0.001 par value per share, and 5,000,000 shares of preferred stock, $0.001 par value per share. The following summary sets forth some of the general terms of our common stock. Because this is a summary, it does not contain all of the information that may be important to you. For a more detailed description of our common stock, you should read our amended and restated certificate of incorporation and the amended and restated bylaws, each of which is an exhibit to our Annual Report on Form 10-K to which this summary is also an exhibit, and the applicable provisions of the Delaware General Corporation Law (the “DGCL”).</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November 12, 2021, we had 27,020,576 shares of common stock outstanding.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Under our amended and restated certificate of incorporation and amended and restated bylaws, our stockholders do not have cumulative voting rights. Because of this, the holders of a majority of the shares of common stock entitled to vote in any election of directors can elect all of the directors standing for election.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Rights</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 No shares of preferred stock are outstanding. We have no present plan to issue any shares of preferred stock.</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party to the Eleventh Amended and Restated Investor Rights Agreement (the “IRA”) which provides that certain holders of shares of common stock have the right to demand that we file a registration statement for their shares of our common stock or request that their shares of our common stock be covered by a registration statement that we are otherwise filing, including, in each case, shares of our common stock that were issued upon conversion of convertible preferred stock. These shares are referred to as registrable securities. The holders of these registrable securities possess registration rights pursuant to the terms of the IRA and are described in additional detail below. We, along with certain of our stockholders, are parties to the IRA. We entered into the IRA in connection with the issuance of Series H Preferred Stock in October 2018. The following summary discusses certain material provisions of the IRA and is qualified by the full text of the agreement, which is filed as an exhibit to the registration statement of which this prospectus is a part.</w:t>
      </w:r>
    </w:p>
    <w:p>
      <w:pPr>
        <w:spacing w:after="0" w:line="192"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registration of shares of common stock pursuant to the exercise of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piggyback and Form S-3 registrations described below.</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Generally, in an underwritten offering, if we determine in good faith in consultation with the underwriters, we have the right, subject to specified conditions, to limit the number of shares the holders may include. The piggyback and Form S-3 registration rights described below will terminate on the date five years following the closing of our initial public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holders of at least 10% of the registrable securities then outstanding are entitled to certain registration rights on Form S-3. The holders of these shares can request that we register all or a portion of their shares on Form S-3 if we are eligible to file a registration statement on Form S-3 and the aggregate price to the public of the shares offered is in excess of $5.0 million. We are required to effect no more than two Form S-3 registration statements that are declared or ordered effective in any 12-month period. We may postpone the filing of a registration statement for up to 120 days not more than once in a 12-month period if in the good faith judgment of our Board of Directors such registration would be seriously detrimental to 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registrable securities are entitled to certain piggyback registration rights.</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If we register any of our securities for public sale, either for our own account or for the account of other security holders, we will also have to register all registrable securities that the holders of such securities request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in writing be registered. This piggyback registration right does not apply to a registration relating to any of our stock plans, stock purchase or similar plan, a transaction under Rule 145 of the Securities Act or a registration related to stock issued upon conversion of debt securities. We, based on consultation with the underwriters of any underwritten offering will have the right to limit the number of shares registered by these holders if the underwriters determine that including all registrable securities will jeopardize the success of the offering.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Pursuant to the IRA, we are required to pay all registration expenses, including all registration and filing fees, printing expenses, fees and disbursements of our counsel and reasonable fees and disbursements not to exceed $75,000 of one counsel representing all Holders, as defined in the IRA, participating in the offering, blue sky fees and expenses and the expense of any special audits incident to or required by any such registration, other than any underwriting discounts and selling commissions attributable to the sale of registrable securities, as defined in the IRA.</w:t>
      </w:r>
    </w:p>
    <w:p>
      <w:pPr>
        <w:spacing w:after="0" w:line="17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IRA contains customary cross-indemnification provisions, pursuant to which we are obligated to indemnify Holders, as defined in the IRA, beneficially owning registrable securities covered by a registration statement in the event of material misstatements or omissions in the registration statement attributable to us, and each Holder, as defined in the IRA, is obligated to indemnify us for material misstatements or omissions in the registration statement attributable to them.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amended and restated certificate of incorporation and amended and restated bylaws:</w:t>
      </w:r>
    </w:p>
    <w:p>
      <w:pPr>
        <w:spacing w:after="0" w:line="131" w:lineRule="exact"/>
        <w:rPr>
          <w:sz w:val="20"/>
          <w:szCs w:val="20"/>
          <w:color w:val="auto"/>
        </w:rPr>
      </w:pPr>
    </w:p>
    <w:p>
      <w:pPr>
        <w:ind w:left="1080" w:right="2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they may designate, including the right to approve an acquisition or other change of control;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w:t>
      </w:r>
    </w:p>
    <w:p>
      <w:pPr>
        <w:spacing w:after="0" w:line="130" w:lineRule="exact"/>
        <w:rPr>
          <w:rFonts w:ascii="Arial" w:cs="Arial" w:eastAsia="Arial" w:hAnsi="Arial"/>
          <w:sz w:val="18"/>
          <w:szCs w:val="18"/>
          <w:color w:val="auto"/>
        </w:rPr>
      </w:pPr>
    </w:p>
    <w:p>
      <w:pPr>
        <w:ind w:left="1080" w:right="38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provide that special meetings of our stockholders may be called only by the chairman of our Board of Directors, our chief executive officer or by our Board of Directors pursuant to a resolution adopted by a majority of the total number of authorized directors; and</w:t>
      </w:r>
    </w:p>
    <w:p>
      <w:pPr>
        <w:spacing w:after="0" w:line="51"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amendment of any of these provisions would require approval by the holders of at least 66 2/3% of the voting power of all of our then-outstanding capital stock entitled to vote generally in the election of directors, voting together as a single class.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business combination statute</w:t>
      </w:r>
    </w:p>
    <w:p>
      <w:pPr>
        <w:spacing w:after="0" w:line="117" w:lineRule="exact"/>
        <w:rPr>
          <w:sz w:val="20"/>
          <w:szCs w:val="20"/>
          <w:color w:val="auto"/>
        </w:rPr>
      </w:pPr>
    </w:p>
    <w:p>
      <w:pPr>
        <w:ind w:left="120" w:right="300" w:firstLine="440"/>
        <w:spacing w:after="0" w:line="293" w:lineRule="auto"/>
        <w:rPr>
          <w:sz w:val="20"/>
          <w:szCs w:val="20"/>
          <w:color w:val="auto"/>
        </w:rPr>
      </w:pPr>
      <w:r>
        <w:rPr>
          <w:rFonts w:ascii="Arial" w:cs="Arial" w:eastAsia="Arial" w:hAnsi="Arial"/>
          <w:sz w:val="16"/>
          <w:szCs w:val="16"/>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certificate of incorporation and bylaws</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Nasdaq Global Market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“BDSX.”</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subject to any limitations imposed by the listing requirements of The Nasdaq Global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150 Royall Street, Canton, Massachusetts 02021, and its telephone number is (800) 962-4284.</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have entered into a sales agreement with Cowen and Company, LLC (“Cowen”) under which we may issue and sell from time to time up to $50,000,000 of our common stock through Cowen as our sales agent. Sales of our common stock, if any, will be made at market prices by any method that is deemed to be an “at the market” offering as defined in Rule 415 under the Securities Act, including sales made directly on The Nasdaq Global Market or any other trading market for our common stock. If authorized by us in writing, Cowen may purchase shares of our common stock as principal.</w:t>
      </w:r>
    </w:p>
    <w:p>
      <w:pPr>
        <w:spacing w:after="0" w:line="15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Cowen will offer our common stock subject to the terms and conditions of the sales agreement on a daily basis or as otherwise agreed upon by us and Cowen. We will designate the maximum amount of common stock to be sold through Cowen on a daily basis or otherwise determine such maximum amount together with Cowen. Subject to the terms and conditions of the sales agreement, Cowen will use its commercially reasonable efforts to sell on our behalf all of the shares of common stock requested to be sold by us. We may instruct Cowen not to sell common stock if the sales cannot be effected at or above the price designated by us in any such instruction. Cowen or we may suspend the offering of our common stock being made through Cowen under the sales agreement upon proper notice to the other party. Cowen and we each have the right, by giving written notice as specified in the sales agreement, to terminate the sales agreement in each party’s discretion at any time.</w:t>
      </w:r>
    </w:p>
    <w:p>
      <w:pPr>
        <w:spacing w:after="0" w:line="17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aggregate compensation payable to Cowen as sales agent equals 3% of the gross sales price of the shares sold through it pursuant to the sales agreement. We have also agreed to reimburse Cowen up to $75,000 of Cowen’s actual outside legal expenses incurred by Cowen in connection with this offering, plus an additional amount of up to $15,000 in connection with determining our compliance with the rules and regulations of the Financial Industry Regulatory Authority, Inc. (“FINRA”). We estimate that the total expenses of the offering payable by us, excluding commissions payable to Cowen under the sales agreement, will be approximately $300,000.</w:t>
      </w:r>
    </w:p>
    <w:p>
      <w:pPr>
        <w:spacing w:after="0" w:line="176"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46"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Cowen will provide written confirmation to us following the close of trading on The Nasdaq Global Market on each day in which common stock is sold through it as sales agent under the sales agreement. Each confirmation will include the number of shares of common stock sold through it as sales agent on that day, the volume weighted average price of the shares sold and the net proceeds to us.</w:t>
      </w:r>
    </w:p>
    <w:p>
      <w:pPr>
        <w:spacing w:after="0" w:line="165"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To the extent any sales are made, we will report at least quarterly the number of shares of common stock sold through Cowen under the sales agreement, the net proceeds to us and the compensation paid by us to Cowen in connection with the sales of common stock.</w:t>
      </w:r>
    </w:p>
    <w:p>
      <w:pPr>
        <w:spacing w:after="0" w:line="14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Settlement for sales of common stock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connection with the sales of our common stock on our behalf, Cowen will be deemed to be an “underwriter” within the meaning of the Securities Act, and the compensation paid to Cowen will be deemed to be underwriting commissions or discounts. We have agreed in the sales agreement to provide indemnification and contribution to Cowen against certain liabilities, including liabilities under the Securities Act. As sales agent, Cowen will not engage in any transactions that stabilizes our common stock.</w:t>
      </w:r>
    </w:p>
    <w:p>
      <w:pPr>
        <w:spacing w:after="0" w:line="18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Our common stock is listed on The Nasdaq Global Market and trades under the symbol “BDSX.” The transfer agent of our common stock is Computershare.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Cowen and/or its affiliates have provided, and may in the future provide, various investment banking and other financial services for us for which services they have received and, may in the future receive, customary fees.</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addition, in the ordinary course of its business activities, Cowen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Cowen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40"/>
          </w:cols>
          <w:pgMar w:left="320" w:top="459" w:right="5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Certain legal matters in connection with the securities offered hereby will be passed upon for us by Sidley Austin LLP. Cowen is being represented in connection with this offering by Davis Polk &amp; Wardwell LLP, New York, New York.</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financial statements of Biodesix, Inc. as of December 31, 2020 and 2019, and for each of the years in the two-year period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have been incorporated by reference herein and in the registration statement in reliance upon the report of KPMG LLP, independent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registered public accounting firm, incorporated by reference herein, and upon the authority of said firm as experts in accounting and auditing.</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filed with the SEC a registration statement on Form S-3 under the Securities Act of 1933, as amended (the “Securities Act”), with respect to the securities offered by this prospectus. This prospectus does not contain all of the information set forth in the registration statement, of which it is a part, and its exhibits and schedules in accordance with SEC rules and regulations. For further information with respect to us and the securities being offered by this prospectus, you should read the registration statement, including its exhibits and schedules. Statements contained in this prospectus,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w:t>
      </w:r>
    </w:p>
    <w:p>
      <w:pPr>
        <w:spacing w:after="0" w:line="165"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We are subject to the information and periodic reporting requirements of the Exchange Act, and we file annual, quarterly and current reports, proxy statements and other documents with the SEC. The SEC maintains a website that contains reports, proxy and information statements and other information regarding issuers, including us, that file electronically with the SEC. You may obtain documents that we file with the SEC at http://www.sec.gov.</w:t>
      </w:r>
    </w:p>
    <w:p>
      <w:pPr>
        <w:spacing w:after="0" w:line="187"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 xml:space="preserve">We also make these documents available on our website at </w:t>
      </w:r>
      <w:r>
        <w:rPr>
          <w:rFonts w:ascii="Arial" w:cs="Arial" w:eastAsia="Arial" w:hAnsi="Arial"/>
          <w:sz w:val="17"/>
          <w:szCs w:val="17"/>
          <w:i w:val="1"/>
          <w:iCs w:val="1"/>
          <w:color w:val="auto"/>
        </w:rPr>
        <w:t>www.biodesix.com</w:t>
      </w:r>
      <w:r>
        <w:rPr>
          <w:rFonts w:ascii="Arial" w:cs="Arial" w:eastAsia="Arial" w:hAnsi="Arial"/>
          <w:sz w:val="17"/>
          <w:szCs w:val="17"/>
          <w:color w:val="auto"/>
        </w:rPr>
        <w:t>. Our website and the information contained or accessible through our website is not incorporated by reference in this prospectus, and you should not consider it part of this prospectus.</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SEC rules permit us to incorporate information by reference in this prospectus. This means that we can disclose important information to you by referring you to another document filed separately with the SEC. The information incorporated by reference is considered to be part of this prospectus, except for information superseded by information contained in this prospectus itself or in any subsequently filed incorporated document. This prospectus incorporates by reference the documents set forth below that we have previously filed with the SEC (Commission File No. 001-39659), other than information in such documents that is deemed to be furnished and not filed. These documents contain important information about us and our business and financial condition.</w:t>
      </w:r>
    </w:p>
    <w:p>
      <w:pPr>
        <w:spacing w:after="0" w:line="98"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4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March 16, 2021;</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periods ended </w:t>
      </w:r>
      <w:hyperlink r:id="rId50">
        <w:r>
          <w:rPr>
            <w:rFonts w:ascii="Arial" w:cs="Arial" w:eastAsia="Arial" w:hAnsi="Arial"/>
            <w:sz w:val="18"/>
            <w:szCs w:val="18"/>
            <w:u w:val="single" w:color="auto"/>
            <w:color w:val="0000EE"/>
          </w:rPr>
          <w:t>March 31, 2021</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June 30,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September 30, 2021, filed with the SEC on May 11, 2021, August 10, 2021 and November 15, 2021, respectively;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with the SEC on </w:t>
      </w:r>
      <w:hyperlink r:id="rId52">
        <w:r>
          <w:rPr>
            <w:rFonts w:ascii="Arial" w:cs="Arial" w:eastAsia="Arial" w:hAnsi="Arial"/>
            <w:sz w:val="18"/>
            <w:szCs w:val="18"/>
            <w:u w:val="single" w:color="auto"/>
            <w:color w:val="0000EE"/>
          </w:rPr>
          <w:t>January 5,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(Item 5.02 only), </w:t>
      </w:r>
      <w:hyperlink r:id="rId53">
        <w:r>
          <w:rPr>
            <w:rFonts w:ascii="Arial" w:cs="Arial" w:eastAsia="Arial" w:hAnsi="Arial"/>
            <w:sz w:val="18"/>
            <w:szCs w:val="18"/>
            <w:u w:val="single" w:color="auto"/>
            <w:color w:val="0000EE"/>
          </w:rPr>
          <w:t>March 23,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4">
        <w:r>
          <w:rPr>
            <w:rFonts w:ascii="Arial" w:cs="Arial" w:eastAsia="Arial" w:hAnsi="Arial"/>
            <w:sz w:val="18"/>
            <w:szCs w:val="18"/>
            <w:u w:val="single" w:color="auto"/>
            <w:color w:val="0000EE"/>
          </w:rPr>
          <w:t>May 27, 2021</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6"/>
        </w:numPr>
        <w:rPr>
          <w:rFonts w:ascii="Arial" w:cs="Arial" w:eastAsia="Arial" w:hAnsi="Arial"/>
          <w:sz w:val="18"/>
          <w:szCs w:val="18"/>
          <w:color w:val="0000EE"/>
        </w:rPr>
      </w:pPr>
      <w:hyperlink r:id="rId55">
        <w:r>
          <w:rPr>
            <w:rFonts w:ascii="Arial" w:cs="Arial" w:eastAsia="Arial" w:hAnsi="Arial"/>
            <w:sz w:val="18"/>
            <w:szCs w:val="18"/>
            <w:color w:val="auto"/>
          </w:rPr>
          <w:t xml:space="preserve">the information specifically incorporated by reference into our Annual Report on Form 10-K from our </w:t>
        </w:r>
        <w:r>
          <w:rPr>
            <w:rFonts w:ascii="Arial" w:cs="Arial" w:eastAsia="Arial" w:hAnsi="Arial"/>
            <w:sz w:val="18"/>
            <w:szCs w:val="18"/>
            <w:u w:val="single" w:color="auto"/>
            <w:color w:val="0000EE"/>
          </w:rPr>
          <w:t>Definitive Proxy Statement on</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Schedule 14A</w:t>
        </w:r>
        <w:r>
          <w:rPr>
            <w:rFonts w:ascii="Arial" w:cs="Arial" w:eastAsia="Arial" w:hAnsi="Arial"/>
            <w:sz w:val="18"/>
            <w:szCs w:val="18"/>
            <w:color w:val="000000"/>
          </w:rPr>
          <w:t>, filed with the SEC on April 29, 2021; and</w:t>
        </w:r>
      </w:hyperlink>
    </w:p>
    <w:p>
      <w:pPr>
        <w:spacing w:after="0" w:line="75" w:lineRule="exact"/>
        <w:rPr>
          <w:rFonts w:ascii="Arial" w:cs="Arial" w:eastAsia="Arial" w:hAnsi="Arial"/>
          <w:sz w:val="18"/>
          <w:szCs w:val="18"/>
          <w:color w:val="0000EE"/>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6">
        <w:r>
          <w:rPr>
            <w:rFonts w:ascii="Arial" w:cs="Arial" w:eastAsia="Arial" w:hAnsi="Arial"/>
            <w:sz w:val="18"/>
            <w:szCs w:val="18"/>
            <w:u w:val="single" w:color="auto"/>
            <w:color w:val="0000EE"/>
          </w:rPr>
          <w:t>Form 8-A</w:t>
        </w:r>
      </w:hyperlink>
      <w:r>
        <w:rPr>
          <w:rFonts w:ascii="Arial" w:cs="Arial" w:eastAsia="Arial" w:hAnsi="Arial"/>
          <w:sz w:val="18"/>
          <w:szCs w:val="18"/>
          <w:color w:val="auto"/>
        </w:rPr>
        <w:t>, dated October 26, 2020.</w:t>
      </w:r>
    </w:p>
    <w:p>
      <w:pPr>
        <w:spacing w:after="0" w:line="225" w:lineRule="exact"/>
        <w:rPr>
          <w:rFonts w:ascii="Arial" w:cs="Arial" w:eastAsia="Arial" w:hAnsi="Arial"/>
          <w:sz w:val="18"/>
          <w:szCs w:val="18"/>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w:t>
      </w:r>
    </w:p>
    <w:p>
      <w:pPr>
        <w:spacing w:after="0" w:line="116"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and any previously filed documents.</w:t>
      </w:r>
    </w:p>
    <w:p>
      <w:pPr>
        <w:spacing w:after="0" w:line="17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Any statement contained herein or in a document incorporated or deemed to be incorporated by reference in this prospectus shall be deemed to be modified or superseded for purposes of this prospectus to the extent that a statement contained in this prospectus , or in any other subsequently filed document which also is or is deemed to be incorporated by reference in this prospectus, modifies or supersedes such earlier statement. Any statement so modified or superseded shall not be deemed, except as so modified or superseded, to constitute a part of this prospectus.</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can obtain any of the filings incorporated by reference into this prospectus through us or from the SEC through the SEC’s website at http://www.sec.gov. Upon request, we will provide, without charge, a copy of any or all of the reports and documents referred to above which have been incorporated by reference into this prospectus. Prospective investors may obtain documents incorporated by reference in this prospectus by requesting them in writing or by telephone from us at our executive offices at:</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Biodesix,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2970 Wilderness Place, Suite 100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Boulder, Colorado 80301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(303) 417-0500</w:t>
      </w:r>
    </w:p>
    <w:p>
      <w:pPr>
        <w:spacing w:after="0" w:line="21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reports and documents incorporated by reference herein may also be found in the “Investor Relations” section of our website at www.biodesix.com. The content of our website and any information that is linked to or accessible from our website (other than our filings with the SEC that are incorporated by reference, as set forth under “Incorporation of Certain Information by Reference”) is not incorporated by reference into this prospectus and you should not consider it a part of this prospectus.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080"/>
          </w:cols>
          <w:pgMar w:left="32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419"/>
        <w:spacing w:after="0"/>
        <w:rPr>
          <w:sz w:val="20"/>
          <w:szCs w:val="20"/>
          <w:color w:val="auto"/>
        </w:rPr>
      </w:pPr>
      <w:r>
        <w:rPr>
          <w:rFonts w:ascii="Arial" w:cs="Arial" w:eastAsia="Arial" w:hAnsi="Arial"/>
          <w:sz w:val="29"/>
          <w:szCs w:val="29"/>
          <w:b w:val="1"/>
          <w:bCs w:val="1"/>
          <w:color w:val="auto"/>
        </w:rPr>
        <w:t>Up to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340360</wp:posOffset>
            </wp:positionV>
            <wp:extent cx="1997075" cy="3600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19970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1675130</wp:posOffset>
            </wp:positionV>
            <wp:extent cx="1474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Arial" w:cs="Arial" w:eastAsia="Arial" w:hAnsi="Arial"/>
          <w:sz w:val="29"/>
          <w:szCs w:val="29"/>
          <w:b w:val="1"/>
          <w:bCs w:val="1"/>
          <w:color w:val="auto"/>
        </w:rPr>
        <w:t>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408940</wp:posOffset>
            </wp:positionV>
            <wp:extent cx="1474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Set forth below is an estimate (except in the case of the registration fee) of the amount of fees and expenses to be incurred in connection with the issuance and distribution of the offered securities, other than underwriting discounts and commissions. All amounts are estimates except the SEC registration fee and the FINRA filing fee.</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23,175</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38,000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Transfer agent and registrar fees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4"/>
        </w:trPr>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34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134"/>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260" w:type="dxa"/>
            <w:vAlign w:val="bottom"/>
          </w:tcPr>
          <w:p>
            <w:pPr>
              <w:jc w:val="right"/>
              <w:ind w:right="90"/>
              <w:spacing w:after="0"/>
              <w:rPr>
                <w:sz w:val="20"/>
                <w:szCs w:val="20"/>
                <w:color w:val="auto"/>
              </w:rPr>
            </w:pPr>
            <w:r>
              <w:rPr>
                <w:rFonts w:ascii="Arial" w:cs="Arial" w:eastAsia="Arial" w:hAnsi="Arial"/>
                <w:sz w:val="18"/>
                <w:szCs w:val="18"/>
                <w:color w:val="auto"/>
                <w:w w:val="84"/>
              </w:rPr>
              <w:t>*</w:t>
            </w:r>
          </w:p>
        </w:tc>
        <w:tc>
          <w:tcPr>
            <w:tcW w:w="8300" w:type="dxa"/>
            <w:vAlign w:val="bottom"/>
            <w:gridSpan w:val="3"/>
          </w:tcPr>
          <w:p>
            <w:pPr>
              <w:ind w:left="160"/>
              <w:spacing w:after="0"/>
              <w:rPr>
                <w:sz w:val="20"/>
                <w:szCs w:val="20"/>
                <w:color w:val="auto"/>
              </w:rPr>
            </w:pPr>
            <w:r>
              <w:rPr>
                <w:rFonts w:ascii="Arial" w:cs="Arial" w:eastAsia="Arial" w:hAnsi="Arial"/>
                <w:sz w:val="18"/>
                <w:szCs w:val="18"/>
                <w:color w:val="auto"/>
              </w:rPr>
              <w:t>Estimated expenses not presently known.</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46"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No director of the Company shall be personally liable to the Company or its stockholders for monetary damages for breach of fiduciary duty as a director,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5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Company shall indemnify its directors and officers to the fullest extent authorized or permitted by the DGCL, as now or hereafter in effect, and such right to indemnification shall continue as to a person who has ceased to be a director or officer of the Company and shall inure to the benefit of such person’s heirs, executors and personal and legal representatives. A director’s or officer’s right to indemnification shall include the right to be paid by the Company the expenses incurred in defending or otherwise participating in any proceeding in advance of its final disposition, provided that such director or officer presents to the Company a written undertaking to repay such amount if it shall ultimately be determined that such director or officer is not entitled to be indemnified by the Company. Notwithstanding the foregoing, except for proceedings to enforce any director’s or officer’s rights to indemnification or rights to advancement of expenses, the Company shall not be obligated to indemnify any director or officer, or advance expenses of any director or officer, (or such director’s or officer’s heirs, executors or personal or legal representatives) in connection with any proceeding (or part thereof) initiated by such person unless such proceeding (or part thereof) was authorized by the Board.</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rights to indemnification and advancement of expenses shall neither be exclusive of, nor be deemed in limitation of, any rights to which any person may otherwise be or become entitled or permitted under the Certificate of Incorporation, the Bylaws, any statute, agreement, vote of stockholders or disinterested directors or otherwise.</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To the fullest extent authorized or permitted by the DGCL, the Company may purchase and maintain insurance on behalf of any current or former director or officer of the Company against any liability asserted against such person, whether or not the Company would have the power to indemnify such person against such liability.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sales agreement filed as Exhibit 1.2 to this registration statement provides for indemnification of us and our directors and officers by Cowen against certain liabilities under the Securities Act and the Exchange Act.</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underwriting agreement, to be filed by an amendment to this registration statement, will provide for indemnification of us and our directors and officers by the underwriters against certain liabilities under the Securities Act and the Exchange Act.</w:t>
      </w: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10160" w:type="dxa"/>
            <w:vAlign w:val="bottom"/>
            <w:gridSpan w:val="17"/>
          </w:tcPr>
          <w:p>
            <w:pPr>
              <w:ind w:left="22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369"/>
        </w:trPr>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Number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6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ind w:left="8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Arial" w:cs="Arial" w:eastAsia="Arial" w:hAnsi="Arial"/>
                <w:sz w:val="18"/>
                <w:szCs w:val="18"/>
                <w:color w:val="auto"/>
              </w:rPr>
              <w:t>Form(s) of underwriting agreement(s).</w:t>
            </w:r>
          </w:p>
        </w:tc>
        <w:tc>
          <w:tcPr>
            <w:tcW w:w="0" w:type="dxa"/>
            <w:vAlign w:val="bottom"/>
          </w:tcPr>
          <w:p>
            <w:pPr>
              <w:spacing w:after="0"/>
              <w:rPr>
                <w:sz w:val="1"/>
                <w:szCs w:val="1"/>
                <w:color w:val="auto"/>
              </w:rPr>
            </w:pPr>
          </w:p>
        </w:tc>
      </w:tr>
      <w:tr>
        <w:trPr>
          <w:trHeight w:val="283"/>
        </w:trPr>
        <w:tc>
          <w:tcPr>
            <w:tcW w:w="560" w:type="dxa"/>
            <w:vAlign w:val="bottom"/>
          </w:tcPr>
          <w:p>
            <w:pPr>
              <w:ind w:left="8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Sales Agreement, dated as of November 15, 2021, between the Registrant and Cowen and Company, LLC.</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60" w:type="dxa"/>
            <w:vAlign w:val="bottom"/>
            <w:tcBorders>
              <w:bottom w:val="single" w:sz="8" w:color="0000EE"/>
            </w:tcBorders>
            <w:gridSpan w:val="14"/>
          </w:tcPr>
          <w:p>
            <w:pPr>
              <w:spacing w:after="0"/>
              <w:rPr>
                <w:rFonts w:ascii="Arial" w:cs="Arial" w:eastAsia="Arial" w:hAnsi="Arial"/>
                <w:sz w:val="18"/>
                <w:szCs w:val="18"/>
                <w:color w:val="0000EE"/>
                <w:w w:val="92"/>
              </w:rPr>
            </w:pPr>
            <w:hyperlink r:id="rId107">
              <w:r>
                <w:rPr>
                  <w:rFonts w:ascii="Arial" w:cs="Arial" w:eastAsia="Arial" w:hAnsi="Arial"/>
                  <w:sz w:val="18"/>
                  <w:szCs w:val="18"/>
                  <w:color w:val="0000EE"/>
                  <w:w w:val="92"/>
                </w:rPr>
                <w:t>Amended and Restated Certificate of Incorporation of the Registrant (previously filed with the Company’s Annual Report on Form 10-K</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07">
              <w:r>
                <w:rPr>
                  <w:rFonts w:ascii="Arial" w:cs="Arial" w:eastAsia="Arial" w:hAnsi="Arial"/>
                  <w:sz w:val="18"/>
                  <w:szCs w:val="18"/>
                  <w:color w:val="0000EE"/>
                  <w:w w:val="88"/>
                </w:rPr>
                <w:t>dated December 31, 2020).</w:t>
              </w:r>
            </w:hyperlink>
          </w:p>
        </w:tc>
        <w:tc>
          <w:tcPr>
            <w:tcW w:w="79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Amended and Restated Bylaws of the Registrant (previously filed with the Company’s Annual Report on Form 10-K dated December 31,</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08">
              <w:r>
                <w:rPr>
                  <w:rFonts w:ascii="Arial" w:cs="Arial" w:eastAsia="Arial" w:hAnsi="Arial"/>
                  <w:sz w:val="18"/>
                  <w:szCs w:val="18"/>
                  <w:color w:val="0000EE"/>
                  <w:w w:val="86"/>
                </w:rPr>
                <w:t>2020).</w:t>
              </w:r>
            </w:hyperlink>
          </w:p>
        </w:tc>
        <w:tc>
          <w:tcPr>
            <w:tcW w:w="1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2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6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Arial" w:cs="Arial" w:eastAsia="Arial" w:hAnsi="Arial"/>
                <w:sz w:val="18"/>
                <w:szCs w:val="18"/>
                <w:color w:val="auto"/>
              </w:rPr>
              <w:t>Form(s) of Rights Agreement(s) (including form(s) of Rights).</w:t>
            </w:r>
          </w:p>
        </w:tc>
        <w:tc>
          <w:tcPr>
            <w:tcW w:w="0" w:type="dxa"/>
            <w:vAlign w:val="bottom"/>
          </w:tcPr>
          <w:p>
            <w:pPr>
              <w:spacing w:after="0"/>
              <w:rPr>
                <w:sz w:val="1"/>
                <w:szCs w:val="1"/>
                <w:color w:val="auto"/>
              </w:rPr>
            </w:pPr>
          </w:p>
        </w:tc>
      </w:tr>
      <w:tr>
        <w:trPr>
          <w:trHeight w:val="324"/>
        </w:trPr>
        <w:tc>
          <w:tcPr>
            <w:tcW w:w="860" w:type="dxa"/>
            <w:vAlign w:val="bottom"/>
            <w:gridSpan w:val="2"/>
          </w:tcPr>
          <w:p>
            <w:pPr>
              <w:ind w:left="8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Arial" w:cs="Arial" w:eastAsia="Arial" w:hAnsi="Arial"/>
                <w:sz w:val="18"/>
                <w:szCs w:val="18"/>
                <w:color w:val="auto"/>
              </w:rPr>
              <w:t>Form of Certificate of Designation of Preferred Stock.</w:t>
            </w:r>
          </w:p>
        </w:tc>
        <w:tc>
          <w:tcPr>
            <w:tcW w:w="0" w:type="dxa"/>
            <w:vAlign w:val="bottom"/>
          </w:tcPr>
          <w:p>
            <w:pPr>
              <w:spacing w:after="0"/>
              <w:rPr>
                <w:sz w:val="1"/>
                <w:szCs w:val="1"/>
                <w:color w:val="auto"/>
              </w:rPr>
            </w:pPr>
          </w:p>
        </w:tc>
      </w:tr>
      <w:tr>
        <w:trPr>
          <w:trHeight w:val="283"/>
        </w:trPr>
        <w:tc>
          <w:tcPr>
            <w:tcW w:w="560" w:type="dxa"/>
            <w:vAlign w:val="bottom"/>
          </w:tcPr>
          <w:p>
            <w:pPr>
              <w:ind w:left="8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80" w:type="dxa"/>
            <w:vAlign w:val="bottom"/>
            <w:tcBorders>
              <w:bottom w:val="single" w:sz="8" w:color="0000EE"/>
            </w:tcBorders>
            <w:gridSpan w:val="13"/>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Specimen stock certificate evidencing shares of Common Stock (previously filed with the Company’s Registration Statement on Form</w:t>
              </w:r>
            </w:hyperlink>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S-1/A, with the SEC on October 21, 2020).</w:t>
              </w:r>
            </w:hyperlink>
          </w:p>
        </w:tc>
        <w:tc>
          <w:tcPr>
            <w:tcW w:w="68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60" w:type="dxa"/>
            <w:vAlign w:val="bottom"/>
            <w:gridSpan w:val="2"/>
          </w:tcPr>
          <w:p>
            <w:pPr>
              <w:ind w:left="8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Arial" w:cs="Arial" w:eastAsia="Arial" w:hAnsi="Arial"/>
                <w:sz w:val="18"/>
                <w:szCs w:val="18"/>
                <w:color w:val="auto"/>
              </w:rPr>
              <w:t>Form of Warrant Agreement and Warrant Certificate.</w:t>
            </w:r>
          </w:p>
        </w:tc>
        <w:tc>
          <w:tcPr>
            <w:tcW w:w="0" w:type="dxa"/>
            <w:vAlign w:val="bottom"/>
          </w:tcPr>
          <w:p>
            <w:pPr>
              <w:spacing w:after="0"/>
              <w:rPr>
                <w:sz w:val="1"/>
                <w:szCs w:val="1"/>
                <w:color w:val="auto"/>
              </w:rPr>
            </w:pPr>
          </w:p>
        </w:tc>
      </w:tr>
      <w:tr>
        <w:trPr>
          <w:trHeight w:val="324"/>
        </w:trPr>
        <w:tc>
          <w:tcPr>
            <w:tcW w:w="860" w:type="dxa"/>
            <w:vAlign w:val="bottom"/>
            <w:gridSpan w:val="2"/>
          </w:tcPr>
          <w:p>
            <w:pPr>
              <w:ind w:left="8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Arial" w:cs="Arial" w:eastAsia="Arial" w:hAnsi="Arial"/>
                <w:sz w:val="18"/>
                <w:szCs w:val="18"/>
                <w:color w:val="auto"/>
              </w:rPr>
              <w:t>Form of Certificate for Preferred Stock.</w:t>
            </w:r>
          </w:p>
        </w:tc>
        <w:tc>
          <w:tcPr>
            <w:tcW w:w="0" w:type="dxa"/>
            <w:vAlign w:val="bottom"/>
          </w:tcPr>
          <w:p>
            <w:pPr>
              <w:spacing w:after="0"/>
              <w:rPr>
                <w:sz w:val="1"/>
                <w:szCs w:val="1"/>
                <w:color w:val="auto"/>
              </w:rPr>
            </w:pPr>
          </w:p>
        </w:tc>
      </w:tr>
      <w:tr>
        <w:trPr>
          <w:trHeight w:val="283"/>
        </w:trPr>
        <w:tc>
          <w:tcPr>
            <w:tcW w:w="560" w:type="dxa"/>
            <w:vAlign w:val="bottom"/>
          </w:tcPr>
          <w:p>
            <w:pPr>
              <w:ind w:left="8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40" w:type="dxa"/>
            <w:vAlign w:val="bottom"/>
            <w:tcBorders>
              <w:bottom w:val="single" w:sz="8" w:color="0000EE"/>
            </w:tcBorders>
            <w:gridSpan w:val="12"/>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Eleventh Amended and Restated Investor Rights Agreement, (previously filed in the Company’s Registration Statement on Form S-1,</w:t>
              </w:r>
            </w:hyperlink>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with the SEC on October 2, 2020).</w:t>
              </w:r>
            </w:hyperlink>
          </w:p>
        </w:tc>
        <w:tc>
          <w:tcPr>
            <w:tcW w:w="0" w:type="dxa"/>
            <w:vAlign w:val="bottom"/>
          </w:tcPr>
          <w:p>
            <w:pPr>
              <w:spacing w:after="0"/>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4"/>
              </w:rPr>
            </w:pPr>
            <w:hyperlink w:anchor="page102">
              <w:r>
                <w:rPr>
                  <w:rFonts w:ascii="Arial" w:cs="Arial" w:eastAsia="Arial" w:hAnsi="Arial"/>
                  <w:sz w:val="18"/>
                  <w:szCs w:val="18"/>
                  <w:color w:val="0000EE"/>
                  <w:w w:val="94"/>
                </w:rPr>
                <w:t>Opinion of Sidley Austin LLP.</w:t>
              </w:r>
            </w:hyperlink>
          </w:p>
        </w:tc>
        <w:tc>
          <w:tcPr>
            <w:tcW w:w="280" w:type="dxa"/>
            <w:vAlign w:val="bottom"/>
            <w:tcBorders>
              <w:top w:val="single" w:sz="8" w:color="0000EE"/>
            </w:tcBorders>
          </w:tcPr>
          <w:p>
            <w:pPr>
              <w:spacing w:after="0"/>
              <w:rPr>
                <w:sz w:val="24"/>
                <w:szCs w:val="24"/>
                <w:color w:val="auto"/>
              </w:rPr>
            </w:pPr>
          </w:p>
        </w:tc>
        <w:tc>
          <w:tcPr>
            <w:tcW w:w="7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Opinion of Sidley Austin LLP.</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102">
              <w:r>
                <w:rPr>
                  <w:rFonts w:ascii="Arial" w:cs="Arial" w:eastAsia="Arial" w:hAnsi="Arial"/>
                  <w:sz w:val="18"/>
                  <w:szCs w:val="18"/>
                  <w:color w:val="0000EE"/>
                  <w:w w:val="93"/>
                </w:rPr>
                <w:t>Consent of Sidley Austin LLP (included in Exhibit 5.1).</w:t>
              </w:r>
            </w:hyperlink>
          </w:p>
        </w:tc>
        <w:tc>
          <w:tcPr>
            <w:tcW w:w="58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Consent of Sidley Austin LLP (included in Exhibit 5.2).</w:t>
              </w:r>
            </w:hyperlink>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Consent of KPMG LLP</w:t>
              </w:r>
            </w:hyperlink>
          </w:p>
        </w:tc>
        <w:tc>
          <w:tcPr>
            <w:tcW w:w="2320" w:type="dxa"/>
            <w:vAlign w:val="bottom"/>
            <w:tcBorders>
              <w:top w:val="single" w:sz="8" w:color="0000EE"/>
            </w:tcBorders>
            <w:gridSpan w:val="7"/>
          </w:tcPr>
          <w:p>
            <w:pPr>
              <w:spacing w:after="0"/>
              <w:rPr>
                <w:sz w:val="24"/>
                <w:szCs w:val="24"/>
                <w:color w:val="auto"/>
              </w:rPr>
            </w:pPr>
          </w:p>
        </w:tc>
        <w:tc>
          <w:tcPr>
            <w:tcW w:w="58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Power of Attorney (included in Signature Page).</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be filed by amendment or as exhibit(s) to a Current Report of the Registrant on Form 8-K and incorporated herein by reference, as applicable.</w:t>
      </w:r>
    </w:p>
    <w:p>
      <w:pPr>
        <w:spacing w:after="0" w:line="37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35"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 w:hanging="439"/>
        <w:spacing w:after="0" w:line="272" w:lineRule="auto"/>
        <w:tabs>
          <w:tab w:leader="none" w:pos="1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2" w:lineRule="exact"/>
        <w:rPr>
          <w:rFonts w:ascii="Arial" w:cs="Arial" w:eastAsia="Arial" w:hAnsi="Arial"/>
          <w:sz w:val="17"/>
          <w:szCs w:val="17"/>
          <w:color w:val="auto"/>
        </w:rPr>
      </w:pPr>
    </w:p>
    <w:p>
      <w:pPr>
        <w:ind w:left="1540" w:right="120" w:hanging="439"/>
        <w:spacing w:after="0" w:line="277" w:lineRule="auto"/>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provided, however, that subparagraphs (i),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92" w:lineRule="exact"/>
        <w:rPr>
          <w:sz w:val="20"/>
          <w:szCs w:val="20"/>
          <w:color w:val="auto"/>
        </w:rPr>
      </w:pPr>
    </w:p>
    <w:p>
      <w:pPr>
        <w:ind w:left="1080" w:hanging="532"/>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540" w:right="220" w:hanging="439"/>
        <w:spacing w:after="0" w:line="277" w:lineRule="auto"/>
        <w:tabs>
          <w:tab w:leader="none" w:pos="1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540" w:hanging="439"/>
        <w:spacing w:after="0" w:line="269" w:lineRule="auto"/>
        <w:tabs>
          <w:tab w:leader="none" w:pos="15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2" w:lineRule="exact"/>
        <w:rPr>
          <w:sz w:val="20"/>
          <w:szCs w:val="20"/>
          <w:color w:val="auto"/>
        </w:rPr>
      </w:pPr>
    </w:p>
    <w:p>
      <w:pPr>
        <w:ind w:left="1540" w:right="100" w:hanging="439"/>
        <w:spacing w:after="0" w:line="277" w:lineRule="auto"/>
        <w:tabs>
          <w:tab w:leader="none" w:pos="15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40" w:right="160" w:hanging="439"/>
        <w:spacing w:after="0" w:line="277" w:lineRule="auto"/>
        <w:tabs>
          <w:tab w:leader="none" w:pos="15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540" w:right="460" w:hanging="439"/>
        <w:spacing w:after="0" w:line="277" w:lineRule="auto"/>
        <w:tabs>
          <w:tab w:leader="none" w:pos="15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their securities provided by or on behalf of the undersigned registrant;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540" w:right="40" w:hanging="424"/>
        <w:spacing w:after="0" w:line="25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 for the purposes of determining any liability under the Securities Act, each filing of the annual reports of the registrant pursuant to Section 13(a) or Section 15(d) of the Exchange Act that are incorporated by reference in this registration statement, if any, shall be deemed to be a new registration statement relating to the securities offered herein, and the offering of such securities at that time shall be deemed to be the initial bona fide offering thereof.</w:t>
      </w:r>
    </w:p>
    <w:p>
      <w:pPr>
        <w:spacing w:after="0" w:line="92" w:lineRule="exact"/>
        <w:rPr>
          <w:rFonts w:ascii="Arial" w:cs="Arial" w:eastAsia="Arial" w:hAnsi="Arial"/>
          <w:sz w:val="18"/>
          <w:szCs w:val="18"/>
          <w:color w:val="auto"/>
        </w:rPr>
      </w:pPr>
    </w:p>
    <w:p>
      <w:pPr>
        <w:ind w:left="540" w:hanging="424"/>
        <w:spacing w:after="0" w:line="290"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under Item 15 of this registration statement,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the Securities Act and will be governed by the final adjudication of such issue.</w:t>
      </w:r>
    </w:p>
    <w:p>
      <w:pPr>
        <w:spacing w:after="0" w:line="70" w:lineRule="exact"/>
        <w:rPr>
          <w:rFonts w:ascii="Arial" w:cs="Arial" w:eastAsia="Arial" w:hAnsi="Arial"/>
          <w:sz w:val="16"/>
          <w:szCs w:val="16"/>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30" w:lineRule="exact"/>
        <w:rPr>
          <w:rFonts w:ascii="Arial" w:cs="Arial" w:eastAsia="Arial" w:hAnsi="Arial"/>
          <w:sz w:val="18"/>
          <w:szCs w:val="18"/>
          <w:color w:val="auto"/>
        </w:rPr>
      </w:pPr>
    </w:p>
    <w:p>
      <w:pPr>
        <w:ind w:left="1080" w:hanging="532"/>
        <w:spacing w:after="0" w:line="259" w:lineRule="auto"/>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92" w:lineRule="exact"/>
        <w:rPr>
          <w:rFonts w:ascii="Arial" w:cs="Arial" w:eastAsia="Arial" w:hAnsi="Arial"/>
          <w:sz w:val="18"/>
          <w:szCs w:val="18"/>
          <w:color w:val="auto"/>
        </w:rPr>
      </w:pPr>
    </w:p>
    <w:p>
      <w:pPr>
        <w:jc w:val="both"/>
        <w:ind w:left="1080" w:right="60" w:hanging="532"/>
        <w:spacing w:after="0" w:line="263" w:lineRule="auto"/>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Boulder, State of Colorado on this 15th day of November, 2021.</w:t>
      </w:r>
    </w:p>
    <w:p>
      <w:pPr>
        <w:spacing w:after="0" w:line="18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Scott Hutton</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President, Chief Executive Officer and Director</w:t>
      </w:r>
    </w:p>
    <w:p>
      <w:pPr>
        <w:spacing w:after="0" w:line="2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Robin Harper Cowie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Chief Financial Officer, Secretary and Treasurer</w:t>
      </w:r>
    </w:p>
    <w:p>
      <w:pPr>
        <w:spacing w:after="0" w:line="2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Financial Officer)</w:t>
      </w:r>
    </w:p>
    <w:p>
      <w:pPr>
        <w:spacing w:after="0" w:line="15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720"/>
          </w:cols>
          <w:pgMar w:left="320" w:top="459" w:right="8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the undersigned directors and officers of Biodesix, Inc. (the Company), hereby severally constitute and appoint Scott Hutton and Robin Harper Cowie, and each of them singly, our true and lawful attorneys, with full power to them, and to each of them singly, to sign for us and in our names in the capacities indicated below, the registration statement on Form S-3 filed herewith, and any and all pre-effective and post-effective amendments to said registration statement, and any registration statement filed pursuant to Rule 462(b) under the Securities Act of 1933, as amended, in connection with the registration under the Securities Act of 1933, as amended, of equity securities of the Company,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 This Power of Attorney does not revoke any power of attorney previously granted by the undersigned, or any of them.</w:t>
      </w:r>
    </w:p>
    <w:p>
      <w:pPr>
        <w:spacing w:after="0" w:line="18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the date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3060" w:type="dxa"/>
            <w:vAlign w:val="bottom"/>
          </w:tcPr>
          <w:p>
            <w:pPr>
              <w:spacing w:after="0"/>
              <w:rPr>
                <w:sz w:val="14"/>
                <w:szCs w:val="14"/>
                <w:color w:val="auto"/>
              </w:rPr>
            </w:pPr>
          </w:p>
        </w:tc>
        <w:tc>
          <w:tcPr>
            <w:tcW w:w="4600" w:type="dxa"/>
            <w:vAlign w:val="bottom"/>
            <w:gridSpan w:val="3"/>
          </w:tcPr>
          <w:p>
            <w:pPr>
              <w:ind w:left="2480"/>
              <w:spacing w:after="0"/>
              <w:rPr>
                <w:sz w:val="20"/>
                <w:szCs w:val="20"/>
                <w:color w:val="auto"/>
              </w:rPr>
            </w:pPr>
            <w:r>
              <w:rPr>
                <w:rFonts w:ascii="Arial" w:cs="Arial" w:eastAsia="Arial" w:hAnsi="Arial"/>
                <w:sz w:val="14"/>
                <w:szCs w:val="14"/>
                <w:b w:val="1"/>
                <w:bCs w:val="1"/>
                <w:color w:val="auto"/>
              </w:rPr>
              <w:t>Title</w:t>
            </w:r>
          </w:p>
        </w:tc>
        <w:tc>
          <w:tcPr>
            <w:tcW w:w="2460" w:type="dxa"/>
            <w:vAlign w:val="bottom"/>
            <w:gridSpan w:val="3"/>
          </w:tcPr>
          <w:p>
            <w:pPr>
              <w:jc w:val="center"/>
              <w:ind w:left="95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5"/>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Hutton</w:t>
            </w:r>
          </w:p>
        </w:tc>
        <w:tc>
          <w:tcPr>
            <w:tcW w:w="460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246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November 15, 2021</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Scott Hutton</w:t>
            </w:r>
          </w:p>
        </w:tc>
        <w:tc>
          <w:tcPr>
            <w:tcW w:w="460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Robin Harper Cowie</w:t>
            </w:r>
          </w:p>
        </w:tc>
        <w:tc>
          <w:tcPr>
            <w:tcW w:w="460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Secretary and Treasurer</w:t>
            </w:r>
          </w:p>
        </w:tc>
        <w:tc>
          <w:tcPr>
            <w:tcW w:w="246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November 15, 2021</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Robin Harper Cowie</w:t>
            </w:r>
          </w:p>
        </w:tc>
        <w:tc>
          <w:tcPr>
            <w:tcW w:w="460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Patience</w:t>
            </w:r>
          </w:p>
        </w:tc>
        <w:tc>
          <w:tcPr>
            <w:tcW w:w="4600" w:type="dxa"/>
            <w:vAlign w:val="bottom"/>
            <w:gridSpan w:val="3"/>
          </w:tcPr>
          <w:p>
            <w:pPr>
              <w:ind w:left="120"/>
              <w:spacing w:after="0"/>
              <w:rPr>
                <w:sz w:val="20"/>
                <w:szCs w:val="20"/>
                <w:color w:val="auto"/>
              </w:rPr>
            </w:pPr>
            <w:r>
              <w:rPr>
                <w:rFonts w:ascii="Arial" w:cs="Arial" w:eastAsia="Arial" w:hAnsi="Arial"/>
                <w:sz w:val="18"/>
                <w:szCs w:val="18"/>
                <w:color w:val="auto"/>
              </w:rPr>
              <w:t>Chairman and Director</w:t>
            </w:r>
          </w:p>
        </w:tc>
        <w:tc>
          <w:tcPr>
            <w:tcW w:w="246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November 15, 2021</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John Patience</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Jack Schuler</w:t>
            </w:r>
          </w:p>
        </w:tc>
        <w:tc>
          <w:tcPr>
            <w:tcW w:w="46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November 15, 2021</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Jack Schuler</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Matthew Strobeck</w:t>
            </w:r>
          </w:p>
        </w:tc>
        <w:tc>
          <w:tcPr>
            <w:tcW w:w="46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November 15, 2021</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Matthew Strobeck, Ph.D.</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Watts</w:t>
            </w:r>
          </w:p>
        </w:tc>
        <w:tc>
          <w:tcPr>
            <w:tcW w:w="46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November 15, 2021</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Charles Watts, M.D.</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Jean Franchi</w:t>
            </w:r>
          </w:p>
        </w:tc>
        <w:tc>
          <w:tcPr>
            <w:tcW w:w="46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November 15, 2021</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Jean Franchi</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Hany Massarany</w:t>
            </w:r>
          </w:p>
        </w:tc>
        <w:tc>
          <w:tcPr>
            <w:tcW w:w="46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November 15, 2021</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Hany Massarany</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64"/>
        </w:trPr>
        <w:tc>
          <w:tcPr>
            <w:tcW w:w="6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600" w:type="dxa"/>
            <w:vAlign w:val="bottom"/>
            <w:gridSpan w:val="3"/>
          </w:tcPr>
          <w:p>
            <w:pPr>
              <w:ind w:left="1700"/>
              <w:spacing w:after="0"/>
              <w:rPr>
                <w:sz w:val="20"/>
                <w:szCs w:val="20"/>
                <w:color w:val="auto"/>
              </w:rPr>
            </w:pPr>
            <w:r>
              <w:rPr>
                <w:rFonts w:ascii="Arial" w:cs="Arial" w:eastAsia="Arial" w:hAnsi="Arial"/>
                <w:sz w:val="18"/>
                <w:szCs w:val="18"/>
                <w:color w:val="auto"/>
              </w:rPr>
              <w:t>II-6</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SALES AGREEMENT</w:t>
      </w:r>
    </w:p>
    <w:p>
      <w:pPr>
        <w:spacing w:after="0" w:line="229" w:lineRule="exact"/>
        <w:rPr>
          <w:sz w:val="20"/>
          <w:szCs w:val="20"/>
          <w:color w:val="auto"/>
        </w:rPr>
      </w:pPr>
    </w:p>
    <w:p>
      <w:pPr>
        <w:ind w:left="9580"/>
        <w:spacing w:after="0"/>
        <w:rPr>
          <w:sz w:val="20"/>
          <w:szCs w:val="20"/>
          <w:color w:val="auto"/>
        </w:rPr>
      </w:pPr>
      <w:r>
        <w:rPr>
          <w:rFonts w:ascii="Arial" w:cs="Arial" w:eastAsia="Arial" w:hAnsi="Arial"/>
          <w:sz w:val="16"/>
          <w:szCs w:val="16"/>
          <w:color w:val="auto"/>
        </w:rPr>
        <w:t>November 15,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Biodesix, Inc.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with Cowen and Company, LLC (“</w:t>
      </w:r>
      <w:r>
        <w:rPr>
          <w:rFonts w:ascii="Arial" w:cs="Arial" w:eastAsia="Arial" w:hAnsi="Arial"/>
          <w:sz w:val="18"/>
          <w:szCs w:val="18"/>
          <w:b w:val="1"/>
          <w:bCs w:val="1"/>
          <w:u w:val="single" w:color="auto"/>
          <w:color w:val="auto"/>
        </w:rPr>
        <w:t>Cowen</w:t>
      </w:r>
      <w:r>
        <w:rPr>
          <w:rFonts w:ascii="Arial" w:cs="Arial" w:eastAsia="Arial" w:hAnsi="Arial"/>
          <w:sz w:val="18"/>
          <w:szCs w:val="18"/>
          <w:color w:val="auto"/>
        </w:rPr>
        <w:t>”), as follows:</w:t>
      </w:r>
    </w:p>
    <w:p>
      <w:pPr>
        <w:spacing w:after="0" w:line="121" w:lineRule="exact"/>
        <w:rPr>
          <w:sz w:val="20"/>
          <w:szCs w:val="20"/>
          <w:color w:val="auto"/>
        </w:rPr>
      </w:pPr>
    </w:p>
    <w:p>
      <w:pPr>
        <w:ind w:right="40" w:firstLine="436"/>
        <w:spacing w:after="0" w:line="270"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Issuance and Sale of Shares</w:t>
      </w:r>
      <w:r>
        <w:rPr>
          <w:rFonts w:ascii="Arial" w:cs="Arial" w:eastAsia="Arial" w:hAnsi="Arial"/>
          <w:sz w:val="17"/>
          <w:szCs w:val="17"/>
          <w:color w:val="auto"/>
        </w:rPr>
        <w:t>. The Company agrees that, from time to time during the term of this Agreement, on the terms and subject to the conditions set forth herein, it may issue and sell through Cowen, acting as agent and/or principal, shares (the “</w:t>
      </w:r>
      <w:r>
        <w:rPr>
          <w:rFonts w:ascii="Arial" w:cs="Arial" w:eastAsia="Arial" w:hAnsi="Arial"/>
          <w:sz w:val="17"/>
          <w:szCs w:val="17"/>
          <w:b w:val="1"/>
          <w:bCs w:val="1"/>
          <w:u w:val="single" w:color="auto"/>
          <w:color w:val="auto"/>
        </w:rPr>
        <w:t>Placement Shares</w:t>
      </w:r>
      <w:r>
        <w:rPr>
          <w:rFonts w:ascii="Arial" w:cs="Arial" w:eastAsia="Arial" w:hAnsi="Arial"/>
          <w:sz w:val="17"/>
          <w:szCs w:val="17"/>
          <w:color w:val="auto"/>
        </w:rPr>
        <w:t>”) of the Company’s common stock, par value $0.001 per share (the “</w:t>
      </w:r>
      <w:r>
        <w:rPr>
          <w:rFonts w:ascii="Arial" w:cs="Arial" w:eastAsia="Arial" w:hAnsi="Arial"/>
          <w:sz w:val="17"/>
          <w:szCs w:val="17"/>
          <w:b w:val="1"/>
          <w:bCs w:val="1"/>
          <w:u w:val="single" w:color="auto"/>
          <w:color w:val="auto"/>
        </w:rPr>
        <w:t>Common Stock</w:t>
      </w:r>
      <w:r>
        <w:rPr>
          <w:rFonts w:ascii="Arial" w:cs="Arial" w:eastAsia="Arial" w:hAnsi="Arial"/>
          <w:sz w:val="17"/>
          <w:szCs w:val="17"/>
          <w:color w:val="auto"/>
        </w:rPr>
        <w:t xml:space="preserve">”), having an aggregate offering price of up to $50,000,000. Notwithstanding anything to the contrary contained herein, the parties hereto agree that compliance with the limitation set forth in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on the number of shares of Common Stock issued and sold under this Agreement shall be the sole responsibility of the Company, and Cowen shall have no obligation in connection with such compliance. The issuance and sale of Common Stock through Cowen will be effected pursuant to the Registration Statement (as defined below) filed by the Company and after such Registration Statement has been declared effective by the Securities and Exchange Commission (the “</w:t>
      </w:r>
      <w:r>
        <w:rPr>
          <w:rFonts w:ascii="Arial" w:cs="Arial" w:eastAsia="Arial" w:hAnsi="Arial"/>
          <w:sz w:val="17"/>
          <w:szCs w:val="17"/>
          <w:b w:val="1"/>
          <w:bCs w:val="1"/>
          <w:u w:val="single" w:color="auto"/>
          <w:color w:val="auto"/>
        </w:rPr>
        <w:t>Commission</w:t>
      </w:r>
      <w:r>
        <w:rPr>
          <w:rFonts w:ascii="Arial" w:cs="Arial" w:eastAsia="Arial" w:hAnsi="Arial"/>
          <w:sz w:val="17"/>
          <w:szCs w:val="17"/>
          <w:color w:val="auto"/>
        </w:rPr>
        <w:t>”), although nothing in this Agreement shall be construed as requiring the Company to use the Registration Statement (as defined below) to issue the Common Stock.</w:t>
      </w:r>
    </w:p>
    <w:p>
      <w:pPr>
        <w:spacing w:after="0" w:line="181"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The Company shall file, in accordance with the provisions of the Securities Act of 1933, as amended, and the rules and regulations thereunder (collectively, the “</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with the Commission a registration statement on Form S-3,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The Company has prepared a prospectus specifically relating to the Placement Shares (the “</w:t>
      </w:r>
      <w:r>
        <w:rPr>
          <w:rFonts w:ascii="Arial" w:cs="Arial" w:eastAsia="Arial" w:hAnsi="Arial"/>
          <w:sz w:val="17"/>
          <w:szCs w:val="17"/>
          <w:b w:val="1"/>
          <w:bCs w:val="1"/>
          <w:u w:val="single" w:color="auto"/>
          <w:color w:val="auto"/>
        </w:rPr>
        <w:t>ATM</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Prospectus</w:t>
      </w:r>
      <w:r>
        <w:rPr>
          <w:rFonts w:ascii="Arial" w:cs="Arial" w:eastAsia="Arial" w:hAnsi="Arial"/>
          <w:sz w:val="17"/>
          <w:szCs w:val="17"/>
          <w:color w:val="auto"/>
        </w:rPr>
        <w:t>”) to the base prospectus included as part of such registration statement, and shall, if necessary, prepare a prospectus supplement specifically</w:t>
      </w:r>
      <w:r>
        <w:rPr>
          <w:rFonts w:ascii="Arial" w:cs="Arial" w:eastAsia="Arial" w:hAnsi="Arial"/>
          <w:sz w:val="17"/>
          <w:szCs w:val="17"/>
          <w:b w:val="1"/>
          <w:bCs w:val="1"/>
          <w:color w:val="auto"/>
        </w:rPr>
        <w:t xml:space="preserve"> </w:t>
      </w:r>
      <w:r>
        <w:rPr>
          <w:rFonts w:ascii="Arial" w:cs="Arial" w:eastAsia="Arial" w:hAnsi="Arial"/>
          <w:sz w:val="17"/>
          <w:szCs w:val="17"/>
          <w:color w:val="auto"/>
        </w:rPr>
        <w:t>relating to the Placement Shares (the “</w:t>
      </w:r>
      <w:r>
        <w:rPr>
          <w:rFonts w:ascii="Arial" w:cs="Arial" w:eastAsia="Arial" w:hAnsi="Arial"/>
          <w:sz w:val="17"/>
          <w:szCs w:val="17"/>
          <w:b w:val="1"/>
          <w:bCs w:val="1"/>
          <w:u w:val="single" w:color="auto"/>
          <w:color w:val="auto"/>
        </w:rPr>
        <w:t>Prospectus Supplement</w:t>
      </w:r>
      <w:r>
        <w:rPr>
          <w:rFonts w:ascii="Arial" w:cs="Arial" w:eastAsia="Arial" w:hAnsi="Arial"/>
          <w:sz w:val="17"/>
          <w:szCs w:val="17"/>
          <w:color w:val="auto"/>
        </w:rPr>
        <w:t>”) to the base prospectus included as part of such registration statement. The Company shall furnish to Cowen, for use by Cowen, copies of the prospectus included as part of such registration statement, as supplemented by the Prospectus Supplement, if any, relating to the</w:t>
      </w:r>
    </w:p>
    <w:p>
      <w:pPr>
        <w:sectPr>
          <w:pgSz w:w="11900" w:h="16838" w:orient="portrait"/>
          <w:cols w:equalWidth="0" w:num="1">
            <w:col w:w="11020"/>
          </w:cols>
          <w:pgMar w:left="440" w:top="121" w:right="439" w:bottom="1440" w:gutter="0" w:footer="0" w:header="0"/>
        </w:sectPr>
      </w:pPr>
    </w:p>
    <w:bookmarkStart w:id="64" w:name="page65"/>
    <w:bookmarkEnd w:id="64"/>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Except where the context otherwise requires, such registration statement, and any post-effective amendment thereto,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to cover any Shares, is herein called the “</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ATM Prospectus and the Prospectus Supplement, if any, in the form in which such prospectus, ATM Prospectus and/or Prospectus Supplement have most recently been filed by the Company with the Commission pursuant to Rule 424(b) under the Securities Act, together with any “issuer free writing prospectus,” as defined in Rule 433 of the Securities Act regulations (“</w:t>
      </w:r>
      <w:r>
        <w:rPr>
          <w:rFonts w:ascii="Arial" w:cs="Arial" w:eastAsia="Arial" w:hAnsi="Arial"/>
          <w:sz w:val="16"/>
          <w:szCs w:val="16"/>
          <w:b w:val="1"/>
          <w:bCs w:val="1"/>
          <w:u w:val="single" w:color="auto"/>
          <w:color w:val="auto"/>
        </w:rPr>
        <w:t>Rule 433”</w:t>
      </w:r>
      <w:r>
        <w:rPr>
          <w:rFonts w:ascii="Arial" w:cs="Arial" w:eastAsia="Arial" w:hAnsi="Arial"/>
          <w:sz w:val="16"/>
          <w:szCs w:val="16"/>
          <w:b w:val="1"/>
          <w:bCs w:val="1"/>
          <w:color w:val="auto"/>
        </w:rPr>
        <w:t>)</w:t>
      </w:r>
      <w:r>
        <w:rPr>
          <w:rFonts w:ascii="Arial" w:cs="Arial" w:eastAsia="Arial" w:hAnsi="Arial"/>
          <w:sz w:val="16"/>
          <w:szCs w:val="16"/>
          <w:color w:val="auto"/>
        </w:rPr>
        <w:t>, relating to the Shares that (i) is consented to by Cowen, hereinafter referred to as a “</w:t>
      </w:r>
      <w:r>
        <w:rPr>
          <w:rFonts w:ascii="Arial" w:cs="Arial" w:eastAsia="Arial" w:hAnsi="Arial"/>
          <w:sz w:val="16"/>
          <w:szCs w:val="16"/>
          <w:b w:val="1"/>
          <w:bCs w:val="1"/>
          <w:u w:val="single" w:color="auto"/>
          <w:color w:val="auto"/>
        </w:rPr>
        <w:t>Permitted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Free Writing Prospectus</w:t>
      </w:r>
      <w:r>
        <w:rPr>
          <w:rFonts w:ascii="Arial" w:cs="Arial" w:eastAsia="Arial" w:hAnsi="Arial"/>
          <w:sz w:val="16"/>
          <w:szCs w:val="16"/>
          <w:color w:val="auto"/>
        </w:rPr>
        <w:t>,” (ii) is required to be filed with the Commission by the Company or (iii) is exempt from filing pursuant to Rule 433(d)(5)(i),</w:t>
      </w:r>
      <w:r>
        <w:rPr>
          <w:rFonts w:ascii="Arial" w:cs="Arial" w:eastAsia="Arial" w:hAnsi="Arial"/>
          <w:sz w:val="16"/>
          <w:szCs w:val="16"/>
          <w:b w:val="1"/>
          <w:bCs w:val="1"/>
          <w:color w:val="auto"/>
        </w:rPr>
        <w:t xml:space="preserve"> </w:t>
      </w:r>
      <w:r>
        <w:rPr>
          <w:rFonts w:ascii="Arial" w:cs="Arial" w:eastAsia="Arial" w:hAnsi="Arial"/>
          <w:sz w:val="16"/>
          <w:szCs w:val="16"/>
          <w:color w:val="auto"/>
        </w:rPr>
        <w:t>in each case in the form filed or required to be filed with the Commission or, if not required to be filed, in the form retained in the Company’s records pursuant to Rule 433(g), is herein called the “</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Arial" w:cs="Arial" w:eastAsia="Arial" w:hAnsi="Arial"/>
          <w:sz w:val="16"/>
          <w:szCs w:val="16"/>
          <w:b w:val="1"/>
          <w:bCs w:val="1"/>
          <w:u w:val="single" w:color="auto"/>
          <w:color w:val="auto"/>
        </w:rPr>
        <w:t>EDGAR</w:t>
      </w:r>
      <w:r>
        <w:rPr>
          <w:rFonts w:ascii="Arial" w:cs="Arial" w:eastAsia="Arial" w:hAnsi="Arial"/>
          <w:sz w:val="16"/>
          <w:szCs w:val="16"/>
          <w:color w:val="auto"/>
        </w:rPr>
        <w:t>”).</w:t>
      </w:r>
    </w:p>
    <w:p>
      <w:pPr>
        <w:spacing w:after="0" w:line="62" w:lineRule="exact"/>
        <w:rPr>
          <w:sz w:val="20"/>
          <w:szCs w:val="20"/>
          <w:color w:val="auto"/>
        </w:rPr>
      </w:pPr>
    </w:p>
    <w:p>
      <w:pPr>
        <w:ind w:left="4" w:firstLine="436"/>
        <w:spacing w:after="0" w:line="284" w:lineRule="auto"/>
        <w:tabs>
          <w:tab w:leader="none" w:pos="624"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the Placement Shares hereunder (each, a “</w:t>
      </w:r>
      <w:r>
        <w:rPr>
          <w:rFonts w:ascii="Arial" w:cs="Arial" w:eastAsia="Arial" w:hAnsi="Arial"/>
          <w:sz w:val="16"/>
          <w:szCs w:val="16"/>
          <w:b w:val="1"/>
          <w:bCs w:val="1"/>
          <w:u w:val="single" w:color="auto"/>
          <w:color w:val="auto"/>
        </w:rPr>
        <w:t>Placement</w:t>
      </w:r>
      <w:r>
        <w:rPr>
          <w:rFonts w:ascii="Arial" w:cs="Arial" w:eastAsia="Arial" w:hAnsi="Arial"/>
          <w:sz w:val="16"/>
          <w:szCs w:val="16"/>
          <w:color w:val="auto"/>
        </w:rPr>
        <w:t>”), it will notify Cowen by email notice (or other method mutually agreed to in writing by the parties) (a “</w:t>
      </w:r>
      <w:r>
        <w:rPr>
          <w:rFonts w:ascii="Arial" w:cs="Arial" w:eastAsia="Arial" w:hAnsi="Arial"/>
          <w:sz w:val="16"/>
          <w:szCs w:val="16"/>
          <w:b w:val="1"/>
          <w:bCs w:val="1"/>
          <w:u w:val="single" w:color="auto"/>
          <w:color w:val="auto"/>
        </w:rPr>
        <w:t>Placement Notice</w:t>
      </w:r>
      <w:r>
        <w:rPr>
          <w:rFonts w:ascii="Arial" w:cs="Arial" w:eastAsia="Arial" w:hAnsi="Arial"/>
          <w:sz w:val="16"/>
          <w:szCs w:val="16"/>
          <w:color w:val="auto"/>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any minimum price below which sales may not be made, a form of which containing such minimum sales parameters necessary is attached hereto as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The Placement Notice shall originate from any of the individuals from the Company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(with a copy to each of the other individuals from the Company listed on such schedule), and shall be addressed to each of the individuals from Cowen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as such</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2</w:t>
      </w:r>
      <w:r>
        <w:rPr>
          <w:rFonts w:ascii="Arial" w:cs="Arial" w:eastAsia="Arial" w:hAnsi="Arial"/>
          <w:sz w:val="16"/>
          <w:szCs w:val="16"/>
          <w:b w:val="1"/>
          <w:bCs w:val="1"/>
          <w:color w:val="auto"/>
        </w:rPr>
        <w:t xml:space="preserve"> </w:t>
      </w:r>
      <w:r>
        <w:rPr>
          <w:rFonts w:ascii="Arial" w:cs="Arial" w:eastAsia="Arial" w:hAnsi="Arial"/>
          <w:sz w:val="16"/>
          <w:szCs w:val="16"/>
          <w:color w:val="auto"/>
        </w:rPr>
        <w:t>may be amended from time to time. The Placement Notice shall be effective upon receipt by Cowen unless and until</w:t>
      </w:r>
    </w:p>
    <w:p>
      <w:pPr>
        <w:spacing w:after="0" w:line="4" w:lineRule="exact"/>
        <w:rPr>
          <w:rFonts w:ascii="Arial" w:cs="Arial" w:eastAsia="Arial" w:hAnsi="Arial"/>
          <w:sz w:val="16"/>
          <w:szCs w:val="16"/>
          <w:color w:val="auto"/>
        </w:rPr>
      </w:pPr>
    </w:p>
    <w:p>
      <w:pPr>
        <w:ind w:left="4" w:right="160" w:hanging="4"/>
        <w:spacing w:after="0" w:line="253" w:lineRule="auto"/>
        <w:tabs>
          <w:tab w:leader="none" w:pos="219"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in accordance with the notice requirements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Cowen declines to accept the terms contained therein for any reason, in its sole discretion, (ii) the entire amount of the Placement Shares have been sold, (iii) in accordance with the notice requirements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the Company suspends or terminates the Placement Notice, (iv) the Company issues a subsequent Placement Notice with parameters superseding those on the earlier dated Placement Notice for any reason, in its sole discretion, or (v) this Agreement has been terminated under the provisions of </w:t>
      </w:r>
      <w:r>
        <w:rPr>
          <w:rFonts w:ascii="Arial" w:cs="Arial" w:eastAsia="Arial" w:hAnsi="Arial"/>
          <w:sz w:val="18"/>
          <w:szCs w:val="18"/>
          <w:u w:val="single" w:color="auto"/>
          <w:color w:val="auto"/>
        </w:rPr>
        <w:t>Section 11</w:t>
      </w:r>
      <w:r>
        <w:rPr>
          <w:rFonts w:ascii="Arial" w:cs="Arial" w:eastAsia="Arial" w:hAnsi="Arial"/>
          <w:sz w:val="18"/>
          <w:szCs w:val="18"/>
          <w:color w:val="auto"/>
        </w:rPr>
        <w:t>. The amount of any discount, commission</w:t>
      </w:r>
    </w:p>
    <w:p>
      <w:pPr>
        <w:spacing w:after="0" w:line="123" w:lineRule="exact"/>
        <w:rPr>
          <w:rFonts w:ascii="Arial" w:cs="Arial" w:eastAsia="Arial" w:hAnsi="Arial"/>
          <w:sz w:val="18"/>
          <w:szCs w:val="18"/>
          <w:color w:val="auto"/>
        </w:rPr>
      </w:pPr>
    </w:p>
    <w:p>
      <w:pPr>
        <w:ind w:left="5464" w:hanging="106"/>
        <w:spacing w:after="0"/>
        <w:tabs>
          <w:tab w:leader="none" w:pos="5464" w:val="left"/>
        </w:tabs>
        <w:numPr>
          <w:ilvl w:val="2"/>
          <w:numId w:val="37"/>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4"/>
          </w:cols>
          <w:pgMar w:left="436" w:top="274" w:right="459" w:bottom="1440" w:gutter="0" w:footer="0" w:header="0"/>
        </w:sectPr>
      </w:pPr>
    </w:p>
    <w:bookmarkStart w:id="65" w:name="page66"/>
    <w:bookmarkEnd w:id="65"/>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other compensation to be paid by the Company to Cowen in connection with the sale of the Placement Shares shall be calculated in accordance with the terms set forth in </w:t>
      </w:r>
      <w:r>
        <w:rPr>
          <w:rFonts w:ascii="Arial" w:cs="Arial" w:eastAsia="Arial" w:hAnsi="Arial"/>
          <w:sz w:val="16"/>
          <w:szCs w:val="16"/>
          <w:b w:val="1"/>
          <w:bCs w:val="1"/>
          <w:u w:val="single" w:color="auto"/>
          <w:color w:val="auto"/>
        </w:rPr>
        <w:t>Schedule 3</w:t>
      </w:r>
      <w:r>
        <w:rPr>
          <w:rFonts w:ascii="Arial" w:cs="Arial" w:eastAsia="Arial" w:hAnsi="Arial"/>
          <w:sz w:val="16"/>
          <w:szCs w:val="16"/>
          <w:b w:val="1"/>
          <w:bCs w:val="1"/>
          <w:color w:val="auto"/>
        </w:rPr>
        <w:t>.</w:t>
      </w:r>
      <w:r>
        <w:rPr>
          <w:rFonts w:ascii="Arial" w:cs="Arial" w:eastAsia="Arial" w:hAnsi="Arial"/>
          <w:sz w:val="16"/>
          <w:szCs w:val="16"/>
          <w:color w:val="auto"/>
        </w:rPr>
        <w:t xml:space="preserve"> It is expressly acknowledged and agreed that neither the Company nor Cowen will have any obligation whatsoever with respect to a Placement or any Placement Shares unless and until the Company delivers a Placement Notice to Cowen and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53" w:lineRule="exact"/>
        <w:rPr>
          <w:sz w:val="20"/>
          <w:szCs w:val="20"/>
          <w:color w:val="auto"/>
        </w:rPr>
      </w:pPr>
    </w:p>
    <w:p>
      <w:pPr>
        <w:ind w:firstLine="436"/>
        <w:spacing w:after="0" w:line="283" w:lineRule="auto"/>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Sale of Placement Shares by Cowen.</w:t>
      </w:r>
      <w:r>
        <w:rPr>
          <w:rFonts w:ascii="Arial" w:cs="Arial" w:eastAsia="Arial" w:hAnsi="Arial"/>
          <w:sz w:val="16"/>
          <w:szCs w:val="16"/>
          <w:color w:val="auto"/>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Cowen, for the period specified in the Placement Notice, will use its commercially reasonable efforts consistent with its normal trading and sales practices and applicable state and federal laws, rules and regulations and the rules of the Nasdaq Global Market (“</w:t>
      </w:r>
      <w:r>
        <w:rPr>
          <w:rFonts w:ascii="Arial" w:cs="Arial" w:eastAsia="Arial" w:hAnsi="Arial"/>
          <w:sz w:val="16"/>
          <w:szCs w:val="16"/>
          <w:b w:val="1"/>
          <w:bCs w:val="1"/>
          <w:u w:val="single" w:color="auto"/>
          <w:color w:val="auto"/>
        </w:rPr>
        <w:t>Nasdaq</w:t>
      </w:r>
      <w:r>
        <w:rPr>
          <w:rFonts w:ascii="Arial" w:cs="Arial" w:eastAsia="Arial" w:hAnsi="Arial"/>
          <w:sz w:val="16"/>
          <w:szCs w:val="16"/>
          <w:color w:val="auto"/>
        </w:rPr>
        <w:t xml:space="preserve">”) to sell such Placement Shares up to the amount specified, and otherwise in accordance with the terms of such Placement Notice. Cowen will provide written confirmation to the Company (including by email correspondence to each of the individuals of the Company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Cowen for a sale of Placement Shares that would constitute a “block” within the meaning of Rule</w:t>
      </w:r>
    </w:p>
    <w:p>
      <w:pPr>
        <w:spacing w:after="0" w:line="4" w:lineRule="exact"/>
        <w:rPr>
          <w:rFonts w:ascii="Arial" w:cs="Arial" w:eastAsia="Arial" w:hAnsi="Arial"/>
          <w:sz w:val="16"/>
          <w:szCs w:val="16"/>
          <w:color w:val="auto"/>
        </w:rPr>
      </w:pPr>
    </w:p>
    <w:p>
      <w:pPr>
        <w:ind w:right="20"/>
        <w:spacing w:after="0" w:line="267" w:lineRule="auto"/>
        <w:rPr>
          <w:rFonts w:ascii="Arial" w:cs="Arial" w:eastAsia="Arial" w:hAnsi="Arial"/>
          <w:sz w:val="16"/>
          <w:szCs w:val="16"/>
          <w:color w:val="auto"/>
        </w:rPr>
      </w:pPr>
      <w:r>
        <w:rPr>
          <w:rFonts w:ascii="Arial" w:cs="Arial" w:eastAsia="Arial" w:hAnsi="Arial"/>
          <w:sz w:val="17"/>
          <w:szCs w:val="17"/>
          <w:color w:val="auto"/>
        </w:rPr>
        <w:t>10b-18(a)(5) under the Exchange Act (a “</w:t>
      </w:r>
      <w:r>
        <w:rPr>
          <w:rFonts w:ascii="Arial" w:cs="Arial" w:eastAsia="Arial" w:hAnsi="Arial"/>
          <w:sz w:val="17"/>
          <w:szCs w:val="17"/>
          <w:b w:val="1"/>
          <w:bCs w:val="1"/>
          <w:u w:val="single" w:color="auto"/>
          <w:color w:val="auto"/>
        </w:rPr>
        <w:t>Block Sale</w:t>
      </w:r>
      <w:r>
        <w:rPr>
          <w:rFonts w:ascii="Arial" w:cs="Arial" w:eastAsia="Arial" w:hAnsi="Arial"/>
          <w:sz w:val="17"/>
          <w:szCs w:val="17"/>
          <w:color w:val="auto"/>
        </w:rPr>
        <w:t xml:space="preserve">”), the Company will provide Cowen, at Cowen’s request and upon reasonable advance notice to the Company, on or prior to the Settlement Date (as defined below), the opinions of counsel, accountant’s letter and officers’ certificates set forth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each dated the Settlement Date, and such other documents and information as Cowen shall reasonably request. Cowen may sell Placement Shares by any method permitted by law deemed to be an “at the market” offering as defined in Rule 415 of the Securities Act, including without limitation sales made through Nasdaq or on any other existing trading market for the Common Stock. Cowen shall not purchase Placement Shares for its own account as principal unless expressly authorized to do so by the Company in a Placement Notice. The Company acknowledges and agrees that (i) there can be no assurance that Cowen will be successful in selling Placement Shares, and (ii) Cowen will incur no liability or obligation to the Company or any other person or entity if it does not sell Placement Shares for any reason other than a failure by Cowen to use its commercially reasonable efforts consistent with its normal trading and sales practices to sell such Placement Shares as required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For the purposes hereof, “</w:t>
      </w:r>
      <w:r>
        <w:rPr>
          <w:rFonts w:ascii="Arial" w:cs="Arial" w:eastAsia="Arial" w:hAnsi="Arial"/>
          <w:sz w:val="17"/>
          <w:szCs w:val="17"/>
          <w:b w:val="1"/>
          <w:bCs w:val="1"/>
          <w:u w:val="single" w:color="auto"/>
          <w:color w:val="auto"/>
        </w:rPr>
        <w:t>Trading Day</w:t>
      </w:r>
      <w:r>
        <w:rPr>
          <w:rFonts w:ascii="Arial" w:cs="Arial" w:eastAsia="Arial" w:hAnsi="Arial"/>
          <w:sz w:val="17"/>
          <w:szCs w:val="17"/>
          <w:color w:val="auto"/>
        </w:rPr>
        <w:t>” means any day on which the Company’s Common Stock is purchased and sold on the principal market on which the Common Stock is listed or quoted.</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any other provision of this Agreement, the Company shall not offer, sell or deliver, or request the offer or sale, of any Placement Shares pursuant to this Agreement and, by notice to Cowen given by telephone (confirmed promptly by email), shall cancel any instructions for the offer or sale of any Placement Shares, and Cowen shall not be obligated to offer or sell any Placement Shares, (i) during any period in which the Company is, or could be deemed to be, 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4" w:right="459" w:bottom="1440" w:gutter="0" w:footer="0" w:header="0"/>
        </w:sectPr>
      </w:pPr>
    </w:p>
    <w:bookmarkStart w:id="66" w:name="page67"/>
    <w:bookmarkEnd w:id="66"/>
    <w:p>
      <w:pPr>
        <w:ind w:right="3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possession of material non-public information, or (ii) at any time from and including the date on which the Company shall issue a press release containing, or shall otherwise publicly announce, its earnings, revenues or other results of operations (an “</w:t>
      </w:r>
      <w:r>
        <w:rPr>
          <w:rFonts w:ascii="Arial" w:cs="Arial" w:eastAsia="Arial" w:hAnsi="Arial"/>
          <w:sz w:val="16"/>
          <w:szCs w:val="16"/>
          <w:b w:val="1"/>
          <w:bCs w:val="1"/>
          <w:u w:val="single" w:color="auto"/>
          <w:color w:val="auto"/>
        </w:rPr>
        <w:t>Earnings Announcement</w:t>
      </w:r>
      <w:r>
        <w:rPr>
          <w:rFonts w:ascii="Arial" w:cs="Arial" w:eastAsia="Arial" w:hAnsi="Arial"/>
          <w:sz w:val="16"/>
          <w:szCs w:val="16"/>
          <w:color w:val="auto"/>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spacing w:after="0" w:line="49" w:lineRule="exact"/>
        <w:rPr>
          <w:sz w:val="20"/>
          <w:szCs w:val="20"/>
          <w:color w:val="auto"/>
        </w:rPr>
      </w:pPr>
    </w:p>
    <w:p>
      <w:pPr>
        <w:ind w:left="620" w:hanging="184"/>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Suspension of Sales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71" w:lineRule="auto"/>
        <w:tabs>
          <w:tab w:leader="none" w:pos="682"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The Company or Cowen may, upon notice to the other party in writing (including by email correspondence to each of the individuals of the other party set forth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suspend any sale of Placement Shares;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suspension shall not affect or impair either party’s obligations with respect to any Placement Shares sold hereunder prior to the receipt of such notice. While a suspension is in effect any obligations under </w:t>
      </w:r>
      <w:r>
        <w:rPr>
          <w:rFonts w:ascii="Arial" w:cs="Arial" w:eastAsia="Arial" w:hAnsi="Arial"/>
          <w:sz w:val="17"/>
          <w:szCs w:val="17"/>
          <w:u w:val="single" w:color="auto"/>
          <w:color w:val="auto"/>
        </w:rPr>
        <w:t>Section 7(m)</w:t>
      </w:r>
      <w:r>
        <w:rPr>
          <w:rFonts w:ascii="Arial" w:cs="Arial" w:eastAsia="Arial" w:hAnsi="Arial"/>
          <w:sz w:val="17"/>
          <w:szCs w:val="17"/>
          <w:color w:val="auto"/>
        </w:rPr>
        <w:t xml:space="preserve">, </w:t>
      </w:r>
      <w:r>
        <w:rPr>
          <w:rFonts w:ascii="Arial" w:cs="Arial" w:eastAsia="Arial" w:hAnsi="Arial"/>
          <w:sz w:val="17"/>
          <w:szCs w:val="17"/>
          <w:u w:val="single" w:color="auto"/>
          <w:color w:val="auto"/>
        </w:rPr>
        <w:t>7(n)</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7(o)</w:t>
      </w:r>
      <w:r>
        <w:rPr>
          <w:rFonts w:ascii="Arial" w:cs="Arial" w:eastAsia="Arial" w:hAnsi="Arial"/>
          <w:sz w:val="17"/>
          <w:szCs w:val="17"/>
          <w:color w:val="auto"/>
        </w:rPr>
        <w:t xml:space="preserve"> with respect to the delivery of certificates, opinions or comfort letters to Cowen shall be waived. Each of the parties agrees that no such notice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shall be effective against the other unless it is made to one of the individuals named on </w:t>
      </w:r>
      <w:r>
        <w:rPr>
          <w:rFonts w:ascii="Arial" w:cs="Arial" w:eastAsia="Arial" w:hAnsi="Arial"/>
          <w:sz w:val="17"/>
          <w:szCs w:val="17"/>
          <w:b w:val="1"/>
          <w:bCs w:val="1"/>
          <w:u w:val="single" w:color="auto"/>
          <w:color w:val="auto"/>
        </w:rPr>
        <w:t>Schedule 2</w:t>
      </w:r>
      <w:r>
        <w:rPr>
          <w:rFonts w:ascii="Arial" w:cs="Arial" w:eastAsia="Arial" w:hAnsi="Arial"/>
          <w:sz w:val="17"/>
          <w:szCs w:val="17"/>
          <w:b w:val="1"/>
          <w:bCs w:val="1"/>
          <w:color w:val="auto"/>
        </w:rPr>
        <w:t xml:space="preserve"> </w:t>
      </w:r>
      <w:r>
        <w:rPr>
          <w:rFonts w:ascii="Arial" w:cs="Arial" w:eastAsia="Arial" w:hAnsi="Arial"/>
          <w:sz w:val="17"/>
          <w:szCs w:val="17"/>
          <w:color w:val="auto"/>
        </w:rPr>
        <w:t>hereto, as such schedule may be amended in writing from time to time.</w:t>
      </w:r>
    </w:p>
    <w:p>
      <w:pPr>
        <w:spacing w:after="0" w:line="70" w:lineRule="exact"/>
        <w:rPr>
          <w:rFonts w:ascii="Arial" w:cs="Arial" w:eastAsia="Arial" w:hAnsi="Arial"/>
          <w:sz w:val="17"/>
          <w:szCs w:val="17"/>
          <w:color w:val="auto"/>
        </w:rPr>
      </w:pPr>
    </w:p>
    <w:p>
      <w:pPr>
        <w:ind w:firstLine="436"/>
        <w:spacing w:after="0" w:line="263"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either Cowen or the Company has reason to believe that the exemptive provisions set forth in Rule 101(c)(1) of Regulation M under the Exchange Act are not satisfied with respect to the Common Stock, it shall promptly notify the other party, and Cowen may, at its sole discretion, suspend sales of the Placement Shares under this Agreement.</w:t>
      </w:r>
    </w:p>
    <w:p>
      <w:pPr>
        <w:spacing w:after="0" w:line="75" w:lineRule="exact"/>
        <w:rPr>
          <w:rFonts w:ascii="Arial" w:cs="Arial" w:eastAsia="Arial" w:hAnsi="Arial"/>
          <w:sz w:val="18"/>
          <w:szCs w:val="18"/>
          <w:color w:val="auto"/>
        </w:rPr>
      </w:pPr>
    </w:p>
    <w:p>
      <w:pPr>
        <w:ind w:right="80" w:firstLine="436"/>
        <w:spacing w:after="0" w:line="263" w:lineRule="auto"/>
        <w:tabs>
          <w:tab w:leader="none" w:pos="6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during any period in which the Registration Statement is no longer effective under the Securities Act, the Company shall promptly notify Cowen, the Company shall not request the sale of any Placement Shares, and Cowen shall not be obligated to sell or offer to sell any Placement Shares.</w:t>
      </w:r>
    </w:p>
    <w:p>
      <w:pPr>
        <w:spacing w:after="0" w:line="76" w:lineRule="exact"/>
        <w:rPr>
          <w:sz w:val="20"/>
          <w:szCs w:val="20"/>
          <w:color w:val="auto"/>
        </w:rPr>
      </w:pPr>
    </w:p>
    <w:p>
      <w:pPr>
        <w:ind w:left="620" w:hanging="184"/>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Settlement.</w:t>
      </w:r>
    </w:p>
    <w:p>
      <w:pPr>
        <w:spacing w:after="0" w:line="117" w:lineRule="exact"/>
        <w:rPr>
          <w:sz w:val="20"/>
          <w:szCs w:val="20"/>
          <w:color w:val="auto"/>
        </w:rPr>
      </w:pPr>
    </w:p>
    <w:p>
      <w:pPr>
        <w:ind w:right="120" w:firstLine="436"/>
        <w:spacing w:after="0" w:line="291" w:lineRule="auto"/>
        <w:tabs>
          <w:tab w:leader="none" w:pos="68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Settlement of Placement Shares</w:t>
      </w:r>
      <w:r>
        <w:rPr>
          <w:rFonts w:ascii="Arial" w:cs="Arial" w:eastAsia="Arial" w:hAnsi="Arial"/>
          <w:sz w:val="16"/>
          <w:szCs w:val="16"/>
          <w:color w:val="auto"/>
        </w:rPr>
        <w:t>. Unless otherwise specified in the applicable Placement Notice, settlement for sales of Placement Shares will occur on the second (2</w:t>
      </w:r>
      <w:r>
        <w:rPr>
          <w:rFonts w:ascii="Arial" w:cs="Arial" w:eastAsia="Arial" w:hAnsi="Arial"/>
          <w:sz w:val="13"/>
          <w:szCs w:val="13"/>
          <w:color w:val="auto"/>
        </w:rPr>
        <w:t>nd</w:t>
      </w:r>
      <w:r>
        <w:rPr>
          <w:rFonts w:ascii="Arial" w:cs="Arial" w:eastAsia="Arial" w:hAnsi="Arial"/>
          <w:sz w:val="16"/>
          <w:szCs w:val="16"/>
          <w:color w:val="auto"/>
        </w:rPr>
        <w:t>) Trading Day (or such earlier day as is industry practice for regular-way trading) following the date on which such sales are made (each, a “</w:t>
      </w:r>
      <w:r>
        <w:rPr>
          <w:rFonts w:ascii="Arial" w:cs="Arial" w:eastAsia="Arial" w:hAnsi="Arial"/>
          <w:sz w:val="16"/>
          <w:szCs w:val="16"/>
          <w:b w:val="1"/>
          <w:bCs w:val="1"/>
          <w:u w:val="single" w:color="auto"/>
          <w:color w:val="auto"/>
        </w:rPr>
        <w:t>Settlement Date</w:t>
      </w:r>
      <w:r>
        <w:rPr>
          <w:rFonts w:ascii="Arial" w:cs="Arial" w:eastAsia="Arial" w:hAnsi="Arial"/>
          <w:sz w:val="16"/>
          <w:szCs w:val="16"/>
          <w:color w:val="auto"/>
        </w:rPr>
        <w:t>” and the first such settlement date, the “</w:t>
      </w:r>
      <w:r>
        <w:rPr>
          <w:rFonts w:ascii="Arial" w:cs="Arial" w:eastAsia="Arial" w:hAnsi="Arial"/>
          <w:sz w:val="16"/>
          <w:szCs w:val="16"/>
          <w:b w:val="1"/>
          <w:bCs w:val="1"/>
          <w:u w:val="single" w:color="auto"/>
          <w:color w:val="auto"/>
        </w:rPr>
        <w:t>First Delivery Date</w:t>
      </w:r>
      <w:r>
        <w:rPr>
          <w:rFonts w:ascii="Arial" w:cs="Arial" w:eastAsia="Arial" w:hAnsi="Arial"/>
          <w:sz w:val="16"/>
          <w:szCs w:val="16"/>
          <w:color w:val="auto"/>
        </w:rPr>
        <w:t>”). The amount of proceeds to be delivered to the Company on a Settlement Date against receipt of the Placement Shares sold (the “</w:t>
      </w:r>
      <w:r>
        <w:rPr>
          <w:rFonts w:ascii="Arial" w:cs="Arial" w:eastAsia="Arial" w:hAnsi="Arial"/>
          <w:sz w:val="16"/>
          <w:szCs w:val="16"/>
          <w:b w:val="1"/>
          <w:bCs w:val="1"/>
          <w:u w:val="single" w:color="auto"/>
          <w:color w:val="auto"/>
        </w:rPr>
        <w:t>Net Proceeds</w:t>
      </w:r>
      <w:r>
        <w:rPr>
          <w:rFonts w:ascii="Arial" w:cs="Arial" w:eastAsia="Arial" w:hAnsi="Arial"/>
          <w:sz w:val="16"/>
          <w:szCs w:val="16"/>
          <w:color w:val="auto"/>
        </w:rPr>
        <w:t xml:space="preserve">”) will be equal to the aggregate sales price received by Cowen at which such Placement Shares were sold, after deduction for (i) Cowen’s commission, discount or other compensation for such sales payable by the Company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(ii) any other amounts due and payable by the Company to Cowen hereunder pursuant to </w:t>
      </w:r>
      <w:r>
        <w:rPr>
          <w:rFonts w:ascii="Arial" w:cs="Arial" w:eastAsia="Arial" w:hAnsi="Arial"/>
          <w:sz w:val="16"/>
          <w:szCs w:val="16"/>
          <w:u w:val="single" w:color="auto"/>
          <w:color w:val="auto"/>
        </w:rPr>
        <w:t>Section 7(g)</w:t>
      </w:r>
      <w:r>
        <w:rPr>
          <w:rFonts w:ascii="Arial" w:cs="Arial" w:eastAsia="Arial" w:hAnsi="Arial"/>
          <w:sz w:val="16"/>
          <w:szCs w:val="16"/>
          <w:color w:val="auto"/>
        </w:rPr>
        <w:t xml:space="preserve"> (Expenses) hereof, and (iii) any transaction fees imposed by any governmental or self-regulatory organization in respect of such sales.</w:t>
      </w:r>
    </w:p>
    <w:p>
      <w:pPr>
        <w:spacing w:after="0" w:line="98" w:lineRule="exact"/>
        <w:rPr>
          <w:rFonts w:ascii="Arial" w:cs="Arial" w:eastAsia="Arial" w:hAnsi="Arial"/>
          <w:sz w:val="16"/>
          <w:szCs w:val="16"/>
          <w:color w:val="auto"/>
        </w:rPr>
      </w:pPr>
    </w:p>
    <w:p>
      <w:pPr>
        <w:ind w:left="5460" w:hanging="106"/>
        <w:spacing w:after="0"/>
        <w:tabs>
          <w:tab w:leader="none" w:pos="5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20"/>
          </w:cols>
          <w:pgMar w:left="440" w:top="274" w:right="439" w:bottom="1440" w:gutter="0" w:footer="0" w:header="0"/>
        </w:sectPr>
      </w:pPr>
    </w:p>
    <w:bookmarkStart w:id="67" w:name="page68"/>
    <w:bookmarkEnd w:id="67"/>
    <w:p>
      <w:pPr>
        <w:ind w:left="4" w:right="20" w:firstLine="436"/>
        <w:spacing w:after="0" w:line="283" w:lineRule="auto"/>
        <w:tabs>
          <w:tab w:leader="none" w:pos="699"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Placement Shares</w:t>
      </w:r>
      <w:r>
        <w:rPr>
          <w:rFonts w:ascii="Arial" w:cs="Arial" w:eastAsia="Arial" w:hAnsi="Arial"/>
          <w:sz w:val="16"/>
          <w:szCs w:val="16"/>
          <w:color w:val="auto"/>
        </w:rPr>
        <w:t xml:space="preserve">. On or before each Settlement Date, the Company will, or will cause its transfer agent to, electronically transfer the Placement Shares being sold by crediting Cowen’s or its designee’s account (provided Cowen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Cowen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the Company agrees that in addition to and in no way limiting the rights and obligations set forth in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(Indemnification and Contribution) hereto, it will (i) hold Cowen harmless against any loss, claim, damage, or reasonable and documented expense (including reasonable legal fees and expenses), as incurred, arising out of or in connection with such default by the Company and</w:t>
      </w:r>
    </w:p>
    <w:p>
      <w:pPr>
        <w:spacing w:after="0" w:line="5" w:lineRule="exact"/>
        <w:rPr>
          <w:rFonts w:ascii="Arial" w:cs="Arial" w:eastAsia="Arial" w:hAnsi="Arial"/>
          <w:sz w:val="16"/>
          <w:szCs w:val="16"/>
          <w:color w:val="auto"/>
        </w:rPr>
      </w:pPr>
    </w:p>
    <w:p>
      <w:pPr>
        <w:ind w:left="264" w:hanging="264"/>
        <w:spacing w:after="0"/>
        <w:tabs>
          <w:tab w:leader="none" w:pos="2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 to Cowen any commission, discount, or other compensation to which it would otherwise have been entitled absent such default.</w:t>
      </w:r>
    </w:p>
    <w:p>
      <w:pPr>
        <w:spacing w:after="0" w:line="103" w:lineRule="exact"/>
        <w:rPr>
          <w:sz w:val="20"/>
          <w:szCs w:val="20"/>
          <w:color w:val="auto"/>
        </w:rPr>
      </w:pPr>
    </w:p>
    <w:p>
      <w:pPr>
        <w:jc w:val="both"/>
        <w:ind w:left="4" w:firstLine="436"/>
        <w:spacing w:after="0" w:line="263" w:lineRule="auto"/>
        <w:tabs>
          <w:tab w:leader="none" w:pos="62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Cowen that as of (i) the date of this Agreement, (ii) each Time of Sale (as defined below), (iii) each Settlement Date, and (iv) each Bring-Down Date (as defined below) (each date included in (i) through (iv), a “</w:t>
      </w:r>
      <w:r>
        <w:rPr>
          <w:rFonts w:ascii="Arial" w:cs="Arial" w:eastAsia="Arial" w:hAnsi="Arial"/>
          <w:sz w:val="18"/>
          <w:szCs w:val="18"/>
          <w:b w:val="1"/>
          <w:bCs w:val="1"/>
          <w:u w:val="single" w:color="auto"/>
          <w:color w:val="auto"/>
        </w:rPr>
        <w:t>Representation Date</w:t>
      </w:r>
      <w:r>
        <w:rPr>
          <w:rFonts w:ascii="Arial" w:cs="Arial" w:eastAsia="Arial" w:hAnsi="Arial"/>
          <w:sz w:val="18"/>
          <w:szCs w:val="18"/>
          <w:color w:val="auto"/>
        </w:rPr>
        <w:t>”):</w:t>
      </w:r>
    </w:p>
    <w:p>
      <w:pPr>
        <w:spacing w:after="0" w:line="76" w:lineRule="exact"/>
        <w:rPr>
          <w:sz w:val="20"/>
          <w:szCs w:val="20"/>
          <w:color w:val="auto"/>
        </w:rPr>
      </w:pPr>
    </w:p>
    <w:p>
      <w:pPr>
        <w:ind w:left="4" w:firstLine="436"/>
        <w:spacing w:after="0" w:line="272" w:lineRule="auto"/>
        <w:tabs>
          <w:tab w:leader="none" w:pos="689"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Compliance with Registration Requirements</w:t>
      </w:r>
      <w:r>
        <w:rPr>
          <w:rFonts w:ascii="Arial" w:cs="Arial" w:eastAsia="Arial" w:hAnsi="Arial"/>
          <w:sz w:val="17"/>
          <w:szCs w:val="17"/>
          <w:color w:val="auto"/>
        </w:rPr>
        <w:t>. Prior to the issuance of any Placement Notice by the Company, the Registration Statement will have been filed and declared effective by the Commission under the Securities Act, and any required Rule 462(b) Registration Statement will have become effective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contemplated or threatened by the Commission. The Company meets the requirements for use of Form S-3 under the Securities Act. The proposed offering and sale of the Placement Shares hereunder meets the requirements or General Instruction I.B.1 of Form S-3.</w:t>
      </w:r>
    </w:p>
    <w:p>
      <w:pPr>
        <w:spacing w:after="0" w:line="69" w:lineRule="exact"/>
        <w:rPr>
          <w:rFonts w:ascii="Arial" w:cs="Arial" w:eastAsia="Arial" w:hAnsi="Arial"/>
          <w:sz w:val="17"/>
          <w:szCs w:val="17"/>
          <w:color w:val="auto"/>
        </w:rPr>
      </w:pPr>
    </w:p>
    <w:p>
      <w:pPr>
        <w:ind w:left="4" w:right="60" w:firstLine="436"/>
        <w:spacing w:after="0" w:line="270" w:lineRule="auto"/>
        <w:tabs>
          <w:tab w:leader="none" w:pos="699"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No Misstatement or Omission</w:t>
      </w:r>
      <w:r>
        <w:rPr>
          <w:rFonts w:ascii="Arial" w:cs="Arial" w:eastAsia="Arial" w:hAnsi="Arial"/>
          <w:sz w:val="17"/>
          <w:szCs w:val="17"/>
          <w:color w:val="auto"/>
        </w:rPr>
        <w:t>. The Prospectus when filed complied or will comply and, as amended or supplemented, if applicable, will comply in all material respects with the Securities Act. Each of the Registration Statement, any Rule 462(b) Registration Statement, the Prospectus and any post-effective amendments or supplements thereto, at the time it became effective or its date, as applicable, complied and as of each Representation Date, complied and will comply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w:t>
      </w:r>
    </w:p>
    <w:p>
      <w:pPr>
        <w:spacing w:after="0" w:line="113" w:lineRule="exact"/>
        <w:rPr>
          <w:rFonts w:ascii="Arial" w:cs="Arial" w:eastAsia="Arial" w:hAnsi="Arial"/>
          <w:sz w:val="17"/>
          <w:szCs w:val="17"/>
          <w:color w:val="auto"/>
        </w:rPr>
      </w:pPr>
    </w:p>
    <w:p>
      <w:pPr>
        <w:ind w:left="5464" w:hanging="106"/>
        <w:spacing w:after="0"/>
        <w:tabs>
          <w:tab w:leader="none" w:pos="5464" w:val="left"/>
        </w:tabs>
        <w:numPr>
          <w:ilvl w:val="1"/>
          <w:numId w:val="4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84"/>
          </w:cols>
          <w:pgMar w:left="436" w:top="274" w:right="479" w:bottom="1440" w:gutter="0" w:footer="0" w:header="0"/>
        </w:sectPr>
      </w:pPr>
    </w:p>
    <w:bookmarkStart w:id="68" w:name="page69"/>
    <w:bookmarkEnd w:id="68"/>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Arial" w:cs="Arial" w:eastAsia="Arial" w:hAnsi="Arial"/>
          <w:sz w:val="17"/>
          <w:szCs w:val="17"/>
          <w:b w:val="1"/>
          <w:bCs w:val="1"/>
          <w:u w:val="single" w:color="auto"/>
          <w:color w:val="auto"/>
        </w:rPr>
        <w:t>Time of Sale</w:t>
      </w:r>
      <w:r>
        <w:rPr>
          <w:rFonts w:ascii="Arial" w:cs="Arial" w:eastAsia="Arial" w:hAnsi="Arial"/>
          <w:sz w:val="17"/>
          <w:szCs w:val="17"/>
          <w:color w:val="auto"/>
        </w:rPr>
        <w:t>” means with respect to each offering of Placement Shares pursuant to this Agreement, the time of Cowen’s initial entry into contracts with purchasers for the sale of such Placement Shares.</w:t>
      </w:r>
    </w:p>
    <w:p>
      <w:pPr>
        <w:spacing w:after="0" w:line="68" w:lineRule="exact"/>
        <w:rPr>
          <w:sz w:val="20"/>
          <w:szCs w:val="20"/>
          <w:color w:val="auto"/>
        </w:rPr>
      </w:pPr>
    </w:p>
    <w:p>
      <w:pPr>
        <w:ind w:right="40" w:firstLine="436"/>
        <w:spacing w:after="0" w:line="254" w:lineRule="auto"/>
        <w:tabs>
          <w:tab w:leader="none" w:pos="68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Offering Materials Furnished to Cowen</w:t>
      </w:r>
      <w:r>
        <w:rPr>
          <w:rFonts w:ascii="Arial" w:cs="Arial" w:eastAsia="Arial" w:hAnsi="Arial"/>
          <w:sz w:val="18"/>
          <w:szCs w:val="18"/>
          <w:color w:val="auto"/>
        </w:rPr>
        <w:t>. The Company has delivered, or will deliver, to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Cowen has reasonably requested. The Registration Statement, the Prospectus and any Permitted Free Writing Prospectus (to the extent any such Permitted Free Writing Prospectus was required to be filed with the Commission) delivered to Cowen for use in connection with the public offering of the Placement Shares contemplated herein have been and will be identical to the versions of such documents transmitted to the Commission for filing via EDGAR, except to the extent permitted by Regulation S-T.</w:t>
      </w:r>
    </w:p>
    <w:p>
      <w:pPr>
        <w:spacing w:after="0" w:line="86" w:lineRule="exact"/>
        <w:rPr>
          <w:rFonts w:ascii="Arial" w:cs="Arial" w:eastAsia="Arial" w:hAnsi="Arial"/>
          <w:sz w:val="18"/>
          <w:szCs w:val="18"/>
          <w:color w:val="auto"/>
        </w:rPr>
      </w:pPr>
    </w:p>
    <w:p>
      <w:pPr>
        <w:ind w:right="60" w:firstLine="436"/>
        <w:spacing w:after="0" w:line="277"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Emerging Growth Company</w:t>
      </w:r>
      <w:r>
        <w:rPr>
          <w:rFonts w:ascii="Arial" w:cs="Arial" w:eastAsia="Arial" w:hAnsi="Arial"/>
          <w:sz w:val="18"/>
          <w:szCs w:val="18"/>
          <w:color w:val="auto"/>
        </w:rPr>
        <w:t>. The Company is an “emerging growth company,” as defined in Section 2(a) of the Securities Act. The Company agrees to notify Cowen promptly upon the Company ceasing to be an emerging growth company.</w:t>
      </w:r>
    </w:p>
    <w:p>
      <w:pPr>
        <w:spacing w:after="0" w:line="62" w:lineRule="exact"/>
        <w:rPr>
          <w:rFonts w:ascii="Arial" w:cs="Arial" w:eastAsia="Arial" w:hAnsi="Arial"/>
          <w:sz w:val="18"/>
          <w:szCs w:val="18"/>
          <w:color w:val="auto"/>
        </w:rPr>
      </w:pPr>
    </w:p>
    <w:p>
      <w:pPr>
        <w:ind w:right="200" w:firstLine="436"/>
        <w:spacing w:after="0" w:line="277" w:lineRule="auto"/>
        <w:tabs>
          <w:tab w:leader="none" w:pos="68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Not an Ineligible Issuer</w:t>
      </w:r>
      <w:r>
        <w:rPr>
          <w:rFonts w:ascii="Arial" w:cs="Arial" w:eastAsia="Arial" w:hAnsi="Arial"/>
          <w:sz w:val="18"/>
          <w:szCs w:val="18"/>
          <w:color w:val="auto"/>
        </w:rPr>
        <w:t>. The Company currently is not an “ineligible issuer,” as defined in Rule 405 under the Securities Act. The Company agrees to notify Cowen promptly upon the Company becoming an “ineligible issuer.”</w:t>
      </w:r>
    </w:p>
    <w:p>
      <w:pPr>
        <w:spacing w:after="0" w:line="62" w:lineRule="exact"/>
        <w:rPr>
          <w:rFonts w:ascii="Arial" w:cs="Arial" w:eastAsia="Arial" w:hAnsi="Arial"/>
          <w:sz w:val="18"/>
          <w:szCs w:val="18"/>
          <w:color w:val="auto"/>
        </w:rPr>
      </w:pPr>
    </w:p>
    <w:p>
      <w:pPr>
        <w:ind w:right="380" w:firstLine="436"/>
        <w:spacing w:after="0" w:line="263" w:lineRule="auto"/>
        <w:tabs>
          <w:tab w:leader="none" w:pos="66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Distribution of Offering Material By the Company</w:t>
      </w:r>
      <w:r>
        <w:rPr>
          <w:rFonts w:ascii="Arial" w:cs="Arial" w:eastAsia="Arial" w:hAnsi="Arial"/>
          <w:sz w:val="18"/>
          <w:szCs w:val="18"/>
          <w:color w:val="auto"/>
        </w:rPr>
        <w:t>. The Company has not distributed and will not distribute, prior to the completion of Cowen’s distribution of the Placement Shares, any offering material in connection with the offering and sale of the Placement Shares other than the Prospectus or the Registration Statement.</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The Sales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jc w:val="both"/>
        <w:ind w:right="80" w:firstLine="436"/>
        <w:spacing w:after="0" w:line="259"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Authorization of the Common Stock</w:t>
      </w:r>
      <w:r>
        <w:rPr>
          <w:rFonts w:ascii="Arial" w:cs="Arial" w:eastAsia="Arial" w:hAnsi="Arial"/>
          <w:sz w:val="18"/>
          <w:szCs w:val="18"/>
          <w:color w:val="auto"/>
        </w:rPr>
        <w:t>. The shares of Common Stock outstanding prior to the issuance of the Placement Shares have been duly authorized and are validly issued, fully paid and non-assessable. The Placement Shares have been duly authorized and, when issued, delivered and paid for in accordance with the terms of this Agreement, will be validly issued, fully paid and non-assessable, and the issuance of the Placement Shares will not be subject to any preemptive or similar rights that have not been validly waived.</w:t>
      </w:r>
    </w:p>
    <w:p>
      <w:pPr>
        <w:spacing w:after="0" w:line="78" w:lineRule="exact"/>
        <w:rPr>
          <w:rFonts w:ascii="Arial" w:cs="Arial" w:eastAsia="Arial" w:hAnsi="Arial"/>
          <w:sz w:val="18"/>
          <w:szCs w:val="18"/>
          <w:color w:val="auto"/>
        </w:rPr>
      </w:pPr>
    </w:p>
    <w:p>
      <w:pPr>
        <w:ind w:firstLine="436"/>
        <w:spacing w:after="0" w:line="301" w:lineRule="auto"/>
        <w:tabs>
          <w:tab w:leader="none" w:pos="65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No Applicable Registration or Other Similar Rights</w:t>
      </w:r>
      <w:r>
        <w:rPr>
          <w:rFonts w:ascii="Arial" w:cs="Arial" w:eastAsia="Arial" w:hAnsi="Arial"/>
          <w:sz w:val="16"/>
          <w:szCs w:val="16"/>
          <w:color w:val="auto"/>
        </w:rPr>
        <w:t>.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Placement Shares registered pursuant to the Registration Statement, except as has been validly waived or complied with in connection with the issuance and sale of the Placement Shares contemplated hereby.</w:t>
      </w:r>
    </w:p>
    <w:p>
      <w:pPr>
        <w:spacing w:after="0" w:line="89" w:lineRule="exact"/>
        <w:rPr>
          <w:rFonts w:ascii="Arial" w:cs="Arial" w:eastAsia="Arial" w:hAnsi="Arial"/>
          <w:sz w:val="16"/>
          <w:szCs w:val="16"/>
          <w:color w:val="auto"/>
        </w:rPr>
      </w:pPr>
    </w:p>
    <w:p>
      <w:pPr>
        <w:ind w:left="5460" w:hanging="106"/>
        <w:spacing w:after="0"/>
        <w:tabs>
          <w:tab w:leader="none" w:pos="5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80"/>
          </w:cols>
          <w:pgMar w:left="440" w:top="274" w:right="479" w:bottom="1440" w:gutter="0" w:footer="0" w:header="0"/>
        </w:sectPr>
      </w:pPr>
    </w:p>
    <w:bookmarkStart w:id="69" w:name="page70"/>
    <w:bookmarkEnd w:id="69"/>
    <w:p>
      <w:pPr>
        <w:ind w:left="-436" w:right="40" w:firstLine="436"/>
        <w:spacing w:after="0" w:line="342" w:lineRule="auto"/>
        <w:tabs>
          <w:tab w:leader="none" w:pos="219"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Material Adverse Change</w:t>
      </w:r>
      <w:r>
        <w:rPr>
          <w:rFonts w:ascii="Arial" w:cs="Arial" w:eastAsia="Arial" w:hAnsi="Arial"/>
          <w:sz w:val="16"/>
          <w:szCs w:val="16"/>
          <w:color w:val="auto"/>
        </w:rPr>
        <w:t>. There has not occurred any material adverse change, or any development involving a prospective material adverse change, in the condition, financial or otherwise, or in the earnings, business or operations of the Company, from that set forth in the Prospectus.</w:t>
      </w:r>
    </w:p>
    <w:p>
      <w:pPr>
        <w:spacing w:after="0" w:line="15" w:lineRule="exact"/>
        <w:rPr>
          <w:rFonts w:ascii="Arial" w:cs="Arial" w:eastAsia="Arial" w:hAnsi="Arial"/>
          <w:sz w:val="16"/>
          <w:szCs w:val="16"/>
          <w:color w:val="auto"/>
        </w:rPr>
      </w:pPr>
    </w:p>
    <w:p>
      <w:pPr>
        <w:ind w:left="-436" w:right="20" w:firstLine="436"/>
        <w:spacing w:after="0" w:line="257" w:lineRule="auto"/>
        <w:tabs>
          <w:tab w:leader="none" w:pos="259"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KPMG LLP, who have certified certain financial statements of the Company and delivered its report with respect to the audited consolidated financial statements and schedules filed with the Commission as part of the Registration Statement and included in each of the Registration Statement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79" w:lineRule="exact"/>
        <w:rPr>
          <w:rFonts w:ascii="Arial" w:cs="Arial" w:eastAsia="Arial" w:hAnsi="Arial"/>
          <w:sz w:val="18"/>
          <w:szCs w:val="18"/>
          <w:color w:val="auto"/>
        </w:rPr>
      </w:pPr>
    </w:p>
    <w:p>
      <w:pPr>
        <w:ind w:left="-436" w:right="40" w:firstLine="436"/>
        <w:spacing w:after="0" w:line="254" w:lineRule="auto"/>
        <w:tabs>
          <w:tab w:leader="none" w:pos="219"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Preparation of the Financial Statements</w:t>
      </w:r>
      <w:r>
        <w:rPr>
          <w:rFonts w:ascii="Arial" w:cs="Arial" w:eastAsia="Arial" w:hAnsi="Arial"/>
          <w:sz w:val="18"/>
          <w:szCs w:val="18"/>
          <w:color w:val="auto"/>
        </w:rPr>
        <w:t>. The financial statements included or incorporated by reference in each of the Registration Statement and the Prospectus, together with the related schedules and notes thereto, comply as to form in all material respects with the applicable accounting requirements of the Securities Act and present fairly, in all material respects, the consolidated financial position of the Company as of the dates shown and its results of operations and cash flows for the periods shown, and such financial statements have been prepared in conformity with generally accepted accounting principles in the United States (“</w:t>
      </w:r>
      <w:r>
        <w:rPr>
          <w:rFonts w:ascii="Arial" w:cs="Arial" w:eastAsia="Arial" w:hAnsi="Arial"/>
          <w:sz w:val="18"/>
          <w:szCs w:val="18"/>
          <w:b w:val="1"/>
          <w:bCs w:val="1"/>
          <w:color w:val="auto"/>
        </w:rPr>
        <w:t>U.S. GAAP</w:t>
      </w:r>
      <w:r>
        <w:rPr>
          <w:rFonts w:ascii="Arial" w:cs="Arial" w:eastAsia="Arial" w:hAnsi="Arial"/>
          <w:sz w:val="18"/>
          <w:szCs w:val="18"/>
          <w:color w:val="auto"/>
        </w:rPr>
        <w:t>”) applied on a consistent basis throughout the periods covered thereby except for any normal year-end adjustments in the Company’s quarterly financial statements. The other financial information included in each of the Registration Statement and the Prospectus has been derived from the accounting records of the Company and presents fairly in all material respects the information shown thereby.</w:t>
      </w:r>
    </w:p>
    <w:p>
      <w:pPr>
        <w:spacing w:after="0" w:line="83" w:lineRule="exact"/>
        <w:rPr>
          <w:rFonts w:ascii="Arial" w:cs="Arial" w:eastAsia="Arial" w:hAnsi="Arial"/>
          <w:sz w:val="18"/>
          <w:szCs w:val="18"/>
          <w:color w:val="auto"/>
        </w:rPr>
      </w:pPr>
    </w:p>
    <w:p>
      <w:pPr>
        <w:ind w:left="-436" w:right="120" w:firstLine="436"/>
        <w:spacing w:after="0" w:line="263" w:lineRule="auto"/>
        <w:tabs>
          <w:tab w:leader="none" w:pos="309"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XBRL</w:t>
      </w:r>
      <w:r>
        <w:rPr>
          <w:rFonts w:ascii="Arial" w:cs="Arial" w:eastAsia="Arial" w:hAnsi="Arial"/>
          <w:sz w:val="18"/>
          <w:szCs w:val="18"/>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75" w:lineRule="exact"/>
        <w:rPr>
          <w:rFonts w:ascii="Arial" w:cs="Arial" w:eastAsia="Arial" w:hAnsi="Arial"/>
          <w:sz w:val="18"/>
          <w:szCs w:val="18"/>
          <w:color w:val="auto"/>
        </w:rPr>
      </w:pPr>
    </w:p>
    <w:p>
      <w:pPr>
        <w:ind w:left="-436" w:firstLine="436"/>
        <w:spacing w:after="0" w:line="255" w:lineRule="auto"/>
        <w:tabs>
          <w:tab w:leader="none" w:pos="259"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Incorporation and Good Standing of the Company</w:t>
      </w:r>
      <w:r>
        <w:rPr>
          <w:rFonts w:ascii="Arial" w:cs="Arial" w:eastAsia="Arial" w:hAnsi="Arial"/>
          <w:sz w:val="18"/>
          <w:szCs w:val="18"/>
          <w:color w:val="auto"/>
        </w:rPr>
        <w:t>. 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singly or in the aggregate, have a material adverse effect on the Company; and the Company does not have any subsidiaries.</w:t>
      </w:r>
    </w:p>
    <w:p>
      <w:pPr>
        <w:spacing w:after="0" w:line="124" w:lineRule="exact"/>
        <w:rPr>
          <w:rFonts w:ascii="Arial" w:cs="Arial" w:eastAsia="Arial" w:hAnsi="Arial"/>
          <w:sz w:val="18"/>
          <w:szCs w:val="18"/>
          <w:color w:val="auto"/>
        </w:rPr>
      </w:pPr>
    </w:p>
    <w:p>
      <w:pPr>
        <w:ind w:left="5024" w:hanging="106"/>
        <w:spacing w:after="0"/>
        <w:tabs>
          <w:tab w:leader="none" w:pos="5024" w:val="left"/>
        </w:tabs>
        <w:numPr>
          <w:ilvl w:val="1"/>
          <w:numId w:val="48"/>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524"/>
          </w:cols>
          <w:pgMar w:left="876" w:top="274" w:right="499" w:bottom="1440" w:gutter="0" w:footer="0" w:header="0"/>
        </w:sectPr>
      </w:pPr>
    </w:p>
    <w:bookmarkStart w:id="70" w:name="page71"/>
    <w:bookmarkEnd w:id="70"/>
    <w:p>
      <w:pPr>
        <w:ind w:left="-436" w:right="240" w:firstLine="436"/>
        <w:spacing w:after="0" w:line="277" w:lineRule="auto"/>
        <w:tabs>
          <w:tab w:leader="none" w:pos="259"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Stock Matters</w:t>
      </w:r>
      <w:r>
        <w:rPr>
          <w:rFonts w:ascii="Arial" w:cs="Arial" w:eastAsia="Arial" w:hAnsi="Arial"/>
          <w:sz w:val="18"/>
          <w:szCs w:val="18"/>
          <w:color w:val="auto"/>
        </w:rPr>
        <w:t>. The authorized capital stock of the Company conforms as to legal matters, in all material respects, to the description thereof contained in each of the Registration Statement and the Prospectus.</w:t>
      </w:r>
    </w:p>
    <w:p>
      <w:pPr>
        <w:spacing w:after="0" w:line="62" w:lineRule="exact"/>
        <w:rPr>
          <w:rFonts w:ascii="Arial" w:cs="Arial" w:eastAsia="Arial" w:hAnsi="Arial"/>
          <w:sz w:val="18"/>
          <w:szCs w:val="18"/>
          <w:color w:val="auto"/>
        </w:rPr>
      </w:pPr>
    </w:p>
    <w:p>
      <w:pPr>
        <w:ind w:left="-436" w:right="100" w:firstLine="436"/>
        <w:spacing w:after="0" w:line="271" w:lineRule="auto"/>
        <w:tabs>
          <w:tab w:leader="none" w:pos="259"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Non-Contravention of Existing Instruments; No Further Authorizations or Approvals Required</w:t>
      </w:r>
      <w:r>
        <w:rPr>
          <w:rFonts w:ascii="Arial" w:cs="Arial" w:eastAsia="Arial" w:hAnsi="Arial"/>
          <w:sz w:val="17"/>
          <w:szCs w:val="17"/>
          <w:color w:val="auto"/>
        </w:rPr>
        <w:t>. The execution and delivery by the Company of, and the performance by the Company of its obligations under, this Agreement will not contravene (i) any provision of applicable law, (ii) or the certificate of incorporation or by-laws of the Company, (iii) or any agreement or other material instrument binding upon the Company, or (iv) any judgment, order or decree of any governmental body, agency or court having jurisdiction over the Company, except in the case of clauses (i), (iii) and (iv), where such contravention would not reasonably be expected to have a material adverse effect on the Company, and no consent, approval, authorization or order of, or qualification with, any governmental body, agency or court is required for the performance by the Company of its obligations under this Agreement, except such as have been obtained or waived or as may be required by the securities or Blue Sky laws of the various states in connection with the offer and sale of the Shares.</w:t>
      </w:r>
    </w:p>
    <w:p>
      <w:pPr>
        <w:spacing w:after="0" w:line="70" w:lineRule="exact"/>
        <w:rPr>
          <w:rFonts w:ascii="Arial" w:cs="Arial" w:eastAsia="Arial" w:hAnsi="Arial"/>
          <w:sz w:val="17"/>
          <w:szCs w:val="17"/>
          <w:color w:val="auto"/>
        </w:rPr>
      </w:pPr>
    </w:p>
    <w:p>
      <w:pPr>
        <w:ind w:left="-436" w:right="40" w:firstLine="436"/>
        <w:spacing w:after="0" w:line="271" w:lineRule="auto"/>
        <w:tabs>
          <w:tab w:leader="none" w:pos="259"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No Material Actions or Proceedings</w:t>
      </w:r>
      <w:r>
        <w:rPr>
          <w:rFonts w:ascii="Arial" w:cs="Arial" w:eastAsia="Arial" w:hAnsi="Arial"/>
          <w:sz w:val="17"/>
          <w:szCs w:val="17"/>
          <w:color w:val="auto"/>
        </w:rPr>
        <w:t>. There are no legal or governmental proceedings pending or, to the Company’s knowledge, threatened to which the Company is a party or to which any of the properties of the Company is subject (i) other than proceedings accurately described in all material respects in each of the Registration Statement and the Prospectus and proceedings that would not reasonably be expected to, singly or in the aggregate, have a material adverse effect on the Company or on the power or ability of the Company to perform its obligations under this Agreement or to consummate the transactions contemplated by each of the Registration Statement and the Prospectus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70" w:lineRule="exact"/>
        <w:rPr>
          <w:rFonts w:ascii="Arial" w:cs="Arial" w:eastAsia="Arial" w:hAnsi="Arial"/>
          <w:sz w:val="17"/>
          <w:szCs w:val="17"/>
          <w:color w:val="auto"/>
        </w:rPr>
      </w:pPr>
    </w:p>
    <w:p>
      <w:pPr>
        <w:ind w:left="-436" w:right="340" w:firstLine="436"/>
        <w:spacing w:after="0" w:line="279" w:lineRule="auto"/>
        <w:tabs>
          <w:tab w:leader="none" w:pos="229"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All Necessary Permits, etc</w:t>
      </w:r>
      <w:r>
        <w:rPr>
          <w:rFonts w:ascii="Arial" w:cs="Arial" w:eastAsia="Arial" w:hAnsi="Arial"/>
          <w:sz w:val="17"/>
          <w:szCs w:val="17"/>
          <w:color w:val="auto"/>
        </w:rPr>
        <w:t>. The Company possesses all certificates, authorizations and permits issued by the appropriate federal, state or foreign regulatory authorities necessary to conduct their respective businesses, and the Company has not received any written notice of proceedings relating to the revocation or modification of any such certificate, authorization or permit which, singly or in the aggregate, if the subject of an unfavorable decision, ruling or finding, would have a material adverse effect on the Company.</w:t>
      </w:r>
    </w:p>
    <w:p>
      <w:pPr>
        <w:spacing w:after="0" w:line="63" w:lineRule="exact"/>
        <w:rPr>
          <w:rFonts w:ascii="Arial" w:cs="Arial" w:eastAsia="Arial" w:hAnsi="Arial"/>
          <w:sz w:val="17"/>
          <w:szCs w:val="17"/>
          <w:color w:val="auto"/>
        </w:rPr>
      </w:pPr>
    </w:p>
    <w:p>
      <w:pPr>
        <w:ind w:left="-436" w:firstLine="436"/>
        <w:spacing w:after="0" w:line="254" w:lineRule="auto"/>
        <w:tabs>
          <w:tab w:leader="none" w:pos="239"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Tax Law Compliance</w:t>
      </w:r>
      <w:r>
        <w:rPr>
          <w:rFonts w:ascii="Arial" w:cs="Arial" w:eastAsia="Arial" w:hAnsi="Arial"/>
          <w:sz w:val="18"/>
          <w:szCs w:val="18"/>
          <w:color w:val="auto"/>
        </w:rPr>
        <w:t>. The Company has filed all federal, state, local and foreign tax returns required to be filed through the date of this Agreement or have requested extensions thereof (except where the failure to file would not, singly or in the aggregate, reasonably be expected to have a material adverse effect on the Company) and have paid all taxes required to be paid thereon (except for cases in which the failure to file or pay would not, singly or in the aggregate, reasonably be expected to have a material adverse effect on the Company, or, except as currently being contested in good faith and for which reserves required by U.S. GAAP have been created in the financial statements of the Company), and no tax deficiency has been determined adversely to the Company which, singly or in the aggregate, has had (nor does the Company have any notice or knowledge of any tax deficiency which could reasonably be expected to be determined adversely to the Company and which could reasonably be expected to have) a material adverse effect on the Company.</w:t>
      </w:r>
    </w:p>
    <w:p>
      <w:pPr>
        <w:spacing w:after="0" w:line="124" w:lineRule="exact"/>
        <w:rPr>
          <w:rFonts w:ascii="Arial" w:cs="Arial" w:eastAsia="Arial" w:hAnsi="Arial"/>
          <w:sz w:val="18"/>
          <w:szCs w:val="18"/>
          <w:color w:val="auto"/>
        </w:rPr>
      </w:pPr>
    </w:p>
    <w:p>
      <w:pPr>
        <w:ind w:left="5024" w:hanging="106"/>
        <w:spacing w:after="0"/>
        <w:tabs>
          <w:tab w:leader="none" w:pos="50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524"/>
          </w:cols>
          <w:pgMar w:left="876" w:top="274" w:right="499" w:bottom="1440" w:gutter="0" w:footer="0" w:header="0"/>
        </w:sectPr>
      </w:pPr>
    </w:p>
    <w:bookmarkStart w:id="71" w:name="page72"/>
    <w:bookmarkEnd w:id="71"/>
    <w:p>
      <w:pPr>
        <w:ind w:left="-436" w:right="80" w:firstLine="436"/>
        <w:spacing w:after="0" w:line="263" w:lineRule="auto"/>
        <w:tabs>
          <w:tab w:leader="none" w:pos="21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Not an “Investment Company”</w:t>
      </w:r>
      <w:r>
        <w:rPr>
          <w:rFonts w:ascii="Arial" w:cs="Arial" w:eastAsia="Arial" w:hAnsi="Arial"/>
          <w:sz w:val="18"/>
          <w:szCs w:val="18"/>
          <w:color w:val="auto"/>
        </w:rPr>
        <w:t>. The Company is not, and after giving effect to the offering and sale of the Placement Shares and the application of the proceeds thereof as described in each of the Registration Statement and the Prospectus will not be, required to register as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left="-436" w:right="200" w:firstLine="436"/>
        <w:spacing w:after="0" w:line="275" w:lineRule="auto"/>
        <w:tabs>
          <w:tab w:leader="none" w:pos="259"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Company is insured by insurers of recognized financial responsibility against such losses and risks and in such amounts as in the Company’s reasonable judgment are prudent and customary in the businesses in which they are engaged; the Company has not been refused any insurance coverage sought or applied for; and the Company does not have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w:t>
      </w:r>
    </w:p>
    <w:p>
      <w:pPr>
        <w:spacing w:after="0" w:line="68" w:lineRule="exact"/>
        <w:rPr>
          <w:rFonts w:ascii="Arial" w:cs="Arial" w:eastAsia="Arial" w:hAnsi="Arial"/>
          <w:sz w:val="17"/>
          <w:szCs w:val="17"/>
          <w:color w:val="auto"/>
        </w:rPr>
      </w:pPr>
    </w:p>
    <w:p>
      <w:pPr>
        <w:ind w:left="-436" w:firstLine="436"/>
        <w:spacing w:after="0" w:line="263" w:lineRule="auto"/>
        <w:tabs>
          <w:tab w:leader="none" w:pos="25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 Price Stabilization or Manipulation</w:t>
      </w:r>
      <w:r>
        <w:rPr>
          <w:rFonts w:ascii="Arial" w:cs="Arial" w:eastAsia="Arial" w:hAnsi="Arial"/>
          <w:sz w:val="18"/>
          <w:szCs w:val="18"/>
          <w:color w:val="auto"/>
        </w:rPr>
        <w:t>. The Company has not taken and will not take, directly or indirectly, any action designed to or that might be reasonably expected to cause or result in stabilization or manipulation of the price of any security of the Company to facilitate the sale or resale of the Placement Shares.</w:t>
      </w:r>
    </w:p>
    <w:p>
      <w:pPr>
        <w:spacing w:after="0" w:line="75" w:lineRule="exact"/>
        <w:rPr>
          <w:rFonts w:ascii="Arial" w:cs="Arial" w:eastAsia="Arial" w:hAnsi="Arial"/>
          <w:sz w:val="18"/>
          <w:szCs w:val="18"/>
          <w:color w:val="auto"/>
        </w:rPr>
      </w:pPr>
    </w:p>
    <w:p>
      <w:pPr>
        <w:ind w:left="-436" w:right="260" w:firstLine="436"/>
        <w:spacing w:after="0" w:line="263" w:lineRule="auto"/>
        <w:tabs>
          <w:tab w:leader="none" w:pos="29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Reliability of Data</w:t>
      </w:r>
      <w:r>
        <w:rPr>
          <w:rFonts w:ascii="Arial" w:cs="Arial" w:eastAsia="Arial" w:hAnsi="Arial"/>
          <w:sz w:val="18"/>
          <w:szCs w:val="18"/>
          <w:color w:val="auto"/>
        </w:rPr>
        <w:t>. Any statistical and market-related data included in the Registration Statement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75" w:lineRule="exact"/>
        <w:rPr>
          <w:rFonts w:ascii="Arial" w:cs="Arial" w:eastAsia="Arial" w:hAnsi="Arial"/>
          <w:sz w:val="18"/>
          <w:szCs w:val="18"/>
          <w:color w:val="auto"/>
        </w:rPr>
      </w:pPr>
    </w:p>
    <w:p>
      <w:pPr>
        <w:ind w:left="-436" w:right="80" w:firstLine="436"/>
        <w:spacing w:after="0" w:line="275" w:lineRule="auto"/>
        <w:tabs>
          <w:tab w:leader="none" w:pos="259"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Exchange Act Compliance</w:t>
      </w:r>
      <w:r>
        <w:rPr>
          <w:rFonts w:ascii="Arial" w:cs="Arial" w:eastAsia="Arial" w:hAnsi="Arial"/>
          <w:sz w:val="17"/>
          <w:szCs w:val="17"/>
          <w:color w:val="auto"/>
        </w:rPr>
        <w:t>.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68" w:lineRule="exact"/>
        <w:rPr>
          <w:rFonts w:ascii="Arial" w:cs="Arial" w:eastAsia="Arial" w:hAnsi="Arial"/>
          <w:sz w:val="17"/>
          <w:szCs w:val="17"/>
          <w:color w:val="auto"/>
        </w:rPr>
      </w:pPr>
    </w:p>
    <w:p>
      <w:pPr>
        <w:ind w:left="-436" w:right="120" w:firstLine="436"/>
        <w:spacing w:after="0" w:line="273" w:lineRule="auto"/>
        <w:tabs>
          <w:tab w:leader="none" w:pos="259"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 Unlawful Contributions or Other Payments</w:t>
      </w:r>
      <w:r>
        <w:rPr>
          <w:rFonts w:ascii="Arial" w:cs="Arial" w:eastAsia="Arial" w:hAnsi="Arial"/>
          <w:sz w:val="17"/>
          <w:szCs w:val="17"/>
          <w:color w:val="auto"/>
        </w:rPr>
        <w:t>. (i) None of the Company, or any director, officer, or employee thereof, or, to the Company’s knowledge, any affiliate, agent or representative of the Company,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7"/>
          <w:szCs w:val="17"/>
          <w:b w:val="1"/>
          <w:bCs w:val="1"/>
          <w:color w:val="auto"/>
        </w:rPr>
        <w:t>Government Official</w:t>
      </w:r>
      <w:r>
        <w:rPr>
          <w:rFonts w:ascii="Arial" w:cs="Arial" w:eastAsia="Arial" w:hAnsi="Arial"/>
          <w:sz w:val="17"/>
          <w:szCs w:val="17"/>
          <w:color w:val="auto"/>
        </w:rPr>
        <w:t>”) in order to influence official action, or to any person in violation of any</w:t>
      </w:r>
    </w:p>
    <w:p>
      <w:pPr>
        <w:spacing w:after="0" w:line="110" w:lineRule="exact"/>
        <w:rPr>
          <w:rFonts w:ascii="Arial" w:cs="Arial" w:eastAsia="Arial" w:hAnsi="Arial"/>
          <w:sz w:val="17"/>
          <w:szCs w:val="17"/>
          <w:color w:val="auto"/>
        </w:rPr>
      </w:pPr>
    </w:p>
    <w:p>
      <w:pPr>
        <w:ind w:left="5024" w:hanging="106"/>
        <w:spacing w:after="0"/>
        <w:tabs>
          <w:tab w:leader="none" w:pos="5024" w:val="left"/>
        </w:tabs>
        <w:numPr>
          <w:ilvl w:val="1"/>
          <w:numId w:val="50"/>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564"/>
          </w:cols>
          <w:pgMar w:left="876" w:top="274" w:right="459" w:bottom="1440" w:gutter="0" w:footer="0" w:header="0"/>
        </w:sectPr>
      </w:pPr>
    </w:p>
    <w:bookmarkStart w:id="72" w:name="page73"/>
    <w:bookmarkEnd w:id="72"/>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anti-corruption laws; (ii) the Company has conducted its business in compliance with applicable anti-corruption laws and has instituted and maintained and will continue to maintain policies and procedures reasonably designed to promote and achieve compliance with such laws and with the representations and warranties contained herein; and (iii) the Company will not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80" w:lineRule="exact"/>
        <w:rPr>
          <w:sz w:val="20"/>
          <w:szCs w:val="20"/>
          <w:color w:val="auto"/>
        </w:rPr>
      </w:pPr>
    </w:p>
    <w:p>
      <w:pPr>
        <w:ind w:firstLine="436"/>
        <w:spacing w:after="0" w:line="291" w:lineRule="auto"/>
        <w:tabs>
          <w:tab w:leader="none" w:pos="68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Compliance with Money Laundering Laws</w:t>
      </w:r>
      <w:r>
        <w:rPr>
          <w:rFonts w:ascii="Arial" w:cs="Arial" w:eastAsia="Arial" w:hAnsi="Arial"/>
          <w:sz w:val="16"/>
          <w:szCs w:val="16"/>
          <w:color w:val="auto"/>
        </w:rPr>
        <w:t>. The operations of the Company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conducts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Anti-Money Laundering</w:t>
      </w:r>
      <w:r>
        <w:rPr>
          <w:rFonts w:ascii="Arial" w:cs="Arial" w:eastAsia="Arial" w:hAnsi="Arial"/>
          <w:sz w:val="16"/>
          <w:szCs w:val="16"/>
          <w:color w:val="auto"/>
        </w:rPr>
        <w:t xml:space="preserve"> </w:t>
      </w:r>
      <w:r>
        <w:rPr>
          <w:rFonts w:ascii="Arial" w:cs="Arial" w:eastAsia="Arial" w:hAnsi="Arial"/>
          <w:sz w:val="16"/>
          <w:szCs w:val="16"/>
          <w:b w:val="1"/>
          <w:bCs w:val="1"/>
          <w:color w:val="auto"/>
        </w:rPr>
        <w:t>Laws</w:t>
      </w:r>
      <w:r>
        <w:rPr>
          <w:rFonts w:ascii="Arial" w:cs="Arial" w:eastAsia="Arial" w:hAnsi="Arial"/>
          <w:sz w:val="16"/>
          <w:szCs w:val="16"/>
          <w:color w:val="auto"/>
        </w:rPr>
        <w:t>”), and no action, suit or proceeding by or before any court or governmental agency, authority or body or any arbitrator involving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the Anti-Money Laundering Laws is pending or, to the knowledge of the Company, threatened.</w:t>
      </w:r>
    </w:p>
    <w:p>
      <w:pPr>
        <w:spacing w:after="0" w:line="58" w:lineRule="exact"/>
        <w:rPr>
          <w:sz w:val="20"/>
          <w:szCs w:val="20"/>
          <w:color w:val="auto"/>
        </w:rPr>
      </w:pPr>
    </w:p>
    <w:p>
      <w:pPr>
        <w:ind w:right="80" w:firstLine="436"/>
        <w:spacing w:after="0" w:line="342" w:lineRule="auto"/>
        <w:tabs>
          <w:tab w:leader="none" w:pos="76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Compliance with OFAC</w:t>
      </w:r>
      <w:r>
        <w:rPr>
          <w:rFonts w:ascii="Arial" w:cs="Arial" w:eastAsia="Arial" w:hAnsi="Arial"/>
          <w:sz w:val="16"/>
          <w:szCs w:val="16"/>
          <w:color w:val="auto"/>
        </w:rPr>
        <w:t>. (i) None of the Company, or any director, officer, or employee thereof, or, to the Company’s knowledge, any agent, affiliate or representative of the Company, is an individual or entity (“</w:t>
      </w:r>
      <w:r>
        <w:rPr>
          <w:rFonts w:ascii="Arial" w:cs="Arial" w:eastAsia="Arial" w:hAnsi="Arial"/>
          <w:sz w:val="16"/>
          <w:szCs w:val="16"/>
          <w:b w:val="1"/>
          <w:bCs w:val="1"/>
          <w:color w:val="auto"/>
        </w:rPr>
        <w:t>Person</w:t>
      </w:r>
      <w:r>
        <w:rPr>
          <w:rFonts w:ascii="Arial" w:cs="Arial" w:eastAsia="Arial" w:hAnsi="Arial"/>
          <w:sz w:val="16"/>
          <w:szCs w:val="16"/>
          <w:color w:val="auto"/>
        </w:rPr>
        <w:t>”) that is, or is owned or controlled by one or more Persons that are:</w:t>
      </w:r>
    </w:p>
    <w:p>
      <w:pPr>
        <w:spacing w:after="0" w:line="29" w:lineRule="exact"/>
        <w:rPr>
          <w:rFonts w:ascii="Arial" w:cs="Arial" w:eastAsia="Arial" w:hAnsi="Arial"/>
          <w:sz w:val="16"/>
          <w:szCs w:val="16"/>
          <w:color w:val="auto"/>
        </w:rPr>
      </w:pPr>
    </w:p>
    <w:p>
      <w:pPr>
        <w:jc w:val="both"/>
        <w:ind w:left="1960" w:right="340" w:hanging="533"/>
        <w:spacing w:after="0" w:line="263" w:lineRule="auto"/>
        <w:tabs>
          <w:tab w:leader="none" w:pos="19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the Treasury’s Office of Foreign Assets Control, the United Nations Security Council, the European Union,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89" w:lineRule="exact"/>
        <w:rPr>
          <w:rFonts w:ascii="Arial" w:cs="Arial" w:eastAsia="Arial" w:hAnsi="Arial"/>
          <w:sz w:val="18"/>
          <w:szCs w:val="18"/>
          <w:color w:val="auto"/>
        </w:rPr>
      </w:pPr>
    </w:p>
    <w:p>
      <w:pPr>
        <w:ind w:left="1960" w:right="60" w:hanging="533"/>
        <w:spacing w:after="0" w:line="277" w:lineRule="auto"/>
        <w:tabs>
          <w:tab w:leader="none" w:pos="19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and Syria).</w:t>
      </w:r>
    </w:p>
    <w:p>
      <w:pPr>
        <w:spacing w:after="0" w:line="75" w:lineRule="exact"/>
        <w:rPr>
          <w:rFonts w:ascii="Arial" w:cs="Arial" w:eastAsia="Arial" w:hAnsi="Arial"/>
          <w:sz w:val="18"/>
          <w:szCs w:val="18"/>
          <w:color w:val="auto"/>
        </w:rPr>
      </w:pPr>
    </w:p>
    <w:p>
      <w:pPr>
        <w:ind w:left="1420" w:right="140" w:hanging="439"/>
        <w:spacing w:after="0" w:line="277"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joint venture partner or other Person:</w:t>
      </w:r>
    </w:p>
    <w:p>
      <w:pPr>
        <w:spacing w:after="0" w:line="75" w:lineRule="exact"/>
        <w:rPr>
          <w:rFonts w:ascii="Arial" w:cs="Arial" w:eastAsia="Arial" w:hAnsi="Arial"/>
          <w:sz w:val="18"/>
          <w:szCs w:val="18"/>
          <w:color w:val="auto"/>
        </w:rPr>
      </w:pPr>
    </w:p>
    <w:p>
      <w:pPr>
        <w:ind w:left="1960" w:right="320" w:hanging="533"/>
        <w:spacing w:after="0" w:line="277" w:lineRule="auto"/>
        <w:tabs>
          <w:tab w:leader="none" w:pos="19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75" w:lineRule="exact"/>
        <w:rPr>
          <w:rFonts w:ascii="Arial" w:cs="Arial" w:eastAsia="Arial" w:hAnsi="Arial"/>
          <w:sz w:val="18"/>
          <w:szCs w:val="18"/>
          <w:color w:val="auto"/>
        </w:rPr>
      </w:pPr>
    </w:p>
    <w:p>
      <w:pPr>
        <w:ind w:left="1960" w:right="440" w:hanging="533"/>
        <w:spacing w:after="0" w:line="277" w:lineRule="auto"/>
        <w:tabs>
          <w:tab w:leader="none" w:pos="19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agent, advisor, investor or otherwise).</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3"/>
          <w:numId w:val="52"/>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960"/>
          </w:cols>
          <w:pgMar w:left="440" w:top="274" w:right="499" w:bottom="1440" w:gutter="0" w:footer="0" w:header="0"/>
        </w:sectPr>
      </w:pPr>
    </w:p>
    <w:bookmarkStart w:id="73" w:name="page74"/>
    <w:bookmarkEnd w:id="73"/>
    <w:p>
      <w:pPr>
        <w:jc w:val="both"/>
        <w:ind w:left="1424" w:right="360" w:hanging="439"/>
        <w:spacing w:after="0" w:line="263" w:lineRule="auto"/>
        <w:tabs>
          <w:tab w:leader="none" w:pos="1424" w:val="left"/>
        </w:tabs>
        <w:numPr>
          <w:ilvl w:val="2"/>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past 5 years, the Company has not knowingly engaged in, is not now knowingly engaged in, and will not engage in, any dealings or transactions with any Person, or in any country or territory, that at the time of the dealing or transaction is or was the subject of Sanctions.</w:t>
      </w:r>
    </w:p>
    <w:p>
      <w:pPr>
        <w:spacing w:after="0" w:line="75" w:lineRule="exact"/>
        <w:rPr>
          <w:rFonts w:ascii="Arial" w:cs="Arial" w:eastAsia="Arial" w:hAnsi="Arial"/>
          <w:sz w:val="18"/>
          <w:szCs w:val="18"/>
          <w:color w:val="auto"/>
        </w:rPr>
      </w:pPr>
    </w:p>
    <w:p>
      <w:pPr>
        <w:ind w:left="4" w:right="60" w:firstLine="436"/>
        <w:spacing w:after="0" w:line="270" w:lineRule="auto"/>
        <w:tabs>
          <w:tab w:leader="none" w:pos="789"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Company’s Accounting System</w:t>
      </w:r>
      <w:r>
        <w:rPr>
          <w:rFonts w:ascii="Arial" w:cs="Arial" w:eastAsia="Arial" w:hAnsi="Arial"/>
          <w:sz w:val="17"/>
          <w:szCs w:val="17"/>
          <w:color w:val="auto"/>
        </w:rPr>
        <w:t>.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and adversely affected, or is reasonably likely to materially and adversely affect, the Company’s internal control over financial reporting.</w:t>
      </w:r>
    </w:p>
    <w:p>
      <w:pPr>
        <w:spacing w:after="0" w:line="72" w:lineRule="exact"/>
        <w:rPr>
          <w:rFonts w:ascii="Arial" w:cs="Arial" w:eastAsia="Arial" w:hAnsi="Arial"/>
          <w:sz w:val="17"/>
          <w:szCs w:val="17"/>
          <w:color w:val="auto"/>
        </w:rPr>
      </w:pPr>
    </w:p>
    <w:p>
      <w:pPr>
        <w:ind w:left="4" w:right="60" w:firstLine="436"/>
        <w:spacing w:after="0" w:line="286" w:lineRule="auto"/>
        <w:tabs>
          <w:tab w:leader="none" w:pos="769"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No Material Labor Disturbance</w:t>
      </w:r>
      <w:r>
        <w:rPr>
          <w:rFonts w:ascii="Arial" w:cs="Arial" w:eastAsia="Arial" w:hAnsi="Arial"/>
          <w:sz w:val="17"/>
          <w:szCs w:val="17"/>
          <w:color w:val="auto"/>
        </w:rPr>
        <w:t>. No material labor dispute with the employees of the Company exists, or, to the knowledge of the Company, is imminent; and the Company is not aware of any existing, threatened or imminent labor disturbance by the employees of any of its principal suppliers, manufacturers or contractors that would, singly or in the aggregate, have a material adverse effect on the Company.</w:t>
      </w:r>
    </w:p>
    <w:p>
      <w:pPr>
        <w:spacing w:after="0" w:line="57" w:lineRule="exact"/>
        <w:rPr>
          <w:rFonts w:ascii="Arial" w:cs="Arial" w:eastAsia="Arial" w:hAnsi="Arial"/>
          <w:sz w:val="17"/>
          <w:szCs w:val="17"/>
          <w:color w:val="auto"/>
        </w:rPr>
      </w:pPr>
    </w:p>
    <w:p>
      <w:pPr>
        <w:ind w:left="4" w:firstLine="436"/>
        <w:spacing w:after="0" w:line="283" w:lineRule="auto"/>
        <w:tabs>
          <w:tab w:leader="none" w:pos="789"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Compliance with Environmental Laws</w:t>
      </w:r>
      <w:r>
        <w:rPr>
          <w:rFonts w:ascii="Arial" w:cs="Arial" w:eastAsia="Arial" w:hAnsi="Arial"/>
          <w:sz w:val="16"/>
          <w:szCs w:val="16"/>
          <w:color w:val="auto"/>
        </w:rPr>
        <w:t>. (i) The Company (A) is, and has been, in compliance with any and all applicable foreign, federal, state and local laws, rules, orders, consents and regulations relating to the protection of health and human safety, the environment, natural resources, and hazardous or toxic substances, wastes, chemicals, pollutants or contaminants (“</w:t>
      </w:r>
      <w:r>
        <w:rPr>
          <w:rFonts w:ascii="Arial" w:cs="Arial" w:eastAsia="Arial" w:hAnsi="Arial"/>
          <w:sz w:val="16"/>
          <w:szCs w:val="16"/>
          <w:b w:val="1"/>
          <w:bCs w:val="1"/>
          <w:color w:val="auto"/>
        </w:rPr>
        <w:t>Environmental Laws</w:t>
      </w:r>
      <w:r>
        <w:rPr>
          <w:rFonts w:ascii="Arial" w:cs="Arial" w:eastAsia="Arial" w:hAnsi="Arial"/>
          <w:sz w:val="16"/>
          <w:szCs w:val="16"/>
          <w:color w:val="auto"/>
        </w:rPr>
        <w:t>”), (B) have received all permits, licenses or other approvals required of them under applicable Environmental Laws to conduct their respective businesses, (C) are in compliance with all terms and conditions of any such permit, license or approval and (D) have not received notices of, and have no knowledge of any event or condition that would reasonably be expected to result in, any actual or potential liability or violation, and is not subject to any pending or to the Company’s knowledge, threatened action, suit, proceeding, investigation or claim, arising under or relating to any Environmental Law, except where such noncompliance with Environmental Laws, failure to receive required permits, licenses or other approvals, failure to comply with the terms and conditions of such permits, licenses or approvals, or notice, action, suit, proceeding, investigation or claim would not, singularly or in the aggregate, reasonably be expected to have a material adverse effect on the Company, (ii) there are no costs (including anticipated capital expenditures), obligations or liabilities associated with or arising under Environmental Laws of or relating to the Company and (iii) except as described in the Registration Statement and the Prospectus, (A) there are no proceedings pending, or to the Company’s knowledge, contemplated, against the Company under Environmental Laws in which a government authority is also a party, other than such proceedings in which it is reasonably believed no monetary sanctions of $100,000 or more will be imposed and</w:t>
      </w:r>
    </w:p>
    <w:p>
      <w:pPr>
        <w:spacing w:after="0" w:line="1" w:lineRule="exact"/>
        <w:rPr>
          <w:rFonts w:ascii="Arial" w:cs="Arial" w:eastAsia="Arial" w:hAnsi="Arial"/>
          <w:sz w:val="16"/>
          <w:szCs w:val="16"/>
          <w:color w:val="auto"/>
        </w:rPr>
      </w:pPr>
    </w:p>
    <w:p>
      <w:pPr>
        <w:ind w:left="4" w:right="580" w:hanging="4"/>
        <w:spacing w:after="0" w:line="260" w:lineRule="auto"/>
        <w:tabs>
          <w:tab w:leader="none" w:pos="28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is not aware of any facts or issues regarding compliance with Environmental Laws that could reasonably be expected to have a material effect on the capital expenditures, earnings or competitive position of the Company.</w:t>
      </w:r>
    </w:p>
    <w:p>
      <w:pPr>
        <w:spacing w:after="0" w:line="117" w:lineRule="exact"/>
        <w:rPr>
          <w:rFonts w:ascii="Arial" w:cs="Arial" w:eastAsia="Arial" w:hAnsi="Arial"/>
          <w:sz w:val="18"/>
          <w:szCs w:val="18"/>
          <w:color w:val="auto"/>
        </w:rPr>
      </w:pPr>
    </w:p>
    <w:p>
      <w:pPr>
        <w:ind w:left="5424" w:hanging="108"/>
        <w:spacing w:after="0"/>
        <w:tabs>
          <w:tab w:leader="none" w:pos="5424" w:val="left"/>
        </w:tabs>
        <w:numPr>
          <w:ilvl w:val="3"/>
          <w:numId w:val="55"/>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04"/>
          </w:cols>
          <w:pgMar w:left="436" w:top="274" w:right="459" w:bottom="1440" w:gutter="0" w:footer="0" w:header="0"/>
        </w:sectPr>
      </w:pPr>
    </w:p>
    <w:bookmarkStart w:id="74" w:name="page75"/>
    <w:bookmarkEnd w:id="74"/>
    <w:p>
      <w:pPr>
        <w:ind w:left="-436" w:right="40" w:firstLine="436"/>
        <w:spacing w:after="0" w:line="286" w:lineRule="auto"/>
        <w:tabs>
          <w:tab w:leader="none" w:pos="328"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Intellectual Property</w:t>
      </w:r>
      <w:r>
        <w:rPr>
          <w:rFonts w:ascii="Arial" w:cs="Arial" w:eastAsia="Arial" w:hAnsi="Arial"/>
          <w:sz w:val="16"/>
          <w:szCs w:val="16"/>
          <w:color w:val="auto"/>
        </w:rPr>
        <w:t>. (i) The Company solely and exclusively owns or has a valid and enforceable license or right to use all patents, inventions, copyrights, know how (including trade secrets and other unpatented and/or unpatentable proprietary or confidential information, systems or procedures), trademarks, service marks, trade names and all other intellectual property and similar proprietary rights (including all registrations and applications for registration of, and all goodwill associated with, any of the foregoing, as applicable)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used in or reasonably necessary to conduct its business; (ii) the Intellectual Property Rights owned by the Company and, to the Company’s knowledge, the Intellectual Property Rights licensed to the Company, are valid, subsisting and enforceable, and there is no material pending or, to the Company’s knowledge, threatened action, suit, proceeding or claim by others challenging the validity, scope or enforceability of any such Intellectual Property Rights; (iii) the Company has not received any written notice alleging any material infringement, misappropriation or other violation of Intellectual Property Rights; (iv) to the Company’s knowledge, no third party is infringing, misappropriating or otherwise violating, or has infringed, misappropriated or otherwise violated, any Intellectual Property Rights owned or licensed by the Company; (v) the Company does not infringe, misappropriate or otherwise violate, nor has infringed, misappropriated or otherwise violated, any Intellectual Property Rights; (vi) all employees or contractors engaged in the development of Intellectual Property Rights on behalf of the Company have executed an invention assignment agreement whereby such employees or contractors presently assign all of their right, title and interest in and to such Intellectual Property Rights to the Company, and to the Company’s knowledge no such agreement has been breached or violated; and (vii) the Company uses, and has used, commercially reasonable efforts to appropriately maintain all information intended to be maintained as a trade secret.</w:t>
      </w:r>
    </w:p>
    <w:p>
      <w:pPr>
        <w:spacing w:after="0" w:line="59" w:lineRule="exact"/>
        <w:rPr>
          <w:rFonts w:ascii="Arial" w:cs="Arial" w:eastAsia="Arial" w:hAnsi="Arial"/>
          <w:sz w:val="16"/>
          <w:szCs w:val="16"/>
          <w:color w:val="auto"/>
        </w:rPr>
      </w:pPr>
    </w:p>
    <w:p>
      <w:pPr>
        <w:ind w:left="-436" w:firstLine="436"/>
        <w:spacing w:after="0" w:line="271" w:lineRule="auto"/>
        <w:tabs>
          <w:tab w:leader="none" w:pos="285"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Listing</w:t>
      </w:r>
      <w:r>
        <w:rPr>
          <w:rFonts w:ascii="Arial" w:cs="Arial" w:eastAsia="Arial" w:hAnsi="Arial"/>
          <w:sz w:val="17"/>
          <w:szCs w:val="17"/>
          <w:color w:val="auto"/>
        </w:rPr>
        <w:t>. The Company is subject to and in compliance in all material respects with the reporting requirements of Section 13 or Section 15(d) of the Exchange Act. The Common Stock is registered pursuant to Section 12(b) or Section 12(g) of the Exchange Act and is listed on the Nasdaq,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Nasdaq is contemplating terminating such registration or listing. All of the Placement Shares that have been or may be sold under this Agreement have been approved for listing on the Nasdaq, subject to official notice of issuance; the Company has taken all necessary actions to ensure that, upon and at all times after the Nasdaq shall have approved the Placement Shares for listing, it will be in compliance with all applicable corporate governance requirements set forth in the Nasdaq’s listing rules that are then in effect.</w:t>
      </w:r>
    </w:p>
    <w:p>
      <w:pPr>
        <w:spacing w:after="0" w:line="70" w:lineRule="exact"/>
        <w:rPr>
          <w:rFonts w:ascii="Arial" w:cs="Arial" w:eastAsia="Arial" w:hAnsi="Arial"/>
          <w:sz w:val="17"/>
          <w:szCs w:val="17"/>
          <w:color w:val="auto"/>
        </w:rPr>
      </w:pPr>
    </w:p>
    <w:p>
      <w:pPr>
        <w:ind w:left="-436" w:right="40" w:firstLine="436"/>
        <w:spacing w:after="0" w:line="277" w:lineRule="auto"/>
        <w:tabs>
          <w:tab w:leader="none" w:pos="349"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for Cowen, there is no broker, finder or other party that is entitled to receive from the Company any brokerage or finder’s fee or other fee or commission as a result of any transactions contemplated by this Agreement.</w:t>
      </w:r>
    </w:p>
    <w:p>
      <w:pPr>
        <w:spacing w:after="0" w:line="62" w:lineRule="exact"/>
        <w:rPr>
          <w:rFonts w:ascii="Arial" w:cs="Arial" w:eastAsia="Arial" w:hAnsi="Arial"/>
          <w:sz w:val="18"/>
          <w:szCs w:val="18"/>
          <w:color w:val="auto"/>
        </w:rPr>
      </w:pPr>
    </w:p>
    <w:p>
      <w:pPr>
        <w:ind w:left="-436" w:right="60" w:firstLine="436"/>
        <w:spacing w:after="0" w:line="263" w:lineRule="auto"/>
        <w:tabs>
          <w:tab w:leader="none" w:pos="349"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 Outstanding Loans or Other Indebtedness</w:t>
      </w:r>
      <w:r>
        <w:rPr>
          <w:rFonts w:ascii="Arial" w:cs="Arial" w:eastAsia="Arial" w:hAnsi="Arial"/>
          <w:sz w:val="18"/>
          <w:szCs w:val="18"/>
          <w:color w:val="auto"/>
        </w:rPr>
        <w:t>. Except as described in the Prospectus, there are no outstanding loans, advances (except normal advances for business expenses in the ordinary course of business) or guarantees or indebtedness by the Company to or for the benefit of any of the officers or directors of the Company or any of the members of any of them.</w:t>
      </w:r>
    </w:p>
    <w:p>
      <w:pPr>
        <w:spacing w:after="0" w:line="116" w:lineRule="exact"/>
        <w:rPr>
          <w:rFonts w:ascii="Arial" w:cs="Arial" w:eastAsia="Arial" w:hAnsi="Arial"/>
          <w:sz w:val="18"/>
          <w:szCs w:val="18"/>
          <w:color w:val="auto"/>
        </w:rPr>
      </w:pPr>
    </w:p>
    <w:p>
      <w:pPr>
        <w:ind w:left="4984" w:hanging="111"/>
        <w:spacing w:after="0"/>
        <w:tabs>
          <w:tab w:leader="none" w:pos="4984" w:val="left"/>
        </w:tabs>
        <w:numPr>
          <w:ilvl w:val="1"/>
          <w:numId w:val="56"/>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584"/>
          </w:cols>
          <w:pgMar w:left="876" w:top="274" w:right="439" w:bottom="1440" w:gutter="0" w:footer="0" w:header="0"/>
        </w:sectPr>
      </w:pPr>
    </w:p>
    <w:bookmarkStart w:id="75" w:name="page76"/>
    <w:bookmarkEnd w:id="75"/>
    <w:p>
      <w:pPr>
        <w:ind w:left="-436" w:right="100" w:firstLine="436"/>
        <w:spacing w:after="0" w:line="277" w:lineRule="auto"/>
        <w:tabs>
          <w:tab w:leader="none" w:pos="269"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Reliance</w:t>
      </w:r>
      <w:r>
        <w:rPr>
          <w:rFonts w:ascii="Arial" w:cs="Arial" w:eastAsia="Arial" w:hAnsi="Arial"/>
          <w:sz w:val="18"/>
          <w:szCs w:val="18"/>
          <w:color w:val="auto"/>
        </w:rPr>
        <w:t>. The Company has not relied upon Cowen or legal counsel for Cowen for any legal, tax or accounting advice in connection with the offering and sale of the Placement Shares.</w:t>
      </w:r>
    </w:p>
    <w:p>
      <w:pPr>
        <w:spacing w:after="0" w:line="62" w:lineRule="exact"/>
        <w:rPr>
          <w:rFonts w:ascii="Arial" w:cs="Arial" w:eastAsia="Arial" w:hAnsi="Arial"/>
          <w:sz w:val="18"/>
          <w:szCs w:val="18"/>
          <w:color w:val="auto"/>
        </w:rPr>
      </w:pPr>
    </w:p>
    <w:p>
      <w:pPr>
        <w:ind w:left="-436" w:right="100" w:firstLine="436"/>
        <w:spacing w:after="0" w:line="257" w:lineRule="auto"/>
        <w:tabs>
          <w:tab w:leader="none" w:pos="2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Material Change to Liabilities or Obligations. Subsequent to the respective dates as of which information is given in each of the Registration Statement and the Prospectus, (i) the Company has not incurred any material liability or obligation, direct or contingent, nor entered into any material transaction; (ii) the Company has not purchased any of its outstanding capital stock, nor declared, paid or otherwise made any dividend or distribution of any kind on its capital stock other than ordinary and customary dividends; and (iii) there has not been any material change in the capital stock, short-term debt or long-term debt of the Company.</w:t>
      </w:r>
    </w:p>
    <w:p>
      <w:pPr>
        <w:spacing w:after="0" w:line="79" w:lineRule="exact"/>
        <w:rPr>
          <w:rFonts w:ascii="Arial" w:cs="Arial" w:eastAsia="Arial" w:hAnsi="Arial"/>
          <w:sz w:val="18"/>
          <w:szCs w:val="18"/>
          <w:color w:val="auto"/>
        </w:rPr>
      </w:pPr>
    </w:p>
    <w:p>
      <w:pPr>
        <w:ind w:left="-436" w:right="40" w:firstLine="436"/>
        <w:spacing w:after="0" w:line="272" w:lineRule="auto"/>
        <w:tabs>
          <w:tab w:leader="none" w:pos="349"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Privacy Laws</w:t>
      </w:r>
      <w:r>
        <w:rPr>
          <w:rFonts w:ascii="Arial" w:cs="Arial" w:eastAsia="Arial" w:hAnsi="Arial"/>
          <w:sz w:val="17"/>
          <w:szCs w:val="17"/>
          <w:color w:val="auto"/>
        </w:rPr>
        <w:t>. (i) The Company has complied in all material respects and is presently in compliance with all internal and external privacy policies, contractual obligations,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of personally identifiable or other regulated data (“</w:t>
      </w:r>
      <w:r>
        <w:rPr>
          <w:rFonts w:ascii="Arial" w:cs="Arial" w:eastAsia="Arial" w:hAnsi="Arial"/>
          <w:sz w:val="17"/>
          <w:szCs w:val="17"/>
          <w:b w:val="1"/>
          <w:bCs w:val="1"/>
          <w:color w:val="auto"/>
        </w:rPr>
        <w:t>Data Security Obligations</w:t>
      </w:r>
      <w:r>
        <w:rPr>
          <w:rFonts w:ascii="Arial" w:cs="Arial" w:eastAsia="Arial" w:hAnsi="Arial"/>
          <w:sz w:val="17"/>
          <w:szCs w:val="17"/>
          <w:color w:val="auto"/>
        </w:rPr>
        <w:t>”, and such data, “</w:t>
      </w:r>
      <w:r>
        <w:rPr>
          <w:rFonts w:ascii="Arial" w:cs="Arial" w:eastAsia="Arial" w:hAnsi="Arial"/>
          <w:sz w:val="17"/>
          <w:szCs w:val="17"/>
          <w:b w:val="1"/>
          <w:bCs w:val="1"/>
          <w:color w:val="auto"/>
        </w:rPr>
        <w:t>Data</w:t>
      </w:r>
      <w:r>
        <w:rPr>
          <w:rFonts w:ascii="Arial" w:cs="Arial" w:eastAsia="Arial" w:hAnsi="Arial"/>
          <w:sz w:val="17"/>
          <w:szCs w:val="17"/>
          <w:color w:val="auto"/>
        </w:rPr>
        <w:t>”); (ii) the Company has not received any written notification of or complaint regarding material non-compliance with any Data Security Obligation; and (iii) there is no action, suit, investigation or proceeding by or before any court or governmental agency, authority or body pending or, to the Company’s knowledge, threatened alleging non-compliance with any Data Security Obligation.</w:t>
      </w:r>
    </w:p>
    <w:p>
      <w:pPr>
        <w:spacing w:after="0" w:line="69" w:lineRule="exact"/>
        <w:rPr>
          <w:rFonts w:ascii="Arial" w:cs="Arial" w:eastAsia="Arial" w:hAnsi="Arial"/>
          <w:sz w:val="17"/>
          <w:szCs w:val="17"/>
          <w:color w:val="auto"/>
        </w:rPr>
      </w:pPr>
    </w:p>
    <w:p>
      <w:pPr>
        <w:ind w:left="-436" w:firstLine="436"/>
        <w:spacing w:after="0" w:line="269" w:lineRule="auto"/>
        <w:tabs>
          <w:tab w:leader="none" w:pos="269"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IT Systems</w:t>
      </w:r>
      <w:r>
        <w:rPr>
          <w:rFonts w:ascii="Arial" w:cs="Arial" w:eastAsia="Arial" w:hAnsi="Arial"/>
          <w:sz w:val="17"/>
          <w:szCs w:val="17"/>
          <w:color w:val="auto"/>
        </w:rPr>
        <w:t>. The Company’s information technology assets and equipment, computers, systems, networks, hardware, software, internet websites, applications and data and databases (including the data of their respective customers, employees, suppliers, vendors and any third-party data maintained by or on behalf of the Company) (collectively, “</w:t>
      </w:r>
      <w:r>
        <w:rPr>
          <w:rFonts w:ascii="Arial" w:cs="Arial" w:eastAsia="Arial" w:hAnsi="Arial"/>
          <w:sz w:val="17"/>
          <w:szCs w:val="17"/>
          <w:b w:val="1"/>
          <w:bCs w:val="1"/>
          <w:color w:val="auto"/>
        </w:rPr>
        <w:t>IT Systems</w:t>
      </w:r>
      <w:r>
        <w:rPr>
          <w:rFonts w:ascii="Arial" w:cs="Arial" w:eastAsia="Arial" w:hAnsi="Arial"/>
          <w:sz w:val="17"/>
          <w:szCs w:val="17"/>
          <w:color w:val="auto"/>
        </w:rPr>
        <w:t>”) are adequate for, and operate and perform in all material respects as required in connection with, the operation of the business of the Company, free and clear of all bugs, errors, defects, Trojan horses, time bombs, malware and other corruptants. The Company has implemented reasonable controls, policies, procedures and technical safeguards to protect the IT Systems and Data used in connection with the operation of the Company’s business. Without limiting the foregoing, the Company has used reasonable efforts to implement appropriate controls, policies, procedures and technical safeguards to establish and maintain, and have implemented, maintained and complied with, reasonable data protection controls, policies and procedures that are designed to protect against and prevent breach, destruction, loss, unauthorized distribution, use, access, disablement, misappropriation or modification, or other compromise or misuse of any IT Systems or Data used in connection with the operation of the Company’s business (“</w:t>
      </w:r>
      <w:r>
        <w:rPr>
          <w:rFonts w:ascii="Arial" w:cs="Arial" w:eastAsia="Arial" w:hAnsi="Arial"/>
          <w:sz w:val="17"/>
          <w:szCs w:val="17"/>
          <w:b w:val="1"/>
          <w:bCs w:val="1"/>
          <w:color w:val="auto"/>
        </w:rPr>
        <w:t>Breach</w:t>
      </w:r>
      <w:r>
        <w:rPr>
          <w:rFonts w:ascii="Arial" w:cs="Arial" w:eastAsia="Arial" w:hAnsi="Arial"/>
          <w:sz w:val="17"/>
          <w:szCs w:val="17"/>
          <w:color w:val="auto"/>
        </w:rPr>
        <w:t>”). To the Company’s knowledge, there has been no material Breach, and the Company has not been notified of and has no knowledge of any event or condition that would reasonably be expected to result in, any such material Breach.</w:t>
      </w:r>
    </w:p>
    <w:p>
      <w:pPr>
        <w:spacing w:after="0" w:line="111" w:lineRule="exact"/>
        <w:rPr>
          <w:rFonts w:ascii="Arial" w:cs="Arial" w:eastAsia="Arial" w:hAnsi="Arial"/>
          <w:sz w:val="17"/>
          <w:szCs w:val="17"/>
          <w:color w:val="auto"/>
        </w:rPr>
      </w:pPr>
    </w:p>
    <w:p>
      <w:pPr>
        <w:ind w:left="4984" w:hanging="111"/>
        <w:spacing w:after="0"/>
        <w:tabs>
          <w:tab w:leader="none" w:pos="49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-3533775</wp:posOffset>
            </wp:positionV>
            <wp:extent cx="22561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2256155" cy="8255"/>
                    </a:xfrm>
                    <a:prstGeom prst="rect">
                      <a:avLst/>
                    </a:prstGeom>
                    <a:noFill/>
                  </pic:spPr>
                </pic:pic>
              </a:graphicData>
            </a:graphic>
          </wp:anchor>
        </w:drawing>
      </w:r>
    </w:p>
    <w:p>
      <w:pPr>
        <w:sectPr>
          <w:pgSz w:w="11900" w:h="16838" w:orient="portrait"/>
          <w:cols w:equalWidth="0" w:num="1">
            <w:col w:w="10524"/>
          </w:cols>
          <w:pgMar w:left="876" w:top="274" w:right="499" w:bottom="1440" w:gutter="0" w:footer="0" w:header="0"/>
        </w:sectPr>
      </w:pPr>
    </w:p>
    <w:bookmarkStart w:id="76" w:name="page77"/>
    <w:bookmarkEnd w:id="76"/>
    <w:p>
      <w:pPr>
        <w:ind w:left="-436" w:firstLine="436"/>
        <w:spacing w:after="0" w:line="255" w:lineRule="auto"/>
        <w:tabs>
          <w:tab w:leader="none" w:pos="449"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and Marketable Title; Valid Leases</w:t>
      </w:r>
      <w:r>
        <w:rPr>
          <w:rFonts w:ascii="Arial" w:cs="Arial" w:eastAsia="Arial" w:hAnsi="Arial"/>
          <w:sz w:val="18"/>
          <w:szCs w:val="18"/>
          <w:color w:val="auto"/>
        </w:rPr>
        <w:t>. The Company has good and marketable title to all real property and good and marketable title to all personal property owned by them which is material to the business of the Company, free and clear of all liens, encumbrances and defects except such as do not materially affect the value of such property and do not materially interfere with the use made and proposed to be made of such property by the Company; and any real property and buildings held under lease by the Company is held under valid, subsisting and enforceable leases with such exceptions as are not material and would not reasonably be expected to materially interfere with the use made and proposed to be made of such property and buildings by the Company.</w:t>
      </w:r>
    </w:p>
    <w:p>
      <w:pPr>
        <w:spacing w:after="0" w:line="84" w:lineRule="exact"/>
        <w:rPr>
          <w:rFonts w:ascii="Arial" w:cs="Arial" w:eastAsia="Arial" w:hAnsi="Arial"/>
          <w:sz w:val="18"/>
          <w:szCs w:val="18"/>
          <w:color w:val="auto"/>
        </w:rPr>
      </w:pPr>
    </w:p>
    <w:p>
      <w:pPr>
        <w:ind w:left="-436" w:right="20" w:firstLine="436"/>
        <w:spacing w:after="0" w:line="254" w:lineRule="auto"/>
        <w:tabs>
          <w:tab w:leader="none" w:pos="349"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Open Source Software</w:t>
      </w:r>
      <w:r>
        <w:rPr>
          <w:rFonts w:ascii="Arial" w:cs="Arial" w:eastAsia="Arial" w:hAnsi="Arial"/>
          <w:sz w:val="18"/>
          <w:szCs w:val="18"/>
          <w:color w:val="auto"/>
        </w:rPr>
        <w:t>. (i) The Company uses and has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Arial" w:cs="Arial" w:eastAsia="Arial" w:hAnsi="Arial"/>
          <w:sz w:val="18"/>
          <w:szCs w:val="18"/>
          <w:b w:val="1"/>
          <w:bCs w:val="1"/>
          <w:color w:val="auto"/>
        </w:rPr>
        <w:t>Open Source Software</w:t>
      </w:r>
      <w:r>
        <w:rPr>
          <w:rFonts w:ascii="Arial" w:cs="Arial" w:eastAsia="Arial" w:hAnsi="Arial"/>
          <w:sz w:val="18"/>
          <w:szCs w:val="18"/>
          <w:color w:val="auto"/>
        </w:rPr>
        <w:t>”) in compliance with all license terms applicable to such Open Source Software; and (ii) the Company does not use or distribute nor has used or distributed any Open Source Software in any manner that requires or has required (A) the Company to permit reverse engineering of any software code or other technology owned by the Company or (B) any software code or other technology owned by the Company to be (1) disclosed or distributed in source code form, (2) licensed for the purpose of making derivative works or (3) redistributed at no charge.</w:t>
      </w:r>
    </w:p>
    <w:p>
      <w:pPr>
        <w:spacing w:after="0" w:line="86" w:lineRule="exact"/>
        <w:rPr>
          <w:rFonts w:ascii="Arial" w:cs="Arial" w:eastAsia="Arial" w:hAnsi="Arial"/>
          <w:sz w:val="18"/>
          <w:szCs w:val="18"/>
          <w:color w:val="auto"/>
        </w:rPr>
      </w:pPr>
    </w:p>
    <w:p>
      <w:pPr>
        <w:ind w:left="-436" w:right="100" w:firstLine="436"/>
        <w:spacing w:after="0" w:line="259" w:lineRule="auto"/>
        <w:tabs>
          <w:tab w:leader="none" w:pos="349"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Regulatory Compliance</w:t>
      </w:r>
      <w:r>
        <w:rPr>
          <w:rFonts w:ascii="Arial" w:cs="Arial" w:eastAsia="Arial" w:hAnsi="Arial"/>
          <w:sz w:val="18"/>
          <w:szCs w:val="18"/>
          <w:color w:val="auto"/>
        </w:rPr>
        <w:t>. The Company has operated at all times and is currently in compliance in all material respects with all applicable statutes, rules and regulations of the U.S. Food and Drug Administration (the “</w:t>
      </w:r>
      <w:r>
        <w:rPr>
          <w:rFonts w:ascii="Arial" w:cs="Arial" w:eastAsia="Arial" w:hAnsi="Arial"/>
          <w:sz w:val="18"/>
          <w:szCs w:val="18"/>
          <w:b w:val="1"/>
          <w:bCs w:val="1"/>
          <w:color w:val="auto"/>
        </w:rPr>
        <w:t>FDA</w:t>
      </w:r>
      <w:r>
        <w:rPr>
          <w:rFonts w:ascii="Arial" w:cs="Arial" w:eastAsia="Arial" w:hAnsi="Arial"/>
          <w:sz w:val="18"/>
          <w:szCs w:val="18"/>
          <w:color w:val="auto"/>
        </w:rPr>
        <w:t>”) and applicable foreign regulatory authorities, including the European Medicines Agency and the UK Medicines &amp; Healthcare products Regulatory Agency (collectively, the “Regulatory Authorities”), including, without limitation</w:t>
      </w:r>
    </w:p>
    <w:p>
      <w:pPr>
        <w:spacing w:after="0" w:line="92" w:lineRule="exact"/>
        <w:rPr>
          <w:rFonts w:ascii="Arial" w:cs="Arial" w:eastAsia="Arial" w:hAnsi="Arial"/>
          <w:sz w:val="18"/>
          <w:szCs w:val="18"/>
          <w:color w:val="auto"/>
        </w:rPr>
      </w:pPr>
    </w:p>
    <w:p>
      <w:pPr>
        <w:ind w:left="984" w:hanging="439"/>
        <w:spacing w:after="0"/>
        <w:tabs>
          <w:tab w:leader="none" w:pos="984"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Federal Food, Drug, and Cosmetic Act and the regulations promulgated thereunder;</w:t>
      </w:r>
    </w:p>
    <w:p>
      <w:pPr>
        <w:spacing w:after="0" w:line="130" w:lineRule="exact"/>
        <w:rPr>
          <w:rFonts w:ascii="Arial" w:cs="Arial" w:eastAsia="Arial" w:hAnsi="Arial"/>
          <w:sz w:val="18"/>
          <w:szCs w:val="18"/>
          <w:color w:val="auto"/>
        </w:rPr>
      </w:pPr>
    </w:p>
    <w:p>
      <w:pPr>
        <w:ind w:left="984" w:hanging="439"/>
        <w:spacing w:after="0"/>
        <w:tabs>
          <w:tab w:leader="none" w:pos="984" w:val="left"/>
        </w:tabs>
        <w:numPr>
          <w:ilvl w:val="1"/>
          <w:numId w:val="58"/>
        </w:numPr>
        <w:rPr>
          <w:rFonts w:ascii="Arial" w:cs="Arial" w:eastAsia="Arial" w:hAnsi="Arial"/>
          <w:sz w:val="18"/>
          <w:szCs w:val="18"/>
          <w:color w:val="auto"/>
        </w:rPr>
      </w:pPr>
      <w:r>
        <w:rPr>
          <w:rFonts w:ascii="Arial" w:cs="Arial" w:eastAsia="Arial" w:hAnsi="Arial"/>
          <w:sz w:val="18"/>
          <w:szCs w:val="18"/>
          <w:color w:val="auto"/>
        </w:rPr>
        <w:t>applicable federal, state, local and foreign health care laws, including the U.S. Anti-Kickback Statute (42 U.S.C.</w:t>
      </w:r>
    </w:p>
    <w:p>
      <w:pPr>
        <w:spacing w:after="0" w:line="23" w:lineRule="exact"/>
        <w:rPr>
          <w:rFonts w:ascii="Arial" w:cs="Arial" w:eastAsia="Arial" w:hAnsi="Arial"/>
          <w:sz w:val="18"/>
          <w:szCs w:val="18"/>
          <w:color w:val="auto"/>
        </w:rPr>
      </w:pPr>
    </w:p>
    <w:p>
      <w:pPr>
        <w:ind w:left="984" w:right="60"/>
        <w:spacing w:after="0" w:line="290" w:lineRule="auto"/>
        <w:rPr>
          <w:rFonts w:ascii="Arial" w:cs="Arial" w:eastAsia="Arial" w:hAnsi="Arial"/>
          <w:sz w:val="18"/>
          <w:szCs w:val="18"/>
          <w:color w:val="auto"/>
        </w:rPr>
      </w:pPr>
      <w:r>
        <w:rPr>
          <w:rFonts w:ascii="Arial" w:cs="Arial" w:eastAsia="Arial" w:hAnsi="Arial"/>
          <w:sz w:val="16"/>
          <w:szCs w:val="16"/>
          <w:color w:val="auto"/>
        </w:rPr>
        <w:t>Section 1320a-7b(b)), the Civil Monetary Penalties Law (42 U.S.C. § 1320a-7a), the U.S. Civil False Claims Act (31 U.S.C. Section 3729 et seq.), all applicable federal, state, local and all foreign criminal laws relating to health care fraud and abuse, including but not limited to false statements relating to health care matters (42 U.S.C. Section 1320a-7b(a)), 18 U.S.C. Sections 286 and 287, and the health care fraud criminal provisions under the U.S.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(42 U.S.C. Section 1320d et seq.), the exclusion laws, the statutes, regulations and directives of applicable government funded or sponsored healthcare programs, and the regulations promulgated pursuant to such statutes;</w:t>
      </w:r>
    </w:p>
    <w:p>
      <w:pPr>
        <w:spacing w:after="0" w:line="69" w:lineRule="exact"/>
        <w:rPr>
          <w:rFonts w:ascii="Arial" w:cs="Arial" w:eastAsia="Arial" w:hAnsi="Arial"/>
          <w:sz w:val="18"/>
          <w:szCs w:val="18"/>
          <w:color w:val="auto"/>
        </w:rPr>
      </w:pPr>
    </w:p>
    <w:p>
      <w:pPr>
        <w:jc w:val="both"/>
        <w:ind w:left="984" w:right="120" w:hanging="439"/>
        <w:spacing w:after="0" w:line="279" w:lineRule="auto"/>
        <w:tabs>
          <w:tab w:leader="none" w:pos="984"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Standards for Privacy of Individually Identifiable Health Information,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 or any other law or regulation the purpose of which is to protect the privacy of individuals or prescribers;</w:t>
      </w:r>
    </w:p>
    <w:p>
      <w:pPr>
        <w:spacing w:after="0" w:line="103" w:lineRule="exact"/>
        <w:rPr>
          <w:rFonts w:ascii="Arial" w:cs="Arial" w:eastAsia="Arial" w:hAnsi="Arial"/>
          <w:sz w:val="17"/>
          <w:szCs w:val="17"/>
          <w:color w:val="auto"/>
        </w:rPr>
      </w:pPr>
    </w:p>
    <w:p>
      <w:pPr>
        <w:ind w:left="4984" w:hanging="111"/>
        <w:spacing w:after="0"/>
        <w:tabs>
          <w:tab w:leader="none" w:pos="4984" w:val="left"/>
        </w:tabs>
        <w:numPr>
          <w:ilvl w:val="2"/>
          <w:numId w:val="58"/>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524"/>
          </w:cols>
          <w:pgMar w:left="876" w:top="274" w:right="499" w:bottom="1440" w:gutter="0" w:footer="0" w:header="0"/>
        </w:sectPr>
      </w:pPr>
    </w:p>
    <w:bookmarkStart w:id="77" w:name="page78"/>
    <w:bookmarkEnd w:id="77"/>
    <w:p>
      <w:pPr>
        <w:ind w:left="1424" w:right="120" w:hanging="439"/>
        <w:spacing w:after="0" w:line="277" w:lineRule="auto"/>
        <w:tabs>
          <w:tab w:leader="none" w:pos="1424" w:val="left"/>
        </w:tabs>
        <w:numPr>
          <w:ilvl w:val="2"/>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Patient Protection and Affordable Care Act of 2010, as amended by the Health Care and Education Reconciliation Act of 2010, the regulations promulgated thereunder;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U.S. Controlled Substances Act (21 U.S.C. Section 801 et seq.);</w:t>
      </w:r>
    </w:p>
    <w:p>
      <w:pPr>
        <w:spacing w:after="0" w:line="126" w:lineRule="exact"/>
        <w:rPr>
          <w:rFonts w:ascii="Arial" w:cs="Arial" w:eastAsia="Arial" w:hAnsi="Arial"/>
          <w:sz w:val="18"/>
          <w:szCs w:val="18"/>
          <w:color w:val="auto"/>
        </w:rPr>
      </w:pPr>
    </w:p>
    <w:p>
      <w:pPr>
        <w:ind w:left="1424" w:hanging="439"/>
        <w:spacing w:after="0"/>
        <w:tabs>
          <w:tab w:leader="none" w:pos="1424"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Clinical Laboratories Improvement Act of 1967, as amended) (“</w:t>
      </w:r>
      <w:r>
        <w:rPr>
          <w:rFonts w:ascii="Arial" w:cs="Arial" w:eastAsia="Arial" w:hAnsi="Arial"/>
          <w:sz w:val="18"/>
          <w:szCs w:val="18"/>
          <w:b w:val="1"/>
          <w:bCs w:val="1"/>
          <w:color w:val="auto"/>
        </w:rPr>
        <w:t>CLIA</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right="220" w:hanging="439"/>
        <w:spacing w:after="0" w:line="277" w:lineRule="auto"/>
        <w:tabs>
          <w:tab w:leader="none" w:pos="1424" w:val="left"/>
        </w:tabs>
        <w:numPr>
          <w:ilvl w:val="2"/>
          <w:numId w:val="59"/>
        </w:numPr>
        <w:rPr>
          <w:rFonts w:ascii="Arial" w:cs="Arial" w:eastAsia="Arial" w:hAnsi="Arial"/>
          <w:sz w:val="18"/>
          <w:szCs w:val="18"/>
          <w:color w:val="auto"/>
        </w:rPr>
      </w:pPr>
      <w:r>
        <w:rPr>
          <w:rFonts w:ascii="Arial" w:cs="Arial" w:eastAsia="Arial" w:hAnsi="Arial"/>
          <w:sz w:val="18"/>
          <w:szCs w:val="18"/>
          <w:color w:val="auto"/>
        </w:rPr>
        <w:t>licensure, quality, safety and accreditation requirements under applicable federal, state, local or foreign laws or regulatory bodies; and</w:t>
      </w:r>
    </w:p>
    <w:p>
      <w:pPr>
        <w:spacing w:after="0" w:line="75" w:lineRule="exact"/>
        <w:rPr>
          <w:rFonts w:ascii="Arial" w:cs="Arial" w:eastAsia="Arial" w:hAnsi="Arial"/>
          <w:sz w:val="18"/>
          <w:szCs w:val="18"/>
          <w:color w:val="auto"/>
        </w:rPr>
      </w:pPr>
    </w:p>
    <w:p>
      <w:pPr>
        <w:ind w:left="1424" w:right="100" w:hanging="439"/>
        <w:spacing w:after="0" w:line="287" w:lineRule="auto"/>
        <w:tabs>
          <w:tab w:leader="none" w:pos="1424" w:val="left"/>
        </w:tabs>
        <w:numPr>
          <w:ilvl w:val="2"/>
          <w:numId w:val="59"/>
        </w:numPr>
        <w:rPr>
          <w:rFonts w:ascii="Arial" w:cs="Arial" w:eastAsia="Arial" w:hAnsi="Arial"/>
          <w:sz w:val="16"/>
          <w:szCs w:val="16"/>
          <w:color w:val="auto"/>
        </w:rPr>
      </w:pPr>
      <w:r>
        <w:rPr>
          <w:rFonts w:ascii="Arial" w:cs="Arial" w:eastAsia="Arial" w:hAnsi="Arial"/>
          <w:sz w:val="16"/>
          <w:szCs w:val="16"/>
          <w:color w:val="auto"/>
        </w:rPr>
        <w:t>all other local, state, federal, national, supranational and foreign laws, relating to the regulation of the Company and the ownership, testing, development, manufacture, packaging, processing, use, distribution, marketing, labeling, promotion, sale, offer for sale, storage, import, export or disposal of any product under development, manufactured or distributed by the Company; (clauses</w:t>
      </w:r>
    </w:p>
    <w:p>
      <w:pPr>
        <w:spacing w:after="0" w:line="2" w:lineRule="exact"/>
        <w:rPr>
          <w:rFonts w:ascii="Arial" w:cs="Arial" w:eastAsia="Arial" w:hAnsi="Arial"/>
          <w:sz w:val="16"/>
          <w:szCs w:val="16"/>
          <w:color w:val="auto"/>
        </w:rPr>
      </w:pPr>
    </w:p>
    <w:p>
      <w:pPr>
        <w:ind w:left="1624" w:hanging="207"/>
        <w:spacing w:after="0"/>
        <w:tabs>
          <w:tab w:leader="none" w:pos="1624" w:val="left"/>
        </w:tabs>
        <w:numPr>
          <w:ilvl w:val="3"/>
          <w:numId w:val="59"/>
        </w:numPr>
        <w:rPr>
          <w:rFonts w:ascii="Arial" w:cs="Arial" w:eastAsia="Arial" w:hAnsi="Arial"/>
          <w:sz w:val="18"/>
          <w:szCs w:val="18"/>
          <w:color w:val="auto"/>
        </w:rPr>
      </w:pPr>
      <w:r>
        <w:rPr>
          <w:rFonts w:ascii="Arial" w:cs="Arial" w:eastAsia="Arial" w:hAnsi="Arial"/>
          <w:sz w:val="18"/>
          <w:szCs w:val="18"/>
          <w:color w:val="auto"/>
        </w:rPr>
        <w:t>through (viii), collectively, “</w:t>
      </w:r>
      <w:r>
        <w:rPr>
          <w:rFonts w:ascii="Arial" w:cs="Arial" w:eastAsia="Arial" w:hAnsi="Arial"/>
          <w:sz w:val="18"/>
          <w:szCs w:val="18"/>
          <w:b w:val="1"/>
          <w:bCs w:val="1"/>
          <w:color w:val="auto"/>
        </w:rPr>
        <w:t>Health Care Laws</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4" w:right="40" w:firstLine="436"/>
        <w:spacing w:after="0" w:line="283" w:lineRule="auto"/>
        <w:tabs>
          <w:tab w:leader="none" w:pos="789"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Studies and Trials</w:t>
      </w:r>
      <w:r>
        <w:rPr>
          <w:rFonts w:ascii="Arial" w:cs="Arial" w:eastAsia="Arial" w:hAnsi="Arial"/>
          <w:sz w:val="16"/>
          <w:szCs w:val="16"/>
          <w:color w:val="auto"/>
        </w:rPr>
        <w:t>. (i) The studies, tests and preclinical and clinical trials conducted by or, to the Company’s knowledge, on behalf of or sponsored by the Company or in which the Company has participated, were, and if still pending are being conducted in all material respects in accordance with standard medical and experimental protocols, procedures and controls pursuant to accepted professional scientific research standards and procedures, and all applicable Health Care Laws, the rules and regulations of the Regulatory Authorities and, to the extent required, current Good Clinical Practices and Good Laboratory Practices; (ii) the descriptions of the results of such studies and trials contained in the Registration Statement or the Prospectus are accurate and complete in all material respects and fairly present the data derived from such trials and studies; (iii) the Company has no knowledge of any other studies or trials not described in the Registration Statement and the Prospectus, the results of which are materially inconsistent with or call into question the results described or referred to in the Registration Statement and the Prospectus; has provided Cowen with all substantive written notices, correspondence and summaries of all other communications provided to the Company from the Regulatory Authorities; and</w:t>
      </w:r>
    </w:p>
    <w:p>
      <w:pPr>
        <w:spacing w:after="0" w:line="5" w:lineRule="exact"/>
        <w:rPr>
          <w:rFonts w:ascii="Arial" w:cs="Arial" w:eastAsia="Arial" w:hAnsi="Arial"/>
          <w:sz w:val="16"/>
          <w:szCs w:val="16"/>
          <w:color w:val="auto"/>
        </w:rPr>
      </w:pPr>
    </w:p>
    <w:p>
      <w:pPr>
        <w:jc w:val="both"/>
        <w:ind w:left="4" w:hanging="4"/>
        <w:spacing w:after="0" w:line="255" w:lineRule="auto"/>
        <w:tabs>
          <w:tab w:leader="none" w:pos="30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has not received any written notices or correspondence from any Regulatory Authority or any other governmental entity requiring the termination, material modification or suspension of any studies or trials that are described in the Registration Statement and the Prospectus or the results of which are referred to in the Registration Statement and the Prospectus.</w:t>
      </w:r>
    </w:p>
    <w:p>
      <w:pPr>
        <w:spacing w:after="0" w:line="122" w:lineRule="exact"/>
        <w:rPr>
          <w:rFonts w:ascii="Arial" w:cs="Arial" w:eastAsia="Arial" w:hAnsi="Arial"/>
          <w:sz w:val="18"/>
          <w:szCs w:val="18"/>
          <w:color w:val="auto"/>
        </w:rPr>
      </w:pPr>
    </w:p>
    <w:p>
      <w:pPr>
        <w:ind w:left="5424" w:hanging="111"/>
        <w:spacing w:after="0"/>
        <w:tabs>
          <w:tab w:leader="none" w:pos="5424" w:val="left"/>
        </w:tabs>
        <w:numPr>
          <w:ilvl w:val="4"/>
          <w:numId w:val="61"/>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964"/>
          </w:cols>
          <w:pgMar w:left="436" w:top="274" w:right="499" w:bottom="1440" w:gutter="0" w:footer="0" w:header="0"/>
        </w:sectPr>
      </w:pPr>
    </w:p>
    <w:bookmarkStart w:id="78" w:name="page79"/>
    <w:bookmarkEnd w:id="78"/>
    <w:p>
      <w:pPr>
        <w:ind w:right="140" w:firstLine="436"/>
        <w:spacing w:after="0" w:line="286" w:lineRule="auto"/>
        <w:tabs>
          <w:tab w:leader="none" w:pos="78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Health Care Laws Compliance</w:t>
      </w:r>
      <w:r>
        <w:rPr>
          <w:rFonts w:ascii="Arial" w:cs="Arial" w:eastAsia="Arial" w:hAnsi="Arial"/>
          <w:sz w:val="16"/>
          <w:szCs w:val="16"/>
          <w:color w:val="auto"/>
        </w:rPr>
        <w:t>. (i) The Company has filed, obtained,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on the date filed (or were corrected or supplemented by a subsequent submission); (ii) the Company has not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the Company is not party to any corporate integrity agreements, monitoring agreements, consent decrees, settlement orders, or similar agreements with or imposed by any Regulatory Authority or other governmental entity; and (iv) neither the Company nor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65" w:lineRule="exact"/>
        <w:rPr>
          <w:rFonts w:ascii="Arial" w:cs="Arial" w:eastAsia="Arial" w:hAnsi="Arial"/>
          <w:sz w:val="16"/>
          <w:szCs w:val="16"/>
          <w:color w:val="auto"/>
        </w:rPr>
      </w:pPr>
    </w:p>
    <w:p>
      <w:pPr>
        <w:ind w:right="80" w:firstLine="436"/>
        <w:spacing w:after="0" w:line="279" w:lineRule="auto"/>
        <w:tabs>
          <w:tab w:leader="none" w:pos="725"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Laboratory Testing Compliance</w:t>
      </w:r>
      <w:r>
        <w:rPr>
          <w:rFonts w:ascii="Arial" w:cs="Arial" w:eastAsia="Arial" w:hAnsi="Arial"/>
          <w:sz w:val="17"/>
          <w:szCs w:val="17"/>
          <w:color w:val="auto"/>
        </w:rPr>
        <w:t>. The Company’s clinical laboratory tests are conducted in compliance with all applicable Health Care Laws, and, to the extent applicable, the respective counterparts thereof promulgated by governmental authorities in countries outside the United States. The Company has not received notice from the FDA, HHS or other governmental authority alleging or asserting noncompliance with any applicable Health Care Law. To the Company’s knowledge, neither the FDA nor any other governmental authority is considering such action.</w:t>
      </w:r>
    </w:p>
    <w:p>
      <w:pPr>
        <w:spacing w:after="0" w:line="63" w:lineRule="exact"/>
        <w:rPr>
          <w:rFonts w:ascii="Arial" w:cs="Arial" w:eastAsia="Arial" w:hAnsi="Arial"/>
          <w:sz w:val="17"/>
          <w:szCs w:val="17"/>
          <w:color w:val="auto"/>
        </w:rPr>
      </w:pPr>
    </w:p>
    <w:p>
      <w:pPr>
        <w:ind w:firstLine="436"/>
        <w:spacing w:after="0" w:line="259" w:lineRule="auto"/>
        <w:tabs>
          <w:tab w:leader="none" w:pos="74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 Issuance of Securities in Preceding Six Months</w:t>
      </w:r>
      <w:r>
        <w:rPr>
          <w:rFonts w:ascii="Arial" w:cs="Arial" w:eastAsia="Arial" w:hAnsi="Arial"/>
          <w:sz w:val="18"/>
          <w:szCs w:val="18"/>
          <w:color w:val="auto"/>
        </w:rPr>
        <w:t>.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78" w:lineRule="exact"/>
        <w:rPr>
          <w:rFonts w:ascii="Arial" w:cs="Arial" w:eastAsia="Arial" w:hAnsi="Arial"/>
          <w:sz w:val="18"/>
          <w:szCs w:val="18"/>
          <w:color w:val="auto"/>
        </w:rPr>
      </w:pPr>
    </w:p>
    <w:p>
      <w:pPr>
        <w:ind w:right="200" w:firstLine="436"/>
        <w:spacing w:after="0" w:line="277"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 Rated Securities</w:t>
      </w:r>
      <w:r>
        <w:rPr>
          <w:rFonts w:ascii="Arial" w:cs="Arial" w:eastAsia="Arial" w:hAnsi="Arial"/>
          <w:sz w:val="18"/>
          <w:szCs w:val="18"/>
          <w:color w:val="auto"/>
        </w:rPr>
        <w:t>. The Company does not have any securities rated by any “nationally recognized statistical rating organization,” as such term is defined in Section 3(a)(62)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certificate signed by an officer of the Company and delivered to Cowen or to counsel for Cowen pursuant to or in connection with this Agreement shall be deemed to be a representation and warranty by the Company to Cowen as to the matters set forth therein.</w:t>
      </w:r>
    </w:p>
    <w:p>
      <w:pPr>
        <w:spacing w:after="0" w:line="6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 xml:space="preserve">The Company acknowledges that Cowen and, for purposes of the opinions to be delivered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counsel to the Company and counsel to Cowen, will rely upon the accuracy and truthfulness of the foregoing representations and hereby consents to such reliance.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0960"/>
          </w:cols>
          <w:pgMar w:left="440" w:top="274" w:right="499" w:bottom="1440" w:gutter="0" w:footer="0" w:header="0"/>
        </w:sectPr>
      </w:pPr>
    </w:p>
    <w:bookmarkStart w:id="79" w:name="page80"/>
    <w:bookmarkEnd w:id="7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with Cowen that:</w:t>
      </w:r>
    </w:p>
    <w:p>
      <w:pPr>
        <w:spacing w:after="0" w:line="117" w:lineRule="exact"/>
        <w:rPr>
          <w:sz w:val="20"/>
          <w:szCs w:val="20"/>
          <w:color w:val="auto"/>
        </w:rPr>
      </w:pPr>
    </w:p>
    <w:p>
      <w:pPr>
        <w:ind w:left="-436" w:right="60" w:firstLine="436"/>
        <w:spacing w:after="0" w:line="284" w:lineRule="auto"/>
        <w:tabs>
          <w:tab w:leader="none" w:pos="249"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Registration Statement Amendments</w:t>
      </w:r>
      <w:r>
        <w:rPr>
          <w:rFonts w:ascii="Arial" w:cs="Arial" w:eastAsia="Arial" w:hAnsi="Arial"/>
          <w:sz w:val="16"/>
          <w:szCs w:val="16"/>
          <w:color w:val="auto"/>
        </w:rPr>
        <w:t>. After the date of this Agreement and during any period in which a Prospectus relating to any Placement Shares is required to be delivered by Cowen under the Securities Act (including in circumstances where such requirement may be satisfied pursuant to Rule 172 under the Securities Act), (i) the Company will notify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Cowen’s reasonable request, any amendments or supplements to the Registration Statement or Prospectus that, in Cowen’s reasonable opinion, may be necessary or advisable in connection with the distribution of the Placement Shares by Cowen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failure of Cowen to make such request shall not relieve the Company of any obligation or liability hereunder, or affect Cowen’s right to rely on the representations and warranties made by the Company in this Agreement); (iii) the Company will not file any amendment or supplement to the Registration Statement or Prospectus, other than documents incorporated by reference, relating to the Placement Shares or a security convertible into the Placement Shares unless a copy thereof has been submitted to Cowen within a reasonable period of time before the filing and Cowen has not reasonably objected thereto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failure of Cowen to make such objection shall not relieve the Company of any obligation or liability hereunder, or affect Cowen’s right to rely on the representations and warranties made by the Company in this Agreement) and the Company will furnish to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Cowen if at any time the Registration Statement shall no longer be effective as a result of the passage of time pursuant to Rule 415 under the Securities Act or otherwise. Prior to the initial sale of any Placement Shares, the Company shall file a final Prospectus Supplement pursuant to Rule 424(b) relating to the Placement Shares.</w:t>
      </w:r>
    </w:p>
    <w:p>
      <w:pPr>
        <w:spacing w:after="0" w:line="73" w:lineRule="exact"/>
        <w:rPr>
          <w:rFonts w:ascii="Arial" w:cs="Arial" w:eastAsia="Arial" w:hAnsi="Arial"/>
          <w:sz w:val="16"/>
          <w:szCs w:val="16"/>
          <w:color w:val="auto"/>
        </w:rPr>
      </w:pPr>
    </w:p>
    <w:p>
      <w:pPr>
        <w:ind w:left="-436" w:firstLine="436"/>
        <w:spacing w:after="0" w:line="257" w:lineRule="auto"/>
        <w:tabs>
          <w:tab w:leader="none" w:pos="259"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Notice of Commission Stop Orders</w:t>
      </w:r>
      <w:r>
        <w:rPr>
          <w:rFonts w:ascii="Arial" w:cs="Arial" w:eastAsia="Arial" w:hAnsi="Arial"/>
          <w:sz w:val="18"/>
          <w:szCs w:val="18"/>
          <w:color w:val="auto"/>
        </w:rPr>
        <w:t>. The Company will advise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79" w:lineRule="exact"/>
        <w:rPr>
          <w:rFonts w:ascii="Arial" w:cs="Arial" w:eastAsia="Arial" w:hAnsi="Arial"/>
          <w:sz w:val="18"/>
          <w:szCs w:val="18"/>
          <w:color w:val="auto"/>
        </w:rPr>
      </w:pPr>
    </w:p>
    <w:p>
      <w:pPr>
        <w:ind w:left="-436" w:right="140" w:firstLine="436"/>
        <w:spacing w:after="0" w:line="273" w:lineRule="auto"/>
        <w:tabs>
          <w:tab w:leader="none" w:pos="249"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Delivery of Prospectus; Subsequent Changes</w:t>
      </w:r>
      <w:r>
        <w:rPr>
          <w:rFonts w:ascii="Arial" w:cs="Arial" w:eastAsia="Arial" w:hAnsi="Arial"/>
          <w:sz w:val="17"/>
          <w:szCs w:val="17"/>
          <w:color w:val="auto"/>
        </w:rPr>
        <w:t>. During any period in which a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w:t>
      </w:r>
    </w:p>
    <w:p>
      <w:pPr>
        <w:spacing w:after="0" w:line="110" w:lineRule="exact"/>
        <w:rPr>
          <w:rFonts w:ascii="Arial" w:cs="Arial" w:eastAsia="Arial" w:hAnsi="Arial"/>
          <w:sz w:val="17"/>
          <w:szCs w:val="17"/>
          <w:color w:val="auto"/>
        </w:rPr>
      </w:pPr>
    </w:p>
    <w:p>
      <w:pPr>
        <w:ind w:left="4984" w:hanging="111"/>
        <w:spacing w:after="0"/>
        <w:tabs>
          <w:tab w:leader="none" w:pos="4984" w:val="left"/>
        </w:tabs>
        <w:numPr>
          <w:ilvl w:val="1"/>
          <w:numId w:val="63"/>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584"/>
          </w:cols>
          <w:pgMar w:left="876" w:top="274" w:right="439" w:bottom="1440" w:gutter="0" w:footer="0" w:header="0"/>
        </w:sectPr>
      </w:pPr>
    </w:p>
    <w:bookmarkStart w:id="80" w:name="page81"/>
    <w:bookmarkEnd w:id="80"/>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Cowen to suspend the offering of Placement Shares during such period and the Company will promptly amend or supplement the Registration Statement or Prospectus (at the expense of the Company) so as to correct such statement or omission or effect such compliance.</w:t>
      </w:r>
    </w:p>
    <w:p>
      <w:pPr>
        <w:spacing w:after="0" w:line="80" w:lineRule="exact"/>
        <w:rPr>
          <w:sz w:val="20"/>
          <w:szCs w:val="20"/>
          <w:color w:val="auto"/>
        </w:rPr>
      </w:pPr>
    </w:p>
    <w:p>
      <w:pPr>
        <w:ind w:right="40" w:firstLine="436"/>
        <w:spacing w:after="0" w:line="293" w:lineRule="auto"/>
        <w:tabs>
          <w:tab w:leader="none" w:pos="69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Listing of Placement Shares</w:t>
      </w:r>
      <w:r>
        <w:rPr>
          <w:rFonts w:ascii="Arial" w:cs="Arial" w:eastAsia="Arial" w:hAnsi="Arial"/>
          <w:sz w:val="16"/>
          <w:szCs w:val="16"/>
          <w:color w:val="auto"/>
        </w:rPr>
        <w:t xml:space="preserve">. During any period in which the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Cowen reasonably designates and to continue such qualifications in effect so long as required for the distribution of the Placement Shares;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required in connection therewith to qualify as a foreign corporation or dealer in securities or file a general consent to service of process in any jurisdiction.</w:t>
      </w:r>
    </w:p>
    <w:p>
      <w:pPr>
        <w:spacing w:after="0" w:line="56" w:lineRule="exact"/>
        <w:rPr>
          <w:rFonts w:ascii="Arial" w:cs="Arial" w:eastAsia="Arial" w:hAnsi="Arial"/>
          <w:sz w:val="16"/>
          <w:szCs w:val="16"/>
          <w:color w:val="auto"/>
        </w:rPr>
      </w:pPr>
    </w:p>
    <w:p>
      <w:pPr>
        <w:ind w:right="20" w:firstLine="436"/>
        <w:spacing w:after="0" w:line="254" w:lineRule="auto"/>
        <w:tabs>
          <w:tab w:leader="none" w:pos="68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Delivery of Registration Statement and Prospectus</w:t>
      </w:r>
      <w:r>
        <w:rPr>
          <w:rFonts w:ascii="Arial" w:cs="Arial" w:eastAsia="Arial" w:hAnsi="Arial"/>
          <w:sz w:val="18"/>
          <w:szCs w:val="18"/>
          <w:color w:val="auto"/>
        </w:rPr>
        <w:t xml:space="preserve">. The Company will furnish to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Cowen may from time to time reasonably request and, at Cowen’s request, will also furnish copies of the Prospectus to each exchange or market on which sales of the Placement Shares may be made;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not be required to furnish any document (other than the Prospectus) to Cowen to the extent such document is available on EDGAR.</w:t>
      </w:r>
    </w:p>
    <w:p>
      <w:pPr>
        <w:spacing w:after="0" w:line="83" w:lineRule="exact"/>
        <w:rPr>
          <w:rFonts w:ascii="Arial" w:cs="Arial" w:eastAsia="Arial" w:hAnsi="Arial"/>
          <w:sz w:val="18"/>
          <w:szCs w:val="18"/>
          <w:color w:val="auto"/>
        </w:rPr>
      </w:pPr>
    </w:p>
    <w:p>
      <w:pPr>
        <w:ind w:firstLine="436"/>
        <w:spacing w:after="0" w:line="259" w:lineRule="auto"/>
        <w:tabs>
          <w:tab w:leader="none" w:pos="66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For the avoidance of doubt, the Company’s timely compliance with the reporting requirements of the Exchange Act shall be deemed to satisfy this Section 7(f).</w:t>
      </w:r>
    </w:p>
    <w:p>
      <w:pPr>
        <w:spacing w:after="0" w:line="78" w:lineRule="exact"/>
        <w:rPr>
          <w:rFonts w:ascii="Arial" w:cs="Arial" w:eastAsia="Arial" w:hAnsi="Arial"/>
          <w:sz w:val="18"/>
          <w:szCs w:val="18"/>
          <w:color w:val="auto"/>
        </w:rPr>
      </w:pPr>
    </w:p>
    <w:p>
      <w:pPr>
        <w:ind w:right="320" w:firstLine="436"/>
        <w:spacing w:after="0" w:line="255"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The Company, whether or not the transactions contemplated hereunder are consummated or this Agreement is terminated, in accordance with the provisions of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Arial" w:cs="Arial" w:eastAsia="Arial" w:hAnsi="Arial"/>
          <w:sz w:val="18"/>
          <w:szCs w:val="18"/>
          <w:u w:val="single" w:color="auto"/>
          <w:color w:val="auto"/>
        </w:rPr>
        <w:t>Section 7(d)</w:t>
      </w:r>
      <w:r>
        <w:rPr>
          <w:rFonts w:ascii="Arial" w:cs="Arial" w:eastAsia="Arial" w:hAnsi="Arial"/>
          <w:sz w:val="18"/>
          <w:szCs w:val="18"/>
          <w:color w:val="auto"/>
        </w:rPr>
        <w:t xml:space="preserve"> of this Agreement, including filing fees (provided,</w:t>
      </w:r>
    </w:p>
    <w:p>
      <w:pPr>
        <w:spacing w:after="0" w:line="124" w:lineRule="exact"/>
        <w:rPr>
          <w:rFonts w:ascii="Arial" w:cs="Arial" w:eastAsia="Arial" w:hAnsi="Arial"/>
          <w:sz w:val="18"/>
          <w:szCs w:val="18"/>
          <w:color w:val="auto"/>
        </w:rPr>
      </w:pPr>
    </w:p>
    <w:p>
      <w:pPr>
        <w:ind w:left="5420" w:hanging="111"/>
        <w:spacing w:after="0"/>
        <w:tabs>
          <w:tab w:leader="none" w:pos="5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000"/>
          </w:cols>
          <w:pgMar w:left="440" w:top="274" w:right="459" w:bottom="1440" w:gutter="0" w:footer="0" w:header="0"/>
        </w:sectPr>
      </w:pPr>
    </w:p>
    <w:bookmarkStart w:id="81" w:name="page82"/>
    <w:bookmarkEnd w:id="81"/>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however, that any fees or disbursements of counsel for Cowen in connection therewith shall be paid by Cowen except as set forth in (vii) below), (iv) the printing and delivery to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Cowen’s outside counsel for filings with the FINRA Corporate Financing Department, such legal expense reimbursement not to exceed $15,000, and (viii) the reasonable fees and disbursements of Cowen’s counsel in an amount not to exceed $75,000.</w:t>
      </w:r>
    </w:p>
    <w:p>
      <w:pPr>
        <w:spacing w:after="0" w:line="84" w:lineRule="exact"/>
        <w:rPr>
          <w:sz w:val="20"/>
          <w:szCs w:val="20"/>
          <w:color w:val="auto"/>
        </w:rPr>
      </w:pPr>
    </w:p>
    <w:p>
      <w:pPr>
        <w:ind w:left="704" w:hanging="264"/>
        <w:spacing w:after="0"/>
        <w:tabs>
          <w:tab w:leader="none" w:pos="704"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Use of Proceeds</w:t>
      </w:r>
      <w:r>
        <w:rPr>
          <w:rFonts w:ascii="Arial" w:cs="Arial" w:eastAsia="Arial" w:hAnsi="Arial"/>
          <w:sz w:val="17"/>
          <w:szCs w:val="17"/>
          <w:color w:val="auto"/>
        </w:rPr>
        <w:t>. The Company will use the Net Proceeds as described in the Prospectus in the section entitled “Use of Proceeds.”</w:t>
      </w:r>
    </w:p>
    <w:p>
      <w:pPr>
        <w:spacing w:after="0" w:line="128" w:lineRule="exact"/>
        <w:rPr>
          <w:rFonts w:ascii="Arial" w:cs="Arial" w:eastAsia="Arial" w:hAnsi="Arial"/>
          <w:sz w:val="17"/>
          <w:szCs w:val="17"/>
          <w:color w:val="auto"/>
        </w:rPr>
      </w:pPr>
    </w:p>
    <w:p>
      <w:pPr>
        <w:ind w:left="4" w:right="40" w:firstLine="436"/>
        <w:spacing w:after="0" w:line="284" w:lineRule="auto"/>
        <w:tabs>
          <w:tab w:leader="none" w:pos="659"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Notice of Other Sales</w:t>
      </w:r>
      <w:r>
        <w:rPr>
          <w:rFonts w:ascii="Arial" w:cs="Arial" w:eastAsia="Arial" w:hAnsi="Arial"/>
          <w:sz w:val="16"/>
          <w:szCs w:val="16"/>
          <w:color w:val="auto"/>
        </w:rPr>
        <w:t xml:space="preserve">. During the pendency of any Placement Notice given hereunder, and for 5 trading days following the termination of any Placement Notice given hereunder, the Company shall provide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Arial" w:cs="Arial" w:eastAsia="Arial" w:hAnsi="Arial"/>
          <w:sz w:val="16"/>
          <w:szCs w:val="16"/>
          <w:i w:val="1"/>
          <w:iCs w:val="1"/>
          <w:color w:val="auto"/>
        </w:rPr>
        <w:t>provided</w:t>
      </w:r>
      <w:r>
        <w:rPr>
          <w:rFonts w:ascii="Arial" w:cs="Arial" w:eastAsia="Arial" w:hAnsi="Arial"/>
          <w:sz w:val="16"/>
          <w:szCs w:val="16"/>
          <w:color w:val="auto"/>
        </w:rPr>
        <w:t>, that such notice shall not be required in connection with the (i) issuance, grant or sale of Common Stock, options to purchase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or Common Stock issuable upon the exercise of options or other equity awards pursuant to any stock option, stock bonus or other stock plan or arrangement described in the Prospectus, (ii) the issuance of securities in connection with an acquisition, merger or sale or purchase of assets,</w:t>
      </w:r>
    </w:p>
    <w:p>
      <w:pPr>
        <w:spacing w:after="0" w:line="2" w:lineRule="exact"/>
        <w:rPr>
          <w:rFonts w:ascii="Arial" w:cs="Arial" w:eastAsia="Arial" w:hAnsi="Arial"/>
          <w:sz w:val="16"/>
          <w:szCs w:val="16"/>
          <w:color w:val="auto"/>
        </w:rPr>
      </w:pPr>
    </w:p>
    <w:p>
      <w:pPr>
        <w:ind w:left="4" w:right="120" w:hanging="4"/>
        <w:spacing w:after="0" w:line="255" w:lineRule="auto"/>
        <w:tabs>
          <w:tab w:leader="none" w:pos="31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issuance or sale of Common Stock pursuant to any dividend reinvestment plan that the Company may adopt from time to time provided the implementation of such is disclosed to Cowen in advance or (iv) any shares of common stock issuable upon the exchange, conversion or redemption of securities or the exercise of warrants, options or other rights in effect or outstanding.</w:t>
      </w:r>
    </w:p>
    <w:p>
      <w:pPr>
        <w:spacing w:after="0" w:line="81" w:lineRule="exact"/>
        <w:rPr>
          <w:rFonts w:ascii="Arial" w:cs="Arial" w:eastAsia="Arial" w:hAnsi="Arial"/>
          <w:sz w:val="18"/>
          <w:szCs w:val="18"/>
          <w:color w:val="auto"/>
        </w:rPr>
      </w:pPr>
    </w:p>
    <w:p>
      <w:pPr>
        <w:ind w:left="4" w:firstLine="436"/>
        <w:spacing w:after="0" w:line="311" w:lineRule="auto"/>
        <w:tabs>
          <w:tab w:leader="none" w:pos="659"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Change of Circumstances</w:t>
      </w:r>
      <w:r>
        <w:rPr>
          <w:rFonts w:ascii="Arial" w:cs="Arial" w:eastAsia="Arial" w:hAnsi="Arial"/>
          <w:sz w:val="16"/>
          <w:szCs w:val="16"/>
          <w:color w:val="auto"/>
        </w:rPr>
        <w:t>. The Company will, at any time during a fiscal quarter in which the Company intends to tender a Placement Notice or sell Placement Shares, advise Cowen promptly after it shall have received notice or obtained knowledge thereof, of any information or fact that would alter or affect in any material respect any opinion, certificate, letter or other document provided to Cowen pursuant to this Agreement.</w:t>
      </w:r>
    </w:p>
    <w:p>
      <w:pPr>
        <w:spacing w:after="0" w:line="40" w:lineRule="exact"/>
        <w:rPr>
          <w:rFonts w:ascii="Arial" w:cs="Arial" w:eastAsia="Arial" w:hAnsi="Arial"/>
          <w:sz w:val="16"/>
          <w:szCs w:val="16"/>
          <w:color w:val="auto"/>
        </w:rPr>
      </w:pPr>
    </w:p>
    <w:p>
      <w:pPr>
        <w:ind w:left="4" w:right="100" w:firstLine="436"/>
        <w:spacing w:after="0" w:line="286" w:lineRule="auto"/>
        <w:tabs>
          <w:tab w:leader="none" w:pos="699"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Due Diligence Cooperation</w:t>
      </w:r>
      <w:r>
        <w:rPr>
          <w:rFonts w:ascii="Arial" w:cs="Arial" w:eastAsia="Arial" w:hAnsi="Arial"/>
          <w:sz w:val="17"/>
          <w:szCs w:val="17"/>
          <w:color w:val="auto"/>
        </w:rPr>
        <w:t>. The Company will cooperate with any reasonable due diligence review conducted by Cowen or its agents in connection with the transactions contemplated hereby, including, without limitation, providing information and making available documents and senior corporate officers, during regular business hours and at the Company’s principal offices, as Cowen may reasonably request.</w:t>
      </w:r>
    </w:p>
    <w:p>
      <w:pPr>
        <w:spacing w:after="0" w:line="57" w:lineRule="exact"/>
        <w:rPr>
          <w:rFonts w:ascii="Arial" w:cs="Arial" w:eastAsia="Arial" w:hAnsi="Arial"/>
          <w:sz w:val="17"/>
          <w:szCs w:val="17"/>
          <w:color w:val="auto"/>
        </w:rPr>
      </w:pPr>
    </w:p>
    <w:p>
      <w:pPr>
        <w:ind w:left="4" w:right="40" w:firstLine="436"/>
        <w:spacing w:after="0" w:line="301" w:lineRule="auto"/>
        <w:tabs>
          <w:tab w:leader="none" w:pos="659"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Required Filings Relating to Placement of Placement Shares</w:t>
      </w:r>
      <w:r>
        <w:rPr>
          <w:rFonts w:ascii="Arial" w:cs="Arial" w:eastAsia="Arial" w:hAnsi="Arial"/>
          <w:sz w:val="16"/>
          <w:szCs w:val="16"/>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Arial" w:cs="Arial" w:eastAsia="Arial" w:hAnsi="Arial"/>
          <w:sz w:val="16"/>
          <w:szCs w:val="16"/>
          <w:b w:val="1"/>
          <w:bCs w:val="1"/>
          <w:u w:val="single" w:color="auto"/>
          <w:color w:val="auto"/>
        </w:rPr>
        <w:t>Filing Date</w:t>
      </w:r>
      <w:r>
        <w:rPr>
          <w:rFonts w:ascii="Arial" w:cs="Arial" w:eastAsia="Arial" w:hAnsi="Arial"/>
          <w:sz w:val="16"/>
          <w:szCs w:val="16"/>
          <w:color w:val="auto"/>
        </w:rPr>
        <w:t>”), and (ii) deliver such number of copies of each such prospectus supplement to each exchange or market on which such sales were effected as may be required by the rules or regulations of such exchange or market. The</w:t>
      </w:r>
    </w:p>
    <w:p>
      <w:pPr>
        <w:spacing w:after="0" w:line="89" w:lineRule="exact"/>
        <w:rPr>
          <w:rFonts w:ascii="Arial" w:cs="Arial" w:eastAsia="Arial" w:hAnsi="Arial"/>
          <w:sz w:val="16"/>
          <w:szCs w:val="16"/>
          <w:color w:val="auto"/>
        </w:rPr>
      </w:pPr>
    </w:p>
    <w:p>
      <w:pPr>
        <w:ind w:left="5424" w:hanging="111"/>
        <w:spacing w:after="0"/>
        <w:tabs>
          <w:tab w:leader="none" w:pos="5424" w:val="left"/>
        </w:tabs>
        <w:numPr>
          <w:ilvl w:val="2"/>
          <w:numId w:val="66"/>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004"/>
          </w:cols>
          <w:pgMar w:left="436" w:top="274" w:right="459" w:bottom="1440" w:gutter="0" w:footer="0" w:header="0"/>
        </w:sectPr>
      </w:pPr>
    </w:p>
    <w:bookmarkStart w:id="82" w:name="page83"/>
    <w:bookmarkEnd w:id="82"/>
    <w:p>
      <w:pPr>
        <w:ind w:left="4"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shall disclose in its quarterly reports on Form 10-Q and in its annual report on Form 10-K, the number of the Placement Shares sold through Cowen under this Agreement, and the gross proceeds and Net Proceeds to the Company from the sale of the Placement Shares and the compensation paid by the Company with respect to sales of the Placement Shares pursuant to this Agreement during the relevant quarter or, in the case of an Annual Report on Form 10-K, during the fiscal year covered by such Annual Report and the fourth quarter of such fiscal year.</w:t>
      </w:r>
    </w:p>
    <w:p>
      <w:pPr>
        <w:spacing w:after="0" w:line="49" w:lineRule="exact"/>
        <w:rPr>
          <w:sz w:val="20"/>
          <w:szCs w:val="20"/>
          <w:color w:val="auto"/>
        </w:rPr>
      </w:pPr>
    </w:p>
    <w:p>
      <w:pPr>
        <w:ind w:left="4" w:firstLine="436"/>
        <w:spacing w:after="0" w:line="284" w:lineRule="auto"/>
        <w:tabs>
          <w:tab w:leader="none" w:pos="749"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Bring-Down Dates; Certificate</w:t>
      </w:r>
      <w:r>
        <w:rPr>
          <w:rFonts w:ascii="Arial" w:cs="Arial" w:eastAsia="Arial" w:hAnsi="Arial"/>
          <w:sz w:val="16"/>
          <w:szCs w:val="16"/>
          <w:color w:val="auto"/>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Arial" w:cs="Arial" w:eastAsia="Arial" w:hAnsi="Arial"/>
          <w:sz w:val="16"/>
          <w:szCs w:val="16"/>
          <w:u w:val="single" w:color="auto"/>
          <w:color w:val="auto"/>
        </w:rPr>
        <w:t>Section 7(l)</w:t>
      </w:r>
      <w:r>
        <w:rPr>
          <w:rFonts w:ascii="Arial" w:cs="Arial" w:eastAsia="Arial" w:hAnsi="Arial"/>
          <w:sz w:val="16"/>
          <w:szCs w:val="16"/>
          <w:color w:val="auto"/>
        </w:rPr>
        <w:t xml:space="preserve">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report on Form 8-K containing amended financial information (other than an earnings release or other information “furnished” pursuant to Items 2.02 or 7.01 of Form 8-K) under the Exchange Act (each date of filing of one or more of the documents referred to in clauses (i) through (iv) shall be a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Bring-Down Date</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shall furnish Cowen with a certificate, in the form attached hereto as </w:t>
      </w:r>
      <w:r>
        <w:rPr>
          <w:rFonts w:ascii="Arial" w:cs="Arial" w:eastAsia="Arial" w:hAnsi="Arial"/>
          <w:sz w:val="16"/>
          <w:szCs w:val="16"/>
          <w:u w:val="single" w:color="auto"/>
          <w:color w:val="auto"/>
        </w:rPr>
        <w:t>Exhibit 7(m)</w:t>
      </w:r>
      <w:r>
        <w:rPr>
          <w:rFonts w:ascii="Arial" w:cs="Arial" w:eastAsia="Arial" w:hAnsi="Arial"/>
          <w:sz w:val="16"/>
          <w:szCs w:val="16"/>
          <w:color w:val="auto"/>
        </w:rPr>
        <w:t xml:space="preserve"> within three</w:t>
      </w:r>
    </w:p>
    <w:p>
      <w:pPr>
        <w:ind w:left="4" w:right="60" w:hanging="4"/>
        <w:spacing w:after="0" w:line="251" w:lineRule="auto"/>
        <w:tabs>
          <w:tab w:leader="none" w:pos="256"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Trading Days of any Bring-Down Date if requested by Cowen. The requirement to provide a certificate under this </w:t>
      </w: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such waiver shall not apply for any Bring-Down Date on which the Company files its annual report on Form 10-K. Notwithstanding the foregoing, if the Company subsequently decides to sell Placement Shares following a Bring-Down Date when the Company relied on such waiver and did not provide Cowen with a certificate under this </w:t>
      </w: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then before the Company delivers the Placement Notice or Cowen sells any Placement Shares, the Company shall provide Cowen with a certificate, in the form attached hereto as </w:t>
      </w:r>
      <w:r>
        <w:rPr>
          <w:rFonts w:ascii="Arial" w:cs="Arial" w:eastAsia="Arial" w:hAnsi="Arial"/>
          <w:sz w:val="18"/>
          <w:szCs w:val="18"/>
          <w:u w:val="single" w:color="auto"/>
          <w:color w:val="auto"/>
        </w:rPr>
        <w:t>Exhibit 7(m)</w:t>
      </w:r>
      <w:r>
        <w:rPr>
          <w:rFonts w:ascii="Arial" w:cs="Arial" w:eastAsia="Arial" w:hAnsi="Arial"/>
          <w:sz w:val="18"/>
          <w:szCs w:val="18"/>
          <w:color w:val="auto"/>
        </w:rPr>
        <w:t>, dated the date of the Placement Notice.</w:t>
      </w:r>
    </w:p>
    <w:p>
      <w:pPr>
        <w:spacing w:after="0" w:line="89" w:lineRule="exact"/>
        <w:rPr>
          <w:rFonts w:ascii="Arial" w:cs="Arial" w:eastAsia="Arial" w:hAnsi="Arial"/>
          <w:sz w:val="18"/>
          <w:szCs w:val="18"/>
          <w:color w:val="auto"/>
        </w:rPr>
      </w:pPr>
    </w:p>
    <w:p>
      <w:pPr>
        <w:ind w:left="4" w:right="20" w:firstLine="436"/>
        <w:spacing w:after="0" w:line="269" w:lineRule="auto"/>
        <w:tabs>
          <w:tab w:leader="none" w:pos="699"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Legal Opinions</w:t>
      </w:r>
      <w:r>
        <w:rPr>
          <w:rFonts w:ascii="Arial" w:cs="Arial" w:eastAsia="Arial" w:hAnsi="Arial"/>
          <w:sz w:val="17"/>
          <w:szCs w:val="17"/>
          <w:color w:val="auto"/>
        </w:rPr>
        <w:t xml:space="preserve">. On or prior to the First Delivery Date and within three (3) Trading Days of each Bring-Down Date with respect to which the Company is obligated to deliver a certificate in the form attached hereto as </w:t>
      </w:r>
      <w:r>
        <w:rPr>
          <w:rFonts w:ascii="Arial" w:cs="Arial" w:eastAsia="Arial" w:hAnsi="Arial"/>
          <w:sz w:val="17"/>
          <w:szCs w:val="17"/>
          <w:u w:val="single" w:color="auto"/>
          <w:color w:val="auto"/>
        </w:rPr>
        <w:t>Exhibit 7(m)</w:t>
      </w:r>
      <w:r>
        <w:rPr>
          <w:rFonts w:ascii="Arial" w:cs="Arial" w:eastAsia="Arial" w:hAnsi="Arial"/>
          <w:sz w:val="17"/>
          <w:szCs w:val="17"/>
          <w:color w:val="auto"/>
        </w:rPr>
        <w:t xml:space="preserve"> for which no waiver is applicable, the Company shall cause to be furnished to Cowen (A) an opinion letter (including certain negative assurance statements) of Sidley Austin LLP, in substantially the form as set forth on Exhibit 7(n)(i), (B) opinions of (i) Foley Hoag LLP, (ii) Sheridan Ross P.C., (iii) DLA Piper LLP and (iv) Parker Highlander PLLC, each acting as outside intellectual property counsel for the Company, in substantially the forms as set forth on Exhibits 7(n)(ii)(A), 7(n)(ii)(B), 7(n)(ii)(C) and 7(n)(ii) (D), respectively, (C) an opinion of Foley Hoag LLP, outside regulatory counsel for the Company, in substantially the form as set forth on Exhibits 7(n) (iii), each such opinion to be dated the date that such opinion is required to be delivered, modified, as necessary, to relate to the Registration Statement and the Prospectus as then amended or supplemented;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lieu of such opinions for subsequent Bring-Down Dates, counsel may furnish Cowen with a letter (a “</w:t>
      </w:r>
      <w:r>
        <w:rPr>
          <w:rFonts w:ascii="Arial" w:cs="Arial" w:eastAsia="Arial" w:hAnsi="Arial"/>
          <w:sz w:val="17"/>
          <w:szCs w:val="17"/>
          <w:b w:val="1"/>
          <w:bCs w:val="1"/>
          <w:u w:val="single" w:color="auto"/>
          <w:color w:val="auto"/>
        </w:rPr>
        <w:t>Reliance Letter</w:t>
      </w:r>
      <w:r>
        <w:rPr>
          <w:rFonts w:ascii="Arial" w:cs="Arial" w:eastAsia="Arial" w:hAnsi="Arial"/>
          <w:sz w:val="17"/>
          <w:szCs w:val="17"/>
          <w:color w:val="auto"/>
        </w:rPr>
        <w:t xml:space="preserve">”) to the effect that Cowen may rely on a prior opinion delivered under this </w:t>
      </w:r>
      <w:r>
        <w:rPr>
          <w:rFonts w:ascii="Arial" w:cs="Arial" w:eastAsia="Arial" w:hAnsi="Arial"/>
          <w:sz w:val="17"/>
          <w:szCs w:val="17"/>
          <w:u w:val="single" w:color="auto"/>
          <w:color w:val="auto"/>
        </w:rPr>
        <w:t>Section 7(n)</w:t>
      </w:r>
      <w:r>
        <w:rPr>
          <w:rFonts w:ascii="Arial" w:cs="Arial" w:eastAsia="Arial" w:hAnsi="Arial"/>
          <w:sz w:val="17"/>
          <w:szCs w:val="17"/>
          <w:color w:val="auto"/>
        </w:rPr>
        <w:t xml:space="preserve"> to the same extent as if it were dated the date of such letter (except that statements in such prior opinion shall be deemed to relate to the Registration Statement and the Prospectus as amended or supplemented at such Bring-Down Date).</w:t>
      </w:r>
    </w:p>
    <w:p>
      <w:pPr>
        <w:spacing w:after="0" w:line="114" w:lineRule="exact"/>
        <w:rPr>
          <w:rFonts w:ascii="Arial" w:cs="Arial" w:eastAsia="Arial" w:hAnsi="Arial"/>
          <w:sz w:val="17"/>
          <w:szCs w:val="17"/>
          <w:color w:val="auto"/>
        </w:rPr>
      </w:pPr>
    </w:p>
    <w:p>
      <w:pPr>
        <w:ind w:left="5424" w:hanging="111"/>
        <w:spacing w:after="0"/>
        <w:tabs>
          <w:tab w:leader="none" w:pos="5424" w:val="left"/>
        </w:tabs>
        <w:numPr>
          <w:ilvl w:val="2"/>
          <w:numId w:val="68"/>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004"/>
          </w:cols>
          <w:pgMar w:left="436" w:top="274" w:right="459" w:bottom="1440" w:gutter="0" w:footer="0" w:header="0"/>
        </w:sectPr>
      </w:pPr>
    </w:p>
    <w:bookmarkStart w:id="83" w:name="page84"/>
    <w:bookmarkEnd w:id="83"/>
    <w:p>
      <w:pPr>
        <w:ind w:left="-436" w:right="120" w:firstLine="436"/>
        <w:spacing w:after="0" w:line="290" w:lineRule="auto"/>
        <w:tabs>
          <w:tab w:leader="none" w:pos="259"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Comfort Letter</w:t>
      </w:r>
      <w:r>
        <w:rPr>
          <w:rFonts w:ascii="Arial" w:cs="Arial" w:eastAsia="Arial" w:hAnsi="Arial"/>
          <w:sz w:val="16"/>
          <w:szCs w:val="16"/>
          <w:color w:val="auto"/>
        </w:rPr>
        <w:t xml:space="preserve">. On or prior to the First Delivery Date and within three (3) Trading Days of each Bring-Down Date with respect to which the Company is obligated to deliver a certificate in the form attached hereto as </w:t>
      </w:r>
      <w:r>
        <w:rPr>
          <w:rFonts w:ascii="Arial" w:cs="Arial" w:eastAsia="Arial" w:hAnsi="Arial"/>
          <w:sz w:val="16"/>
          <w:szCs w:val="16"/>
          <w:u w:val="single" w:color="auto"/>
          <w:color w:val="auto"/>
        </w:rPr>
        <w:t>Exhibit 7(m)</w:t>
      </w:r>
      <w:r>
        <w:rPr>
          <w:rFonts w:ascii="Arial" w:cs="Arial" w:eastAsia="Arial" w:hAnsi="Arial"/>
          <w:sz w:val="16"/>
          <w:szCs w:val="16"/>
          <w:color w:val="auto"/>
        </w:rPr>
        <w:t xml:space="preserve"> for which no waiver is applicable, the Company shall cause its independent accountants to furnish Cowen letters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Comfort Letters</w:t>
      </w:r>
      <w:r>
        <w:rPr>
          <w:rFonts w:ascii="Arial" w:cs="Arial" w:eastAsia="Arial" w:hAnsi="Arial"/>
          <w:sz w:val="16"/>
          <w:szCs w:val="16"/>
          <w:b w:val="1"/>
          <w:bCs w:val="1"/>
          <w:color w:val="auto"/>
        </w:rPr>
        <w:t>”</w:t>
      </w:r>
      <w:r>
        <w:rPr>
          <w:rFonts w:ascii="Arial" w:cs="Arial" w:eastAsia="Arial" w:hAnsi="Arial"/>
          <w:sz w:val="16"/>
          <w:szCs w:val="16"/>
          <w:color w:val="auto"/>
        </w:rPr>
        <w:t xml:space="preserve">), dated the date the Comfort Letter is delivered, in form and substance satisfactory to Cowen,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Cowen in connection with registered public offerings (the first such letter,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Initial Comfort Letter</w:t>
      </w:r>
      <w:r>
        <w:rPr>
          <w:rFonts w:ascii="Arial" w:cs="Arial" w:eastAsia="Arial" w:hAnsi="Arial"/>
          <w:sz w:val="16"/>
          <w:szCs w:val="16"/>
          <w:b w:val="1"/>
          <w:bCs w:val="1"/>
          <w:color w:val="auto"/>
        </w:rPr>
        <w:t>”</w:t>
      </w:r>
      <w:r>
        <w:rPr>
          <w:rFonts w:ascii="Arial" w:cs="Arial" w:eastAsia="Arial" w:hAnsi="Arial"/>
          <w:sz w:val="16"/>
          <w:szCs w:val="16"/>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57" w:lineRule="exact"/>
        <w:rPr>
          <w:rFonts w:ascii="Arial" w:cs="Arial" w:eastAsia="Arial" w:hAnsi="Arial"/>
          <w:sz w:val="16"/>
          <w:szCs w:val="16"/>
          <w:color w:val="auto"/>
        </w:rPr>
      </w:pPr>
    </w:p>
    <w:p>
      <w:pPr>
        <w:ind w:left="-436" w:right="40" w:firstLine="436"/>
        <w:spacing w:after="0" w:line="257" w:lineRule="auto"/>
        <w:tabs>
          <w:tab w:leader="none" w:pos="259"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Market Activities</w:t>
      </w:r>
      <w:r>
        <w:rPr>
          <w:rFonts w:ascii="Arial" w:cs="Arial" w:eastAsia="Arial" w:hAnsi="Arial"/>
          <w:sz w:val="18"/>
          <w:szCs w:val="18"/>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Cowen; provided, however, that the Company may bid for and purchase shares of its common stock in accordance with Rule 10b-18 under the Exchange Act.</w:t>
      </w:r>
    </w:p>
    <w:p>
      <w:pPr>
        <w:spacing w:after="0" w:line="79" w:lineRule="exact"/>
        <w:rPr>
          <w:rFonts w:ascii="Arial" w:cs="Arial" w:eastAsia="Arial" w:hAnsi="Arial"/>
          <w:sz w:val="18"/>
          <w:szCs w:val="18"/>
          <w:color w:val="auto"/>
        </w:rPr>
      </w:pPr>
    </w:p>
    <w:p>
      <w:pPr>
        <w:ind w:left="-436" w:right="300" w:firstLine="436"/>
        <w:spacing w:after="0" w:line="277" w:lineRule="auto"/>
        <w:tabs>
          <w:tab w:leader="none" w:pos="259"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shall maintain, or cause to be maintained, insurance in such amounts and covering such risks as is reasonable and customary for the business for which it is engaged.</w:t>
      </w:r>
    </w:p>
    <w:p>
      <w:pPr>
        <w:spacing w:after="0" w:line="62" w:lineRule="exact"/>
        <w:rPr>
          <w:rFonts w:ascii="Arial" w:cs="Arial" w:eastAsia="Arial" w:hAnsi="Arial"/>
          <w:sz w:val="18"/>
          <w:szCs w:val="18"/>
          <w:color w:val="auto"/>
        </w:rPr>
      </w:pPr>
    </w:p>
    <w:p>
      <w:pPr>
        <w:ind w:left="-436" w:firstLine="436"/>
        <w:spacing w:after="0" w:line="257" w:lineRule="auto"/>
        <w:tabs>
          <w:tab w:leader="none" w:pos="229"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shall maintain, or cause to be maintained, all material environmental permits, licenses and other authorizations required by federal, state and local law in order to conduct their businesses as described in the Prospectus, and the Company shall conduct its business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effect on the Company.</w:t>
      </w:r>
    </w:p>
    <w:p>
      <w:pPr>
        <w:spacing w:after="0" w:line="79" w:lineRule="exact"/>
        <w:rPr>
          <w:rFonts w:ascii="Arial" w:cs="Arial" w:eastAsia="Arial" w:hAnsi="Arial"/>
          <w:sz w:val="18"/>
          <w:szCs w:val="18"/>
          <w:color w:val="auto"/>
        </w:rPr>
      </w:pPr>
    </w:p>
    <w:p>
      <w:pPr>
        <w:ind w:left="-436" w:right="220" w:firstLine="436"/>
        <w:spacing w:after="0" w:line="286" w:lineRule="auto"/>
        <w:tabs>
          <w:tab w:leader="none" w:pos="239"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Investment Company Act</w:t>
      </w:r>
      <w:r>
        <w:rPr>
          <w:rFonts w:ascii="Arial" w:cs="Arial" w:eastAsia="Arial" w:hAnsi="Arial"/>
          <w:sz w:val="17"/>
          <w:szCs w:val="17"/>
          <w:color w:val="auto"/>
        </w:rPr>
        <w:t>. The Company will conduct its affairs in such a manner so as to reasonably ensure that it will not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57" w:lineRule="exact"/>
        <w:rPr>
          <w:rFonts w:ascii="Arial" w:cs="Arial" w:eastAsia="Arial" w:hAnsi="Arial"/>
          <w:sz w:val="17"/>
          <w:szCs w:val="17"/>
          <w:color w:val="auto"/>
        </w:rPr>
      </w:pPr>
    </w:p>
    <w:p>
      <w:pPr>
        <w:ind w:left="-436" w:right="340" w:firstLine="436"/>
        <w:spacing w:after="0" w:line="263" w:lineRule="auto"/>
        <w:tabs>
          <w:tab w:leader="none" w:pos="219"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Securities Act and Exchange Act</w:t>
      </w:r>
      <w:r>
        <w:rPr>
          <w:rFonts w:ascii="Arial" w:cs="Arial" w:eastAsia="Arial" w:hAnsi="Arial"/>
          <w:sz w:val="18"/>
          <w:szCs w:val="18"/>
          <w:color w:val="auto"/>
        </w:rPr>
        <w:t>. The Company will use its reasonable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116" w:lineRule="exact"/>
        <w:rPr>
          <w:rFonts w:ascii="Arial" w:cs="Arial" w:eastAsia="Arial" w:hAnsi="Arial"/>
          <w:sz w:val="18"/>
          <w:szCs w:val="18"/>
          <w:color w:val="auto"/>
        </w:rPr>
      </w:pPr>
    </w:p>
    <w:p>
      <w:pPr>
        <w:ind w:left="4984" w:hanging="111"/>
        <w:spacing w:after="0"/>
        <w:tabs>
          <w:tab w:leader="none" w:pos="4984" w:val="left"/>
        </w:tabs>
        <w:numPr>
          <w:ilvl w:val="1"/>
          <w:numId w:val="69"/>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564"/>
          </w:cols>
          <w:pgMar w:left="876" w:top="274" w:right="459" w:bottom="1440" w:gutter="0" w:footer="0" w:header="0"/>
        </w:sectPr>
      </w:pPr>
    </w:p>
    <w:bookmarkStart w:id="84" w:name="page85"/>
    <w:bookmarkEnd w:id="84"/>
    <w:p>
      <w:pPr>
        <w:ind w:left="-436" w:right="200" w:firstLine="436"/>
        <w:spacing w:after="0" w:line="259" w:lineRule="auto"/>
        <w:tabs>
          <w:tab w:leader="none" w:pos="259"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Offer to Sell</w:t>
      </w:r>
      <w:r>
        <w:rPr>
          <w:rFonts w:ascii="Arial" w:cs="Arial" w:eastAsia="Arial" w:hAnsi="Arial"/>
          <w:sz w:val="18"/>
          <w:szCs w:val="18"/>
          <w:color w:val="auto"/>
        </w:rPr>
        <w:t>. Other than a Permitted Free Writing Prospectus, neither Cowen nor the Company (including its agents and representatives, other than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78" w:lineRule="exact"/>
        <w:rPr>
          <w:rFonts w:ascii="Arial" w:cs="Arial" w:eastAsia="Arial" w:hAnsi="Arial"/>
          <w:sz w:val="18"/>
          <w:szCs w:val="18"/>
          <w:color w:val="auto"/>
        </w:rPr>
      </w:pPr>
    </w:p>
    <w:p>
      <w:pPr>
        <w:ind w:left="264" w:hanging="264"/>
        <w:spacing w:after="0"/>
        <w:tabs>
          <w:tab w:leader="none" w:pos="26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Sarbanes-Oxley Act</w:t>
      </w:r>
      <w:r>
        <w:rPr>
          <w:rFonts w:ascii="Arial" w:cs="Arial" w:eastAsia="Arial" w:hAnsi="Arial"/>
          <w:sz w:val="18"/>
          <w:szCs w:val="18"/>
          <w:color w:val="auto"/>
        </w:rPr>
        <w:t>. The Company will comply with all effective applicable provisions of the Sarbanes-Oxley Act.</w:t>
      </w:r>
    </w:p>
    <w:p>
      <w:pPr>
        <w:spacing w:after="0" w:line="117" w:lineRule="exact"/>
        <w:rPr>
          <w:rFonts w:ascii="Arial" w:cs="Arial" w:eastAsia="Arial" w:hAnsi="Arial"/>
          <w:sz w:val="18"/>
          <w:szCs w:val="18"/>
          <w:color w:val="auto"/>
        </w:rPr>
      </w:pPr>
    </w:p>
    <w:p>
      <w:pPr>
        <w:ind w:left="-436" w:right="100" w:firstLine="436"/>
        <w:spacing w:after="0" w:line="255" w:lineRule="auto"/>
        <w:tabs>
          <w:tab w:leader="none" w:pos="289"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Affirmation</w:t>
      </w:r>
      <w:r>
        <w:rPr>
          <w:rFonts w:ascii="Arial" w:cs="Arial" w:eastAsia="Arial" w:hAnsi="Arial"/>
          <w:sz w:val="18"/>
          <w:szCs w:val="18"/>
          <w:color w:val="auto"/>
        </w:rPr>
        <w:t>. Each Placement Notice delivered by the Company to Cowen shall be deemed to be (i) an affirmation that the representations, warranties and agreements of the Company herein contained and contained in any certificate delivered to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80" w:lineRule="exact"/>
        <w:rPr>
          <w:rFonts w:ascii="Arial" w:cs="Arial" w:eastAsia="Arial" w:hAnsi="Arial"/>
          <w:sz w:val="18"/>
          <w:szCs w:val="18"/>
          <w:color w:val="auto"/>
        </w:rPr>
      </w:pPr>
    </w:p>
    <w:p>
      <w:pPr>
        <w:ind w:left="-436" w:firstLine="436"/>
        <w:spacing w:after="0" w:line="273" w:lineRule="auto"/>
        <w:tabs>
          <w:tab w:leader="none" w:pos="259"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Renewal</w:t>
      </w:r>
      <w:r>
        <w:rPr>
          <w:rFonts w:ascii="Arial" w:cs="Arial" w:eastAsia="Arial" w:hAnsi="Arial"/>
          <w:sz w:val="17"/>
          <w:szCs w:val="17"/>
          <w:color w:val="auto"/>
        </w:rPr>
        <w:t>. If immediately prior to the third anniversary (the “</w:t>
      </w:r>
      <w:r>
        <w:rPr>
          <w:rFonts w:ascii="Arial" w:cs="Arial" w:eastAsia="Arial" w:hAnsi="Arial"/>
          <w:sz w:val="17"/>
          <w:szCs w:val="17"/>
          <w:b w:val="1"/>
          <w:bCs w:val="1"/>
          <w:u w:val="single" w:color="auto"/>
          <w:color w:val="auto"/>
        </w:rPr>
        <w:t>Renewal Deadline</w:t>
      </w:r>
      <w:r>
        <w:rPr>
          <w:rFonts w:ascii="Arial" w:cs="Arial" w:eastAsia="Arial" w:hAnsi="Arial"/>
          <w:sz w:val="17"/>
          <w:szCs w:val="17"/>
          <w:color w:val="auto"/>
        </w:rPr>
        <w:t>”) of the initial effective date of the Registration Statement, the aggregate gross sales price of Placement Shares sold by the Company is less than the Maximum Amount and this Agreement has not expired or been terminated, the Company will, prior to the Renewal Deadline, file, if it has not already done so and is eligible to do so, a new shelf registration statement relating to the Placement Shares, in a form satisfactory to Cowen, and, if not automatically effective, will use its best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spacing w:after="0" w:line="68" w:lineRule="exact"/>
        <w:rPr>
          <w:sz w:val="20"/>
          <w:szCs w:val="20"/>
          <w:color w:val="auto"/>
        </w:rPr>
      </w:pPr>
    </w:p>
    <w:p>
      <w:pPr>
        <w:ind w:left="-436" w:right="200" w:firstLine="436"/>
        <w:spacing w:after="0" w:line="279" w:lineRule="auto"/>
        <w:tabs>
          <w:tab w:leader="none" w:pos="184"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Conditions to Cowen’s Obligations</w:t>
      </w:r>
      <w:r>
        <w:rPr>
          <w:rFonts w:ascii="Arial" w:cs="Arial" w:eastAsia="Arial" w:hAnsi="Arial"/>
          <w:sz w:val="17"/>
          <w:szCs w:val="17"/>
          <w:color w:val="auto"/>
        </w:rPr>
        <w:t>. The obligations of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Cowen of a due diligence review satisfactory to Cowen in its reasonable judgment, and to the continuing satisfaction (or waiver by Cowen in its sole discretion) of the following additional conditions:</w:t>
      </w:r>
    </w:p>
    <w:p>
      <w:pPr>
        <w:spacing w:after="0" w:line="63" w:lineRule="exact"/>
        <w:rPr>
          <w:sz w:val="20"/>
          <w:szCs w:val="20"/>
          <w:color w:val="auto"/>
        </w:rPr>
      </w:pPr>
    </w:p>
    <w:p>
      <w:pPr>
        <w:ind w:left="-436" w:right="200" w:firstLine="436"/>
        <w:spacing w:after="0" w:line="277" w:lineRule="auto"/>
        <w:tabs>
          <w:tab w:leader="none" w:pos="24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Registration Statement Effective</w:t>
      </w:r>
      <w:r>
        <w:rPr>
          <w:rFonts w:ascii="Arial" w:cs="Arial" w:eastAsia="Arial" w:hAnsi="Arial"/>
          <w:sz w:val="18"/>
          <w:szCs w:val="18"/>
          <w:color w:val="auto"/>
        </w:rPr>
        <w:t>. The Registration Statement shall have become effective and shall be available for the sale of all Placement Shares contemplated to be issued pursuant to any Placement Notice.</w:t>
      </w:r>
    </w:p>
    <w:p>
      <w:pPr>
        <w:spacing w:after="0" w:line="62" w:lineRule="exact"/>
        <w:rPr>
          <w:rFonts w:ascii="Arial" w:cs="Arial" w:eastAsia="Arial" w:hAnsi="Arial"/>
          <w:sz w:val="18"/>
          <w:szCs w:val="18"/>
          <w:color w:val="auto"/>
        </w:rPr>
      </w:pPr>
    </w:p>
    <w:p>
      <w:pPr>
        <w:ind w:left="-436" w:right="120" w:firstLine="436"/>
        <w:spacing w:after="0" w:line="259" w:lineRule="auto"/>
        <w:tabs>
          <w:tab w:leader="none" w:pos="25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 Material Notices</w:t>
      </w:r>
      <w:r>
        <w:rPr>
          <w:rFonts w:ascii="Arial" w:cs="Arial" w:eastAsia="Arial" w:hAnsi="Arial"/>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w:t>
      </w:r>
    </w:p>
    <w:p>
      <w:pPr>
        <w:spacing w:after="0" w:line="119" w:lineRule="exact"/>
        <w:rPr>
          <w:rFonts w:ascii="Arial" w:cs="Arial" w:eastAsia="Arial" w:hAnsi="Arial"/>
          <w:sz w:val="18"/>
          <w:szCs w:val="18"/>
          <w:color w:val="auto"/>
        </w:rPr>
      </w:pPr>
    </w:p>
    <w:p>
      <w:pPr>
        <w:ind w:left="4984" w:hanging="111"/>
        <w:spacing w:after="0"/>
        <w:tabs>
          <w:tab w:leader="none" w:pos="4984" w:val="left"/>
        </w:tabs>
        <w:numPr>
          <w:ilvl w:val="1"/>
          <w:numId w:val="72"/>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544"/>
          </w:cols>
          <w:pgMar w:left="876" w:top="274" w:right="479" w:bottom="1440" w:gutter="0" w:footer="0" w:header="0"/>
        </w:sectPr>
      </w:pPr>
    </w:p>
    <w:bookmarkStart w:id="85" w:name="page86"/>
    <w:bookmarkEnd w:id="85"/>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58" w:lineRule="exact"/>
        <w:rPr>
          <w:sz w:val="20"/>
          <w:szCs w:val="20"/>
          <w:color w:val="auto"/>
        </w:rPr>
      </w:pPr>
    </w:p>
    <w:p>
      <w:pPr>
        <w:ind w:right="320" w:firstLine="436"/>
        <w:spacing w:after="0" w:line="311" w:lineRule="auto"/>
        <w:tabs>
          <w:tab w:leader="none" w:pos="68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No Misstatement or Material Omission</w:t>
      </w:r>
      <w:r>
        <w:rPr>
          <w:rFonts w:ascii="Arial" w:cs="Arial" w:eastAsia="Arial" w:hAnsi="Arial"/>
          <w:sz w:val="16"/>
          <w:szCs w:val="16"/>
          <w:color w:val="auto"/>
        </w:rPr>
        <w:t>. Cowen shall not have advised the Company that the Registration Statement or Prospectus, or any amendment or supplement thereto, contains an untrue statement of fact that in Cowen’s reasonable opinion is material, or omits to state a fact that in Cowen’s opinion is material and is required to be stated therein or is necessary to make the statements therein not misleading.</w:t>
      </w:r>
    </w:p>
    <w:p>
      <w:pPr>
        <w:spacing w:after="0" w:line="40" w:lineRule="exact"/>
        <w:rPr>
          <w:rFonts w:ascii="Arial" w:cs="Arial" w:eastAsia="Arial" w:hAnsi="Arial"/>
          <w:sz w:val="16"/>
          <w:szCs w:val="16"/>
          <w:color w:val="auto"/>
        </w:rPr>
      </w:pPr>
    </w:p>
    <w:p>
      <w:pPr>
        <w:ind w:right="60" w:firstLine="436"/>
        <w:spacing w:after="0" w:line="255"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Material Changes</w:t>
      </w:r>
      <w:r>
        <w:rPr>
          <w:rFonts w:ascii="Arial" w:cs="Arial" w:eastAsia="Arial" w:hAnsi="Arial"/>
          <w:sz w:val="18"/>
          <w:szCs w:val="18"/>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involving a prospective material adverse change, in the condition, financial or otherwise, or in the earnings, business or operations of the Company the effect of which, in the reasonable judgment of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84" w:lineRule="exact"/>
        <w:rPr>
          <w:rFonts w:ascii="Arial" w:cs="Arial" w:eastAsia="Arial" w:hAnsi="Arial"/>
          <w:sz w:val="18"/>
          <w:szCs w:val="18"/>
          <w:color w:val="auto"/>
        </w:rPr>
      </w:pPr>
    </w:p>
    <w:p>
      <w:pPr>
        <w:ind w:right="140" w:firstLine="436"/>
        <w:spacing w:after="0" w:line="277" w:lineRule="auto"/>
        <w:tabs>
          <w:tab w:leader="none" w:pos="68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Company Counsel Legal Opinions</w:t>
      </w:r>
      <w:r>
        <w:rPr>
          <w:rFonts w:ascii="Arial" w:cs="Arial" w:eastAsia="Arial" w:hAnsi="Arial"/>
          <w:sz w:val="18"/>
          <w:szCs w:val="18"/>
          <w:color w:val="auto"/>
        </w:rPr>
        <w:t xml:space="preserve">. Cowen shall have received each of the opinions of Company counsel required to be delivered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 xml:space="preserve"> on or before the date on which such delivery of such opinion is required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40" w:firstLine="436"/>
        <w:spacing w:after="0" w:line="259" w:lineRule="auto"/>
        <w:tabs>
          <w:tab w:leader="none" w:pos="66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Cowen Counsel Legal Opinion</w:t>
      </w:r>
      <w:r>
        <w:rPr>
          <w:rFonts w:ascii="Arial" w:cs="Arial" w:eastAsia="Arial" w:hAnsi="Arial"/>
          <w:sz w:val="18"/>
          <w:szCs w:val="18"/>
          <w:color w:val="auto"/>
        </w:rPr>
        <w:t xml:space="preserve">. Cowen shall have received from Davis Polk &amp; Wardwell LLP, counsel for Cowen, such opinion or opinions, on or before the date on which the delivery of the Company counsel legal opinions are required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 with respect to such matters as Cowen may reasonably require, and the Company shall have furnished to such counsel such documents as they request for enabling them to pass upon such matters.</w:t>
      </w:r>
    </w:p>
    <w:p>
      <w:pPr>
        <w:spacing w:after="0" w:line="78" w:lineRule="exact"/>
        <w:rPr>
          <w:rFonts w:ascii="Arial" w:cs="Arial" w:eastAsia="Arial" w:hAnsi="Arial"/>
          <w:sz w:val="18"/>
          <w:szCs w:val="18"/>
          <w:color w:val="auto"/>
        </w:rPr>
      </w:pPr>
    </w:p>
    <w:p>
      <w:pPr>
        <w:ind w:firstLine="436"/>
        <w:spacing w:after="0" w:line="277"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xml:space="preserve">. Cowen shall have received the Comfort Letter required to be delivered pursuant to </w:t>
      </w:r>
      <w:r>
        <w:rPr>
          <w:rFonts w:ascii="Arial" w:cs="Arial" w:eastAsia="Arial" w:hAnsi="Arial"/>
          <w:sz w:val="18"/>
          <w:szCs w:val="18"/>
          <w:u w:val="single" w:color="auto"/>
          <w:color w:val="auto"/>
        </w:rPr>
        <w:t>Section 7(o)</w:t>
      </w:r>
      <w:r>
        <w:rPr>
          <w:rFonts w:ascii="Arial" w:cs="Arial" w:eastAsia="Arial" w:hAnsi="Arial"/>
          <w:sz w:val="18"/>
          <w:szCs w:val="18"/>
          <w:color w:val="auto"/>
        </w:rPr>
        <w:t xml:space="preserve"> on or before the date on which such delivery of such Comfort Letter is required pursuant to </w:t>
      </w:r>
      <w:r>
        <w:rPr>
          <w:rFonts w:ascii="Arial" w:cs="Arial" w:eastAsia="Arial" w:hAnsi="Arial"/>
          <w:sz w:val="18"/>
          <w:szCs w:val="18"/>
          <w:u w:val="single" w:color="auto"/>
          <w:color w:val="auto"/>
        </w:rPr>
        <w:t>Section 7(o)</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980"/>
          </w:cols>
          <w:pgMar w:left="440" w:top="274" w:right="479" w:bottom="1440" w:gutter="0" w:footer="0" w:header="0"/>
        </w:sectPr>
      </w:pPr>
    </w:p>
    <w:bookmarkStart w:id="86" w:name="page87"/>
    <w:bookmarkEnd w:id="86"/>
    <w:p>
      <w:pPr>
        <w:ind w:left="4" w:firstLine="436"/>
        <w:spacing w:after="0" w:line="277" w:lineRule="auto"/>
        <w:tabs>
          <w:tab w:leader="none" w:pos="699"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 Certificate</w:t>
      </w:r>
      <w:r>
        <w:rPr>
          <w:rFonts w:ascii="Arial" w:cs="Arial" w:eastAsia="Arial" w:hAnsi="Arial"/>
          <w:sz w:val="18"/>
          <w:szCs w:val="18"/>
          <w:color w:val="auto"/>
        </w:rPr>
        <w:t xml:space="preserve">. Cowen shall have received the certificate required to be delivered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 w:right="100" w:firstLine="436"/>
        <w:spacing w:after="0" w:line="277" w:lineRule="auto"/>
        <w:tabs>
          <w:tab w:leader="none" w:pos="659"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On or prior to the First Delivery Date, Cowen shall have received a certificate, signed on behalf of the Company by its corporate secretary, in form and substance satisfactory to Cowen and its counsel.</w:t>
      </w:r>
    </w:p>
    <w:p>
      <w:pPr>
        <w:spacing w:after="0" w:line="62" w:lineRule="exact"/>
        <w:rPr>
          <w:rFonts w:ascii="Arial" w:cs="Arial" w:eastAsia="Arial" w:hAnsi="Arial"/>
          <w:sz w:val="18"/>
          <w:szCs w:val="18"/>
          <w:color w:val="auto"/>
        </w:rPr>
      </w:pPr>
    </w:p>
    <w:p>
      <w:pPr>
        <w:ind w:left="664" w:hanging="224"/>
        <w:spacing w:after="0"/>
        <w:tabs>
          <w:tab w:leader="none" w:pos="664"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No Suspension</w:t>
      </w:r>
      <w:r>
        <w:rPr>
          <w:rFonts w:ascii="Arial" w:cs="Arial" w:eastAsia="Arial" w:hAnsi="Arial"/>
          <w:sz w:val="18"/>
          <w:szCs w:val="18"/>
          <w:color w:val="auto"/>
        </w:rPr>
        <w:t>. Trading in the Common Stock shall not have been suspended on Nasdaq.</w:t>
      </w:r>
    </w:p>
    <w:p>
      <w:pPr>
        <w:spacing w:after="0" w:line="117" w:lineRule="exact"/>
        <w:rPr>
          <w:rFonts w:ascii="Arial" w:cs="Arial" w:eastAsia="Arial" w:hAnsi="Arial"/>
          <w:sz w:val="18"/>
          <w:szCs w:val="18"/>
          <w:color w:val="auto"/>
        </w:rPr>
      </w:pPr>
    </w:p>
    <w:p>
      <w:pPr>
        <w:ind w:left="4" w:right="320" w:firstLine="436"/>
        <w:spacing w:after="0" w:line="279" w:lineRule="auto"/>
        <w:tabs>
          <w:tab w:leader="none" w:pos="699"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Other Materials</w:t>
      </w:r>
      <w:r>
        <w:rPr>
          <w:rFonts w:ascii="Arial" w:cs="Arial" w:eastAsia="Arial" w:hAnsi="Arial"/>
          <w:sz w:val="17"/>
          <w:szCs w:val="17"/>
          <w:color w:val="auto"/>
        </w:rPr>
        <w:t xml:space="preserve">. On each date on which the Company is required to deliver a certificate pursuant to </w:t>
      </w:r>
      <w:r>
        <w:rPr>
          <w:rFonts w:ascii="Arial" w:cs="Arial" w:eastAsia="Arial" w:hAnsi="Arial"/>
          <w:sz w:val="17"/>
          <w:szCs w:val="17"/>
          <w:u w:val="single" w:color="auto"/>
          <w:color w:val="auto"/>
        </w:rPr>
        <w:t>Section 7(m)</w:t>
      </w:r>
      <w:r>
        <w:rPr>
          <w:rFonts w:ascii="Arial" w:cs="Arial" w:eastAsia="Arial" w:hAnsi="Arial"/>
          <w:sz w:val="17"/>
          <w:szCs w:val="17"/>
          <w:color w:val="auto"/>
        </w:rPr>
        <w:t>, the Company shall have furnished to Cowen such appropriate further information, certificates and documents as Cowen may have reasonably requested. All such opinions, certificates, letters and other documents shall have been in compliance with the provisions hereof. The Company will furnish Cowen with such conformed copies of such opinions, certificates, letters and other documents as Cowen shall have reasonably requested.</w:t>
      </w:r>
    </w:p>
    <w:p>
      <w:pPr>
        <w:spacing w:after="0" w:line="63" w:lineRule="exact"/>
        <w:rPr>
          <w:rFonts w:ascii="Arial" w:cs="Arial" w:eastAsia="Arial" w:hAnsi="Arial"/>
          <w:sz w:val="17"/>
          <w:szCs w:val="17"/>
          <w:color w:val="auto"/>
        </w:rPr>
      </w:pPr>
    </w:p>
    <w:p>
      <w:pPr>
        <w:ind w:left="4" w:right="380" w:firstLine="436"/>
        <w:spacing w:after="0" w:line="342" w:lineRule="auto"/>
        <w:tabs>
          <w:tab w:leader="none" w:pos="659"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Securities Act Filings Made</w:t>
      </w:r>
      <w:r>
        <w:rPr>
          <w:rFonts w:ascii="Arial" w:cs="Arial" w:eastAsia="Arial" w:hAnsi="Arial"/>
          <w:sz w:val="16"/>
          <w:szCs w:val="16"/>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5" w:lineRule="exact"/>
        <w:rPr>
          <w:rFonts w:ascii="Arial" w:cs="Arial" w:eastAsia="Arial" w:hAnsi="Arial"/>
          <w:sz w:val="16"/>
          <w:szCs w:val="16"/>
          <w:color w:val="auto"/>
        </w:rPr>
      </w:pPr>
    </w:p>
    <w:p>
      <w:pPr>
        <w:ind w:left="744" w:hanging="304"/>
        <w:spacing w:after="0"/>
        <w:tabs>
          <w:tab w:leader="none" w:pos="744"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Approval for Listing</w:t>
      </w:r>
      <w:r>
        <w:rPr>
          <w:rFonts w:ascii="Arial" w:cs="Arial" w:eastAsia="Arial" w:hAnsi="Arial"/>
          <w:sz w:val="16"/>
          <w:szCs w:val="16"/>
          <w:color w:val="auto"/>
        </w:rPr>
        <w:t>. The Placement Shares shall either have been (i) approved for listing on Nasdaq, subject only to notice of issuance, or</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 shall have filed an application for listing of the Placement Shares on Nasdaq at, or prior to, the issuance of any Placement Notice.</w:t>
      </w:r>
    </w:p>
    <w:p>
      <w:pPr>
        <w:spacing w:after="0" w:line="125" w:lineRule="exact"/>
        <w:rPr>
          <w:rFonts w:ascii="Arial" w:cs="Arial" w:eastAsia="Arial" w:hAnsi="Arial"/>
          <w:sz w:val="16"/>
          <w:szCs w:val="16"/>
          <w:color w:val="auto"/>
        </w:rPr>
      </w:pPr>
    </w:p>
    <w:p>
      <w:pPr>
        <w:ind w:left="704" w:hanging="264"/>
        <w:spacing w:after="0"/>
        <w:tabs>
          <w:tab w:leader="none" w:pos="704"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No Termination Event</w:t>
      </w:r>
      <w:r>
        <w:rPr>
          <w:rFonts w:ascii="Arial" w:cs="Arial" w:eastAsia="Arial" w:hAnsi="Arial"/>
          <w:sz w:val="17"/>
          <w:szCs w:val="17"/>
          <w:color w:val="auto"/>
        </w:rPr>
        <w:t>. There shall not have occurred any event that would permit Cowen to terminate this Agreement pursuant to</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11(a)</w:t>
      </w:r>
      <w:r>
        <w:rPr>
          <w:rFonts w:ascii="Arial" w:cs="Arial" w:eastAsia="Arial" w:hAnsi="Arial"/>
          <w:sz w:val="18"/>
          <w:szCs w:val="18"/>
          <w:color w:val="auto"/>
        </w:rPr>
        <w:t>.</w:t>
      </w:r>
    </w:p>
    <w:p>
      <w:pPr>
        <w:spacing w:after="0" w:line="103" w:lineRule="exact"/>
        <w:rPr>
          <w:sz w:val="20"/>
          <w:szCs w:val="20"/>
          <w:color w:val="auto"/>
        </w:rPr>
      </w:pPr>
    </w:p>
    <w:p>
      <w:pPr>
        <w:ind w:left="624" w:hanging="184"/>
        <w:spacing w:after="0"/>
        <w:tabs>
          <w:tab w:leader="none" w:pos="62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8" w:lineRule="auto"/>
        <w:tabs>
          <w:tab w:leader="none" w:pos="689"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Company Indemnification</w:t>
      </w:r>
      <w:r>
        <w:rPr>
          <w:rFonts w:ascii="Arial" w:cs="Arial" w:eastAsia="Arial" w:hAnsi="Arial"/>
          <w:sz w:val="16"/>
          <w:szCs w:val="16"/>
          <w:color w:val="auto"/>
        </w:rPr>
        <w:t xml:space="preserve">. The Company agrees to indemnify and hold harmless Cowen, the directors, officers, partners, employees and agents of Cowen and each person, if any, who (i) controls Cowen within the meaning of Section 15 of the Securities Act or Section 20 of the Exchange Act, or (ii) is controlled by or is under common control with Cowen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Arial" w:cs="Arial" w:eastAsia="Arial" w:hAnsi="Arial"/>
          <w:sz w:val="16"/>
          <w:szCs w:val="16"/>
          <w:u w:val="single" w:color="auto"/>
          <w:color w:val="auto"/>
        </w:rPr>
        <w:t>Section 9(c)</w:t>
      </w:r>
      <w:r>
        <w:rPr>
          <w:rFonts w:ascii="Arial" w:cs="Arial" w:eastAsia="Arial" w:hAnsi="Arial"/>
          <w:sz w:val="16"/>
          <w:szCs w:val="16"/>
          <w:color w:val="auto"/>
        </w:rPr>
        <w:t>) of, any action, suit or proceeding between any of the indemnified parties and any indemnifying parties or between any indemnified party and any third party, or otherwise, or any claim asserted), as and when incurred, to which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w:t>
      </w:r>
    </w:p>
    <w:p>
      <w:pPr>
        <w:spacing w:after="0" w:line="100" w:lineRule="exact"/>
        <w:rPr>
          <w:rFonts w:ascii="Arial" w:cs="Arial" w:eastAsia="Arial" w:hAnsi="Arial"/>
          <w:sz w:val="16"/>
          <w:szCs w:val="16"/>
          <w:color w:val="auto"/>
        </w:rPr>
      </w:pPr>
    </w:p>
    <w:p>
      <w:pPr>
        <w:ind w:left="5424" w:hanging="111"/>
        <w:spacing w:after="0"/>
        <w:tabs>
          <w:tab w:leader="none" w:pos="5424" w:val="left"/>
        </w:tabs>
        <w:numPr>
          <w:ilvl w:val="1"/>
          <w:numId w:val="77"/>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984"/>
          </w:cols>
          <w:pgMar w:left="436" w:top="274" w:right="479" w:bottom="1440" w:gutter="0" w:footer="0" w:header="0"/>
        </w:sectPr>
      </w:pPr>
    </w:p>
    <w:bookmarkStart w:id="87" w:name="page88"/>
    <w:bookmarkEnd w:id="87"/>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third sentence in the eighth paragraph under the caption “Plan of Distribution” in the Prospectus. This indemnity agreement will be in addition to any liability that the Company might otherwise have.</w:t>
      </w:r>
    </w:p>
    <w:p>
      <w:pPr>
        <w:spacing w:after="0" w:line="57" w:lineRule="exact"/>
        <w:rPr>
          <w:sz w:val="20"/>
          <w:szCs w:val="20"/>
          <w:color w:val="auto"/>
        </w:rPr>
      </w:pPr>
    </w:p>
    <w:p>
      <w:pPr>
        <w:ind w:firstLine="436"/>
        <w:spacing w:after="0" w:line="273" w:lineRule="auto"/>
        <w:tabs>
          <w:tab w:leader="none" w:pos="695"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Cowen Indemnification</w:t>
      </w:r>
      <w:r>
        <w:rPr>
          <w:rFonts w:ascii="Arial" w:cs="Arial" w:eastAsia="Arial" w:hAnsi="Arial"/>
          <w:sz w:val="17"/>
          <w:szCs w:val="17"/>
          <w:color w:val="auto"/>
        </w:rPr>
        <w:t xml:space="preserve">.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Arial" w:cs="Arial" w:eastAsia="Arial" w:hAnsi="Arial"/>
          <w:sz w:val="17"/>
          <w:szCs w:val="17"/>
          <w:u w:val="single" w:color="auto"/>
          <w:color w:val="auto"/>
        </w:rPr>
        <w:t>Section 9(a)</w:t>
      </w:r>
      <w:r>
        <w:rPr>
          <w:rFonts w:ascii="Arial" w:cs="Arial" w:eastAsia="Arial" w:hAnsi="Arial"/>
          <w:sz w:val="17"/>
          <w:szCs w:val="17"/>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69" w:lineRule="exact"/>
        <w:rPr>
          <w:rFonts w:ascii="Arial" w:cs="Arial" w:eastAsia="Arial" w:hAnsi="Arial"/>
          <w:sz w:val="17"/>
          <w:szCs w:val="17"/>
          <w:color w:val="auto"/>
        </w:rPr>
      </w:pPr>
    </w:p>
    <w:p>
      <w:pPr>
        <w:ind w:firstLine="436"/>
        <w:spacing w:after="0" w:line="286" w:lineRule="auto"/>
        <w:tabs>
          <w:tab w:leader="none" w:pos="685"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Any party that proposes to assert the right to be indemnified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will, promptly after receipt of notice in writing of commencement of any action against such party in respect of which a claim is to be made against an indemnifying party or parties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notify each such indemnifying party in writing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(ii) any liability that it may have to any indemnified party under the foregoing provision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w:t>
      </w:r>
    </w:p>
    <w:p>
      <w:pPr>
        <w:spacing w:after="0" w:line="99" w:lineRule="exact"/>
        <w:rPr>
          <w:rFonts w:ascii="Arial" w:cs="Arial" w:eastAsia="Arial" w:hAnsi="Arial"/>
          <w:sz w:val="16"/>
          <w:szCs w:val="16"/>
          <w:color w:val="auto"/>
        </w:rPr>
      </w:pPr>
    </w:p>
    <w:p>
      <w:pPr>
        <w:ind w:left="5420" w:hanging="111"/>
        <w:spacing w:after="0"/>
        <w:tabs>
          <w:tab w:leader="none" w:pos="54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940"/>
          </w:cols>
          <w:pgMar w:left="440" w:top="274" w:right="519" w:bottom="1440" w:gutter="0" w:footer="0" w:header="0"/>
        </w:sectPr>
      </w:pPr>
    </w:p>
    <w:bookmarkStart w:id="88" w:name="page89"/>
    <w:bookmarkEnd w:id="88"/>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78" w:lineRule="exact"/>
        <w:rPr>
          <w:sz w:val="20"/>
          <w:szCs w:val="20"/>
          <w:color w:val="auto"/>
        </w:rPr>
      </w:pPr>
    </w:p>
    <w:p>
      <w:pPr>
        <w:ind w:firstLine="436"/>
        <w:spacing w:after="0" w:line="285" w:lineRule="auto"/>
        <w:tabs>
          <w:tab w:leader="none" w:pos="695"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In order to provide for just and equitable contribution in circumstances in which the indemnification provided for in the foregoing paragraphs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is applicable in accordance with its terms but for any reason is held to be unavailable from the Company or Cowen, the Company and Cowen will contribute to the total losses, claims, liabilities, reasonable and documented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Cowen, such as persons who control the Company within the meaning of the Securities Act, officers of the Company who signed the Registration Statement and directors of the Company, who also may be liable for contribution) to which the Company and Cowen may be subject in such proportion as shall be appropriate to reflect the relative benefits received by the Company on the one hand and Cowen on the other. The relative benefits received by the Company on the one hand and Cowen on the other hand shall be deemed to be in the same proportion as the total Net Proceeds from the sale of the Placement Shares (before deducting expenses) received by the Company bear to the total compensation received by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Cowen, the intent of the parties and their relative knowledge, access to information and opportunity to correct or prevent such statement or omission. The Company and Cowen agree that it would not be just</w:t>
      </w:r>
    </w:p>
    <w:p>
      <w:pPr>
        <w:spacing w:after="0" w:line="106" w:lineRule="exact"/>
        <w:rPr>
          <w:rFonts w:ascii="Arial" w:cs="Arial" w:eastAsia="Arial" w:hAnsi="Arial"/>
          <w:sz w:val="16"/>
          <w:szCs w:val="16"/>
          <w:color w:val="auto"/>
        </w:rPr>
      </w:pPr>
    </w:p>
    <w:p>
      <w:pPr>
        <w:ind w:left="5420" w:hanging="111"/>
        <w:spacing w:after="0"/>
        <w:tabs>
          <w:tab w:leader="none" w:pos="54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000"/>
          </w:cols>
          <w:pgMar w:left="440" w:top="274" w:right="459" w:bottom="1440" w:gutter="0" w:footer="0" w:header="0"/>
        </w:sectPr>
      </w:pPr>
    </w:p>
    <w:bookmarkStart w:id="89" w:name="page90"/>
    <w:bookmarkEnd w:id="8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equitable if contributions pursuant to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shall be deemed to include, for the purpose of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any documented legal or other expenses reasonably incurred by such indemnified party in connection with investigating or defending any such action or claim to the extent consistent with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hereof. Notwithstanding the foregoing provisions of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any person who controls a party to this Agreement within the meaning of the Securities Act, and any officers, directors, partners, employees or agents of Cowen,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hereof.</w:t>
      </w:r>
    </w:p>
    <w:p>
      <w:pPr>
        <w:spacing w:after="0" w:line="68" w:lineRule="exact"/>
        <w:rPr>
          <w:sz w:val="20"/>
          <w:szCs w:val="20"/>
          <w:color w:val="auto"/>
        </w:rPr>
      </w:pPr>
    </w:p>
    <w:p>
      <w:pPr>
        <w:ind w:firstLine="436"/>
        <w:spacing w:after="0" w:line="301" w:lineRule="auto"/>
        <w:tabs>
          <w:tab w:leader="none" w:pos="71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Representations and Agreements to Survive Delivery</w:t>
      </w:r>
      <w:r>
        <w:rPr>
          <w:rFonts w:ascii="Arial" w:cs="Arial" w:eastAsia="Arial" w:hAnsi="Arial"/>
          <w:sz w:val="16"/>
          <w:szCs w:val="16"/>
          <w:color w:val="auto"/>
        </w:rPr>
        <w:t xml:space="preserve">. The indemnity and contribution agreements contained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this Agreement and all representations and warranties of the Company herein or in certificates delivered pursuant hereto shall survive, as of their respective dates, regardless of (i) any investigation made by or on behalf of Cowen, any controlling persons, or the Company (or any of their respective officers, directors or controlling persons), (ii) delivery and acceptance of the Placement Shares and payment therefor or (iii) any termination of this Agreement.</w:t>
      </w:r>
    </w:p>
    <w:p>
      <w:pPr>
        <w:spacing w:after="0" w:line="49" w:lineRule="exact"/>
        <w:rPr>
          <w:rFonts w:ascii="Arial" w:cs="Arial" w:eastAsia="Arial" w:hAnsi="Arial"/>
          <w:sz w:val="16"/>
          <w:szCs w:val="16"/>
          <w:color w:val="auto"/>
        </w:rPr>
      </w:pPr>
    </w:p>
    <w:p>
      <w:pPr>
        <w:ind w:left="700" w:hanging="264"/>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117" w:lineRule="exact"/>
        <w:rPr>
          <w:sz w:val="20"/>
          <w:szCs w:val="20"/>
          <w:color w:val="auto"/>
        </w:rPr>
      </w:pPr>
    </w:p>
    <w:p>
      <w:pPr>
        <w:ind w:firstLine="436"/>
        <w:spacing w:after="0" w:line="291" w:lineRule="auto"/>
        <w:tabs>
          <w:tab w:leader="none" w:pos="685"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Cowen shall have the right by giving written notice as hereinafter specified at any time to terminate this Agreement if (i) any Material Adverse Change, or any development that could reasonably be expected to result in a Material Adverse Change has occurred that, in the reasonable judgment of Cowen, may materially impair the ability of Cowen to sell the Placement Shares hereunder, (ii) the Company shall have failed, refused or been unable to perform any agreement on its part to be performed hereunder; provided, however, in the case of any failure of the Company to deliver (or cause another person to deliver) any certification, opinion or letter required under </w:t>
      </w:r>
      <w:r>
        <w:rPr>
          <w:rFonts w:ascii="Arial" w:cs="Arial" w:eastAsia="Arial" w:hAnsi="Arial"/>
          <w:sz w:val="16"/>
          <w:szCs w:val="16"/>
          <w:u w:val="single" w:color="auto"/>
          <w:color w:val="auto"/>
        </w:rPr>
        <w:t>Sections 7(m)</w:t>
      </w:r>
      <w:r>
        <w:rPr>
          <w:rFonts w:ascii="Arial" w:cs="Arial" w:eastAsia="Arial" w:hAnsi="Arial"/>
          <w:sz w:val="16"/>
          <w:szCs w:val="16"/>
          <w:color w:val="auto"/>
        </w:rPr>
        <w:t xml:space="preserve">, </w:t>
      </w:r>
      <w:r>
        <w:rPr>
          <w:rFonts w:ascii="Arial" w:cs="Arial" w:eastAsia="Arial" w:hAnsi="Arial"/>
          <w:sz w:val="16"/>
          <w:szCs w:val="16"/>
          <w:u w:val="single" w:color="auto"/>
          <w:color w:val="auto"/>
        </w:rPr>
        <w:t>7(n)</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7(o)</w:t>
      </w:r>
      <w:r>
        <w:rPr>
          <w:rFonts w:ascii="Arial" w:cs="Arial" w:eastAsia="Arial" w:hAnsi="Arial"/>
          <w:sz w:val="16"/>
          <w:szCs w:val="16"/>
          <w:color w:val="auto"/>
        </w:rPr>
        <w:t>, Cowen’s right to terminate shall not arise unless such failure to deliver (or cause to be delivered) continues for more than thirty (30) days from the date such delivery was required or (iii) any other condition of Cowen’s obligations hereunder is not fulfilled, or (iv), any suspension or limitation of trading in the Placement Shares or in securities</w:t>
      </w:r>
    </w:p>
    <w:p>
      <w:pPr>
        <w:spacing w:after="0" w:line="98" w:lineRule="exact"/>
        <w:rPr>
          <w:rFonts w:ascii="Arial" w:cs="Arial" w:eastAsia="Arial" w:hAnsi="Arial"/>
          <w:sz w:val="16"/>
          <w:szCs w:val="16"/>
          <w:color w:val="auto"/>
        </w:rPr>
      </w:pPr>
    </w:p>
    <w:p>
      <w:pPr>
        <w:ind w:left="5420" w:hanging="111"/>
        <w:spacing w:after="0"/>
        <w:tabs>
          <w:tab w:leader="none" w:pos="54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980"/>
          </w:cols>
          <w:pgMar w:left="440" w:top="274" w:right="479" w:bottom="1440" w:gutter="0" w:footer="0" w:header="0"/>
        </w:sectPr>
      </w:pPr>
    </w:p>
    <w:bookmarkStart w:id="90" w:name="page91"/>
    <w:bookmarkEnd w:id="90"/>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generally on Nasdaq shall have occurred. Any such termination shall be without liability of any party to any other party except that the provisions of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(Expenses),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(Indemnification and Contribution),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(Representations and Agreements to Survive Delivery),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(Applicable Law; Consent to Jurisdiction) and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(Waiver of Jury Trial) hereof shall remain in full force and effect notwithstanding such termination. If Cowen elects to terminate this Agreement as provided in this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Cowen shall provide the required notice as specified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(Notices).</w:t>
      </w:r>
    </w:p>
    <w:p>
      <w:pPr>
        <w:spacing w:after="0" w:line="80" w:lineRule="exact"/>
        <w:rPr>
          <w:sz w:val="20"/>
          <w:szCs w:val="20"/>
          <w:color w:val="auto"/>
        </w:rPr>
      </w:pPr>
    </w:p>
    <w:p>
      <w:pPr>
        <w:ind w:right="80" w:firstLine="436"/>
        <w:spacing w:after="0" w:line="311" w:lineRule="auto"/>
        <w:tabs>
          <w:tab w:leader="none" w:pos="692"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6"/>
          <w:szCs w:val="16"/>
          <w:u w:val="single" w:color="auto"/>
          <w:color w:val="auto"/>
        </w:rPr>
        <w:t>Section 7(g)</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hereof shall remain in full force and effect notwithstanding such termination.</w:t>
      </w:r>
    </w:p>
    <w:p>
      <w:pPr>
        <w:spacing w:after="0" w:line="40" w:lineRule="exact"/>
        <w:rPr>
          <w:rFonts w:ascii="Arial" w:cs="Arial" w:eastAsia="Arial" w:hAnsi="Arial"/>
          <w:sz w:val="16"/>
          <w:szCs w:val="16"/>
          <w:color w:val="auto"/>
        </w:rPr>
      </w:pPr>
    </w:p>
    <w:p>
      <w:pPr>
        <w:ind w:right="300" w:firstLine="436"/>
        <w:spacing w:after="0" w:line="311" w:lineRule="auto"/>
        <w:tabs>
          <w:tab w:leader="none" w:pos="685"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6"/>
          <w:szCs w:val="16"/>
          <w:u w:val="single" w:color="auto"/>
          <w:color w:val="auto"/>
        </w:rPr>
        <w:t>Section 7(g)</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hereof shall remain in full force and effect notwithstanding such termination.</w:t>
      </w:r>
    </w:p>
    <w:p>
      <w:pPr>
        <w:spacing w:after="0" w:line="40" w:lineRule="exact"/>
        <w:rPr>
          <w:rFonts w:ascii="Arial" w:cs="Arial" w:eastAsia="Arial" w:hAnsi="Arial"/>
          <w:sz w:val="16"/>
          <w:szCs w:val="16"/>
          <w:color w:val="auto"/>
        </w:rPr>
      </w:pPr>
    </w:p>
    <w:p>
      <w:pPr>
        <w:jc w:val="both"/>
        <w:ind w:right="320" w:firstLine="436"/>
        <w:spacing w:after="0" w:line="286" w:lineRule="auto"/>
        <w:tabs>
          <w:tab w:leader="none" w:pos="695"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Unless earlier terminated pursuant to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this Agreement shall automatically terminate upon the issuance and sale of all of the Placement Shares through Cowen on the terms and subject to the conditions set forth 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provisions of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shall remain in full force and effect notwithstanding such termination.</w:t>
      </w:r>
    </w:p>
    <w:p>
      <w:pPr>
        <w:spacing w:after="0" w:line="57" w:lineRule="exact"/>
        <w:rPr>
          <w:rFonts w:ascii="Arial" w:cs="Arial" w:eastAsia="Arial" w:hAnsi="Arial"/>
          <w:sz w:val="17"/>
          <w:szCs w:val="17"/>
          <w:color w:val="auto"/>
        </w:rPr>
      </w:pPr>
    </w:p>
    <w:p>
      <w:pPr>
        <w:ind w:firstLine="436"/>
        <w:spacing w:after="0" w:line="296" w:lineRule="auto"/>
        <w:tabs>
          <w:tab w:leader="none" w:pos="682"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This Agreement shall remain in full force and effect unless terminated pursuant to </w:t>
      </w:r>
      <w:r>
        <w:rPr>
          <w:rFonts w:ascii="Arial" w:cs="Arial" w:eastAsia="Arial" w:hAnsi="Arial"/>
          <w:sz w:val="16"/>
          <w:szCs w:val="16"/>
          <w:u w:val="single" w:color="auto"/>
          <w:color w:val="auto"/>
        </w:rPr>
        <w:t>Sections 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 or (d)</w:t>
      </w:r>
      <w:r>
        <w:rPr>
          <w:rFonts w:ascii="Arial" w:cs="Arial" w:eastAsia="Arial" w:hAnsi="Arial"/>
          <w:sz w:val="16"/>
          <w:szCs w:val="16"/>
          <w:color w:val="auto"/>
        </w:rPr>
        <w:t xml:space="preserve"> above or otherwise by mutual agreement of the parties;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termination by mutual agreement shall in all cases be deemed to provide that </w:t>
      </w:r>
      <w:r>
        <w:rPr>
          <w:rFonts w:ascii="Arial" w:cs="Arial" w:eastAsia="Arial" w:hAnsi="Arial"/>
          <w:sz w:val="16"/>
          <w:szCs w:val="16"/>
          <w:u w:val="single" w:color="auto"/>
          <w:color w:val="auto"/>
        </w:rPr>
        <w:t>Section 7(g)</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shall remain in full force and effect. Upon termination of this Agreement, subject to </w:t>
      </w:r>
      <w:r>
        <w:rPr>
          <w:rFonts w:ascii="Arial" w:cs="Arial" w:eastAsia="Arial" w:hAnsi="Arial"/>
          <w:sz w:val="16"/>
          <w:szCs w:val="16"/>
          <w:u w:val="single" w:color="auto"/>
          <w:color w:val="auto"/>
        </w:rPr>
        <w:t>Section 11(f)</w:t>
      </w:r>
      <w:r>
        <w:rPr>
          <w:rFonts w:ascii="Arial" w:cs="Arial" w:eastAsia="Arial" w:hAnsi="Arial"/>
          <w:sz w:val="16"/>
          <w:szCs w:val="16"/>
          <w:color w:val="auto"/>
        </w:rPr>
        <w:t xml:space="preserve">, the Company shall not have any liability to Cowen for any discount, commission or other compensation with respect to any Placement Shares not otherwise sold by Cowen under this Agreement, or otherwise, except with respect to reimbursement of expenses pursuant to </w:t>
      </w:r>
      <w:r>
        <w:rPr>
          <w:rFonts w:ascii="Arial" w:cs="Arial" w:eastAsia="Arial" w:hAnsi="Arial"/>
          <w:sz w:val="16"/>
          <w:szCs w:val="16"/>
          <w:u w:val="single" w:color="auto"/>
          <w:color w:val="auto"/>
        </w:rPr>
        <w:t>Section 7(g)</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660" w:hanging="224"/>
        <w:spacing w:after="0"/>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Any termination of this Agreement shall be effective on the date specified in such notice of termination;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w:t>
      </w:r>
    </w:p>
    <w:p>
      <w:pPr>
        <w:spacing w:after="0" w:line="34" w:lineRule="exact"/>
        <w:rPr>
          <w:rFonts w:ascii="Arial" w:cs="Arial" w:eastAsia="Arial" w:hAnsi="Arial"/>
          <w:sz w:val="17"/>
          <w:szCs w:val="17"/>
          <w:color w:val="auto"/>
        </w:rPr>
      </w:pPr>
    </w:p>
    <w:p>
      <w:pPr>
        <w:ind w:right="80"/>
        <w:spacing w:after="0" w:line="255" w:lineRule="auto"/>
        <w:rPr>
          <w:rFonts w:ascii="Arial" w:cs="Arial" w:eastAsia="Arial" w:hAnsi="Arial"/>
          <w:sz w:val="17"/>
          <w:szCs w:val="17"/>
          <w:color w:val="auto"/>
        </w:rPr>
      </w:pPr>
      <w:r>
        <w:rPr>
          <w:rFonts w:ascii="Arial" w:cs="Arial" w:eastAsia="Arial" w:hAnsi="Arial"/>
          <w:sz w:val="18"/>
          <w:szCs w:val="18"/>
          <w:color w:val="auto"/>
        </w:rPr>
        <w:t>termination shall not be effective until the close of business on the date of receipt of such notice by Cowen or the Company, as the case may be. If such termination shall occur prior to the Settlement Date for any sale of Placement Shares, such Placement Shares shall settle in accordance with the provisions of this Agreement.</w:t>
      </w:r>
    </w:p>
    <w:p>
      <w:pPr>
        <w:spacing w:after="0" w:line="82" w:lineRule="exact"/>
        <w:rPr>
          <w:sz w:val="20"/>
          <w:szCs w:val="20"/>
          <w:color w:val="auto"/>
        </w:rPr>
      </w:pPr>
    </w:p>
    <w:p>
      <w:pPr>
        <w:ind w:right="20" w:firstLine="436"/>
        <w:spacing w:after="0" w:line="301" w:lineRule="auto"/>
        <w:tabs>
          <w:tab w:leader="none" w:pos="71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required or permitted to be given by any party to any other party pursuant to the terms of this Agreement shall be in writing, unless otherwise specified in this Agreement, and if sent to Cowen, shall be delivered to Cowen at Cowen and Company, LLC, 599 Lexington Avenue, New York, NY 10022, fax no. 646-562-1130, Attention: General Counsel, email: Bradley.friedman@cowen.com; or if sent to the Company, shall be delivered to Biodesix, Inc., 2970 Wilderness Place, Suite 100, Boulder, CO 80301,</w:t>
      </w:r>
    </w:p>
    <w:p>
      <w:pPr>
        <w:spacing w:after="0" w:line="89" w:lineRule="exact"/>
        <w:rPr>
          <w:rFonts w:ascii="Arial" w:cs="Arial" w:eastAsia="Arial" w:hAnsi="Arial"/>
          <w:sz w:val="16"/>
          <w:szCs w:val="16"/>
          <w:color w:val="auto"/>
        </w:rPr>
      </w:pPr>
    </w:p>
    <w:p>
      <w:pPr>
        <w:ind w:left="5420" w:hanging="111"/>
        <w:spacing w:after="0"/>
        <w:tabs>
          <w:tab w:leader="none" w:pos="54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960"/>
          </w:cols>
          <w:pgMar w:left="440" w:top="274" w:right="499"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attention: Scott Hutton and Robin Harper Cowie, emails: scott.hutton@biodesix.com and robin.cowie@biodesix.com, with a copy to Sidley Austin,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LLP, attention: Frank Rahmani and Samir Gandhi, emails: frahmani@sidley.com and sgandhi@sidley.com. Each party to this Agreement may 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address for notices by sending to the parties to this Agreement written notice of a new address for such purpose. Each such notice or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communication shall be deemed given (i) when delivered personally or by verifiable facsimile transmission (with an original to follow) on or before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4:30 p.m., New York City time, on a Business Day (as defined below), or, if such day is not a Business Day on the next succeeding Business Day, (ii)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next Business Day after timely delivery to a nationally-recognized overnight courier and (iii) on the Business Day actually received if deposited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U.S. mail (certified or registered mail, return receipt requested, postage prepaid). For purposes of this Agreement, “</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shall mean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day on which the Nasdaq and commercial banks in the City of New York are open for business.</w:t>
      </w:r>
    </w:p>
    <w:p>
      <w:pPr>
        <w:spacing w:after="0" w:line="103" w:lineRule="exact"/>
        <w:rPr>
          <w:sz w:val="20"/>
          <w:szCs w:val="20"/>
          <w:color w:val="auto"/>
        </w:rPr>
      </w:pPr>
    </w:p>
    <w:p>
      <w:pPr>
        <w:ind w:right="100" w:firstLine="436"/>
        <w:spacing w:after="0" w:line="272" w:lineRule="auto"/>
        <w:tabs>
          <w:tab w:leader="none" w:pos="71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This Agreement shall inure to the benefit of and be binding upon the Company and Cowen and their respective successors and the affiliates, controlling persons, officers and directors referred to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Cowen may assign its rights and obligations hereunder to an affiliate of Cowen without obtaining the Company’s consent.</w:t>
      </w:r>
    </w:p>
    <w:p>
      <w:pPr>
        <w:spacing w:after="0" w:line="69" w:lineRule="exact"/>
        <w:rPr>
          <w:rFonts w:ascii="Arial" w:cs="Arial" w:eastAsia="Arial" w:hAnsi="Arial"/>
          <w:sz w:val="17"/>
          <w:szCs w:val="17"/>
          <w:color w:val="auto"/>
        </w:rPr>
      </w:pPr>
    </w:p>
    <w:p>
      <w:pPr>
        <w:ind w:right="100" w:firstLine="436"/>
        <w:spacing w:after="0" w:line="277" w:lineRule="auto"/>
        <w:tabs>
          <w:tab w:leader="none" w:pos="71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Adjustments for Share Splits</w:t>
      </w:r>
      <w:r>
        <w:rPr>
          <w:rFonts w:ascii="Arial" w:cs="Arial" w:eastAsia="Arial" w:hAnsi="Arial"/>
          <w:sz w:val="18"/>
          <w:szCs w:val="18"/>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62" w:lineRule="exact"/>
        <w:rPr>
          <w:rFonts w:ascii="Arial" w:cs="Arial" w:eastAsia="Arial" w:hAnsi="Arial"/>
          <w:sz w:val="18"/>
          <w:szCs w:val="18"/>
          <w:color w:val="auto"/>
        </w:rPr>
      </w:pPr>
    </w:p>
    <w:p>
      <w:pPr>
        <w:ind w:firstLine="436"/>
        <w:spacing w:after="0" w:line="290" w:lineRule="auto"/>
        <w:tabs>
          <w:tab w:leader="none" w:pos="71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 Severability</w:t>
      </w:r>
      <w:r>
        <w:rPr>
          <w:rFonts w:ascii="Arial" w:cs="Arial" w:eastAsia="Arial" w:hAnsi="Arial"/>
          <w:sz w:val="16"/>
          <w:szCs w:val="16"/>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57" w:lineRule="exact"/>
        <w:rPr>
          <w:rFonts w:ascii="Arial" w:cs="Arial" w:eastAsia="Arial" w:hAnsi="Arial"/>
          <w:sz w:val="16"/>
          <w:szCs w:val="16"/>
          <w:color w:val="auto"/>
        </w:rPr>
      </w:pPr>
    </w:p>
    <w:p>
      <w:pPr>
        <w:ind w:right="160" w:firstLine="436"/>
        <w:spacing w:after="0" w:line="259" w:lineRule="auto"/>
        <w:tabs>
          <w:tab w:leader="none" w:pos="71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Applicable Law; Consent to Jurisdiction</w:t>
      </w:r>
      <w:r>
        <w:rPr>
          <w:rFonts w:ascii="Arial" w:cs="Arial" w:eastAsia="Arial" w:hAnsi="Arial"/>
          <w:sz w:val="18"/>
          <w:szCs w:val="18"/>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000"/>
          </w:cols>
          <w:pgMar w:left="440" w:top="274" w:right="459" w:bottom="1440" w:gutter="0" w:footer="0" w:header="0"/>
        </w:sectPr>
      </w:pPr>
    </w:p>
    <w:bookmarkStart w:id="92" w:name="page93"/>
    <w:bookmarkEnd w:id="92"/>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78" w:lineRule="exact"/>
        <w:rPr>
          <w:sz w:val="20"/>
          <w:szCs w:val="20"/>
          <w:color w:val="auto"/>
        </w:rPr>
      </w:pPr>
    </w:p>
    <w:p>
      <w:pPr>
        <w:ind w:right="100" w:firstLine="436"/>
        <w:spacing w:after="0" w:line="277" w:lineRule="auto"/>
        <w:tabs>
          <w:tab w:leader="none" w:pos="71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and Cowen each hereby irrevocably waives any right it may have to a trial by jury in respect of any claim based upon or arising out of this Agreement or any transaction contemplated hereby.</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Absence of Fiduciary Relationship</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acknowledges and agrees that:</w:t>
      </w:r>
    </w:p>
    <w:p>
      <w:pPr>
        <w:spacing w:after="0" w:line="117" w:lineRule="exact"/>
        <w:rPr>
          <w:sz w:val="20"/>
          <w:szCs w:val="20"/>
          <w:color w:val="auto"/>
        </w:rPr>
      </w:pPr>
    </w:p>
    <w:p>
      <w:pPr>
        <w:ind w:right="60" w:firstLine="436"/>
        <w:spacing w:after="0" w:line="311" w:lineRule="auto"/>
        <w:tabs>
          <w:tab w:leader="none" w:pos="685"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Cowen has been retained solely to act as an arm’s length contractual counterparty to the Company in connection with the sale of the Placement Shares contemplated hereby and that no fiduciary, advisory or agency relationship between the Company and Cowen has been created in respect of any of the transactions contemplated by this Agreement, irrespective of whether Cowen has advised or is advising the Company on other matters;</w:t>
      </w:r>
    </w:p>
    <w:p>
      <w:pPr>
        <w:spacing w:after="0" w:line="40" w:lineRule="exact"/>
        <w:rPr>
          <w:rFonts w:ascii="Arial" w:cs="Arial" w:eastAsia="Arial" w:hAnsi="Arial"/>
          <w:sz w:val="16"/>
          <w:szCs w:val="16"/>
          <w:color w:val="auto"/>
        </w:rPr>
      </w:pPr>
    </w:p>
    <w:p>
      <w:pPr>
        <w:ind w:right="560" w:firstLine="436"/>
        <w:spacing w:after="0" w:line="277"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is capable of evaluating and understanding and understands and accepts the terms, risks and conditions of the transactions contemplated by this Agreement;</w:t>
      </w:r>
    </w:p>
    <w:p>
      <w:pPr>
        <w:spacing w:after="0" w:line="62" w:lineRule="exact"/>
        <w:rPr>
          <w:rFonts w:ascii="Arial" w:cs="Arial" w:eastAsia="Arial" w:hAnsi="Arial"/>
          <w:sz w:val="18"/>
          <w:szCs w:val="18"/>
          <w:color w:val="auto"/>
        </w:rPr>
      </w:pPr>
    </w:p>
    <w:p>
      <w:pPr>
        <w:ind w:firstLine="436"/>
        <w:spacing w:after="0" w:line="263" w:lineRule="auto"/>
        <w:tabs>
          <w:tab w:leader="none" w:pos="6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has been advised that Cowen and its affiliates are engaged in a broad range of transactions which may involve interests that differ from those of the Company and that Cowen has no obligation to disclose such interests and transactions to the Company by virtue of any fiduciary, advisory or agency relationship; and</w:t>
      </w:r>
    </w:p>
    <w:p>
      <w:pPr>
        <w:spacing w:after="0" w:line="75" w:lineRule="exact"/>
        <w:rPr>
          <w:rFonts w:ascii="Arial" w:cs="Arial" w:eastAsia="Arial" w:hAnsi="Arial"/>
          <w:sz w:val="18"/>
          <w:szCs w:val="18"/>
          <w:color w:val="auto"/>
        </w:rPr>
      </w:pPr>
    </w:p>
    <w:p>
      <w:pPr>
        <w:ind w:right="60" w:firstLine="436"/>
        <w:spacing w:after="0" w:line="259"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waives, to the fullest extent permitted by law, any claims it may have against Cowen, for breach of fiduciary duty or alleged breach of fiduciary duty and agrees that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87" w:lineRule="exact"/>
        <w:rPr>
          <w:sz w:val="20"/>
          <w:szCs w:val="20"/>
          <w:color w:val="auto"/>
        </w:rPr>
      </w:pPr>
    </w:p>
    <w:p>
      <w:pPr>
        <w:ind w:right="20" w:firstLine="436"/>
        <w:spacing w:after="0" w:line="257" w:lineRule="auto"/>
        <w:tabs>
          <w:tab w:leader="none" w:pos="71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Counterparts; Electronic Signatures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Signature pages may be electronically executed and delivered, including by facsimile, any electronic method complying with the federal ESIGN Act (e.g. DocuSign) or by wet ink signature, captured on a pdf email attachment, and any signature pages executed and delivered shall be valid and binding for all purposes.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020"/>
          </w:cols>
          <w:pgMar w:left="440" w:top="274" w:right="439" w:bottom="1440" w:gutter="0" w:footer="0" w:header="0"/>
        </w:sectPr>
      </w:pPr>
    </w:p>
    <w:bookmarkStart w:id="93" w:name="page94"/>
    <w:bookmarkEnd w:id="9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understanding between the Company and Cowen, please so indicate in the space provided below for that purpose, whereupon this letter shall constitute a binding agreement between the Company and Cowen.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COWEN AND COMPANY,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Connor Leahy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Connor Leahy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ACCEPTED as of the date</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first-above written:</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Robin Harper Cowie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0800"/>
          </w:cols>
          <w:pgMar w:left="440" w:top="274" w:right="65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SCHEDULE 1</w:t>
            </w:r>
          </w:p>
        </w:tc>
      </w:tr>
      <w:tr>
        <w:trPr>
          <w:trHeight w:val="628"/>
        </w:trPr>
        <w:tc>
          <w:tcPr>
            <w:tcW w:w="1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FORM OF PLACEMENT NOTICE</w:t>
            </w:r>
          </w:p>
        </w:tc>
      </w:tr>
      <w:tr>
        <w:trPr>
          <w:trHeight w:val="438"/>
        </w:trPr>
        <w:tc>
          <w:tcPr>
            <w:tcW w:w="1280" w:type="dxa"/>
            <w:vAlign w:val="bottom"/>
          </w:tcPr>
          <w:p>
            <w:pPr>
              <w:spacing w:after="0"/>
              <w:rPr>
                <w:sz w:val="20"/>
                <w:szCs w:val="20"/>
                <w:color w:val="auto"/>
              </w:rPr>
            </w:pPr>
            <w:r>
              <w:rPr>
                <w:rFonts w:ascii="Arial" w:cs="Arial" w:eastAsia="Arial" w:hAnsi="Arial"/>
                <w:sz w:val="18"/>
                <w:szCs w:val="18"/>
                <w:color w:val="auto"/>
              </w:rPr>
              <w:t>From: [</w:t>
            </w:r>
          </w:p>
        </w:tc>
        <w:tc>
          <w:tcPr>
            <w:tcW w:w="2820" w:type="dxa"/>
            <w:vAlign w:val="bottom"/>
          </w:tcPr>
          <w:p>
            <w:pPr>
              <w:jc w:val="right"/>
              <w:ind w:right="1750"/>
              <w:spacing w:after="0"/>
              <w:rPr>
                <w:sz w:val="20"/>
                <w:szCs w:val="20"/>
                <w:color w:val="auto"/>
              </w:rPr>
            </w:pPr>
            <w:r>
              <w:rPr>
                <w:rFonts w:ascii="Arial" w:cs="Arial" w:eastAsia="Arial" w:hAnsi="Arial"/>
                <w:sz w:val="18"/>
                <w:szCs w:val="18"/>
                <w:color w:val="auto"/>
              </w:rPr>
              <w:t>]</w:t>
            </w:r>
          </w:p>
        </w:tc>
        <w:tc>
          <w:tcPr>
            <w:tcW w:w="280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Cc: [</w:t>
            </w:r>
          </w:p>
        </w:tc>
        <w:tc>
          <w:tcPr>
            <w:tcW w:w="2820" w:type="dxa"/>
            <w:vAlign w:val="bottom"/>
          </w:tcPr>
          <w:p>
            <w:pPr>
              <w:jc w:val="right"/>
              <w:ind w:right="193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To: [</w:t>
            </w:r>
          </w:p>
        </w:tc>
        <w:tc>
          <w:tcPr>
            <w:tcW w:w="2820" w:type="dxa"/>
            <w:vAlign w:val="bottom"/>
          </w:tcPr>
          <w:p>
            <w:pPr>
              <w:jc w:val="right"/>
              <w:ind w:right="195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Subject: Cowen At the Market Offering—Placement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Pursuant to the terms and subject to the conditions contained in the Sales Agreement between Biodesix,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Cowen and Company, LLC (“</w:t>
      </w:r>
      <w:r>
        <w:rPr>
          <w:rFonts w:ascii="Arial" w:cs="Arial" w:eastAsia="Arial" w:hAnsi="Arial"/>
          <w:sz w:val="18"/>
          <w:szCs w:val="18"/>
          <w:u w:val="single" w:color="auto"/>
          <w:color w:val="auto"/>
        </w:rPr>
        <w:t>Cowen</w:t>
      </w:r>
      <w:r>
        <w:rPr>
          <w:rFonts w:ascii="Arial" w:cs="Arial" w:eastAsia="Arial" w:hAnsi="Arial"/>
          <w:sz w:val="18"/>
          <w:szCs w:val="18"/>
          <w:color w:val="auto"/>
        </w:rPr>
        <w:t>”) dated November 15, 2021 (the “</w:t>
      </w:r>
      <w:r>
        <w:rPr>
          <w:rFonts w:ascii="Arial" w:cs="Arial" w:eastAsia="Arial" w:hAnsi="Arial"/>
          <w:sz w:val="18"/>
          <w:szCs w:val="18"/>
          <w:u w:val="single" w:color="auto"/>
          <w:color w:val="auto"/>
        </w:rPr>
        <w:t>Agreement</w:t>
      </w:r>
      <w:r>
        <w:rPr>
          <w:rFonts w:ascii="Arial" w:cs="Arial" w:eastAsia="Arial" w:hAnsi="Arial"/>
          <w:sz w:val="18"/>
          <w:szCs w:val="18"/>
          <w:color w:val="auto"/>
        </w:rPr>
        <w:t>”), I hereby request on behalf of the Company that Cowen sell up to [ ] shares of the Company’s common stock, par value $0.001 per share, at a minimum market price of $_______ per share. Sales should begin on the date of this Notice and shall continue until [DATE] [all shares are sold].</w:t>
      </w:r>
    </w:p>
    <w:p>
      <w:pPr>
        <w:sectPr>
          <w:pgSz w:w="11900" w:h="16838" w:orient="portrait"/>
          <w:cols w:equalWidth="0" w:num="1">
            <w:col w:w="11020"/>
          </w:cols>
          <w:pgMar w:left="440" w:top="257" w:right="4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Notice Parties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1820" w:type="dxa"/>
            <w:vAlign w:val="bottom"/>
          </w:tcPr>
          <w:p>
            <w:pPr>
              <w:spacing w:after="0"/>
              <w:rPr>
                <w:sz w:val="17"/>
                <w:szCs w:val="17"/>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44"/>
        </w:trPr>
        <w:tc>
          <w:tcPr>
            <w:tcW w:w="1040" w:type="dxa"/>
            <w:vAlign w:val="bottom"/>
            <w:gridSpan w:val="2"/>
          </w:tcPr>
          <w:p>
            <w:pPr>
              <w:spacing w:after="0"/>
              <w:rPr>
                <w:sz w:val="20"/>
                <w:szCs w:val="20"/>
                <w:color w:val="auto"/>
              </w:rPr>
            </w:pPr>
            <w:r>
              <w:rPr>
                <w:rFonts w:ascii="Arial" w:cs="Arial" w:eastAsia="Arial" w:hAnsi="Arial"/>
                <w:sz w:val="18"/>
                <w:szCs w:val="18"/>
                <w:color w:val="auto"/>
              </w:rPr>
              <w:t>Scott Hutton</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93"/>
              </w:rPr>
              <w:t>Chief Executive Officer</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color w:val="auto"/>
                <w:w w:val="99"/>
              </w:rPr>
              <w:t>Robin Cowie</w:t>
            </w:r>
          </w:p>
        </w:tc>
        <w:tc>
          <w:tcPr>
            <w:tcW w:w="1820" w:type="dxa"/>
            <w:vAlign w:val="bottom"/>
          </w:tcPr>
          <w:p>
            <w:pPr>
              <w:jc w:val="center"/>
              <w:ind w:left="50"/>
              <w:spacing w:after="0"/>
              <w:rPr>
                <w:sz w:val="20"/>
                <w:szCs w:val="20"/>
                <w:color w:val="auto"/>
              </w:rPr>
            </w:pPr>
            <w:r>
              <w:rPr>
                <w:rFonts w:ascii="Arial" w:cs="Arial" w:eastAsia="Arial" w:hAnsi="Arial"/>
                <w:sz w:val="18"/>
                <w:szCs w:val="18"/>
                <w:color w:val="auto"/>
                <w:w w:val="94"/>
              </w:rPr>
              <w:t>Chief Financial Officer</w:t>
            </w:r>
          </w:p>
        </w:tc>
      </w:tr>
    </w:tbl>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Cowen</w:t>
            </w:r>
          </w:p>
        </w:tc>
        <w:tc>
          <w:tcPr>
            <w:tcW w:w="1480" w:type="dxa"/>
            <w:vAlign w:val="bottom"/>
          </w:tcPr>
          <w:p>
            <w:pPr>
              <w:spacing w:after="0"/>
              <w:rPr>
                <w:sz w:val="17"/>
                <w:szCs w:val="17"/>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44"/>
        </w:trPr>
        <w:tc>
          <w:tcPr>
            <w:tcW w:w="1480" w:type="dxa"/>
            <w:vAlign w:val="bottom"/>
            <w:gridSpan w:val="2"/>
          </w:tcPr>
          <w:p>
            <w:pPr>
              <w:spacing w:after="0"/>
              <w:rPr>
                <w:sz w:val="20"/>
                <w:szCs w:val="20"/>
                <w:color w:val="auto"/>
              </w:rPr>
            </w:pPr>
            <w:r>
              <w:rPr>
                <w:rFonts w:ascii="Arial" w:cs="Arial" w:eastAsia="Arial" w:hAnsi="Arial"/>
                <w:sz w:val="18"/>
                <w:szCs w:val="18"/>
                <w:color w:val="auto"/>
                <w:w w:val="99"/>
              </w:rPr>
              <w:t>Michael J. Murphy</w:t>
            </w:r>
          </w:p>
        </w:tc>
        <w:tc>
          <w:tcPr>
            <w:tcW w:w="1480" w:type="dxa"/>
            <w:vAlign w:val="bottom"/>
          </w:tcPr>
          <w:p>
            <w:pPr>
              <w:ind w:left="120"/>
              <w:spacing w:after="0"/>
              <w:rPr>
                <w:sz w:val="20"/>
                <w:szCs w:val="20"/>
                <w:color w:val="auto"/>
              </w:rPr>
            </w:pPr>
            <w:r>
              <w:rPr>
                <w:rFonts w:ascii="Arial" w:cs="Arial" w:eastAsia="Arial" w:hAnsi="Arial"/>
                <w:sz w:val="18"/>
                <w:szCs w:val="18"/>
                <w:color w:val="auto"/>
                <w:w w:val="91"/>
              </w:rPr>
              <w:t>Managing Director</w:t>
            </w:r>
          </w:p>
        </w:tc>
      </w:tr>
      <w:tr>
        <w:trPr>
          <w:trHeight w:val="432"/>
        </w:trPr>
        <w:tc>
          <w:tcPr>
            <w:tcW w:w="1480" w:type="dxa"/>
            <w:vAlign w:val="bottom"/>
            <w:gridSpan w:val="2"/>
          </w:tcPr>
          <w:p>
            <w:pPr>
              <w:spacing w:after="0"/>
              <w:rPr>
                <w:sz w:val="20"/>
                <w:szCs w:val="20"/>
                <w:color w:val="auto"/>
              </w:rPr>
            </w:pPr>
            <w:r>
              <w:rPr>
                <w:rFonts w:ascii="Arial" w:cs="Arial" w:eastAsia="Arial" w:hAnsi="Arial"/>
                <w:sz w:val="18"/>
                <w:szCs w:val="18"/>
                <w:color w:val="auto"/>
              </w:rPr>
              <w:t>William Follis</w:t>
            </w:r>
          </w:p>
        </w:tc>
        <w:tc>
          <w:tcPr>
            <w:tcW w:w="1480" w:type="dxa"/>
            <w:vAlign w:val="bottom"/>
          </w:tcPr>
          <w:p>
            <w:pPr>
              <w:ind w:left="100"/>
              <w:spacing w:after="0"/>
              <w:rPr>
                <w:sz w:val="20"/>
                <w:szCs w:val="20"/>
                <w:color w:val="auto"/>
              </w:rPr>
            </w:pPr>
            <w:r>
              <w:rPr>
                <w:rFonts w:ascii="Arial" w:cs="Arial" w:eastAsia="Arial" w:hAnsi="Arial"/>
                <w:sz w:val="18"/>
                <w:szCs w:val="18"/>
                <w:color w:val="auto"/>
                <w:w w:val="92"/>
              </w:rPr>
              <w:t>Managing Director</w:t>
            </w:r>
          </w:p>
        </w:tc>
      </w:tr>
    </w:tbl>
    <w:p>
      <w:pPr>
        <w:sectPr>
          <w:pgSz w:w="11900" w:h="16838" w:orient="portrait"/>
          <w:cols w:equalWidth="0" w:num="1">
            <w:col w:w="11020"/>
          </w:cols>
          <w:pgMar w:left="440" w:top="270" w:right="4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Cowen shall be paid compensation equal to 3% of the gross proceeds from the sales of Common Stock pursuant to the terms of this Agreement.</w:t>
      </w:r>
    </w:p>
    <w:p>
      <w:pPr>
        <w:sectPr>
          <w:pgSz w:w="11900" w:h="16838" w:orient="portrait"/>
          <w:cols w:equalWidth="0" w:num="1">
            <w:col w:w="11020"/>
          </w:cols>
          <w:pgMar w:left="440" w:top="270" w:right="4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the duly qualified and elected _______________________, of Biodesix, Inc.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 Delaware corporation, does hereby</w:t>
      </w:r>
    </w:p>
    <w:p>
      <w:pPr>
        <w:spacing w:after="0" w:line="39" w:lineRule="exact"/>
        <w:rPr>
          <w:sz w:val="20"/>
          <w:szCs w:val="20"/>
          <w:color w:val="auto"/>
        </w:rPr>
      </w:pPr>
    </w:p>
    <w:p>
      <w:pPr>
        <w:ind w:right="780"/>
        <w:spacing w:after="0" w:line="290" w:lineRule="auto"/>
        <w:rPr>
          <w:sz w:val="20"/>
          <w:szCs w:val="20"/>
          <w:color w:val="auto"/>
        </w:rPr>
      </w:pPr>
      <w:r>
        <w:rPr>
          <w:rFonts w:ascii="Arial" w:cs="Arial" w:eastAsia="Arial" w:hAnsi="Arial"/>
          <w:sz w:val="17"/>
          <w:szCs w:val="17"/>
          <w:color w:val="auto"/>
        </w:rPr>
        <w:t xml:space="preserve">certify in such capacity and on behalf of the Company, pursuant to </w:t>
      </w:r>
      <w:r>
        <w:rPr>
          <w:rFonts w:ascii="Arial" w:cs="Arial" w:eastAsia="Arial" w:hAnsi="Arial"/>
          <w:sz w:val="17"/>
          <w:szCs w:val="17"/>
          <w:u w:val="single" w:color="auto"/>
          <w:color w:val="auto"/>
        </w:rPr>
        <w:t>Section 7(m)</w:t>
      </w:r>
      <w:r>
        <w:rPr>
          <w:rFonts w:ascii="Arial" w:cs="Arial" w:eastAsia="Arial" w:hAnsi="Arial"/>
          <w:sz w:val="17"/>
          <w:szCs w:val="17"/>
          <w:color w:val="auto"/>
        </w:rPr>
        <w:t xml:space="preserve"> of the Sales Agreement dated November 15</w:t>
      </w:r>
      <w:r>
        <w:rPr>
          <w:rFonts w:ascii="Arial" w:cs="Arial" w:eastAsia="Arial" w:hAnsi="Arial"/>
          <w:sz w:val="17"/>
          <w:szCs w:val="17"/>
          <w:u w:val="single" w:color="auto"/>
          <w:color w:val="auto"/>
        </w:rPr>
        <w:t>,</w:t>
      </w:r>
      <w:r>
        <w:rPr>
          <w:rFonts w:ascii="Arial" w:cs="Arial" w:eastAsia="Arial" w:hAnsi="Arial"/>
          <w:sz w:val="17"/>
          <w:szCs w:val="17"/>
          <w:color w:val="auto"/>
        </w:rPr>
        <w:t xml:space="preserve"> 2021 (the “</w:t>
      </w:r>
      <w:r>
        <w:rPr>
          <w:rFonts w:ascii="Arial" w:cs="Arial" w:eastAsia="Arial" w:hAnsi="Arial"/>
          <w:sz w:val="17"/>
          <w:szCs w:val="17"/>
          <w:b w:val="1"/>
          <w:bCs w:val="1"/>
          <w:u w:val="single" w:color="auto"/>
          <w:color w:val="auto"/>
        </w:rPr>
        <w:t>Sales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between the Company and Cowen and Company, LLC, that to the best of the knowledge of the undersigned.</w:t>
      </w:r>
    </w:p>
    <w:p>
      <w:pPr>
        <w:spacing w:after="0" w:line="53" w:lineRule="exact"/>
        <w:rPr>
          <w:sz w:val="20"/>
          <w:szCs w:val="20"/>
          <w:color w:val="auto"/>
        </w:rPr>
      </w:pPr>
    </w:p>
    <w:p>
      <w:pPr>
        <w:ind w:right="100" w:firstLine="436"/>
        <w:spacing w:after="0" w:line="272" w:lineRule="auto"/>
        <w:tabs>
          <w:tab w:leader="none" w:pos="655"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Company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69" w:lineRule="exact"/>
        <w:rPr>
          <w:rFonts w:ascii="Arial" w:cs="Arial" w:eastAsia="Arial" w:hAnsi="Arial"/>
          <w:sz w:val="17"/>
          <w:szCs w:val="17"/>
          <w:color w:val="auto"/>
        </w:rPr>
      </w:pPr>
    </w:p>
    <w:p>
      <w:pPr>
        <w:ind w:right="540" w:firstLine="436"/>
        <w:spacing w:after="0" w:line="277"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has complied with all agreements and satisfied all conditions on its part to be performed or satisfied pursuant to the Sales Agreement at or prior to the date hereof.</w:t>
      </w:r>
    </w:p>
    <w:p>
      <w:pPr>
        <w:spacing w:after="0" w:line="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Biodesix,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-10160</wp:posOffset>
            </wp:positionV>
            <wp:extent cx="10566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1056640"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7(n)(i)</w:t>
      </w:r>
    </w:p>
    <w:p>
      <w:pPr>
        <w:spacing w:after="0" w:line="200" w:lineRule="exact"/>
        <w:rPr>
          <w:sz w:val="20"/>
          <w:szCs w:val="20"/>
          <w:color w:val="auto"/>
        </w:rPr>
      </w:pPr>
    </w:p>
    <w:p>
      <w:pPr>
        <w:spacing w:after="0" w:line="24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CORPORATE OPINION</w:t>
      </w:r>
    </w:p>
    <w:p>
      <w:pPr>
        <w:sectPr>
          <w:pgSz w:w="11900" w:h="16838" w:orient="portrait"/>
          <w:cols w:equalWidth="0" w:num="1">
            <w:col w:w="10020"/>
          </w:cols>
          <w:pgMar w:left="1440" w:top="270" w:right="4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7(n)(ii)</w:t>
      </w:r>
    </w:p>
    <w:p>
      <w:pPr>
        <w:spacing w:after="0" w:line="200" w:lineRule="exact"/>
        <w:rPr>
          <w:sz w:val="20"/>
          <w:szCs w:val="20"/>
          <w:color w:val="auto"/>
        </w:rPr>
      </w:pPr>
    </w:p>
    <w:p>
      <w:pPr>
        <w:spacing w:after="0" w:line="24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IP OPINIONS</w:t>
      </w:r>
    </w:p>
    <w:p>
      <w:pPr>
        <w:sectPr>
          <w:pgSz w:w="11900" w:h="16838" w:orient="portrait"/>
          <w:cols w:equalWidth="0" w:num="1">
            <w:col w:w="10020"/>
          </w:cols>
          <w:pgMar w:left="1440" w:top="270" w:right="4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7(n)(iii)</w:t>
      </w:r>
    </w:p>
    <w:p>
      <w:pPr>
        <w:spacing w:after="0" w:line="200" w:lineRule="exact"/>
        <w:rPr>
          <w:sz w:val="20"/>
          <w:szCs w:val="20"/>
          <w:color w:val="auto"/>
        </w:rPr>
      </w:pPr>
    </w:p>
    <w:p>
      <w:pPr>
        <w:spacing w:after="0" w:line="24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REGULATORY OPINION</w:t>
      </w:r>
    </w:p>
    <w:p>
      <w:pPr>
        <w:sectPr>
          <w:pgSz w:w="11900" w:h="16838" w:orient="portrait"/>
          <w:cols w:equalWidth="0" w:num="1">
            <w:col w:w="10020"/>
          </w:cols>
          <w:pgMar w:left="1440" w:top="270" w:right="4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SUITE 2000</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SAN FRANCISCO, CA 94104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1045845" cy="274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1045845" cy="27432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8"/>
          <w:szCs w:val="18"/>
          <w:color w:val="auto"/>
        </w:rPr>
        <w:t>+1 415 772 1200</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+1 415 772 7400 FAX</w:t>
      </w:r>
    </w:p>
    <w:p>
      <w:pPr>
        <w:spacing w:after="0" w:line="238"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AMERICA • ASIA PACIFIC • EUROPE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2970 Wilderness Place,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Boulder, CO 80301</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w:t>
      </w:r>
      <w:r>
        <w:rPr>
          <w:rFonts w:ascii="Arial" w:cs="Arial" w:eastAsia="Arial" w:hAnsi="Arial"/>
          <w:sz w:val="18"/>
          <w:szCs w:val="18"/>
          <w:color w:val="auto"/>
        </w:rPr>
        <w:t>g</w:t>
      </w:r>
      <w:r>
        <w:rPr>
          <w:rFonts w:ascii="Arial" w:cs="Arial" w:eastAsia="Arial" w:hAnsi="Arial"/>
          <w:sz w:val="18"/>
          <w:szCs w:val="18"/>
          <w:u w:val="single" w:color="auto"/>
          <w:color w:val="auto"/>
        </w:rPr>
        <w:t>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refer to the Registration Statement on Form S-3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being filed by Biodesix, Inc., a Delaware corporation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2021, relating to the registration of up to an aggregate total offering price of $250,000,000 of:</w:t>
      </w:r>
    </w:p>
    <w:p>
      <w:pPr>
        <w:spacing w:after="0" w:line="116" w:lineRule="exact"/>
        <w:rPr>
          <w:sz w:val="20"/>
          <w:szCs w:val="20"/>
          <w:color w:val="auto"/>
        </w:rPr>
      </w:pPr>
    </w:p>
    <w:p>
      <w:pPr>
        <w:ind w:left="1420" w:hanging="43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shares of the Company’s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shares of the Company’s preferred stock, $0.001 par value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warrants to purchase Common Stock or Preferred Stock (as defined below)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rights to purchase Common Stock, Preferred Stock or Units (as defined below) (the “</w:t>
      </w:r>
      <w:r>
        <w:rPr>
          <w:rFonts w:ascii="Arial" w:cs="Arial" w:eastAsia="Arial" w:hAnsi="Arial"/>
          <w:sz w:val="18"/>
          <w:szCs w:val="18"/>
          <w:u w:val="single" w:color="auto"/>
          <w:color w:val="auto"/>
        </w:rPr>
        <w:t>Rights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units (the “</w:t>
      </w:r>
      <w:r>
        <w:rPr>
          <w:rFonts w:ascii="Arial" w:cs="Arial" w:eastAsia="Arial" w:hAnsi="Arial"/>
          <w:sz w:val="18"/>
          <w:szCs w:val="18"/>
          <w:u w:val="single" w:color="auto"/>
          <w:color w:val="auto"/>
        </w:rPr>
        <w:t>Units</w:t>
      </w:r>
      <w:r>
        <w:rPr>
          <w:rFonts w:ascii="Arial" w:cs="Arial" w:eastAsia="Arial" w:hAnsi="Arial"/>
          <w:sz w:val="18"/>
          <w:szCs w:val="18"/>
          <w:color w:val="auto"/>
        </w:rPr>
        <w:t>”), each consisting of two or more types of the securities listed in clauses (a) through (d)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the Preferred Stock, the Warrants, the Rights and the Units are collectively referred to herein as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specified in the applicable prospectus supplement:</w:t>
      </w:r>
    </w:p>
    <w:p>
      <w:pPr>
        <w:spacing w:after="0" w:line="117" w:lineRule="exact"/>
        <w:rPr>
          <w:sz w:val="20"/>
          <w:szCs w:val="20"/>
          <w:color w:val="auto"/>
        </w:rPr>
      </w:pPr>
    </w:p>
    <w:p>
      <w:pPr>
        <w:ind w:right="440" w:firstLine="436"/>
        <w:spacing w:after="0" w:line="277"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Warrants will be issued under a warrant agreement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 to be entered into between the Company and a warrant agent (the “</w:t>
      </w:r>
      <w:r>
        <w:rPr>
          <w:rFonts w:ascii="Arial" w:cs="Arial" w:eastAsia="Arial" w:hAnsi="Arial"/>
          <w:sz w:val="18"/>
          <w:szCs w:val="18"/>
          <w:u w:val="single" w:color="auto"/>
          <w:color w:val="auto"/>
        </w:rPr>
        <w:t>Warrant Agent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00" w:firstLine="436"/>
        <w:spacing w:after="0" w:line="277"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Rights will be issued under a rights agreement (the “</w:t>
      </w:r>
      <w:r>
        <w:rPr>
          <w:rFonts w:ascii="Arial" w:cs="Arial" w:eastAsia="Arial" w:hAnsi="Arial"/>
          <w:sz w:val="18"/>
          <w:szCs w:val="18"/>
          <w:u w:val="single" w:color="auto"/>
          <w:color w:val="auto"/>
        </w:rPr>
        <w:t>Rights Agreement</w:t>
      </w:r>
      <w:r>
        <w:rPr>
          <w:rFonts w:ascii="Arial" w:cs="Arial" w:eastAsia="Arial" w:hAnsi="Arial"/>
          <w:sz w:val="18"/>
          <w:szCs w:val="18"/>
          <w:color w:val="auto"/>
        </w:rPr>
        <w:t>”) to be entered into between the Company and a rights agent (the “</w:t>
      </w:r>
      <w:r>
        <w:rPr>
          <w:rFonts w:ascii="Arial" w:cs="Arial" w:eastAsia="Arial" w:hAnsi="Arial"/>
          <w:sz w:val="18"/>
          <w:szCs w:val="18"/>
          <w:u w:val="single" w:color="auto"/>
          <w:color w:val="auto"/>
        </w:rPr>
        <w:t>Rights Agent</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right="280" w:firstLine="436"/>
        <w:spacing w:after="0" w:line="277"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Units will be issued pursuant to one or more unit agreements (each, a “</w:t>
      </w:r>
      <w:r>
        <w:rPr>
          <w:rFonts w:ascii="Arial" w:cs="Arial" w:eastAsia="Arial" w:hAnsi="Arial"/>
          <w:sz w:val="18"/>
          <w:szCs w:val="18"/>
          <w:u w:val="single" w:color="auto"/>
          <w:color w:val="auto"/>
        </w:rPr>
        <w:t>Unit Agreement</w:t>
      </w:r>
      <w:r>
        <w:rPr>
          <w:rFonts w:ascii="Arial" w:cs="Arial" w:eastAsia="Arial" w:hAnsi="Arial"/>
          <w:sz w:val="18"/>
          <w:szCs w:val="18"/>
          <w:color w:val="auto"/>
        </w:rPr>
        <w:t>”) to be entered into between the Company and a unit agent (each, a “</w:t>
      </w:r>
      <w:r>
        <w:rPr>
          <w:rFonts w:ascii="Arial" w:cs="Arial" w:eastAsia="Arial" w:hAnsi="Arial"/>
          <w:sz w:val="18"/>
          <w:szCs w:val="18"/>
          <w:u w:val="single" w:color="auto"/>
          <w:color w:val="auto"/>
        </w:rPr>
        <w:t>Unit Agent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each case substantially in the form that has been or will be filed as one or more exhibits to the Registration Statement.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opinion letter is being delivered in accordance with the requirements of Item 601(b)(5) of Regulation S-K under the Securities Act.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Sidley Austin (NY) LLP is a Delaware limited liability partnership doing business as Sidley Austin LLP and practicing in affiliation with other Sidley Austin partnerships.</w:t>
      </w:r>
    </w:p>
    <w:p>
      <w:pPr>
        <w:sectPr>
          <w:pgSz w:w="11900" w:h="16838" w:orient="portrait"/>
          <w:cols w:equalWidth="0" w:num="1">
            <w:col w:w="11020"/>
          </w:cols>
          <w:pgMar w:left="440" w:top="121" w:right="4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274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74320"/>
                    </a:xfrm>
                    <a:prstGeom prst="rect">
                      <a:avLst/>
                    </a:prstGeom>
                    <a:noFill/>
                  </pic:spPr>
                </pic:pic>
              </a:graphicData>
            </a:graphic>
          </wp:anchor>
        </w:drawing>
        <w:t>Biodesix,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We have examined the Registration Statement, the exhibits thereto, the certificate of incorporation of the Company, as amended to the date hereof (the “</w:t>
      </w:r>
      <w:r>
        <w:rPr>
          <w:rFonts w:ascii="Arial" w:cs="Arial" w:eastAsia="Arial" w:hAnsi="Arial"/>
          <w:sz w:val="17"/>
          <w:szCs w:val="17"/>
          <w:u w:val="single" w:color="auto"/>
          <w:color w:val="auto"/>
        </w:rPr>
        <w:t>Charter</w:t>
      </w:r>
      <w:r>
        <w:rPr>
          <w:rFonts w:ascii="Arial" w:cs="Arial" w:eastAsia="Arial" w:hAnsi="Arial"/>
          <w:sz w:val="17"/>
          <w:szCs w:val="17"/>
          <w:color w:val="auto"/>
        </w:rPr>
        <w:t>”), the bylaws of the Company, as amended to the date hereof (the “</w:t>
      </w:r>
      <w:r>
        <w:rPr>
          <w:rFonts w:ascii="Arial" w:cs="Arial" w:eastAsia="Arial" w:hAnsi="Arial"/>
          <w:sz w:val="17"/>
          <w:szCs w:val="17"/>
          <w:u w:val="single" w:color="auto"/>
          <w:color w:val="auto"/>
        </w:rPr>
        <w:t>Bylaws</w:t>
      </w:r>
      <w:r>
        <w:rPr>
          <w:rFonts w:ascii="Arial" w:cs="Arial" w:eastAsia="Arial" w:hAnsi="Arial"/>
          <w:sz w:val="17"/>
          <w:szCs w:val="17"/>
          <w:color w:val="auto"/>
        </w:rPr>
        <w:t>”), and the resolutions (the “</w:t>
      </w:r>
      <w:r>
        <w:rPr>
          <w:rFonts w:ascii="Arial" w:cs="Arial" w:eastAsia="Arial" w:hAnsi="Arial"/>
          <w:sz w:val="17"/>
          <w:szCs w:val="17"/>
          <w:u w:val="single" w:color="auto"/>
          <w:color w:val="auto"/>
        </w:rPr>
        <w:t>Resolutions</w:t>
      </w:r>
      <w:r>
        <w:rPr>
          <w:rFonts w:ascii="Arial" w:cs="Arial" w:eastAsia="Arial" w:hAnsi="Arial"/>
          <w:sz w:val="17"/>
          <w:szCs w:val="17"/>
          <w:color w:val="auto"/>
        </w:rPr>
        <w:t>”) adopted by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relating to the Registration Statement. We have also examined originals, or copies of originals certified to our satisfaction, of such agreements, documents, certificates and statements of the Company and others,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Based on and subject to the foregoing and the other limitations, qualifications and assumptions set forth herein, we are of the opinion that:</w:t>
      </w:r>
    </w:p>
    <w:p>
      <w:pPr>
        <w:spacing w:after="0" w:line="129" w:lineRule="exact"/>
        <w:rPr>
          <w:sz w:val="20"/>
          <w:szCs w:val="20"/>
          <w:color w:val="auto"/>
        </w:rPr>
      </w:pPr>
    </w:p>
    <w:p>
      <w:pPr>
        <w:ind w:right="60" w:firstLine="436"/>
        <w:spacing w:after="0" w:line="269" w:lineRule="auto"/>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With respect to an offering of shares of Common Stock covered by the Registration Statement, such shares of Common Stock will be validly issued, fully paid and nonassessable, when: (i) the Registration Statement, as finally amended (including any necessary post-effective amendments), shall have become effective under the Securities Act; (ii) a prospectus supplement with respect to the sale of such shares of Common Stock, if any shall be required, shall have been filed with the SEC in compliance with the Securities Act and the rules and regulations thereunder; (iii) the Board or a duly authorized committee thereof shall have duly adopted final resolutions in conformity with the Charter, the Bylaws and the Resolutions authorizing the issuance and sale of such shares of Common Stock; and (iv) certificates representing such shares of Common Stock shall have been duly executed, countersigned and registered and duly delivered in accordance with the applicable definitive purchase, underwriting or similar agreement upon payment of the agreed consideration therefor in an amount not less than the aggregate par value thereof or, if any such shares of Common Stock are to be issued in uncertificated form, the Company’s books shall reflect the issuance of such shares of Common Stock in accordance with the applicable definitive purchase, underwriting or similar agreement upon payment of the agreed consideration therefor in an amount not less than the aggregate par value thereof.</w:t>
      </w:r>
    </w:p>
    <w:p>
      <w:pPr>
        <w:spacing w:after="0" w:line="73" w:lineRule="exact"/>
        <w:rPr>
          <w:rFonts w:ascii="Arial" w:cs="Arial" w:eastAsia="Arial" w:hAnsi="Arial"/>
          <w:sz w:val="17"/>
          <w:szCs w:val="17"/>
          <w:color w:val="auto"/>
        </w:rPr>
      </w:pPr>
    </w:p>
    <w:p>
      <w:pPr>
        <w:ind w:firstLine="436"/>
        <w:spacing w:after="0" w:line="268" w:lineRule="auto"/>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issuance and sale of each series of Preferred Stock covered by the Registration Statement will be duly authorized, and each share of such series of Preferred Stock will be validly issued, fully paid and nonassessable, when: (i) the Registration Statement, as finally amended (including any necessary post-effective amendments), shall have become effective under the Securities Act; (ii) a prospectus supplement with respect to the sale of such series of Preferred Stock shall have been filed with the SEC in compliance with the Securities Act and the rules and regulations thereunder; (iii) the Board or a duly authorized committee thereof shall have duly adopted final resolutions in conformity with the Charter, the Bylaws and the Resolutions establishing the designations, preferences, rights, qualifications, limitations or restrictions of such series of Preferred Stock and authorizing the issuance and sale of such series of Preferred Stock; (iv) the Company shall have filed with the Secretary of State of the State of Delaware a Certificate of Designations with respect to such series of Preferred Stock in accordance with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and in conformity with the Charter and such final resolutions; and (v) certificates representing such series of Preferred Stock shall have been duly executed, countersigned and registered and duly delivered in accordance with the applicable definitive purchase, underwriting or similar agreement to the purchasers thereof against payment of the agreed consideration therefor in an amount not less than the aggregate par value thereof or, if any shares of such series of Preferred Stock are to be issued in uncertificated form, the Company’s books shall reflect the issuance of such shares in accordance with the applicable definitive purchase, underwriting or similar agreement upon payment of the agreed consideration therefor in an amount not less than the aggregate par value thereof.</w:t>
      </w:r>
    </w:p>
    <w:p>
      <w:pPr>
        <w:sectPr>
          <w:pgSz w:w="11900" w:h="16838" w:orient="portrait"/>
          <w:cols w:equalWidth="0" w:num="1">
            <w:col w:w="11000"/>
          </w:cols>
          <w:pgMar w:left="440" w:top="706" w:right="459" w:bottom="1440" w:gutter="0" w:footer="0" w:header="0"/>
        </w:sectPr>
      </w:pPr>
    </w:p>
    <w:bookmarkStart w:id="103" w:name="page104"/>
    <w:bookmarkEnd w:id="10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274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74320"/>
                    </a:xfrm>
                    <a:prstGeom prst="rect">
                      <a:avLst/>
                    </a:prstGeom>
                    <a:noFill/>
                  </pic:spPr>
                </pic:pic>
              </a:graphicData>
            </a:graphic>
          </wp:anchor>
        </w:drawing>
        <w:t>Biodesix,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November 15,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right="120" w:firstLine="436"/>
        <w:spacing w:after="0" w:line="291" w:lineRule="auto"/>
        <w:tabs>
          <w:tab w:leader="none" w:pos="624" w:val="left"/>
        </w:tabs>
        <w:numPr>
          <w:ilvl w:val="1"/>
          <w:numId w:val="92"/>
        </w:numPr>
        <w:rPr>
          <w:rFonts w:ascii="Arial" w:cs="Arial" w:eastAsia="Arial" w:hAnsi="Arial"/>
          <w:sz w:val="16"/>
          <w:szCs w:val="16"/>
          <w:color w:val="auto"/>
        </w:rPr>
      </w:pPr>
      <w:r>
        <w:rPr>
          <w:rFonts w:ascii="Arial" w:cs="Arial" w:eastAsia="Arial" w:hAnsi="Arial"/>
          <w:sz w:val="16"/>
          <w:szCs w:val="16"/>
          <w:color w:val="auto"/>
        </w:rPr>
        <w:t>Each issue of Warrants covered by the Registration Statement will constitute valid and binding obligations of the Company when: (i) the Registration Statement, as finally amended (including any necessary post-effective amendments), shall have become effective under the Securities Act;</w:t>
      </w:r>
    </w:p>
    <w:p>
      <w:pPr>
        <w:ind w:left="4" w:right="40" w:hanging="4"/>
        <w:spacing w:after="0" w:line="268" w:lineRule="auto"/>
        <w:tabs>
          <w:tab w:leader="none" w:pos="269"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prospectus supplement with respect to such issue of Warrants and the Common Stock or Preferred Stock issuable upon exercise of such Warrants shall have been filed with the SEC in compliance with the Securities Act and the rules and regulations thereunder; (iii) a Warrant Agreement relating to such issue of Warrants shall have been duly authorized, executed and delivered by the Company and duly executed and delivered by the Warrant Agent named in the Warrant Agreement; (iv) the Board or a duly authorized committee thereof shall have duly adopted final resolutions in conformity with the Charter</w:t>
      </w:r>
      <w:r>
        <w:rPr>
          <w:rFonts w:ascii="Arial" w:cs="Arial" w:eastAsia="Arial" w:hAnsi="Arial"/>
          <w:sz w:val="17"/>
          <w:szCs w:val="17"/>
          <w:b w:val="1"/>
          <w:bCs w:val="1"/>
          <w:color w:val="auto"/>
        </w:rPr>
        <w:t>,</w:t>
      </w:r>
      <w:r>
        <w:rPr>
          <w:rFonts w:ascii="Arial" w:cs="Arial" w:eastAsia="Arial" w:hAnsi="Arial"/>
          <w:sz w:val="17"/>
          <w:szCs w:val="17"/>
          <w:color w:val="auto"/>
        </w:rPr>
        <w:t xml:space="preserve"> the Bylaws and the Resolutions authorizing the execution and delivery of the Warrant Agreement and the issuance and sale of such issue of Warrants; (v) if such Warrants are exercisable for Common Stock, the actions described in paragraph 1 above shall have been taken; (vi) if such Warrants are exercisable for Preferred Stock, the actions described in paragraph 2 above shall have been taken; and (vii) certificates representing such issue of Warrants shall have been duly executed, countersigned and issued in accordance with such Warrant Agreement and shall have been duly delivered in accordance with the applicable definitive purchase, underwriting or similar agreement to the purchasers thereof against payment of the agreed consideration therefor.</w:t>
      </w:r>
    </w:p>
    <w:p>
      <w:pPr>
        <w:spacing w:after="0" w:line="70" w:lineRule="exact"/>
        <w:rPr>
          <w:rFonts w:ascii="Arial" w:cs="Arial" w:eastAsia="Arial" w:hAnsi="Arial"/>
          <w:sz w:val="17"/>
          <w:szCs w:val="17"/>
          <w:color w:val="auto"/>
        </w:rPr>
      </w:pPr>
    </w:p>
    <w:p>
      <w:pPr>
        <w:ind w:left="4" w:right="40" w:firstLine="436"/>
        <w:spacing w:after="0" w:line="286" w:lineRule="auto"/>
        <w:tabs>
          <w:tab w:leader="none" w:pos="624" w:val="left"/>
        </w:tabs>
        <w:numPr>
          <w:ilvl w:val="1"/>
          <w:numId w:val="93"/>
        </w:numPr>
        <w:rPr>
          <w:rFonts w:ascii="Arial" w:cs="Arial" w:eastAsia="Arial" w:hAnsi="Arial"/>
          <w:sz w:val="16"/>
          <w:szCs w:val="16"/>
          <w:color w:val="auto"/>
        </w:rPr>
      </w:pPr>
      <w:r>
        <w:rPr>
          <w:rFonts w:ascii="Arial" w:cs="Arial" w:eastAsia="Arial" w:hAnsi="Arial"/>
          <w:sz w:val="16"/>
          <w:szCs w:val="16"/>
          <w:color w:val="auto"/>
        </w:rPr>
        <w:t>With respect to an offering of Rights covered by the Registration Statement, such Rights will constitute valid and binding obligations of the Company when: (i) the Registration Statement, as finally amended (including any necessary post-effective amendments), shall have become effective under the Securities Act; (ii) a prospectus supplement with respect to such Rights and the Common Stock, Preferred Stock or Units, as the case may be, issuable upon exercise of such Rights shall have been filed with the SEC in compliance with the Securities Act and the rules and regulations thereunder;</w:t>
      </w:r>
    </w:p>
    <w:p>
      <w:pPr>
        <w:spacing w:after="0" w:line="1" w:lineRule="exact"/>
        <w:rPr>
          <w:rFonts w:ascii="Arial" w:cs="Arial" w:eastAsia="Arial" w:hAnsi="Arial"/>
          <w:sz w:val="16"/>
          <w:szCs w:val="16"/>
          <w:color w:val="auto"/>
        </w:rPr>
      </w:pPr>
    </w:p>
    <w:p>
      <w:pPr>
        <w:ind w:left="4" w:hanging="4"/>
        <w:spacing w:after="0" w:line="251" w:lineRule="auto"/>
        <w:tabs>
          <w:tab w:leader="none" w:pos="319"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Rights Agreement relating to such Rights shall have been duly authorized, executed and delivered by the Company and duly executed and delivered by the Rights Agent named in the Rights Agreement; (iv) the Board or a duly authorized committee thereof shall have duly adopted final resolutions in conformity with the Charter, the Bylaws and the Resolutions authorizing the execution and delivery of the Rights Agreement and the execution, delivery, issuance and sale of such Rights; (v) if such Rights relate to the issuance and sale of Common Stock, the actions described in paragraph 1 above shall have been taken; (vi) if such Rights relate to the issuance and sale of Preferred Stock, the actions described in paragraph 2 above shall have been taken; and (vii) certificates representing such Rights shall have been duly executed, countersigned and registered in accordance with the Rights Agreement and shall have been duly delivered to the purchasers thereof in accordance with the Rights Agreement against payment of the agreed consideration therefor.</w:t>
      </w:r>
    </w:p>
    <w:p>
      <w:pPr>
        <w:spacing w:after="0" w:line="89" w:lineRule="exact"/>
        <w:rPr>
          <w:rFonts w:ascii="Arial" w:cs="Arial" w:eastAsia="Arial" w:hAnsi="Arial"/>
          <w:sz w:val="18"/>
          <w:szCs w:val="18"/>
          <w:color w:val="auto"/>
        </w:rPr>
      </w:pPr>
    </w:p>
    <w:p>
      <w:pPr>
        <w:ind w:left="4" w:right="60" w:firstLine="436"/>
        <w:spacing w:after="0" w:line="283" w:lineRule="auto"/>
        <w:tabs>
          <w:tab w:leader="none" w:pos="624" w:val="left"/>
        </w:tabs>
        <w:numPr>
          <w:ilvl w:val="1"/>
          <w:numId w:val="94"/>
        </w:numPr>
        <w:rPr>
          <w:rFonts w:ascii="Arial" w:cs="Arial" w:eastAsia="Arial" w:hAnsi="Arial"/>
          <w:sz w:val="16"/>
          <w:szCs w:val="16"/>
          <w:color w:val="auto"/>
        </w:rPr>
      </w:pPr>
      <w:r>
        <w:rPr>
          <w:rFonts w:ascii="Arial" w:cs="Arial" w:eastAsia="Arial" w:hAnsi="Arial"/>
          <w:sz w:val="16"/>
          <w:szCs w:val="16"/>
          <w:color w:val="auto"/>
        </w:rPr>
        <w:t>With respect to an offering of Units covered by the Registration Statement, such Units will constitute valid and binding obligations of the Company when: (i) the Registration Statement, as finally amended (including any necessary post-effective amendments), shall have become effective under the Securities Act; (ii) a prospectus supplement with respect to such Units and the Common Stock, Preferred Stock, Warrants or Rights, as the case may be, included as a component of such Units shall have been filed with the SEC in compliance with the Securities Act and the rules and regulations thereunder; (iii) a Unit Agreement relating to such issue of Units shall have been duly authorized, executed and delivered by the Company and duly executed and delivered by the Unit Agent named in the Unit Agreement, (iv) the Board or a duly authorized committee thereof shall have duly adopted final resolutions in conformity with the Charter, the Bylaws and the Resolutions authorizing the execution and delivery of the Units Agreement and the execution, delivery, issuance and sale of such Units; (v) if such Units relate to the issuance and sale of Common Stock, the actions described in paragraph 1 above shall have been taken; (vi) if such Units relate to the issuance and sale of Preferred Stock, the actions described in paragraph 2 above shall have been taken; (vii) if such Units relate to the issuance and sale of Warrants, the actions described in paragraph 3 above shall have been taken;</w:t>
      </w:r>
    </w:p>
    <w:p>
      <w:pPr>
        <w:spacing w:after="0" w:line="4" w:lineRule="exact"/>
        <w:rPr>
          <w:rFonts w:ascii="Arial" w:cs="Arial" w:eastAsia="Arial" w:hAnsi="Arial"/>
          <w:sz w:val="16"/>
          <w:szCs w:val="16"/>
          <w:color w:val="auto"/>
        </w:rPr>
      </w:pPr>
    </w:p>
    <w:p>
      <w:pPr>
        <w:ind w:left="4" w:right="400" w:hanging="4"/>
        <w:spacing w:after="0" w:line="302" w:lineRule="auto"/>
        <w:tabs>
          <w:tab w:leader="none" w:pos="409"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such Units relate to the issuance and sale of Rights, the actions described in paragraph 4 above shall have been taken; and (ix) certificates representing such Units shall have been duly executed, countersigned and registered and shall have been duly delivered to the purchasers thereof in accordance with the applicable definitive purchase, underwriting or similar agreement against payment of the agreed consideration therefor.</w:t>
      </w:r>
    </w:p>
    <w:p>
      <w:pPr>
        <w:sectPr>
          <w:pgSz w:w="11900" w:h="16838" w:orient="portrait"/>
          <w:cols w:equalWidth="0" w:num="1">
            <w:col w:w="11004"/>
          </w:cols>
          <w:pgMar w:left="436" w:top="706" w:right="4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274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74320"/>
                    </a:xfrm>
                    <a:prstGeom prst="rect">
                      <a:avLst/>
                    </a:prstGeom>
                    <a:noFill/>
                  </pic:spPr>
                </pic:pic>
              </a:graphicData>
            </a:graphic>
          </wp:anchor>
        </w:drawing>
        <w:t>Biodesix,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Our opinions are subject to bankruptcy, insolvency, reorganization, moratorium, fraudulent conveyance, fraudulent transfer and other similar laws relating to or affecting creditors’ rights generally and to general equitable principles (regardless of whether considered in a proceeding in equity or at law), including concepts of commercial reasonableness, good faith and fair dealing and the possible unavailability of specific performance or injunctive relief. Our opinion is also subject to (i) provisions of law which may require that a judgment for money damages rendered by a court in the United States of America be expressed only in United States dollars, (ii) requirements that a claim with respect to any obligations that are denominated or payable other than in United States dollars (or a judgment denominated or payable other than in United States dollars in respect of such claim) be converted into United States dollars at a rate of exchange prevailing on a date determined pursuant to applicable law and (iii) governmental authority to limit, delay or prohibit the making of payments outside of the United States of America or in a foreign currency.</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purposes of this letter, we have assumed that, at the time of the issuance, sale and delivery of any of the Securities:</w:t>
      </w:r>
    </w:p>
    <w:p>
      <w:pPr>
        <w:spacing w:after="0" w:line="117" w:lineRule="exact"/>
        <w:rPr>
          <w:sz w:val="20"/>
          <w:szCs w:val="20"/>
          <w:color w:val="auto"/>
        </w:rPr>
      </w:pPr>
    </w:p>
    <w:p>
      <w:pPr>
        <w:ind w:left="660" w:hanging="224"/>
        <w:spacing w:after="0"/>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Securities being offered will be issued and sold as contemplated in the Registration Statement and the prospectus supplement relating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02" w:lineRule="exact"/>
        <w:rPr>
          <w:rFonts w:ascii="Arial" w:cs="Arial" w:eastAsia="Arial" w:hAnsi="Arial"/>
          <w:sz w:val="16"/>
          <w:szCs w:val="16"/>
          <w:color w:val="auto"/>
        </w:rPr>
      </w:pPr>
    </w:p>
    <w:p>
      <w:pPr>
        <w:ind w:right="100" w:firstLine="436"/>
        <w:spacing w:after="0" w:line="273" w:lineRule="auto"/>
        <w:tabs>
          <w:tab w:leader="none" w:pos="705"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execution, delivery and performance by the Company of each Warrant Agreement, each Rights Agreement and each Unit Agreement, as applicable, and the issuance sale and delivery of the Securities will not (A) contravene or violate the Charter or Bylaws, (B) violate any law, rule or regulation applicable to the Company, (C) result in a default under or breach of any agreement or instrument binding upon the Company or any order, judgment or decree of any court or governmental authority applicable to the Company, or (D) require any authorization, approval or other action by, or notice to or filing with, any court or governmental authority (other than such authorizations, approvals, actions, notices or filings which shall have been obtained or made, as the case may be, and which shall be in full force and effect);</w:t>
      </w:r>
    </w:p>
    <w:p>
      <w:pPr>
        <w:spacing w:after="0" w:line="69" w:lineRule="exact"/>
        <w:rPr>
          <w:rFonts w:ascii="Arial" w:cs="Arial" w:eastAsia="Arial" w:hAnsi="Arial"/>
          <w:sz w:val="17"/>
          <w:szCs w:val="17"/>
          <w:color w:val="auto"/>
        </w:rPr>
      </w:pPr>
    </w:p>
    <w:p>
      <w:pPr>
        <w:ind w:right="500" w:firstLine="436"/>
        <w:spacing w:after="0" w:line="277" w:lineRule="auto"/>
        <w:tabs>
          <w:tab w:leader="none" w:pos="7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authorization thereof by the Company will not have been modified or rescinded, and there will not have occurred any change in law affecting the validity, legally binding character or enforceability thereof; and</w:t>
      </w:r>
    </w:p>
    <w:p>
      <w:pPr>
        <w:spacing w:after="0" w:line="62" w:lineRule="exact"/>
        <w:rPr>
          <w:rFonts w:ascii="Arial" w:cs="Arial" w:eastAsia="Arial" w:hAnsi="Arial"/>
          <w:sz w:val="18"/>
          <w:szCs w:val="18"/>
          <w:color w:val="auto"/>
        </w:rPr>
      </w:pPr>
    </w:p>
    <w:p>
      <w:pPr>
        <w:ind w:left="740" w:hanging="304"/>
        <w:spacing w:after="0"/>
        <w:tabs>
          <w:tab w:leader="none" w:pos="7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Charter and the Bylaws, each as currently in effect, will not have been modified or amended and will be in full force and effect.</w:t>
      </w:r>
    </w:p>
    <w:p>
      <w:pPr>
        <w:spacing w:after="0" w:line="1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We have further assumed that each Warrant Agreement, each Rights Agreement, each Unit Agreement, each Warrant, each Right and each Unit will be governed by the laws of the State of New York.</w:t>
      </w:r>
    </w:p>
    <w:p>
      <w:pPr>
        <w:spacing w:after="0" w:line="62"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With respect to each instrument or agreement referred to in or otherwise relevant to the opinions set forth herein (each, an “</w:t>
      </w:r>
      <w:r>
        <w:rPr>
          <w:rFonts w:ascii="Arial" w:cs="Arial" w:eastAsia="Arial" w:hAnsi="Arial"/>
          <w:sz w:val="16"/>
          <w:szCs w:val="16"/>
          <w:u w:val="single" w:color="auto"/>
          <w:color w:val="auto"/>
        </w:rPr>
        <w:t>Instrument</w:t>
      </w:r>
      <w:r>
        <w:rPr>
          <w:rFonts w:ascii="Arial" w:cs="Arial" w:eastAsia="Arial" w:hAnsi="Arial"/>
          <w:sz w:val="16"/>
          <w:szCs w:val="16"/>
          <w:color w:val="auto"/>
        </w:rPr>
        <w:t>”), we have assumed, to the extent relevant to the opinions set forth herein, that (i) each party to such Instrument (if not a natural person) was duly organized or formed, as the case may be, and was at all relevant times and is validly existing and in good standing under the laws of its jurisdiction of organization or formation, as the case may be, and had at all relevant times and has full right, power and authority to execute, deliver and perform its obligations under such Instrument; (ii) such Instrument has been duly authorized, executed and delivered by each party thereto; and (iii) such Instrument was at all relevant times and is a valid, binding and enforceable agreement or obligation, as the case may be, of, each party thereto.</w:t>
      </w:r>
    </w:p>
    <w:p>
      <w:pPr>
        <w:spacing w:after="0" w:line="56"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This opinion letter is limited to the DGCL and the laws of the State of New York (excluding the securities laws of the State of New York). We express no opinion as to the laws, rules or regulations of any other jurisdiction, including, without limitation, the federal laws of the United States of America or any state securities or blue sky laws.</w:t>
      </w:r>
    </w:p>
    <w:p>
      <w:pPr>
        <w:sectPr>
          <w:pgSz w:w="11900" w:h="16838" w:orient="portrait"/>
          <w:cols w:equalWidth="0" w:num="1">
            <w:col w:w="11000"/>
          </w:cols>
          <w:pgMar w:left="440" w:top="706" w:right="4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274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74320"/>
                    </a:xfrm>
                    <a:prstGeom prst="rect">
                      <a:avLst/>
                    </a:prstGeom>
                    <a:noFill/>
                  </pic:spPr>
                </pic:pic>
              </a:graphicData>
            </a:graphic>
          </wp:anchor>
        </w:drawing>
        <w:t>Biodesix,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11"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Sidley Austin LLP</w:t>
      </w:r>
    </w:p>
    <w:p>
      <w:pPr>
        <w:sectPr>
          <w:pgSz w:w="11900" w:h="16838" w:orient="portrait"/>
          <w:cols w:equalWidth="0" w:num="1">
            <w:col w:w="10720"/>
          </w:cols>
          <w:pgMar w:left="440" w:top="706" w:right="7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5.2</w:t>
      </w:r>
    </w:p>
    <w:p>
      <w:pPr>
        <w:spacing w:after="0" w:line="256"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555 CALIFORNIA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1045845" cy="274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1045845" cy="27432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8"/>
          <w:szCs w:val="18"/>
          <w:color w:val="auto"/>
        </w:rPr>
        <w:t>SUITE 2000</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+1 415 772 1200</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+1 415 772 7400 FAX</w:t>
      </w:r>
    </w:p>
    <w:p>
      <w:pPr>
        <w:spacing w:after="0" w:line="116"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AMERICA • ASIA PACIFIC • EUROPE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2970 Wilderness Place,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Boulder, CO 80301</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w:t>
      </w:r>
      <w:r>
        <w:rPr>
          <w:rFonts w:ascii="Arial" w:cs="Arial" w:eastAsia="Arial" w:hAnsi="Arial"/>
          <w:sz w:val="16"/>
          <w:szCs w:val="16"/>
          <w:color w:val="auto"/>
        </w:rPr>
        <w:t>g</w:t>
      </w:r>
      <w:r>
        <w:rPr>
          <w:rFonts w:ascii="Arial" w:cs="Arial" w:eastAsia="Arial" w:hAnsi="Arial"/>
          <w:sz w:val="16"/>
          <w:szCs w:val="16"/>
          <w:u w:val="single" w:color="auto"/>
          <w:color w:val="auto"/>
        </w:rPr>
        <w:t>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We refer to the Registration Statement on Form S-3 (the “Registration Statement”), being filed by Biodesix, Inc., a Delaware corporation (the “Company”), with the Securities and Exchange Commission (the “Commission”) under the Securities Act of 1933, as amended (the “Securities Act”) as it relates to the registration under the Securities Act of shares (the “Shares”) of the Company’s Common Stock, $0.001 par value per share (the “Common Stock”) with an aggregate sales price of up to $50,000,000. The Shares are to be sold by the Company pursuant to a Sales Agreement dated November 15, 2021 between the Company and Cowen and Company, LLC (the “Sales Agreement”).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opinion letter is being delivered in accordance with the requirements of Item 601(b)(5) of Regulation S-K under the Securities Act.</w:t>
      </w:r>
    </w:p>
    <w:p>
      <w:pPr>
        <w:spacing w:after="0" w:line="237"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We have examined the Registration Statement, the Company’s prospectus dated November 15, 2021 (the “Prospectus”) relating to the Shares, the Sales Agreement, the Company’s certificate of incorporation (as amended and restated, the “Certificate of Incorporation”) and the resolutions adopted by the board of directors of the Company relating to the Registration Statement and the Sales Agreement.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166"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Based on and subject to the foregoing and the other limitations, qualifications and assumptions set forth herein, we are of the opinion that the issuance and sale of the Shares pursuant to the Sales Agreement have been duly authorized by the Company, and such Shares will be validly issued, fully paid and non-assessable when certificates representing such Shares shall have been duly executed, countersigned and registered and duly delivered to the purchasers thereof against payment of the agreed consideration therefor in an amount not less than the par value thereof or, if any such Shares are to be issued in uncertificated form, the Company’s books shall reflect the issuance of such Shares to the purchasers thereof against payment of the agreed consideration therefor in an amount not less than the par value thereof, in accordance with the Sales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Sidley Austin (NY) LLP is a Delaware limited liability partnership doing business as Sidley Austin LLP and practicing in affiliation with other Sidley Austin partnerships.</w:t>
      </w:r>
    </w:p>
    <w:p>
      <w:pPr>
        <w:sectPr>
          <w:pgSz w:w="11900" w:h="16838" w:orient="portrait"/>
          <w:cols w:equalWidth="0" w:num="1">
            <w:col w:w="11020"/>
          </w:cols>
          <w:pgMar w:left="440" w:top="121" w:right="4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274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74320"/>
                    </a:xfrm>
                    <a:prstGeom prst="rect">
                      <a:avLst/>
                    </a:prstGeom>
                    <a:noFill/>
                  </pic:spPr>
                </pic:pic>
              </a:graphicData>
            </a:graphic>
          </wp:anchor>
        </w:drawing>
        <w:t>Page 2</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purposes of this opinion letter, we have assumed that, at the time of the issuance, sale and delivery of Shares:</w:t>
      </w:r>
    </w:p>
    <w:p>
      <w:pPr>
        <w:spacing w:after="0" w:line="117" w:lineRule="exact"/>
        <w:rPr>
          <w:sz w:val="20"/>
          <w:szCs w:val="20"/>
          <w:color w:val="auto"/>
        </w:rPr>
      </w:pPr>
    </w:p>
    <w:p>
      <w:pPr>
        <w:ind w:left="440" w:firstLine="419"/>
        <w:spacing w:after="0" w:line="277" w:lineRule="auto"/>
        <w:tabs>
          <w:tab w:leader="none" w:pos="107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authorization thereof by the Company will not have been modified or rescinded, and there will not have occurred any change in law affecting the validity thereof;</w:t>
      </w:r>
    </w:p>
    <w:p>
      <w:pPr>
        <w:spacing w:after="0" w:line="62" w:lineRule="exact"/>
        <w:rPr>
          <w:rFonts w:ascii="Arial" w:cs="Arial" w:eastAsia="Arial" w:hAnsi="Arial"/>
          <w:sz w:val="18"/>
          <w:szCs w:val="18"/>
          <w:color w:val="auto"/>
        </w:rPr>
      </w:pPr>
    </w:p>
    <w:p>
      <w:pPr>
        <w:ind w:left="440" w:firstLine="419"/>
        <w:spacing w:after="0" w:line="277" w:lineRule="auto"/>
        <w:tabs>
          <w:tab w:leader="none" w:pos="11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Certificate of Incorporation and bylaws of the Company, as currently in effect, will not have been modified or amended and will be in full force and effect; and</w:t>
      </w:r>
    </w:p>
    <w:p>
      <w:pPr>
        <w:spacing w:after="0" w:line="62" w:lineRule="exact"/>
        <w:rPr>
          <w:rFonts w:ascii="Arial" w:cs="Arial" w:eastAsia="Arial" w:hAnsi="Arial"/>
          <w:sz w:val="18"/>
          <w:szCs w:val="18"/>
          <w:color w:val="auto"/>
        </w:rPr>
      </w:pPr>
    </w:p>
    <w:p>
      <w:pPr>
        <w:ind w:left="1180" w:hanging="321"/>
        <w:spacing w:after="0"/>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will have sufficient authorized and unissued shares of Common Stock from which to issue as the Shares.</w:t>
      </w:r>
    </w:p>
    <w:p>
      <w:pPr>
        <w:spacing w:after="0" w:line="225"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This opinion letter is limited to the DGCL and the laws of the State of New York (excluding the securities laws of the State of New York). We express no opinion as to the laws, rules or regulations of any other jurisdiction, including, without limitation, the federal laws of the United States of America or any state securities or blue sky laws.</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Sidley Austin LLP</w:t>
      </w:r>
    </w:p>
    <w:p>
      <w:pPr>
        <w:sectPr>
          <w:pgSz w:w="11900" w:h="16838" w:orient="portrait"/>
          <w:cols w:equalWidth="0" w:num="1">
            <w:col w:w="10840"/>
          </w:cols>
          <w:pgMar w:left="440" w:top="922" w:right="6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consent to the use of our report dated March 16, 2021, with respect to the financial statements of Biodesix, Inc., incorporated herein by reference and to the reference to our firm under the heading “Experts” in the prospectus.</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29">
    <w:nsid w:val="579BE4F1"/>
    <w:multiLevelType w:val="hybridMultilevel"/>
    <w:lvl w:ilvl="0">
      <w:lvlJc w:val="left"/>
      <w:lvlText w:val="(%1)"/>
      <w:numFmt w:val="lowerRoman"/>
      <w:start w:val="2"/>
    </w:lvl>
  </w:abstractNum>
  <w:abstractNum w:abstractNumId="30">
    <w:nsid w:val="310C50B3"/>
    <w:multiLevelType w:val="hybridMultilevel"/>
    <w:lvl w:ilvl="0">
      <w:lvlJc w:val="left"/>
      <w:lvlText w:val="(%1)"/>
      <w:numFmt w:val="decimal"/>
      <w:start w:val="2"/>
    </w:lvl>
    <w:lvl w:ilvl="1">
      <w:lvlJc w:val="left"/>
      <w:lvlText w:val="(%2)"/>
      <w:numFmt w:val="lowerRoman"/>
      <w:start w:val="1"/>
    </w:lvl>
  </w:abstractNum>
  <w:abstractNum w:abstractNumId="31">
    <w:nsid w:val="5FF87E05"/>
    <w:multiLevelType w:val="hybridMultilevel"/>
    <w:lvl w:ilvl="0">
      <w:lvlJc w:val="left"/>
      <w:lvlText w:val="(%1)"/>
      <w:numFmt w:val="decimal"/>
      <w:start w:val="5"/>
    </w:lvl>
  </w:abstractNum>
  <w:abstractNum w:abstractNumId="32">
    <w:nsid w:val="2F305DE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3">
    <w:nsid w:val="25A70BF7"/>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4">
    <w:nsid w:val="1DBABF00"/>
    <w:multiLevelType w:val="hybridMultilevel"/>
    <w:lvl w:ilvl="0">
      <w:lvlJc w:val="left"/>
      <w:lvlText w:val="%1."/>
      <w:numFmt w:val="decimal"/>
      <w:start w:val="1"/>
    </w:lvl>
  </w:abstractNum>
  <w:abstractNum w:abstractNumId="35">
    <w:nsid w:val="4AD084E9"/>
    <w:multiLevelType w:val="hybridMultilevel"/>
    <w:lvl w:ilvl="0">
      <w:lvlJc w:val="left"/>
      <w:lvlText w:val="%1"/>
      <w:numFmt w:val="lowerRoman"/>
      <w:start w:val="1"/>
    </w:lvl>
    <w:lvl w:ilvl="1">
      <w:lvlJc w:val="left"/>
      <w:lvlText w:val="%2."/>
      <w:numFmt w:val="decimal"/>
      <w:start w:val="2"/>
    </w:lvl>
    <w:lvl w:ilvl="2">
      <w:lvlJc w:val="left"/>
      <w:lvlText w:val="-"/>
      <w:numFmt w:val="bullet"/>
      <w:start w:val="1"/>
    </w:lvl>
  </w:abstractNum>
  <w:abstractNum w:abstractNumId="36">
    <w:nsid w:val="1F48EAA1"/>
    <w:multiLevelType w:val="hybridMultilevel"/>
    <w:lvl w:ilvl="0">
      <w:lvlJc w:val="left"/>
      <w:lvlText w:val="(%1)"/>
      <w:numFmt w:val="lowerRoman"/>
      <w:start w:val="1"/>
    </w:lvl>
    <w:lvl w:ilvl="1">
      <w:lvlJc w:val="left"/>
      <w:lvlText w:val="%2"/>
      <w:numFmt w:val="decimal"/>
      <w:start w:val="1"/>
    </w:lvl>
    <w:lvl w:ilvl="2">
      <w:lvlJc w:val="left"/>
      <w:lvlText w:val="-"/>
      <w:numFmt w:val="bullet"/>
      <w:start w:val="1"/>
    </w:lvl>
  </w:abstractNum>
  <w:abstractNum w:abstractNumId="37">
    <w:nsid w:val="1381823A"/>
    <w:multiLevelType w:val="hybridMultilevel"/>
    <w:lvl w:ilvl="0">
      <w:lvlJc w:val="left"/>
      <w:lvlText w:val="%1."/>
      <w:numFmt w:val="decimal"/>
      <w:start w:val="3"/>
    </w:lvl>
  </w:abstractNum>
  <w:abstractNum w:abstractNumId="38">
    <w:nsid w:val="5DB70AE5"/>
    <w:multiLevelType w:val="hybridMultilevel"/>
    <w:lvl w:ilvl="0">
      <w:lvlJc w:val="left"/>
      <w:lvlText w:val="%1."/>
      <w:numFmt w:val="decimal"/>
      <w:start w:val="4"/>
    </w:lvl>
  </w:abstractNum>
  <w:abstractNum w:abstractNumId="39">
    <w:nsid w:val="100F8FCA"/>
    <w:multiLevelType w:val="hybridMultilevel"/>
    <w:lvl w:ilvl="0">
      <w:lvlJc w:val="left"/>
      <w:lvlText w:val="(%1)"/>
      <w:numFmt w:val="lowerLetter"/>
      <w:start w:val="1"/>
    </w:lvl>
  </w:abstractNum>
  <w:abstractNum w:abstractNumId="40">
    <w:nsid w:val="6590700B"/>
    <w:multiLevelType w:val="hybridMultilevel"/>
    <w:lvl w:ilvl="0">
      <w:lvlJc w:val="left"/>
      <w:lvlText w:val="%1."/>
      <w:numFmt w:val="decimal"/>
      <w:start w:val="5"/>
    </w:lvl>
  </w:abstractNum>
  <w:abstractNum w:abstractNumId="41">
    <w:nsid w:val="15014ACB"/>
    <w:multiLevelType w:val="hybridMultilevel"/>
    <w:lvl w:ilvl="0">
      <w:lvlJc w:val="left"/>
      <w:lvlText w:val="(%1)"/>
      <w:numFmt w:val="lowerLetter"/>
      <w:start w:val="1"/>
    </w:lvl>
    <w:lvl w:ilvl="1">
      <w:lvlJc w:val="left"/>
      <w:lvlText w:val="-"/>
      <w:numFmt w:val="bullet"/>
      <w:start w:val="1"/>
    </w:lvl>
  </w:abstractNum>
  <w:abstractNum w:abstractNumId="42">
    <w:nsid w:val="5F5E7FD0"/>
    <w:multiLevelType w:val="hybridMultilevel"/>
    <w:lvl w:ilvl="0">
      <w:lvlJc w:val="left"/>
      <w:lvlText w:val="%1"/>
      <w:numFmt w:val="lowerLetter"/>
      <w:start w:val="1"/>
    </w:lvl>
    <w:lvl w:ilvl="1">
      <w:lvlJc w:val="left"/>
      <w:lvlText w:val="(%2)"/>
      <w:numFmt w:val="lowerLetter"/>
      <w:start w:val="2"/>
    </w:lvl>
  </w:abstractNum>
  <w:abstractNum w:abstractNumId="43">
    <w:nsid w:val="98A3148"/>
    <w:multiLevelType w:val="hybridMultilevel"/>
    <w:lvl w:ilvl="0">
      <w:lvlJc w:val="left"/>
      <w:lvlText w:val="(%1)"/>
      <w:numFmt w:val="lowerLetter"/>
      <w:start w:val="35"/>
    </w:lvl>
    <w:lvl w:ilvl="1">
      <w:lvlJc w:val="left"/>
      <w:lvlText w:val="%2"/>
      <w:numFmt w:val="lowerLetter"/>
      <w:start w:val="1"/>
    </w:lvl>
  </w:abstractNum>
  <w:abstractNum w:abstractNumId="44">
    <w:nsid w:val="799D0247"/>
    <w:multiLevelType w:val="hybridMultilevel"/>
    <w:lvl w:ilvl="0">
      <w:lvlJc w:val="left"/>
      <w:lvlText w:val="%1."/>
      <w:numFmt w:val="decimal"/>
      <w:start w:val="6"/>
    </w:lvl>
  </w:abstractNum>
  <w:abstractNum w:abstractNumId="45">
    <w:nsid w:val="6B94764"/>
    <w:multiLevelType w:val="hybridMultilevel"/>
    <w:lvl w:ilvl="0">
      <w:lvlJc w:val="left"/>
      <w:lvlText w:val="(%1)"/>
      <w:numFmt w:val="lowerLetter"/>
      <w:start w:val="1"/>
    </w:lvl>
    <w:lvl w:ilvl="1">
      <w:lvlJc w:val="left"/>
      <w:lvlText w:val="-"/>
      <w:numFmt w:val="bullet"/>
      <w:start w:val="1"/>
    </w:lvl>
  </w:abstractNum>
  <w:abstractNum w:abstractNumId="46">
    <w:nsid w:val="42C296BD"/>
    <w:multiLevelType w:val="hybridMultilevel"/>
    <w:lvl w:ilvl="0">
      <w:lvlJc w:val="left"/>
      <w:lvlText w:val="(%1)"/>
      <w:numFmt w:val="lowerLetter"/>
      <w:start w:val="3"/>
    </w:lvl>
    <w:lvl w:ilvl="1">
      <w:lvlJc w:val="left"/>
      <w:lvlText w:val="-"/>
      <w:numFmt w:val="bullet"/>
      <w:start w:val="1"/>
    </w:lvl>
  </w:abstractNum>
  <w:abstractNum w:abstractNumId="47">
    <w:nsid w:val="168E121F"/>
    <w:multiLevelType w:val="hybridMultilevel"/>
    <w:lvl w:ilvl="0">
      <w:lvlJc w:val="left"/>
      <w:lvlText w:val="(%1)"/>
      <w:numFmt w:val="lowerLetter"/>
      <w:start w:val="10"/>
    </w:lvl>
    <w:lvl w:ilvl="1">
      <w:lvlJc w:val="left"/>
      <w:lvlText w:val="-"/>
      <w:numFmt w:val="bullet"/>
      <w:start w:val="1"/>
    </w:lvl>
  </w:abstractNum>
  <w:abstractNum w:abstractNumId="48">
    <w:nsid w:val="1EBA5D23"/>
    <w:multiLevelType w:val="hybridMultilevel"/>
    <w:lvl w:ilvl="0">
      <w:lvlJc w:val="left"/>
      <w:lvlText w:val="(%1)"/>
      <w:numFmt w:val="lowerLetter"/>
      <w:start w:val="15"/>
    </w:lvl>
    <w:lvl w:ilvl="1">
      <w:lvlJc w:val="left"/>
      <w:lvlText w:val="-"/>
      <w:numFmt w:val="bullet"/>
      <w:start w:val="1"/>
    </w:lvl>
  </w:abstractNum>
  <w:abstractNum w:abstractNumId="49">
    <w:nsid w:val="661E3F1E"/>
    <w:multiLevelType w:val="hybridMultilevel"/>
    <w:lvl w:ilvl="0">
      <w:lvlJc w:val="left"/>
      <w:lvlText w:val="(%1)"/>
      <w:numFmt w:val="lowerLetter"/>
      <w:start w:val="20"/>
    </w:lvl>
    <w:lvl w:ilvl="1">
      <w:lvlJc w:val="left"/>
      <w:lvlText w:val="-"/>
      <w:numFmt w:val="bullet"/>
      <w:start w:val="1"/>
    </w:lvl>
  </w:abstractNum>
  <w:abstractNum w:abstractNumId="50">
    <w:nsid w:val="5DC79EA8"/>
    <w:multiLevelType w:val="hybridMultilevel"/>
    <w:lvl w:ilvl="0">
      <w:lvlJc w:val="left"/>
      <w:lvlText w:val="(%1)"/>
      <w:numFmt w:val="lowerLetter"/>
      <w:start w:val="26"/>
    </w:lvl>
  </w:abstractNum>
  <w:abstractNum w:abstractNumId="51">
    <w:nsid w:val="540A471C"/>
    <w:multiLevelType w:val="hybridMultilevel"/>
    <w:lvl w:ilvl="0">
      <w:lvlJc w:val="left"/>
      <w:lvlText w:val="(%1)"/>
      <w:numFmt w:val="lowerLetter"/>
      <w:start w:val="27"/>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52">
    <w:nsid w:val="7BD3EE7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lvl w:ilvl="3">
      <w:lvlJc w:val="left"/>
      <w:lvlText w:val="-"/>
      <w:numFmt w:val="bullet"/>
      <w:start w:val="1"/>
    </w:lvl>
  </w:abstractNum>
  <w:abstractNum w:abstractNumId="53">
    <w:nsid w:val="51D9C564"/>
    <w:multiLevelType w:val="hybridMultilevel"/>
    <w:lvl w:ilvl="0">
      <w:lvlJc w:val="left"/>
      <w:lvlText w:val="%1"/>
      <w:numFmt w:val="upperLetter"/>
      <w:start w:val="1"/>
    </w:lvl>
    <w:lvl w:ilvl="1">
      <w:lvlJc w:val="left"/>
      <w:lvlText w:val="(%2)"/>
      <w:numFmt w:val="lowerLetter"/>
      <w:start w:val="28"/>
    </w:lvl>
    <w:lvl w:ilvl="2">
      <w:lvlJc w:val="left"/>
      <w:lvlText w:val="%3"/>
      <w:numFmt w:val="lowerLetter"/>
      <w:start w:val="1"/>
    </w:lvl>
    <w:lvl w:ilvl="3">
      <w:lvlJc w:val="left"/>
      <w:lvlText w:val="-"/>
      <w:numFmt w:val="bullet"/>
      <w:start w:val="1"/>
    </w:lvl>
  </w:abstractNum>
  <w:abstractNum w:abstractNumId="54">
    <w:nsid w:val="613EFDC5"/>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55">
    <w:nsid w:val="BF72B14"/>
    <w:multiLevelType w:val="hybridMultilevel"/>
    <w:lvl w:ilvl="0">
      <w:lvlJc w:val="left"/>
      <w:lvlText w:val="(%1)"/>
      <w:numFmt w:val="lowerLetter"/>
      <w:start w:val="31"/>
    </w:lvl>
    <w:lvl w:ilvl="1">
      <w:lvlJc w:val="left"/>
      <w:lvlText w:val="-"/>
      <w:numFmt w:val="bullet"/>
      <w:start w:val="1"/>
    </w:lvl>
  </w:abstractNum>
  <w:abstractNum w:abstractNumId="56">
    <w:nsid w:val="11447B73"/>
    <w:multiLevelType w:val="hybridMultilevel"/>
    <w:lvl w:ilvl="0">
      <w:lvlJc w:val="left"/>
      <w:lvlText w:val="(%1)"/>
      <w:numFmt w:val="lowerLetter"/>
      <w:start w:val="35"/>
    </w:lvl>
    <w:lvl w:ilvl="1">
      <w:lvlJc w:val="left"/>
      <w:lvlText w:val="-"/>
      <w:numFmt w:val="bullet"/>
      <w:start w:val="1"/>
    </w:lvl>
  </w:abstractNum>
  <w:abstractNum w:abstractNumId="57">
    <w:nsid w:val="42963E5A"/>
    <w:multiLevelType w:val="hybridMultilevel"/>
    <w:lvl w:ilvl="0">
      <w:lvlJc w:val="left"/>
      <w:lvlText w:val="(%1)"/>
      <w:numFmt w:val="lowerLetter"/>
      <w:start w:val="39"/>
    </w:lvl>
    <w:lvl w:ilvl="1">
      <w:lvlJc w:val="left"/>
      <w:lvlText w:val="(%2)"/>
      <w:numFmt w:val="lowerRoman"/>
      <w:start w:val="1"/>
    </w:lvl>
    <w:lvl w:ilvl="2">
      <w:lvlJc w:val="left"/>
      <w:lvlText w:val="-"/>
      <w:numFmt w:val="bullet"/>
      <w:start w:val="1"/>
    </w:lvl>
  </w:abstractNum>
  <w:abstractNum w:abstractNumId="58">
    <w:nsid w:val="A0382C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lvl w:ilvl="3">
      <w:lvlJc w:val="left"/>
      <w:lvlText w:val="(%4)"/>
      <w:numFmt w:val="lowerLetter"/>
      <w:start w:val="9"/>
    </w:lvl>
    <w:lvl w:ilvl="4">
      <w:lvlJc w:val="left"/>
      <w:lvlText w:val="-"/>
      <w:numFmt w:val="bullet"/>
      <w:start w:val="1"/>
    </w:lvl>
  </w:abstractNum>
  <w:abstractNum w:abstractNumId="59">
    <w:nsid w:val="8F2B15E"/>
    <w:multiLevelType w:val="hybridMultilevel"/>
    <w:lvl w:ilvl="0">
      <w:lvlJc w:val="left"/>
      <w:lvlText w:val="%1"/>
      <w:numFmt w:val="lowerRoman"/>
      <w:start w:val="1"/>
    </w:lvl>
    <w:lvl w:ilvl="1">
      <w:lvlJc w:val="left"/>
      <w:lvlText w:val="(%2)"/>
      <w:numFmt w:val="lowerLetter"/>
      <w:start w:val="42"/>
    </w:lvl>
    <w:lvl w:ilvl="2">
      <w:lvlJc w:val="left"/>
      <w:lvlText w:val="%3"/>
      <w:numFmt w:val="lowerRoman"/>
      <w:start w:val="1"/>
    </w:lvl>
    <w:lvl w:ilvl="3">
      <w:lvlJc w:val="left"/>
      <w:lvlText w:val="%4"/>
      <w:numFmt w:val="lowerLetter"/>
      <w:start w:val="1"/>
    </w:lvl>
    <w:lvl w:ilvl="4">
      <w:lvlJc w:val="left"/>
      <w:lvlText w:val="-"/>
      <w:numFmt w:val="bullet"/>
      <w:start w:val="1"/>
    </w:lvl>
  </w:abstractNum>
  <w:abstractNum w:abstractNumId="60">
    <w:nsid w:val="1A32234B"/>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
      <w:numFmt w:val="bullet"/>
      <w:start w:val="1"/>
    </w:lvl>
  </w:abstractNum>
  <w:abstractNum w:abstractNumId="61">
    <w:nsid w:val="3B0FD379"/>
    <w:multiLevelType w:val="hybridMultilevel"/>
    <w:lvl w:ilvl="0">
      <w:lvlJc w:val="left"/>
      <w:lvlText w:val="(%1)"/>
      <w:numFmt w:val="lowerLetter"/>
      <w:start w:val="43"/>
    </w:lvl>
  </w:abstractNum>
  <w:abstractNum w:abstractNumId="62">
    <w:nsid w:val="68EB2F63"/>
    <w:multiLevelType w:val="hybridMultilevel"/>
    <w:lvl w:ilvl="0">
      <w:lvlJc w:val="left"/>
      <w:lvlText w:val="(%1)"/>
      <w:numFmt w:val="lowerLetter"/>
      <w:start w:val="1"/>
    </w:lvl>
    <w:lvl w:ilvl="1">
      <w:lvlJc w:val="left"/>
      <w:lvlText w:val="-"/>
      <w:numFmt w:val="bullet"/>
      <w:start w:val="1"/>
    </w:lvl>
  </w:abstractNum>
  <w:abstractNum w:abstractNumId="63">
    <w:nsid w:val="4962813B"/>
    <w:multiLevelType w:val="hybridMultilevel"/>
    <w:lvl w:ilvl="0">
      <w:lvlJc w:val="left"/>
      <w:lvlText w:val="(%1)"/>
      <w:numFmt w:val="lowerLetter"/>
      <w:start w:val="4"/>
    </w:lvl>
    <w:lvl w:ilvl="1">
      <w:lvlJc w:val="left"/>
      <w:lvlText w:val="-"/>
      <w:numFmt w:val="bullet"/>
      <w:start w:val="1"/>
    </w:lvl>
  </w:abstractNum>
  <w:abstractNum w:abstractNumId="64">
    <w:nsid w:val="60B6DF70"/>
    <w:multiLevelType w:val="hybridMultilevel"/>
    <w:lvl w:ilvl="0">
      <w:lvlJc w:val="left"/>
      <w:lvlText w:val="%1"/>
      <w:numFmt w:val="lowerLetter"/>
      <w:start w:val="1"/>
    </w:lvl>
    <w:lvl w:ilvl="1">
      <w:lvlJc w:val="left"/>
      <w:lvlText w:val="(%2)"/>
      <w:numFmt w:val="lowerLetter"/>
      <w:start w:val="8"/>
    </w:lvl>
    <w:lvl w:ilvl="2">
      <w:lvlJc w:val="left"/>
      <w:lvlText w:val="-"/>
      <w:numFmt w:val="bullet"/>
      <w:start w:val="1"/>
    </w:lvl>
  </w:abstractNum>
  <w:abstractNum w:abstractNumId="65">
    <w:nsid w:val="6A5EE64"/>
    <w:multiLevelType w:val="hybridMultilevel"/>
    <w:lvl w:ilvl="0">
      <w:lvlJc w:val="left"/>
      <w:lvlText w:val="(%1)"/>
      <w:numFmt w:val="lowerLetter"/>
      <w:start w:val="61"/>
    </w:lvl>
    <w:lvl w:ilvl="1">
      <w:lvlJc w:val="left"/>
      <w:lvlText w:val="(%2)"/>
      <w:numFmt w:val="lowerLetter"/>
      <w:start w:val="10"/>
    </w:lvl>
    <w:lvl w:ilvl="2">
      <w:lvlJc w:val="left"/>
      <w:lvlText w:val="-"/>
      <w:numFmt w:val="bullet"/>
      <w:start w:val="1"/>
    </w:lvl>
  </w:abstractNum>
  <w:abstractNum w:abstractNumId="66">
    <w:nsid w:val="14330624"/>
    <w:multiLevelType w:val="hybridMultilevel"/>
    <w:lvl w:ilvl="0">
      <w:lvlJc w:val="left"/>
      <w:lvlText w:val="%1"/>
      <w:numFmt w:val="decimal"/>
      <w:start w:val="1"/>
    </w:lvl>
    <w:lvl w:ilvl="1">
      <w:lvlJc w:val="left"/>
      <w:lvlText w:val="(%2)"/>
      <w:numFmt w:val="lowerLetter"/>
      <w:start w:val="13"/>
    </w:lvl>
    <w:lvl w:ilvl="2">
      <w:lvlJc w:val="left"/>
      <w:lvlText w:val="-"/>
      <w:numFmt w:val="bullet"/>
      <w:start w:val="1"/>
    </w:lvl>
  </w:abstractNum>
  <w:abstractNum w:abstractNumId="67">
    <w:nsid w:val="7FFFCA11"/>
    <w:multiLevelType w:val="hybridMultilevel"/>
    <w:lvl w:ilvl="0">
      <w:lvlJc w:val="left"/>
      <w:lvlText w:val="(%1)"/>
      <w:numFmt w:val="decimal"/>
      <w:start w:val="3"/>
    </w:lvl>
    <w:lvl w:ilvl="1">
      <w:lvlJc w:val="left"/>
      <w:lvlText w:val="(%2)"/>
      <w:numFmt w:val="lowerLetter"/>
      <w:start w:val="14"/>
    </w:lvl>
    <w:lvl w:ilvl="2">
      <w:lvlJc w:val="left"/>
      <w:lvlText w:val="-"/>
      <w:numFmt w:val="bullet"/>
      <w:start w:val="1"/>
    </w:lvl>
  </w:abstractNum>
  <w:abstractNum w:abstractNumId="68">
    <w:nsid w:val="1A27709E"/>
    <w:multiLevelType w:val="hybridMultilevel"/>
    <w:lvl w:ilvl="0">
      <w:lvlJc w:val="left"/>
      <w:lvlText w:val="(%1)"/>
      <w:numFmt w:val="lowerLetter"/>
      <w:start w:val="15"/>
    </w:lvl>
    <w:lvl w:ilvl="1">
      <w:lvlJc w:val="left"/>
      <w:lvlText w:val="-"/>
      <w:numFmt w:val="bullet"/>
      <w:start w:val="1"/>
    </w:lvl>
  </w:abstractNum>
  <w:abstractNum w:abstractNumId="69">
    <w:nsid w:val="71EA1109"/>
    <w:multiLevelType w:val="hybridMultilevel"/>
    <w:lvl w:ilvl="0">
      <w:lvlJc w:val="left"/>
      <w:lvlText w:val="(%1)"/>
      <w:numFmt w:val="lowerLetter"/>
      <w:start w:val="21"/>
    </w:lvl>
  </w:abstractNum>
  <w:abstractNum w:abstractNumId="70">
    <w:nsid w:val="100F59DC"/>
    <w:multiLevelType w:val="hybridMultilevel"/>
    <w:lvl w:ilvl="0">
      <w:lvlJc w:val="left"/>
      <w:lvlText w:val="%1."/>
      <w:numFmt w:val="decimal"/>
      <w:start w:val="8"/>
    </w:lvl>
  </w:abstractNum>
  <w:abstractNum w:abstractNumId="71">
    <w:nsid w:val="7FB7E0AA"/>
    <w:multiLevelType w:val="hybridMultilevel"/>
    <w:lvl w:ilvl="0">
      <w:lvlJc w:val="left"/>
      <w:lvlText w:val="(%1)"/>
      <w:numFmt w:val="lowerLetter"/>
      <w:start w:val="1"/>
    </w:lvl>
    <w:lvl w:ilvl="1">
      <w:lvlJc w:val="left"/>
      <w:lvlText w:val="-"/>
      <w:numFmt w:val="bullet"/>
      <w:start w:val="1"/>
    </w:lvl>
  </w:abstractNum>
  <w:abstractNum w:abstractNumId="72">
    <w:nsid w:val="6EB5BD4"/>
    <w:multiLevelType w:val="hybridMultilevel"/>
    <w:lvl w:ilvl="0">
      <w:lvlJc w:val="left"/>
      <w:lvlText w:val="(%1)"/>
      <w:numFmt w:val="lowerLetter"/>
      <w:start w:val="3"/>
    </w:lvl>
    <w:lvl w:ilvl="1">
      <w:lvlJc w:val="left"/>
      <w:lvlText w:val="-"/>
      <w:numFmt w:val="bullet"/>
      <w:start w:val="1"/>
    </w:lvl>
  </w:abstractNum>
  <w:abstractNum w:abstractNumId="73">
    <w:nsid w:val="6F6DD9AC"/>
    <w:multiLevelType w:val="hybridMultilevel"/>
    <w:lvl w:ilvl="0">
      <w:lvlJc w:val="left"/>
      <w:lvlText w:val="%1"/>
      <w:numFmt w:val="lowerLetter"/>
      <w:start w:val="1"/>
    </w:lvl>
    <w:lvl w:ilvl="1">
      <w:lvlJc w:val="left"/>
      <w:lvlText w:val="(%2)"/>
      <w:numFmt w:val="lowerLetter"/>
      <w:start w:val="8"/>
    </w:lvl>
  </w:abstractNum>
  <w:abstractNum w:abstractNumId="74">
    <w:nsid w:val="94211F2"/>
    <w:multiLevelType w:val="hybridMultilevel"/>
    <w:lvl w:ilvl="0">
      <w:lvlJc w:val="left"/>
      <w:lvlText w:val="(%1)"/>
      <w:numFmt w:val="lowerLetter"/>
      <w:start w:val="35"/>
    </w:lvl>
    <w:lvl w:ilvl="1">
      <w:lvlJc w:val="left"/>
      <w:lvlText w:val="(%2)"/>
      <w:numFmt w:val="lowerLetter"/>
      <w:start w:val="14"/>
    </w:lvl>
  </w:abstractNum>
  <w:abstractNum w:abstractNumId="75">
    <w:nsid w:val="885E1B"/>
    <w:multiLevelType w:val="hybridMultilevel"/>
    <w:lvl w:ilvl="0">
      <w:lvlJc w:val="left"/>
      <w:lvlText w:val="%1."/>
      <w:numFmt w:val="decimal"/>
      <w:start w:val="9"/>
    </w:lvl>
  </w:abstractNum>
  <w:abstractNum w:abstractNumId="76">
    <w:nsid w:val="76272110"/>
    <w:multiLevelType w:val="hybridMultilevel"/>
    <w:lvl w:ilvl="0">
      <w:lvlJc w:val="left"/>
      <w:lvlText w:val="(%1)"/>
      <w:numFmt w:val="lowerLetter"/>
      <w:start w:val="1"/>
    </w:lvl>
    <w:lvl w:ilvl="1">
      <w:lvlJc w:val="left"/>
      <w:lvlText w:val="-"/>
      <w:numFmt w:val="bullet"/>
      <w:start w:val="1"/>
    </w:lvl>
  </w:abstractNum>
  <w:abstractNum w:abstractNumId="77">
    <w:nsid w:val="4C04A8AF"/>
    <w:multiLevelType w:val="hybridMultilevel"/>
    <w:lvl w:ilvl="0">
      <w:lvlJc w:val="left"/>
      <w:lvlText w:val="(%1)"/>
      <w:numFmt w:val="lowerLetter"/>
      <w:start w:val="2"/>
    </w:lvl>
    <w:lvl w:ilvl="1">
      <w:lvlJc w:val="left"/>
      <w:lvlText w:val="-"/>
      <w:numFmt w:val="bullet"/>
      <w:start w:val="1"/>
    </w:lvl>
  </w:abstractNum>
  <w:abstractNum w:abstractNumId="78">
    <w:nsid w:val="1716703B"/>
    <w:multiLevelType w:val="hybridMultilevel"/>
    <w:lvl w:ilvl="0">
      <w:lvlJc w:val="left"/>
      <w:lvlText w:val="(%1)"/>
      <w:numFmt w:val="lowerLetter"/>
      <w:start w:val="4"/>
    </w:lvl>
    <w:lvl w:ilvl="1">
      <w:lvlJc w:val="left"/>
      <w:lvlText w:val="-"/>
      <w:numFmt w:val="bullet"/>
      <w:start w:val="1"/>
    </w:lvl>
  </w:abstractNum>
  <w:abstractNum w:abstractNumId="79">
    <w:nsid w:val="14E17E33"/>
    <w:multiLevelType w:val="hybridMultilevel"/>
    <w:lvl w:ilvl="0">
      <w:lvlJc w:val="left"/>
      <w:lvlText w:val="%1."/>
      <w:numFmt w:val="decimal"/>
      <w:start w:val="10"/>
    </w:lvl>
  </w:abstractNum>
  <w:abstractNum w:abstractNumId="80">
    <w:nsid w:val="3222E7CD"/>
    <w:multiLevelType w:val="hybridMultilevel"/>
    <w:lvl w:ilvl="0">
      <w:lvlJc w:val="left"/>
      <w:lvlText w:val="(%1)"/>
      <w:numFmt w:val="lowerLetter"/>
      <w:start w:val="1"/>
    </w:lvl>
    <w:lvl w:ilvl="1">
      <w:lvlJc w:val="left"/>
      <w:lvlText w:val="-"/>
      <w:numFmt w:val="bullet"/>
      <w:start w:val="1"/>
    </w:lvl>
  </w:abstractNum>
  <w:abstractNum w:abstractNumId="81">
    <w:nsid w:val="74DE0EE3"/>
    <w:multiLevelType w:val="hybridMultilevel"/>
    <w:lvl w:ilvl="0">
      <w:lvlJc w:val="left"/>
      <w:lvlText w:val="(%1)"/>
      <w:numFmt w:val="lowerLetter"/>
      <w:start w:val="2"/>
    </w:lvl>
  </w:abstractNum>
  <w:abstractNum w:abstractNumId="82">
    <w:nsid w:val="68EBC550"/>
    <w:multiLevelType w:val="hybridMultilevel"/>
    <w:lvl w:ilvl="0">
      <w:lvlJc w:val="left"/>
      <w:lvlText w:val="%1."/>
      <w:numFmt w:val="decimal"/>
      <w:start w:val="12"/>
    </w:lvl>
    <w:lvl w:ilvl="1">
      <w:lvlJc w:val="left"/>
      <w:lvlText w:val="-"/>
      <w:numFmt w:val="bullet"/>
      <w:start w:val="1"/>
    </w:lvl>
  </w:abstractNum>
  <w:abstractNum w:abstractNumId="83">
    <w:nsid w:val="2DF6D648"/>
    <w:multiLevelType w:val="hybridMultilevel"/>
    <w:lvl w:ilvl="0">
      <w:lvlJc w:val="left"/>
      <w:lvlText w:val="%1."/>
      <w:numFmt w:val="decimal"/>
      <w:start w:val="13"/>
    </w:lvl>
    <w:lvl w:ilvl="1">
      <w:lvlJc w:val="left"/>
      <w:lvlText w:val="-"/>
      <w:numFmt w:val="bullet"/>
      <w:start w:val="1"/>
    </w:lvl>
  </w:abstractNum>
  <w:abstractNum w:abstractNumId="84">
    <w:nsid w:val="46B7D447"/>
    <w:multiLevelType w:val="hybridMultilevel"/>
    <w:lvl w:ilvl="0">
      <w:lvlJc w:val="left"/>
      <w:lvlText w:val="%1."/>
      <w:numFmt w:val="decimal"/>
      <w:start w:val="17"/>
    </w:lvl>
  </w:abstractNum>
  <w:abstractNum w:abstractNumId="85">
    <w:nsid w:val="4A2AC315"/>
    <w:multiLevelType w:val="hybridMultilevel"/>
    <w:lvl w:ilvl="0">
      <w:lvlJc w:val="left"/>
      <w:lvlText w:val="(%1)"/>
      <w:numFmt w:val="lowerLetter"/>
      <w:start w:val="1"/>
    </w:lvl>
  </w:abstractNum>
  <w:abstractNum w:abstractNumId="86">
    <w:nsid w:val="39EE015C"/>
    <w:multiLevelType w:val="hybridMultilevel"/>
    <w:lvl w:ilvl="0">
      <w:lvlJc w:val="left"/>
      <w:lvlText w:val="%1."/>
      <w:numFmt w:val="decimal"/>
      <w:start w:val="19"/>
    </w:lvl>
  </w:abstractNum>
  <w:abstractNum w:abstractNumId="87">
    <w:nsid w:val="57FC4FBB"/>
    <w:multiLevelType w:val="hybridMultilevel"/>
    <w:lvl w:ilvl="0">
      <w:lvlJc w:val="left"/>
      <w:lvlText w:val="(%1)"/>
      <w:numFmt w:val="lowerRoman"/>
      <w:start w:val="1"/>
    </w:lvl>
  </w:abstractNum>
  <w:abstractNum w:abstractNumId="88">
    <w:nsid w:val="CC1016F"/>
    <w:multiLevelType w:val="hybridMultilevel"/>
    <w:lvl w:ilvl="0">
      <w:lvlJc w:val="left"/>
      <w:lvlText w:val="(%1)"/>
      <w:numFmt w:val="lowerLetter"/>
      <w:start w:val="1"/>
    </w:lvl>
  </w:abstractNum>
  <w:abstractNum w:abstractNumId="89">
    <w:nsid w:val="43F18422"/>
    <w:multiLevelType w:val="hybridMultilevel"/>
    <w:lvl w:ilvl="0">
      <w:lvlJc w:val="left"/>
      <w:lvlText w:val="(%1)"/>
      <w:numFmt w:val="decimal"/>
      <w:start w:val="1"/>
    </w:lvl>
  </w:abstractNum>
  <w:abstractNum w:abstractNumId="90">
    <w:nsid w:val="60EF0119"/>
    <w:multiLevelType w:val="hybridMultilevel"/>
    <w:lvl w:ilvl="0">
      <w:lvlJc w:val="left"/>
      <w:lvlText w:val="%1."/>
      <w:numFmt w:val="decimal"/>
      <w:start w:val="1"/>
    </w:lvl>
  </w:abstractNum>
  <w:abstractNum w:abstractNumId="91">
    <w:nsid w:val="26F324BA"/>
    <w:multiLevelType w:val="hybridMultilevel"/>
    <w:lvl w:ilvl="0">
      <w:lvlJc w:val="left"/>
      <w:lvlText w:val="%1"/>
      <w:numFmt w:val="lowerRoman"/>
      <w:start w:val="1"/>
    </w:lvl>
    <w:lvl w:ilvl="1">
      <w:lvlJc w:val="left"/>
      <w:lvlText w:val="%2."/>
      <w:numFmt w:val="decimal"/>
      <w:start w:val="3"/>
    </w:lvl>
  </w:abstractNum>
  <w:abstractNum w:abstractNumId="92">
    <w:nsid w:val="7F01579B"/>
    <w:multiLevelType w:val="hybridMultilevel"/>
    <w:lvl w:ilvl="0">
      <w:lvlJc w:val="left"/>
      <w:lvlText w:val="(%1)"/>
      <w:numFmt w:val="lowerRoman"/>
      <w:start w:val="2"/>
    </w:lvl>
    <w:lvl w:ilvl="1">
      <w:lvlJc w:val="left"/>
      <w:lvlText w:val="%2."/>
      <w:numFmt w:val="decimal"/>
      <w:start w:val="4"/>
    </w:lvl>
  </w:abstractNum>
  <w:abstractNum w:abstractNumId="93">
    <w:nsid w:val="49DA307D"/>
    <w:multiLevelType w:val="hybridMultilevel"/>
    <w:lvl w:ilvl="0">
      <w:lvlJc w:val="left"/>
      <w:lvlText w:val="%1"/>
      <w:numFmt w:val="lowerRoman"/>
      <w:start w:val="1"/>
    </w:lvl>
    <w:lvl w:ilvl="1">
      <w:lvlJc w:val="left"/>
      <w:lvlText w:val="%2."/>
      <w:numFmt w:val="decimal"/>
      <w:start w:val="5"/>
    </w:lvl>
  </w:abstractNum>
  <w:abstractNum w:abstractNumId="94">
    <w:nsid w:val="7055A5F5"/>
    <w:multiLevelType w:val="hybridMultilevel"/>
    <w:lvl w:ilvl="0">
      <w:lvlJc w:val="left"/>
      <w:lvlText w:val="(%1)"/>
      <w:numFmt w:val="lowerRoman"/>
      <w:start w:val="8"/>
    </w:lvl>
    <w:lvl w:ilvl="1">
      <w:lvlJc w:val="left"/>
      <w:lvlText w:val="%2"/>
      <w:numFmt w:val="decimal"/>
      <w:start w:val="1"/>
    </w:lvl>
  </w:abstractNum>
  <w:abstractNum w:abstractNumId="95">
    <w:nsid w:val="5FB8370B"/>
    <w:multiLevelType w:val="hybridMultilevel"/>
    <w:lvl w:ilvl="0">
      <w:lvlJc w:val="left"/>
      <w:lvlText w:val="(%1)"/>
      <w:numFmt w:val="lowerRoman"/>
      <w:start w:val="1"/>
    </w:lvl>
  </w:abstractNum>
  <w:abstractNum w:abstractNumId="96">
    <w:nsid w:val="50801EE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jpe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jpe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jpe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jpeg"/><Relationship Id="rId161" Type="http://schemas.openxmlformats.org/officeDocument/2006/relationships/image" Target="media/image142.png"/><Relationship Id="rId162" Type="http://schemas.openxmlformats.org/officeDocument/2006/relationships/image" Target="media/image143.jpeg"/><Relationship Id="rId163" Type="http://schemas.openxmlformats.org/officeDocument/2006/relationships/image" Target="media/image144.png"/><Relationship Id="rId164" Type="http://schemas.openxmlformats.org/officeDocument/2006/relationships/image" Target="media/image145.jpeg"/><Relationship Id="rId165" Type="http://schemas.openxmlformats.org/officeDocument/2006/relationships/image" Target="media/image146.png"/><Relationship Id="rId166" Type="http://schemas.openxmlformats.org/officeDocument/2006/relationships/image" Target="media/image147.jpeg"/><Relationship Id="rId167" Type="http://schemas.openxmlformats.org/officeDocument/2006/relationships/image" Target="media/image148.png"/><Relationship Id="rId168" Type="http://schemas.openxmlformats.org/officeDocument/2006/relationships/image" Target="media/image149.jpeg"/><Relationship Id="rId169" Type="http://schemas.openxmlformats.org/officeDocument/2006/relationships/image" Target="media/image150.jpeg"/><Relationship Id="rId170" Type="http://schemas.openxmlformats.org/officeDocument/2006/relationships/image" Target="media/image151.png"/><Relationship Id="rId171" Type="http://schemas.openxmlformats.org/officeDocument/2006/relationships/image" Target="media/image152.jpeg"/><Relationship Id="rId49" Type="http://schemas.openxmlformats.org/officeDocument/2006/relationships/hyperlink" Target="http://www.sec.gov/ix?doc=/Archives/edgar/data/1439725/000156459021013512/bdsx-10k_20201231.htm" TargetMode="External"/><Relationship Id="rId50" Type="http://schemas.openxmlformats.org/officeDocument/2006/relationships/hyperlink" Target="http://www.sec.gov/ix?doc=/Archives/edgar/data/1439725/000156459021026558/bdsx-10q_20210331.htm" TargetMode="External"/><Relationship Id="rId51" Type="http://schemas.openxmlformats.org/officeDocument/2006/relationships/hyperlink" Target="http://www.sec.gov/ix?doc=/Archives/edgar/data/1439725/000156459021043081/bdsx-10q_20210630.htm" TargetMode="External"/><Relationship Id="rId52" Type="http://schemas.openxmlformats.org/officeDocument/2006/relationships/hyperlink" Target="http://www.sec.gov/ix?doc=/Archives/edgar/data/1439725/000156459021000191/bdsx-8k_20201231.htm" TargetMode="External"/><Relationship Id="rId53" Type="http://schemas.openxmlformats.org/officeDocument/2006/relationships/hyperlink" Target="http://www.sec.gov/ix?doc=/Archives/edgar/data/1439725/000156459021014880/bdsx-8k_20210319.htm" TargetMode="External"/><Relationship Id="rId54" Type="http://schemas.openxmlformats.org/officeDocument/2006/relationships/hyperlink" Target="http://www.sec.gov/ix?doc=/Archives/edgar/data/1439725/000119312521175320/d190549d8k.htm" TargetMode="External"/><Relationship Id="rId55" Type="http://schemas.openxmlformats.org/officeDocument/2006/relationships/hyperlink" Target="http://www.sec.gov/Archives/edgar/data/1439725/000119312521140545/d142163ddef14a.htm" TargetMode="External"/><Relationship Id="rId56" Type="http://schemas.openxmlformats.org/officeDocument/2006/relationships/hyperlink" Target="http://www.sec.gov/Archives/edgar/data/1439725/000119312520275716/d94177d8a12b.htm" TargetMode="External"/><Relationship Id="rId107" Type="http://schemas.openxmlformats.org/officeDocument/2006/relationships/hyperlink" Target="http://www.sec.gov/Archives/edgar/data/1439725/000156459020056735/bdsx-ex31_716.htm" TargetMode="External"/><Relationship Id="rId108" Type="http://schemas.openxmlformats.org/officeDocument/2006/relationships/hyperlink" Target="http://www.sec.gov/Archives/edgar/data/1439725/000156459020056735/bdsx-ex32_717.htm" TargetMode="External"/><Relationship Id="rId109" Type="http://schemas.openxmlformats.org/officeDocument/2006/relationships/hyperlink" Target="http://www.sec.gov/Archives/edgar/data/1439725/000119312520273369/d937421dex41.htm" TargetMode="External"/><Relationship Id="rId110" Type="http://schemas.openxmlformats.org/officeDocument/2006/relationships/hyperlink" Target="http://www.sec.gov/Archives/edgar/data/1439725/000119312520262422/d93742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2021-11-16T05:27:58Z</dcterms:created>
  <dcterms:modified xsi:type="dcterms:W3CDTF">2021-11-16T05:27:58Z</dcterms:modified>
</cp:coreProperties>
</file>