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360"/>
        <w:spacing w:after="0" w:line="25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-236220</wp:posOffset>
            </wp:positionV>
            <wp:extent cx="129540" cy="1295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" cy="129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8"/>
        </w:trPr>
        <w:tc>
          <w:tcPr>
            <w:tcW w:w="6260" w:type="dxa"/>
            <w:vAlign w:val="bottom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37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5242560</wp:posOffset>
            </wp:positionH>
            <wp:positionV relativeFrom="paragraph">
              <wp:posOffset>-617855</wp:posOffset>
            </wp:positionV>
            <wp:extent cx="57785" cy="631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3958590</wp:posOffset>
            </wp:positionH>
            <wp:positionV relativeFrom="paragraph">
              <wp:posOffset>-617855</wp:posOffset>
            </wp:positionV>
            <wp:extent cx="57785" cy="6311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-1661795</wp:posOffset>
            </wp:positionH>
            <wp:positionV relativeFrom="paragraph">
              <wp:posOffset>21590</wp:posOffset>
            </wp:positionV>
            <wp:extent cx="7047230" cy="47421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230" cy="47421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20" w:space="380"/>
            <w:col w:w="8480"/>
          </w:cols>
          <w:pgMar w:left="460" w:top="216" w:right="35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Hutton Scott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7"/>
        </w:trPr>
        <w:tc>
          <w:tcPr>
            <w:tcW w:w="11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8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3"/>
              </w:rPr>
              <w:t>(Middle)</w:t>
            </w:r>
          </w:p>
        </w:tc>
      </w:tr>
      <w:tr>
        <w:trPr>
          <w:trHeight w:val="264"/>
        </w:trPr>
        <w:tc>
          <w:tcPr>
            <w:tcW w:w="2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919 WEST DILLON RD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473"/>
        </w:trPr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26"/>
        </w:trPr>
        <w:tc>
          <w:tcPr>
            <w:tcW w:w="11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LOUISVILLE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</w:t>
            </w:r>
          </w:p>
        </w:tc>
        <w:tc>
          <w:tcPr>
            <w:tcW w:w="8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80027</w:t>
            </w:r>
          </w:p>
        </w:tc>
      </w:tr>
      <w:tr>
        <w:trPr>
          <w:trHeight w:val="461"/>
        </w:trPr>
        <w:tc>
          <w:tcPr>
            <w:tcW w:w="11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8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3840" w:type="dxa"/>
            <w:vAlign w:val="bottom"/>
            <w:gridSpan w:val="4"/>
          </w:tcPr>
          <w:p>
            <w:pPr>
              <w:ind w:left="60"/>
              <w:spacing w:after="0" w:line="140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BIODESIX INC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BDSX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Director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14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02/21/2024</w:t>
            </w: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1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President &amp; CEO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25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Rule 10b5-1(c) Transaction Indication</w:t>
      </w:r>
    </w:p>
    <w:p>
      <w:pPr>
        <w:spacing w:after="0" w:line="217" w:lineRule="exact"/>
        <w:rPr>
          <w:sz w:val="24"/>
          <w:szCs w:val="24"/>
          <w:color w:val="auto"/>
        </w:rPr>
      </w:pPr>
    </w:p>
    <w:p>
      <w:pPr>
        <w:ind w:left="320" w:right="380"/>
        <w:spacing w:after="0" w:line="28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120" w:space="720"/>
            <w:col w:w="724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3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7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1.46</w:t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ind w:right="1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02/21/2024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180,926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02/20/2034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180,926</w:t>
            </w: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180,926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80" w:type="dxa"/>
            <w:vAlign w:val="bottom"/>
          </w:tcPr>
          <w:p>
            <w:pPr>
              <w:ind w:left="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8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 w:right="160"/>
        <w:spacing w:after="0" w:line="245" w:lineRule="auto"/>
        <w:tabs>
          <w:tab w:leader="none" w:pos="167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option vested in full on February 21, 2024. Under the Issuer's 2023 Bonus-to-Options Program, the Reporting Person elected to receive a portion of the annual cash bonus earned during 2023 in the form of a fully-vested option.</w:t>
      </w:r>
    </w:p>
    <w:p>
      <w:pPr>
        <w:ind w:left="6600"/>
        <w:spacing w:after="0" w:line="183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 xml:space="preserve">/s/ Robin H. Cowie as Attorney- </w:t>
      </w:r>
      <w:r>
        <w:rPr>
          <w:rFonts w:ascii="Times New Roman" w:cs="Times New Roman" w:eastAsia="Times New Roman" w:hAnsi="Times New Roman"/>
          <w:sz w:val="31"/>
          <w:szCs w:val="31"/>
          <w:color w:val="0000FF"/>
          <w:vertAlign w:val="subscript"/>
        </w:rPr>
        <w:t>02/29/2024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-26670</wp:posOffset>
            </wp:positionV>
            <wp:extent cx="135890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89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 for Scott Hutton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-21590</wp:posOffset>
            </wp:positionV>
            <wp:extent cx="100584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58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5582285</wp:posOffset>
            </wp:positionH>
            <wp:positionV relativeFrom="paragraph">
              <wp:posOffset>-86360</wp:posOffset>
            </wp:positionV>
            <wp:extent cx="47815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81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jc w:val="both"/>
        <w:ind w:left="40" w:right="3700"/>
        <w:spacing w:after="0" w:line="331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97361" TargetMode="External"/><Relationship Id="rId13" Type="http://schemas.openxmlformats.org/officeDocument/2006/relationships/hyperlink" Target="http://www.sec.gov/cgi-bin/browse-edgar?action=getcompany&amp;CIK=00014397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2024-02-29T17:21:46Z</dcterms:created>
  <dcterms:modified xsi:type="dcterms:W3CDTF">2024-02-29T17:21:46Z</dcterms:modified>
</cp:coreProperties>
</file>