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3157d8k.htm"/>
      <w:bookmarkStart w:id="1" w:name="ksd10315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May 19, 2026</w:t>
      </w:r>
    </w:p>
    <w:p>
      <w:pPr>
        <w:pStyle w:val="TextBody"/>
        <w:bidi w:val="0"/>
        <w:spacing w:before="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Biodesix,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60" w:type="dxa"/>
        <w:jc w:val="left"/>
        <w:tblInd w:w="0" w:type="dxa"/>
        <w:tblLayout w:type="fixed"/>
        <w:tblCellMar>
          <w:top w:w="0" w:type="dxa"/>
          <w:left w:w="0" w:type="dxa"/>
          <w:bottom w:w="0" w:type="dxa"/>
          <w:right w:w="0" w:type="dxa"/>
        </w:tblCellMar>
      </w:tblPr>
      <w:tblGrid>
        <w:gridCol w:w="1985"/>
        <w:gridCol w:w="60"/>
        <w:gridCol w:w="138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001-39659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20-3986492</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3905"/>
        <w:gridCol w:w="60"/>
        <w:gridCol w:w="1145"/>
      </w:tblGrid>
      <w:tr>
        <w:trPr/>
        <w:tc>
          <w:tcPr>
            <w:tcW w:w="3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283"/>
              <w:jc w:val="center"/>
              <w:rPr>
                <w:b/>
              </w:rPr>
            </w:pPr>
            <w:r>
              <w:rPr>
                <w:b/>
              </w:rPr>
              <w:t>919 West Dillon Rd.</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283"/>
              <w:jc w:val="center"/>
              <w:rPr>
                <w:b/>
              </w:rPr>
            </w:pPr>
            <w:r>
              <w:rPr>
                <w:b/>
              </w:rPr>
              <w:t>Louisville, Colorado</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80027</w:t>
            </w:r>
          </w:p>
        </w:tc>
      </w:tr>
      <w:tr>
        <w:trPr/>
        <w:tc>
          <w:tcPr>
            <w:tcW w:w="3905" w:type="dxa"/>
            <w:tcBorders/>
            <w:vAlign w:val="center"/>
          </w:tcPr>
          <w:p>
            <w:pPr>
              <w:pStyle w:val="TableContents"/>
              <w:bidi w:val="0"/>
              <w:spacing w:before="0" w:after="283"/>
              <w:jc w:val="center"/>
              <w:rPr>
                <w:b/>
              </w:rPr>
            </w:pPr>
            <w:r>
              <w:rPr>
                <w:b/>
              </w:rPr>
              <w:t>(Address of Principal Executive Office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(303) 417-0500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310" w:type="dxa"/>
        <w:jc w:val="left"/>
        <w:tblInd w:w="0" w:type="dxa"/>
        <w:tblLayout w:type="fixed"/>
        <w:tblCellMar>
          <w:top w:w="0" w:type="dxa"/>
          <w:left w:w="0" w:type="dxa"/>
          <w:bottom w:w="0" w:type="dxa"/>
          <w:right w:w="0" w:type="dxa"/>
        </w:tblCellMar>
      </w:tblPr>
      <w:tblGrid>
        <w:gridCol w:w="4400"/>
        <w:gridCol w:w="60"/>
        <w:gridCol w:w="740"/>
        <w:gridCol w:w="60"/>
        <w:gridCol w:w="3050"/>
      </w:tblGrid>
      <w:tr>
        <w:trPr/>
        <w:tc>
          <w:tcPr>
            <w:tcW w:w="4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4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400" w:type="dxa"/>
            <w:tcBorders/>
            <w:vAlign w:val="center"/>
          </w:tcPr>
          <w:p>
            <w:pPr>
              <w:pStyle w:val="TableContents"/>
              <w:bidi w:val="0"/>
              <w:spacing w:before="0" w:after="283"/>
              <w:jc w:val="center"/>
              <w:rPr/>
            </w:pPr>
            <w:r>
              <w:rPr/>
              <w:t>Common Stock, par value of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BDSX</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500" w:type="dxa"/>
        <w:jc w:val="left"/>
        <w:tblInd w:w="0" w:type="dxa"/>
        <w:tblLayout w:type="fixed"/>
        <w:tblCellMar>
          <w:top w:w="0" w:type="dxa"/>
          <w:left w:w="0" w:type="dxa"/>
          <w:bottom w:w="0" w:type="dxa"/>
          <w:right w:w="0" w:type="dxa"/>
        </w:tblCellMar>
      </w:tblPr>
      <w:tblGrid>
        <w:gridCol w:w="1025"/>
        <w:gridCol w:w="4475"/>
      </w:tblGrid>
      <w:tr>
        <w:trPr/>
        <w:tc>
          <w:tcPr>
            <w:tcW w:w="1025" w:type="dxa"/>
            <w:tcBorders/>
            <w:vAlign w:val="center"/>
          </w:tcPr>
          <w:p>
            <w:pPr>
              <w:pStyle w:val="TableContents"/>
              <w:bidi w:val="0"/>
              <w:spacing w:before="0" w:after="283"/>
              <w:jc w:val="left"/>
              <w:rPr>
                <w:b/>
              </w:rPr>
            </w:pPr>
            <w:r>
              <w:rPr>
                <w:b/>
              </w:rPr>
              <w:t>Item 5.07.</w:t>
            </w:r>
          </w:p>
        </w:tc>
        <w:tc>
          <w:tcPr>
            <w:tcW w:w="4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Biodesix, Inc. (the “Company”) held its 2026 annual meeting of stockholders (the “Annual Meeting”) on May 19, 2026. At the Annual Meeting, the Company’s stockholders voted on: (i) the election of two Class III director nominees to serve until the 2029 annual meeting of stockholders and until their respective successors are duly elected and qualify, (ii) the approval, on a non-binding advisory basis of the compensation of the Company’s named executive officers, (iii) the approval, on a non-binding advisory basis of the frequency of solicitation of advisory votes to approve named executive officer compensation and (iv) the ratification of the appointment of KPMG LLP as the Company’s independent registered public accounting firm for the year ending December 31, 2026. </w:t>
      </w:r>
    </w:p>
    <w:p>
      <w:pPr>
        <w:pStyle w:val="TextBody"/>
        <w:bidi w:val="0"/>
        <w:spacing w:before="240" w:after="0"/>
        <w:jc w:val="left"/>
        <w:rPr>
          <w:rFonts w:ascii="Times New Roman" w:hAnsi="Times New Roman"/>
          <w:sz w:val="20"/>
        </w:rPr>
      </w:pPr>
      <w:r>
        <w:rPr>
          <w:rFonts w:ascii="Times New Roman" w:hAnsi="Times New Roman"/>
          <w:sz w:val="20"/>
        </w:rPr>
        <w:t xml:space="preserve">As of March 23, 2026, the record date for the Annual Meeting, there were 10,107,219 shares of the Company’s common stock, par value $0.001 per share issued and outstanding and entitled to vote at the Annual Meeting. At the Annual Meeting, both director nominees were elected, the compensation of the Company’s named executive officers was approved on a non-binding advisory basis, the frequency of solicitation of advisory votes to approve named executive officer compensation was approved on a non-binding advisory basis and the appointment of KPMG LLP as the Company’s independent registered public accounting firm for the year ending December 31, 2026 was ratified. Set forth below are the final voting results for the proposals submitted to a vote of the Company’s stockholders at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pPr>
            <w:r>
              <w:rPr/>
              <w:t>1.</w:t>
            </w:r>
          </w:p>
        </w:tc>
        <w:tc>
          <w:tcPr>
            <w:tcW w:w="100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the Annual Meeting, the Company’s stockholders elected, by the vote indicated below, the following two persons as the Class III directors of the Company, each to serve until the 2029 annual meeting of stockholders and until their respective successors are duly elected and qualify: </w:t>
            </w:r>
          </w:p>
        </w:tc>
      </w:tr>
    </w:tbl>
    <w:p>
      <w:pPr>
        <w:pStyle w:val="TextBody"/>
        <w:bidi w:val="0"/>
        <w:spacing w:before="0" w:after="0"/>
        <w:jc w:val="left"/>
        <w:rPr/>
      </w:pPr>
      <w:r>
        <w:rPr/>
        <w:t> </w:t>
      </w:r>
    </w:p>
    <w:tbl>
      <w:tblPr>
        <w:tblW w:w="7705" w:type="dxa"/>
        <w:jc w:val="left"/>
        <w:tblInd w:w="0" w:type="dxa"/>
        <w:tblLayout w:type="fixed"/>
        <w:tblCellMar>
          <w:top w:w="0" w:type="dxa"/>
          <w:left w:w="0" w:type="dxa"/>
          <w:bottom w:w="0" w:type="dxa"/>
          <w:right w:w="0" w:type="dxa"/>
        </w:tblCellMar>
      </w:tblPr>
      <w:tblGrid>
        <w:gridCol w:w="1385"/>
        <w:gridCol w:w="120"/>
        <w:gridCol w:w="60"/>
        <w:gridCol w:w="980"/>
        <w:gridCol w:w="60"/>
        <w:gridCol w:w="120"/>
        <w:gridCol w:w="429"/>
        <w:gridCol w:w="1001"/>
        <w:gridCol w:w="60"/>
        <w:gridCol w:w="120"/>
        <w:gridCol w:w="85"/>
        <w:gridCol w:w="1135"/>
        <w:gridCol w:w="60"/>
        <w:gridCol w:w="120"/>
        <w:gridCol w:w="109"/>
        <w:gridCol w:w="1786"/>
        <w:gridCol w:w="75"/>
      </w:tblGrid>
      <w:tr>
        <w:trPr/>
        <w:tc>
          <w:tcPr>
            <w:tcW w:w="1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8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Votes 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Votes Against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Abstentions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Broker Non-Votes</w:t>
            </w:r>
          </w:p>
        </w:tc>
        <w:tc>
          <w:tcPr>
            <w:tcW w:w="75"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Jean Franchi</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6,191,974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721,832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right"/>
              <w:rPr/>
            </w:pPr>
            <w:r>
              <w:rPr/>
              <w:t>1,784,659</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Hany Massarany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6,847,586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66,220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right"/>
              <w:rPr/>
            </w:pPr>
            <w:r>
              <w:rPr/>
              <w:t>1,784,659</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283"/>
              <w:jc w:val="left"/>
              <w:rPr/>
            </w:pPr>
            <w:r>
              <w:rPr/>
              <w:t>2.</w:t>
            </w:r>
          </w:p>
        </w:tc>
        <w:tc>
          <w:tcPr>
            <w:tcW w:w="10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the Annual Meeting, the stockholders approved, on a non-binding advisory basis, the compensation of the Company’s named executive officers by the vote indicated below: </w:t>
            </w:r>
          </w:p>
        </w:tc>
      </w:tr>
    </w:tbl>
    <w:p>
      <w:pPr>
        <w:pStyle w:val="TextBody"/>
        <w:bidi w:val="0"/>
        <w:spacing w:before="0" w:after="0"/>
        <w:jc w:val="left"/>
        <w:rPr/>
      </w:pPr>
      <w:r>
        <w:rPr/>
        <w:t> </w:t>
      </w:r>
    </w:p>
    <w:tbl>
      <w:tblPr>
        <w:tblW w:w="4415" w:type="dxa"/>
        <w:jc w:val="left"/>
        <w:tblInd w:w="0" w:type="dxa"/>
        <w:tblLayout w:type="fixed"/>
        <w:tblCellMar>
          <w:top w:w="0" w:type="dxa"/>
          <w:left w:w="0" w:type="dxa"/>
          <w:bottom w:w="0" w:type="dxa"/>
          <w:right w:w="0" w:type="dxa"/>
        </w:tblCellMar>
      </w:tblPr>
      <w:tblGrid>
        <w:gridCol w:w="995"/>
        <w:gridCol w:w="60"/>
        <w:gridCol w:w="1025"/>
        <w:gridCol w:w="60"/>
        <w:gridCol w:w="860"/>
        <w:gridCol w:w="60"/>
        <w:gridCol w:w="1355"/>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9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995" w:type="dxa"/>
            <w:tcBorders/>
            <w:shd w:fill="CCEEFF" w:val="clear"/>
            <w:vAlign w:val="center"/>
          </w:tcPr>
          <w:p>
            <w:pPr>
              <w:pStyle w:val="TableContents"/>
              <w:bidi w:val="0"/>
              <w:spacing w:before="0" w:after="283"/>
              <w:jc w:val="center"/>
              <w:rPr/>
            </w:pPr>
            <w:r>
              <w:rPr/>
              <w:t>6,618,755</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283,474</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11,577</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1,784,659</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283"/>
              <w:jc w:val="left"/>
              <w:rPr/>
            </w:pPr>
            <w:r>
              <w:rPr/>
              <w:t>3.</w:t>
            </w:r>
          </w:p>
        </w:tc>
        <w:tc>
          <w:tcPr>
            <w:tcW w:w="100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the Annual Meeting, the stockholders approved, on a non-binding advisory basis, the frequency of solicitation of advisory votes to approve named executive officer compensation by the vote indicated below: </w:t>
            </w:r>
          </w:p>
        </w:tc>
      </w:tr>
    </w:tbl>
    <w:p>
      <w:pPr>
        <w:pStyle w:val="TextBody"/>
        <w:bidi w:val="0"/>
        <w:spacing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995"/>
        <w:gridCol w:w="60"/>
        <w:gridCol w:w="800"/>
        <w:gridCol w:w="60"/>
        <w:gridCol w:w="905"/>
        <w:gridCol w:w="60"/>
        <w:gridCol w:w="860"/>
        <w:gridCol w:w="60"/>
        <w:gridCol w:w="1355"/>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9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One Year</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Two Years</w:t>
            </w:r>
          </w:p>
        </w:tc>
        <w:tc>
          <w:tcPr>
            <w:tcW w:w="60"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Three Years</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995" w:type="dxa"/>
            <w:tcBorders/>
            <w:shd w:fill="CCEEFF" w:val="clear"/>
            <w:vAlign w:val="center"/>
          </w:tcPr>
          <w:p>
            <w:pPr>
              <w:pStyle w:val="TableContents"/>
              <w:bidi w:val="0"/>
              <w:spacing w:before="0" w:after="283"/>
              <w:jc w:val="center"/>
              <w:rPr/>
            </w:pPr>
            <w:r>
              <w:rPr/>
              <w:t>6,114,363</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4,393</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777,394</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17,656</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1,784,659</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left"/>
              <w:rPr/>
            </w:pPr>
            <w:r>
              <w:rPr/>
              <w:t>4.</w:t>
            </w:r>
          </w:p>
        </w:tc>
        <w:tc>
          <w:tcPr>
            <w:tcW w:w="100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the Annual Meeting, the stockholders ratified the appointment of KPMG LLP as the Company’s independent registered public accounting firm for the year ending December 31, 2026 by the vote indicated below: </w:t>
            </w:r>
          </w:p>
        </w:tc>
      </w:tr>
    </w:tbl>
    <w:p>
      <w:pPr>
        <w:pStyle w:val="TextBody"/>
        <w:bidi w:val="0"/>
        <w:spacing w:before="0" w:after="0"/>
        <w:jc w:val="left"/>
        <w:rPr/>
      </w:pPr>
      <w:r>
        <w:rPr/>
        <w:t> </w:t>
      </w:r>
    </w:p>
    <w:tbl>
      <w:tblPr>
        <w:tblW w:w="4415" w:type="dxa"/>
        <w:jc w:val="left"/>
        <w:tblInd w:w="0" w:type="dxa"/>
        <w:tblLayout w:type="fixed"/>
        <w:tblCellMar>
          <w:top w:w="0" w:type="dxa"/>
          <w:left w:w="0" w:type="dxa"/>
          <w:bottom w:w="0" w:type="dxa"/>
          <w:right w:w="0" w:type="dxa"/>
        </w:tblCellMar>
      </w:tblPr>
      <w:tblGrid>
        <w:gridCol w:w="995"/>
        <w:gridCol w:w="60"/>
        <w:gridCol w:w="1025"/>
        <w:gridCol w:w="60"/>
        <w:gridCol w:w="860"/>
        <w:gridCol w:w="60"/>
        <w:gridCol w:w="1355"/>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9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995" w:type="dxa"/>
            <w:tcBorders/>
            <w:shd w:fill="CCEEFF" w:val="clear"/>
            <w:vAlign w:val="center"/>
          </w:tcPr>
          <w:p>
            <w:pPr>
              <w:pStyle w:val="TableContents"/>
              <w:bidi w:val="0"/>
              <w:spacing w:before="0" w:after="283"/>
              <w:jc w:val="center"/>
              <w:rPr/>
            </w:pPr>
            <w:r>
              <w:rPr/>
              <w:t>8,695,977</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59</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2,429</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0</w:t>
            </w:r>
          </w:p>
        </w:tc>
      </w:tr>
    </w:tbl>
    <w:p>
      <w:pPr>
        <w:pStyle w:val="TextBody"/>
        <w:bidi w:val="0"/>
        <w:spacing w:before="0" w:after="0"/>
        <w:jc w:val="left"/>
        <w:rPr/>
      </w:pPr>
      <w:r>
        <w:rPr/>
        <w:t> </w:t>
      </w:r>
      <w:r>
        <w:br w:type="page"/>
      </w:r>
    </w:p>
    <w:p>
      <w:pPr>
        <w:pStyle w:val="HorizontalLine"/>
        <w:bidi w:val="0"/>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075" w:type="dxa"/>
        <w:jc w:val="left"/>
        <w:tblInd w:w="0" w:type="dxa"/>
        <w:tblLayout w:type="fixed"/>
        <w:tblCellMar>
          <w:top w:w="0" w:type="dxa"/>
          <w:left w:w="0" w:type="dxa"/>
          <w:bottom w:w="0" w:type="dxa"/>
          <w:right w:w="0" w:type="dxa"/>
        </w:tblCellMar>
      </w:tblPr>
      <w:tblGrid>
        <w:gridCol w:w="560"/>
        <w:gridCol w:w="120"/>
        <w:gridCol w:w="939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9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93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51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Cover Page Interactive File (the cover page tags are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138" w:type="dxa"/>
        <w:jc w:val="left"/>
        <w:tblInd w:w="0" w:type="dxa"/>
        <w:tblLayout w:type="fixed"/>
        <w:tblCellMar>
          <w:top w:w="0" w:type="dxa"/>
          <w:left w:w="0" w:type="dxa"/>
          <w:bottom w:w="0" w:type="dxa"/>
          <w:right w:w="0" w:type="dxa"/>
        </w:tblCellMar>
      </w:tblPr>
      <w:tblGrid>
        <w:gridCol w:w="2060"/>
        <w:gridCol w:w="60"/>
        <w:gridCol w:w="23"/>
        <w:gridCol w:w="60"/>
        <w:gridCol w:w="650"/>
        <w:gridCol w:w="60"/>
        <w:gridCol w:w="2225"/>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35" w:type="dxa"/>
            <w:gridSpan w:val="3"/>
            <w:tcBorders/>
            <w:vAlign w:val="center"/>
          </w:tcPr>
          <w:p>
            <w:pPr>
              <w:pStyle w:val="TableContents"/>
              <w:bidi w:val="0"/>
              <w:spacing w:before="0" w:after="283"/>
              <w:jc w:val="left"/>
              <w:rPr>
                <w:b/>
              </w:rPr>
            </w:pPr>
            <w:r>
              <w:rPr>
                <w:b/>
              </w:rPr>
              <w:t>BIODESIX, INC.</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left"/>
              <w:rPr/>
            </w:pPr>
            <w:r>
              <w:rPr/>
              <w:t>Dated: May 20,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Robin Harper Cowie</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Robin Harper Cowie</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829</Words>
  <Characters>4575</Characters>
  <CharactersWithSpaces>5424</CharactersWithSpaces>
  <Paragraphs>226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