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09075X108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Arthur McMahon, III, Esq.</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Taft Stettinius &amp; Hollister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425 Walnut Street, Suite 1800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Cincinnati, OH 45202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(513) 357-9607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28, 2020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00" w:firstLine="8"/>
        <w:spacing w:after="0" w:line="22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firstLine="8"/>
        <w:spacing w:after="0" w:line="282" w:lineRule="auto"/>
        <w:tabs>
          <w:tab w:leader="none" w:pos="1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122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CUSIP No.</w:t>
            </w:r>
          </w:p>
        </w:tc>
        <w:tc>
          <w:tcPr>
            <w:tcW w:w="196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09075X108</w:t>
            </w: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983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983605"/>
                    </a:xfrm>
                    <a:prstGeom prst="rect">
                      <a:avLst/>
                    </a:prstGeom>
                    <a:noFill/>
                  </pic:spPr>
                </pic:pic>
              </a:graphicData>
            </a:graphic>
          </wp:anchor>
        </w:drawing>
      </w:r>
    </w:p>
    <w:p>
      <w:pPr>
        <w:spacing w:after="0" w:line="232" w:lineRule="exact"/>
        <w:rPr>
          <w:sz w:val="20"/>
          <w:szCs w:val="20"/>
          <w:color w:val="auto"/>
        </w:rPr>
      </w:pPr>
    </w:p>
    <w:p>
      <w:pPr>
        <w:ind w:left="800" w:hanging="668"/>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800" w:right="4840"/>
        <w:spacing w:after="0" w:line="5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Lawrence T. Kennedy, Jr. Revocable Trust UAD 6/19/01</w:t>
      </w:r>
    </w:p>
    <w:p>
      <w:pPr>
        <w:ind w:left="800" w:hanging="668"/>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50" w:lineRule="exact"/>
        <w:rPr>
          <w:rFonts w:ascii="Times New Roman" w:cs="Times New Roman" w:eastAsia="Times New Roman" w:hAnsi="Times New Roman"/>
          <w:sz w:val="18"/>
          <w:szCs w:val="18"/>
          <w:color w:val="auto"/>
        </w:rPr>
      </w:pPr>
    </w:p>
    <w:p>
      <w:pPr>
        <w:ind w:left="1100" w:hanging="293"/>
        <w:spacing w:after="0" w:line="207" w:lineRule="exact"/>
        <w:tabs>
          <w:tab w:leader="none" w:pos="11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00" w:hanging="293"/>
        <w:spacing w:after="0" w:line="207" w:lineRule="exact"/>
        <w:tabs>
          <w:tab w:leader="none" w:pos="11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0" w:lineRule="exact"/>
        <w:rPr>
          <w:rFonts w:ascii="Times New Roman" w:cs="Times New Roman" w:eastAsia="Times New Roman" w:hAnsi="Times New Roman"/>
          <w:sz w:val="18"/>
          <w:szCs w:val="18"/>
          <w:color w:val="auto"/>
        </w:rPr>
      </w:pPr>
    </w:p>
    <w:p>
      <w:pPr>
        <w:ind w:left="800" w:hanging="668"/>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rFonts w:ascii="Times New Roman" w:cs="Times New Roman" w:eastAsia="Times New Roman" w:hAnsi="Times New Roman"/>
          <w:sz w:val="18"/>
          <w:szCs w:val="18"/>
          <w:color w:val="auto"/>
        </w:rPr>
      </w:pPr>
    </w:p>
    <w:p>
      <w:pPr>
        <w:ind w:left="800" w:right="6760" w:hanging="668"/>
        <w:spacing w:after="0" w:line="453"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Ohio</w:t>
      </w:r>
    </w:p>
    <w:p>
      <w:pPr>
        <w:spacing w:after="0" w:line="1" w:lineRule="exact"/>
        <w:rPr>
          <w:rFonts w:ascii="Times New Roman" w:cs="Times New Roman" w:eastAsia="Times New Roman" w:hAnsi="Times New Roman"/>
          <w:sz w:val="18"/>
          <w:szCs w:val="18"/>
          <w:color w:val="auto"/>
        </w:rPr>
      </w:pPr>
    </w:p>
    <w:p>
      <w:pPr>
        <w:ind w:left="2380" w:hanging="668"/>
        <w:spacing w:after="0"/>
        <w:tabs>
          <w:tab w:leader="none" w:pos="23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4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774,044</w:t>
            </w:r>
          </w:p>
        </w:tc>
        <w:tc>
          <w:tcPr>
            <w:tcW w:w="0" w:type="dxa"/>
            <w:vAlign w:val="bottom"/>
          </w:tcPr>
          <w:p>
            <w:pPr>
              <w:spacing w:after="0"/>
              <w:rPr>
                <w:sz w:val="1"/>
                <w:szCs w:val="1"/>
                <w:color w:val="auto"/>
              </w:rPr>
            </w:pPr>
          </w:p>
        </w:tc>
      </w:tr>
      <w:tr>
        <w:trPr>
          <w:trHeight w:val="86"/>
        </w:trPr>
        <w:tc>
          <w:tcPr>
            <w:tcW w:w="14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vMerge w:val="continue"/>
          </w:tcPr>
          <w:p>
            <w:pPr>
              <w:spacing w:after="0"/>
              <w:rPr>
                <w:sz w:val="14"/>
                <w:szCs w:val="14"/>
                <w:color w:val="auto"/>
              </w:rPr>
            </w:pPr>
          </w:p>
        </w:tc>
        <w:tc>
          <w:tcPr>
            <w:tcW w:w="9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4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9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80" w:right="6340" w:hanging="668"/>
        <w:spacing w:after="0" w:line="328" w:lineRule="auto"/>
        <w:tabs>
          <w:tab w:leader="none" w:pos="2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774,044</w:t>
      </w:r>
    </w:p>
    <w:p>
      <w:pPr>
        <w:spacing w:after="0" w:line="1" w:lineRule="exact"/>
        <w:rPr>
          <w:rFonts w:ascii="Times New Roman" w:cs="Times New Roman" w:eastAsia="Times New Roman" w:hAnsi="Times New Roman"/>
          <w:sz w:val="18"/>
          <w:szCs w:val="18"/>
          <w:color w:val="auto"/>
        </w:rPr>
      </w:pPr>
    </w:p>
    <w:p>
      <w:pPr>
        <w:ind w:left="800" w:right="3880" w:hanging="668"/>
        <w:spacing w:after="0" w:line="437"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774,044</w:t>
      </w:r>
    </w:p>
    <w:p>
      <w:pPr>
        <w:ind w:left="800" w:hanging="668"/>
        <w:spacing w:after="0" w:line="207" w:lineRule="exact"/>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88" w:lineRule="exact"/>
        <w:rPr>
          <w:rFonts w:ascii="Times New Roman" w:cs="Times New Roman" w:eastAsia="Times New Roman" w:hAnsi="Times New Roman"/>
          <w:sz w:val="18"/>
          <w:szCs w:val="18"/>
          <w:color w:val="auto"/>
        </w:rPr>
      </w:pPr>
    </w:p>
    <w:p>
      <w:pPr>
        <w:ind w:left="800" w:right="5380" w:hanging="668"/>
        <w:spacing w:after="0" w:line="453"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3.5%</w:t>
      </w:r>
    </w:p>
    <w:p>
      <w:pPr>
        <w:spacing w:after="0" w:line="1" w:lineRule="exact"/>
        <w:rPr>
          <w:rFonts w:ascii="Times New Roman" w:cs="Times New Roman" w:eastAsia="Times New Roman" w:hAnsi="Times New Roman"/>
          <w:sz w:val="18"/>
          <w:szCs w:val="18"/>
          <w:color w:val="auto"/>
        </w:rPr>
      </w:pPr>
    </w:p>
    <w:p>
      <w:pPr>
        <w:ind w:left="800" w:right="7840" w:hanging="668"/>
        <w:spacing w:after="0" w:line="595"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122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CUSIP No.</w:t>
            </w:r>
          </w:p>
        </w:tc>
        <w:tc>
          <w:tcPr>
            <w:tcW w:w="196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09075X108</w:t>
            </w: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120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32" w:lineRule="exact"/>
        <w:rPr>
          <w:sz w:val="20"/>
          <w:szCs w:val="20"/>
          <w:color w:val="auto"/>
        </w:rPr>
      </w:pPr>
    </w:p>
    <w:p>
      <w:pPr>
        <w:ind w:left="800" w:hanging="66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60" w:lineRule="exact"/>
        <w:rPr>
          <w:rFonts w:ascii="Times New Roman" w:cs="Times New Roman" w:eastAsia="Times New Roman" w:hAnsi="Times New Roman"/>
          <w:sz w:val="18"/>
          <w:szCs w:val="18"/>
          <w:color w:val="auto"/>
        </w:rPr>
      </w:pPr>
    </w:p>
    <w:p>
      <w:pPr>
        <w:ind w:left="800" w:right="6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Lawrence T. Kennedy, Jr. Perpetuity Trust UAD 6/30/16 30-6541110</w:t>
      </w:r>
    </w:p>
    <w:p>
      <w:pPr>
        <w:spacing w:after="0" w:line="242" w:lineRule="exact"/>
        <w:rPr>
          <w:rFonts w:ascii="Times New Roman" w:cs="Times New Roman" w:eastAsia="Times New Roman" w:hAnsi="Times New Roman"/>
          <w:sz w:val="18"/>
          <w:szCs w:val="18"/>
          <w:color w:val="auto"/>
        </w:rPr>
      </w:pPr>
    </w:p>
    <w:p>
      <w:pPr>
        <w:ind w:left="800" w:hanging="66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50" w:lineRule="exact"/>
        <w:rPr>
          <w:rFonts w:ascii="Times New Roman" w:cs="Times New Roman" w:eastAsia="Times New Roman" w:hAnsi="Times New Roman"/>
          <w:sz w:val="18"/>
          <w:szCs w:val="18"/>
          <w:color w:val="auto"/>
        </w:rPr>
      </w:pPr>
    </w:p>
    <w:p>
      <w:pPr>
        <w:ind w:left="1100" w:hanging="293"/>
        <w:spacing w:after="0" w:line="207" w:lineRule="exact"/>
        <w:tabs>
          <w:tab w:leader="none" w:pos="110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00" w:hanging="293"/>
        <w:spacing w:after="0" w:line="207" w:lineRule="exact"/>
        <w:tabs>
          <w:tab w:leader="none" w:pos="110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0" w:lineRule="exact"/>
        <w:rPr>
          <w:rFonts w:ascii="Times New Roman" w:cs="Times New Roman" w:eastAsia="Times New Roman" w:hAnsi="Times New Roman"/>
          <w:sz w:val="18"/>
          <w:szCs w:val="18"/>
          <w:color w:val="auto"/>
        </w:rPr>
      </w:pPr>
    </w:p>
    <w:p>
      <w:pPr>
        <w:ind w:left="800" w:hanging="66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rFonts w:ascii="Times New Roman" w:cs="Times New Roman" w:eastAsia="Times New Roman" w:hAnsi="Times New Roman"/>
          <w:sz w:val="18"/>
          <w:szCs w:val="18"/>
          <w:color w:val="auto"/>
        </w:rPr>
      </w:pPr>
    </w:p>
    <w:p>
      <w:pPr>
        <w:ind w:left="800" w:right="6760" w:hanging="668"/>
        <w:spacing w:after="0" w:line="453"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380" w:hanging="668"/>
        <w:spacing w:after="0"/>
        <w:tabs>
          <w:tab w:leader="none" w:pos="23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4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471,057</w:t>
            </w:r>
          </w:p>
        </w:tc>
        <w:tc>
          <w:tcPr>
            <w:tcW w:w="0" w:type="dxa"/>
            <w:vAlign w:val="bottom"/>
          </w:tcPr>
          <w:p>
            <w:pPr>
              <w:spacing w:after="0"/>
              <w:rPr>
                <w:sz w:val="1"/>
                <w:szCs w:val="1"/>
                <w:color w:val="auto"/>
              </w:rPr>
            </w:pPr>
          </w:p>
        </w:tc>
      </w:tr>
      <w:tr>
        <w:trPr>
          <w:trHeight w:val="86"/>
        </w:trPr>
        <w:tc>
          <w:tcPr>
            <w:tcW w:w="14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vMerge w:val="continue"/>
          </w:tcPr>
          <w:p>
            <w:pPr>
              <w:spacing w:after="0"/>
              <w:rPr>
                <w:sz w:val="14"/>
                <w:szCs w:val="14"/>
                <w:color w:val="auto"/>
              </w:rPr>
            </w:pPr>
          </w:p>
        </w:tc>
        <w:tc>
          <w:tcPr>
            <w:tcW w:w="9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4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9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80" w:right="6340" w:hanging="668"/>
        <w:spacing w:after="0" w:line="328" w:lineRule="auto"/>
        <w:tabs>
          <w:tab w:leader="none" w:pos="2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471,057</w:t>
      </w:r>
    </w:p>
    <w:p>
      <w:pPr>
        <w:spacing w:after="0" w:line="1" w:lineRule="exact"/>
        <w:rPr>
          <w:rFonts w:ascii="Times New Roman" w:cs="Times New Roman" w:eastAsia="Times New Roman" w:hAnsi="Times New Roman"/>
          <w:sz w:val="18"/>
          <w:szCs w:val="18"/>
          <w:color w:val="auto"/>
        </w:rPr>
      </w:pPr>
    </w:p>
    <w:p>
      <w:pPr>
        <w:ind w:left="800" w:right="3880" w:hanging="668"/>
        <w:spacing w:after="0" w:line="437"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471,057</w:t>
      </w:r>
    </w:p>
    <w:p>
      <w:pPr>
        <w:ind w:left="800" w:hanging="668"/>
        <w:spacing w:after="0" w:line="207" w:lineRule="exact"/>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88" w:lineRule="exact"/>
        <w:rPr>
          <w:rFonts w:ascii="Times New Roman" w:cs="Times New Roman" w:eastAsia="Times New Roman" w:hAnsi="Times New Roman"/>
          <w:sz w:val="18"/>
          <w:szCs w:val="18"/>
          <w:color w:val="auto"/>
        </w:rPr>
      </w:pPr>
    </w:p>
    <w:p>
      <w:pPr>
        <w:ind w:left="800" w:right="5380" w:hanging="668"/>
        <w:spacing w:after="0" w:line="453"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2.1%</w:t>
      </w:r>
    </w:p>
    <w:p>
      <w:pPr>
        <w:spacing w:after="0" w:line="1" w:lineRule="exact"/>
        <w:rPr>
          <w:rFonts w:ascii="Times New Roman" w:cs="Times New Roman" w:eastAsia="Times New Roman" w:hAnsi="Times New Roman"/>
          <w:sz w:val="18"/>
          <w:szCs w:val="18"/>
          <w:color w:val="auto"/>
        </w:rPr>
      </w:pPr>
    </w:p>
    <w:p>
      <w:pPr>
        <w:ind w:left="800" w:right="7840" w:hanging="668"/>
        <w:spacing w:after="0" w:line="595"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122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CUSIP No.</w:t>
            </w:r>
          </w:p>
        </w:tc>
        <w:tc>
          <w:tcPr>
            <w:tcW w:w="196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09075X108</w:t>
            </w: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120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32" w:lineRule="exact"/>
        <w:rPr>
          <w:sz w:val="20"/>
          <w:szCs w:val="20"/>
          <w:color w:val="auto"/>
        </w:rPr>
      </w:pPr>
    </w:p>
    <w:p>
      <w:pPr>
        <w:ind w:left="800" w:hanging="66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60" w:lineRule="exact"/>
        <w:rPr>
          <w:rFonts w:ascii="Times New Roman" w:cs="Times New Roman" w:eastAsia="Times New Roman" w:hAnsi="Times New Roman"/>
          <w:sz w:val="18"/>
          <w:szCs w:val="18"/>
          <w:color w:val="auto"/>
        </w:rPr>
      </w:pPr>
    </w:p>
    <w:p>
      <w:pPr>
        <w:ind w:left="800" w:right="9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KFDI-B LLC 26-3914642</w:t>
      </w:r>
    </w:p>
    <w:p>
      <w:pPr>
        <w:spacing w:after="0" w:line="242" w:lineRule="exact"/>
        <w:rPr>
          <w:rFonts w:ascii="Times New Roman" w:cs="Times New Roman" w:eastAsia="Times New Roman" w:hAnsi="Times New Roman"/>
          <w:sz w:val="18"/>
          <w:szCs w:val="18"/>
          <w:color w:val="auto"/>
        </w:rPr>
      </w:pPr>
    </w:p>
    <w:p>
      <w:pPr>
        <w:ind w:left="800" w:hanging="66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50" w:lineRule="exact"/>
        <w:rPr>
          <w:rFonts w:ascii="Times New Roman" w:cs="Times New Roman" w:eastAsia="Times New Roman" w:hAnsi="Times New Roman"/>
          <w:sz w:val="18"/>
          <w:szCs w:val="18"/>
          <w:color w:val="auto"/>
        </w:rPr>
      </w:pPr>
    </w:p>
    <w:p>
      <w:pPr>
        <w:ind w:left="1100" w:hanging="293"/>
        <w:spacing w:after="0" w:line="207" w:lineRule="exact"/>
        <w:tabs>
          <w:tab w:leader="none" w:pos="110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00" w:hanging="293"/>
        <w:spacing w:after="0" w:line="207" w:lineRule="exact"/>
        <w:tabs>
          <w:tab w:leader="none" w:pos="110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0" w:lineRule="exact"/>
        <w:rPr>
          <w:rFonts w:ascii="Times New Roman" w:cs="Times New Roman" w:eastAsia="Times New Roman" w:hAnsi="Times New Roman"/>
          <w:sz w:val="18"/>
          <w:szCs w:val="18"/>
          <w:color w:val="auto"/>
        </w:rPr>
      </w:pPr>
    </w:p>
    <w:p>
      <w:pPr>
        <w:ind w:left="800" w:hanging="66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rFonts w:ascii="Times New Roman" w:cs="Times New Roman" w:eastAsia="Times New Roman" w:hAnsi="Times New Roman"/>
          <w:sz w:val="18"/>
          <w:szCs w:val="18"/>
          <w:color w:val="auto"/>
        </w:rPr>
      </w:pPr>
    </w:p>
    <w:p>
      <w:pPr>
        <w:ind w:left="800" w:right="6760" w:hanging="668"/>
        <w:spacing w:after="0" w:line="453"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380" w:hanging="668"/>
        <w:spacing w:after="0"/>
        <w:tabs>
          <w:tab w:leader="none" w:pos="23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4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166,666</w:t>
            </w:r>
          </w:p>
        </w:tc>
        <w:tc>
          <w:tcPr>
            <w:tcW w:w="0" w:type="dxa"/>
            <w:vAlign w:val="bottom"/>
          </w:tcPr>
          <w:p>
            <w:pPr>
              <w:spacing w:after="0"/>
              <w:rPr>
                <w:sz w:val="1"/>
                <w:szCs w:val="1"/>
                <w:color w:val="auto"/>
              </w:rPr>
            </w:pPr>
          </w:p>
        </w:tc>
      </w:tr>
      <w:tr>
        <w:trPr>
          <w:trHeight w:val="86"/>
        </w:trPr>
        <w:tc>
          <w:tcPr>
            <w:tcW w:w="14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vMerge w:val="continue"/>
          </w:tcPr>
          <w:p>
            <w:pPr>
              <w:spacing w:after="0"/>
              <w:rPr>
                <w:sz w:val="14"/>
                <w:szCs w:val="14"/>
                <w:color w:val="auto"/>
              </w:rPr>
            </w:pPr>
          </w:p>
        </w:tc>
        <w:tc>
          <w:tcPr>
            <w:tcW w:w="9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4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9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80" w:right="6340" w:hanging="668"/>
        <w:spacing w:after="0" w:line="328" w:lineRule="auto"/>
        <w:tabs>
          <w:tab w:leader="none" w:pos="23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166,666</w:t>
      </w:r>
    </w:p>
    <w:p>
      <w:pPr>
        <w:spacing w:after="0" w:line="1" w:lineRule="exact"/>
        <w:rPr>
          <w:rFonts w:ascii="Times New Roman" w:cs="Times New Roman" w:eastAsia="Times New Roman" w:hAnsi="Times New Roman"/>
          <w:sz w:val="18"/>
          <w:szCs w:val="18"/>
          <w:color w:val="auto"/>
        </w:rPr>
      </w:pPr>
    </w:p>
    <w:p>
      <w:pPr>
        <w:ind w:left="800" w:hanging="668"/>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166,666</w:t>
      </w:r>
    </w:p>
    <w:p>
      <w:pPr>
        <w:spacing w:after="0" w:line="61" w:lineRule="exact"/>
        <w:rPr>
          <w:sz w:val="20"/>
          <w:szCs w:val="20"/>
          <w:color w:val="auto"/>
        </w:rPr>
      </w:pPr>
    </w:p>
    <w:p>
      <w:pPr>
        <w:ind w:left="800" w:hanging="668"/>
        <w:spacing w:after="0" w:line="207" w:lineRule="exact"/>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88" w:lineRule="exact"/>
        <w:rPr>
          <w:rFonts w:ascii="Times New Roman" w:cs="Times New Roman" w:eastAsia="Times New Roman" w:hAnsi="Times New Roman"/>
          <w:sz w:val="18"/>
          <w:szCs w:val="18"/>
          <w:color w:val="auto"/>
        </w:rPr>
      </w:pPr>
    </w:p>
    <w:p>
      <w:pPr>
        <w:ind w:left="800" w:right="5300" w:hanging="668"/>
        <w:spacing w:after="0" w:line="453"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0.8%</w:t>
      </w:r>
    </w:p>
    <w:p>
      <w:pPr>
        <w:spacing w:after="0" w:line="1" w:lineRule="exact"/>
        <w:rPr>
          <w:rFonts w:ascii="Times New Roman" w:cs="Times New Roman" w:eastAsia="Times New Roman" w:hAnsi="Times New Roman"/>
          <w:sz w:val="18"/>
          <w:szCs w:val="18"/>
          <w:color w:val="auto"/>
        </w:rPr>
      </w:pPr>
    </w:p>
    <w:p>
      <w:pPr>
        <w:ind w:left="800" w:right="7840" w:hanging="668"/>
        <w:spacing w:after="0" w:line="595"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122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CUSIP No.</w:t>
            </w:r>
          </w:p>
        </w:tc>
        <w:tc>
          <w:tcPr>
            <w:tcW w:w="196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09075X108</w:t>
            </w: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120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32" w:lineRule="exact"/>
        <w:rPr>
          <w:sz w:val="20"/>
          <w:szCs w:val="20"/>
          <w:color w:val="auto"/>
        </w:rPr>
      </w:pPr>
    </w:p>
    <w:p>
      <w:pPr>
        <w:ind w:left="800" w:hanging="66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800" w:right="4840"/>
        <w:spacing w:after="0" w:line="5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Lawrence T. Kennedy, Jr.</w:t>
      </w:r>
    </w:p>
    <w:p>
      <w:pPr>
        <w:ind w:left="800" w:hanging="66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50" w:lineRule="exact"/>
        <w:rPr>
          <w:rFonts w:ascii="Times New Roman" w:cs="Times New Roman" w:eastAsia="Times New Roman" w:hAnsi="Times New Roman"/>
          <w:sz w:val="18"/>
          <w:szCs w:val="18"/>
          <w:color w:val="auto"/>
        </w:rPr>
      </w:pPr>
    </w:p>
    <w:p>
      <w:pPr>
        <w:ind w:left="1100" w:hanging="293"/>
        <w:spacing w:after="0" w:line="207" w:lineRule="exact"/>
        <w:tabs>
          <w:tab w:leader="none" w:pos="1100"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00" w:hanging="293"/>
        <w:spacing w:after="0" w:line="207" w:lineRule="exact"/>
        <w:tabs>
          <w:tab w:leader="none" w:pos="1100"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0" w:lineRule="exact"/>
        <w:rPr>
          <w:rFonts w:ascii="Times New Roman" w:cs="Times New Roman" w:eastAsia="Times New Roman" w:hAnsi="Times New Roman"/>
          <w:sz w:val="18"/>
          <w:szCs w:val="18"/>
          <w:color w:val="auto"/>
        </w:rPr>
      </w:pPr>
    </w:p>
    <w:p>
      <w:pPr>
        <w:ind w:left="800" w:hanging="66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rFonts w:ascii="Times New Roman" w:cs="Times New Roman" w:eastAsia="Times New Roman" w:hAnsi="Times New Roman"/>
          <w:sz w:val="18"/>
          <w:szCs w:val="18"/>
          <w:color w:val="auto"/>
        </w:rPr>
      </w:pPr>
    </w:p>
    <w:p>
      <w:pPr>
        <w:ind w:left="800" w:right="6760" w:hanging="668"/>
        <w:spacing w:after="0" w:line="453"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rFonts w:ascii="Times New Roman" w:cs="Times New Roman" w:eastAsia="Times New Roman" w:hAnsi="Times New Roman"/>
          <w:sz w:val="18"/>
          <w:szCs w:val="18"/>
          <w:color w:val="auto"/>
        </w:rPr>
      </w:pPr>
    </w:p>
    <w:p>
      <w:pPr>
        <w:ind w:left="2380" w:hanging="668"/>
        <w:spacing w:after="0"/>
        <w:tabs>
          <w:tab w:leader="none" w:pos="23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4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420" w:type="dxa"/>
            <w:vAlign w:val="bottom"/>
            <w:vMerge w:val="continue"/>
          </w:tcPr>
          <w:p>
            <w:pPr>
              <w:spacing w:after="0"/>
              <w:rPr>
                <w:sz w:val="8"/>
                <w:szCs w:val="8"/>
                <w:color w:val="auto"/>
              </w:rPr>
            </w:pPr>
          </w:p>
        </w:tc>
        <w:tc>
          <w:tcPr>
            <w:tcW w:w="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14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1,411,767</w:t>
            </w:r>
          </w:p>
        </w:tc>
        <w:tc>
          <w:tcPr>
            <w:tcW w:w="0" w:type="dxa"/>
            <w:vAlign w:val="bottom"/>
          </w:tcPr>
          <w:p>
            <w:pPr>
              <w:spacing w:after="0"/>
              <w:rPr>
                <w:sz w:val="1"/>
                <w:szCs w:val="1"/>
                <w:color w:val="auto"/>
              </w:rPr>
            </w:pPr>
          </w:p>
        </w:tc>
      </w:tr>
      <w:tr>
        <w:trPr>
          <w:trHeight w:val="228"/>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EACH</w:t>
            </w:r>
          </w:p>
        </w:tc>
        <w:tc>
          <w:tcPr>
            <w:tcW w:w="56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9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1420" w:type="dxa"/>
            <w:vAlign w:val="bottom"/>
            <w:vMerge w:val="restart"/>
          </w:tcPr>
          <w:p>
            <w:pPr>
              <w:jc w:val="center"/>
              <w:ind w:right="30"/>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Pr>
          <w:p>
            <w:pPr>
              <w:spacing w:after="0"/>
              <w:rPr>
                <w:sz w:val="9"/>
                <w:szCs w:val="9"/>
                <w:color w:val="auto"/>
              </w:rPr>
            </w:pPr>
          </w:p>
        </w:tc>
        <w:tc>
          <w:tcPr>
            <w:tcW w:w="9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
        </w:trPr>
        <w:tc>
          <w:tcPr>
            <w:tcW w:w="14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9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380" w:right="6340" w:hanging="668"/>
        <w:spacing w:after="0" w:line="442" w:lineRule="auto"/>
        <w:tabs>
          <w:tab w:leader="none" w:pos="23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1,411,767</w:t>
      </w:r>
    </w:p>
    <w:p>
      <w:pPr>
        <w:ind w:left="800" w:hanging="66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1,441,767</w:t>
      </w:r>
    </w:p>
    <w:p>
      <w:pPr>
        <w:spacing w:after="0" w:line="61" w:lineRule="exact"/>
        <w:rPr>
          <w:sz w:val="20"/>
          <w:szCs w:val="20"/>
          <w:color w:val="auto"/>
        </w:rPr>
      </w:pPr>
    </w:p>
    <w:p>
      <w:pPr>
        <w:ind w:left="800" w:hanging="668"/>
        <w:spacing w:after="0" w:line="207" w:lineRule="exact"/>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88" w:lineRule="exact"/>
        <w:rPr>
          <w:rFonts w:ascii="Times New Roman" w:cs="Times New Roman" w:eastAsia="Times New Roman" w:hAnsi="Times New Roman"/>
          <w:sz w:val="18"/>
          <w:szCs w:val="18"/>
          <w:color w:val="auto"/>
        </w:rPr>
      </w:pPr>
    </w:p>
    <w:p>
      <w:pPr>
        <w:ind w:left="800" w:right="5380" w:hanging="668"/>
        <w:spacing w:after="0" w:line="453"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w:t>
      </w:r>
    </w:p>
    <w:p>
      <w:pPr>
        <w:spacing w:after="0" w:line="1" w:lineRule="exact"/>
        <w:rPr>
          <w:rFonts w:ascii="Times New Roman" w:cs="Times New Roman" w:eastAsia="Times New Roman" w:hAnsi="Times New Roman"/>
          <w:sz w:val="18"/>
          <w:szCs w:val="18"/>
          <w:color w:val="auto"/>
        </w:rPr>
      </w:pPr>
    </w:p>
    <w:p>
      <w:pPr>
        <w:ind w:left="800" w:right="7840" w:hanging="668"/>
        <w:spacing w:after="0" w:line="595"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The following constitutes the Schedule 13G filed by the undersigned. The Lawrence T. Kennedy, Jr. Revocable Trust UAD 6/19/01, the Lawrence T. Kennedy, Jr. Perpetuity Trust UAD 6/30/16, KFDI-B LLC and Lawrence T. Kennedy, Jr. are sometimes collectively referred to as the “Reporting Persons.” Any disclosures herein with respect to persons other than the Reporting Persons are made on information and belief after making inquiry to the appropriate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(a) </w:t>
      </w:r>
      <w:r>
        <w:rPr>
          <w:rFonts w:ascii="Times New Roman" w:cs="Times New Roman" w:eastAsia="Times New Roman" w:hAnsi="Times New Roman"/>
          <w:sz w:val="18"/>
          <w:szCs w:val="18"/>
          <w:b w:val="1"/>
          <w:bCs w:val="1"/>
          <w:u w:val="single" w:color="auto"/>
          <w:color w:val="auto"/>
        </w:rPr>
        <w:t>Name of Issuer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Biodesix, Inc.</w:t>
      </w:r>
    </w:p>
    <w:p>
      <w:pPr>
        <w:spacing w:after="0" w:line="221" w:lineRule="exact"/>
        <w:rPr>
          <w:sz w:val="20"/>
          <w:szCs w:val="20"/>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Address of Issuer’s Principal Executive Offices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2970 Wilderness Place, Suite 100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Boulder, Colorado 80301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(a) </w:t>
      </w:r>
      <w:r>
        <w:rPr>
          <w:rFonts w:ascii="Times New Roman" w:cs="Times New Roman" w:eastAsia="Times New Roman" w:hAnsi="Times New Roman"/>
          <w:sz w:val="18"/>
          <w:szCs w:val="18"/>
          <w:b w:val="1"/>
          <w:bCs w:val="1"/>
          <w:u w:val="single" w:color="auto"/>
          <w:color w:val="auto"/>
        </w:rPr>
        <w:t>Name of Person Filing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Lawrence T. Kennedy, Jr. Revocable Trust UAD 6/19/01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Lawrence T. Kennedy, Jr. Perpetuity Trust UAD 6/30/16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KFDI-B,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Lawrence T. Kennedy, Jr.</w:t>
      </w:r>
    </w:p>
    <w:p>
      <w:pPr>
        <w:spacing w:after="0" w:line="203" w:lineRule="exact"/>
        <w:rPr>
          <w:sz w:val="20"/>
          <w:szCs w:val="20"/>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Address or Principal Business Office or, if None, Residence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each Reporting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Lawrence T. Kennedy, Jr.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Westwood Management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1700 Madison Road, Suite 200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Cincinnati, OH 45206</w:t>
      </w:r>
    </w:p>
    <w:p>
      <w:pPr>
        <w:spacing w:after="0" w:line="203" w:lineRule="exact"/>
        <w:rPr>
          <w:sz w:val="20"/>
          <w:szCs w:val="20"/>
          <w:color w:val="auto"/>
        </w:rPr>
      </w:pPr>
    </w:p>
    <w:p>
      <w:pPr>
        <w:ind w:left="900" w:hanging="244"/>
        <w:spacing w:after="0"/>
        <w:tabs>
          <w:tab w:leader="none" w:pos="9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Lawrence T. Kennedy, Jr. Revocable Trust UAD 6/19/01 – Ohio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Lawrence T. Kennedy, Jr. Perpetuity Trust UAD 6/30/16 – Delaware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KFDI-B, LLC – Delaware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Lawrence T. Kennedy, Jr. – Ohio</w:t>
      </w:r>
    </w:p>
    <w:p>
      <w:pPr>
        <w:spacing w:after="0" w:line="203" w:lineRule="exact"/>
        <w:rPr>
          <w:sz w:val="20"/>
          <w:szCs w:val="20"/>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of Class of Securities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1" w:lineRule="exact"/>
        <w:rPr>
          <w:sz w:val="20"/>
          <w:szCs w:val="20"/>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CUSIP No.</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09075X108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If this statement is filed pursuant to Rule 13d-1(b) or 13d-2(b) or (c), check whether the person filing is a</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ind w:left="580" w:hanging="572"/>
        <w:spacing w:after="0" w:line="207" w:lineRule="exact"/>
        <w:tabs>
          <w:tab w:leader="none" w:pos="58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57" w:lineRule="exact"/>
        <w:rPr>
          <w:rFonts w:ascii="Times New Roman" w:cs="Times New Roman" w:eastAsia="Times New Roman" w:hAnsi="Times New Roman"/>
          <w:sz w:val="18"/>
          <w:szCs w:val="18"/>
          <w:color w:val="auto"/>
        </w:rPr>
      </w:pPr>
    </w:p>
    <w:p>
      <w:pPr>
        <w:ind w:left="580" w:hanging="572"/>
        <w:spacing w:after="0" w:line="207" w:lineRule="exact"/>
        <w:tabs>
          <w:tab w:leader="none" w:pos="58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580" w:hanging="572"/>
        <w:spacing w:after="0" w:line="207" w:lineRule="exact"/>
        <w:tabs>
          <w:tab w:leader="none" w:pos="58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580" w:hanging="572"/>
        <w:spacing w:after="0" w:line="207" w:lineRule="exact"/>
        <w:tabs>
          <w:tab w:leader="none" w:pos="58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580" w:hanging="572"/>
        <w:spacing w:after="0" w:line="207" w:lineRule="exact"/>
        <w:tabs>
          <w:tab w:leader="none" w:pos="58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580" w:hanging="572"/>
        <w:spacing w:after="0" w:line="207" w:lineRule="exact"/>
        <w:tabs>
          <w:tab w:leader="none" w:pos="58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9" w:lineRule="exact"/>
        <w:rPr>
          <w:rFonts w:ascii="Times New Roman" w:cs="Times New Roman" w:eastAsia="Times New Roman" w:hAnsi="Times New Roman"/>
          <w:sz w:val="18"/>
          <w:szCs w:val="18"/>
          <w:color w:val="auto"/>
        </w:rPr>
      </w:pPr>
    </w:p>
    <w:p>
      <w:pPr>
        <w:ind w:left="580" w:hanging="572"/>
        <w:spacing w:after="0" w:line="207" w:lineRule="exact"/>
        <w:tabs>
          <w:tab w:leader="none" w:pos="58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580" w:hanging="572"/>
        <w:spacing w:after="0" w:line="207" w:lineRule="exact"/>
        <w:tabs>
          <w:tab w:leader="none" w:pos="58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140" w:right="360" w:hanging="1132"/>
        <w:spacing w:after="0" w:line="215" w:lineRule="exact"/>
        <w:tabs>
          <w:tab w:leader="none" w:pos="573"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ind w:left="580" w:hanging="572"/>
        <w:spacing w:after="0" w:line="207" w:lineRule="exact"/>
        <w:tabs>
          <w:tab w:leader="none" w:pos="58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Rule 13d-1(b)(1)(ii)(J);</w:t>
      </w:r>
    </w:p>
    <w:p>
      <w:pPr>
        <w:spacing w:after="0" w:line="10" w:lineRule="exact"/>
        <w:rPr>
          <w:rFonts w:ascii="Times New Roman" w:cs="Times New Roman" w:eastAsia="Times New Roman" w:hAnsi="Times New Roman"/>
          <w:sz w:val="18"/>
          <w:szCs w:val="18"/>
          <w:color w:val="auto"/>
        </w:rPr>
      </w:pPr>
    </w:p>
    <w:p>
      <w:pPr>
        <w:ind w:left="580" w:hanging="572"/>
        <w:spacing w:after="0" w:line="207" w:lineRule="exact"/>
        <w:tabs>
          <w:tab w:leader="none" w:pos="58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Rule 13d-1(b)(1)(ii)(K).</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Amount Beneficially Owned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Item 4(a) is set forth in Row (9) of the cover page for each Reporting Person and is incorporated herein by reference.</w:t>
      </w:r>
    </w:p>
    <w:p>
      <w:pPr>
        <w:spacing w:after="0" w:line="221" w:lineRule="exact"/>
        <w:rPr>
          <w:sz w:val="20"/>
          <w:szCs w:val="20"/>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Percent of Class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Percent of class determined is based on 22,213,548 shares of Common Stock, par value $0.001, of the issuer outstanding as reported in the Prospectus publicly filed by the issuer with the U.S. Securities and Exchange Commission on October 29, 2020. The information required by Item 4(b) is set forth in Row (11) of the cover page for each Reporting Person and is incorporated herein by reference.</w:t>
      </w:r>
    </w:p>
    <w:p>
      <w:pPr>
        <w:spacing w:after="0" w:line="172" w:lineRule="exact"/>
        <w:rPr>
          <w:sz w:val="20"/>
          <w:szCs w:val="20"/>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of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4(c) is set forth in Rows (5) through (8) of the cover page for each Reporting Person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Ownership of Five Percent or Less of a Class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Ownership of More than Five Percent on Behalf of Another Person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Control Person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Identification and Classification of Members of the Group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Notice of Dissolution of Group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u w:val="single" w:color="auto"/>
          <w:color w:val="auto"/>
        </w:rPr>
        <w:t>Certifications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our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9, 2020</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LAWRENCE T. KENNEDY, JR. REVOCABLE TRUST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UAD 6/19/01</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Lawrence T. Kennedy,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Lawrence T. Kennedy, Jr., Trustee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Dated: November 9, 2020</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LAWRENCE T. KENNEDY, JR. PERPETUITY TRUST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UAD 6/30/16</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Susan M. Callahan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Bryn Mawr Trust Company of Delaware, Trustee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Dated: November 9, 2020</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KFDI-B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Lawrence T. Kennedy,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Lawrence T. Kennedy, Jr., Manager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Dated: November 9, 2020</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Lawrence T. Kennedy,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Lawrence T. Kennedy, Jr.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Dated: November 9, 2020</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7FDCC233"/>
    <w:multiLevelType w:val="hybridMultilevel"/>
    <w:lvl w:ilvl="0">
      <w:lvlJc w:val="left"/>
      <w:lvlText w:val="%1"/>
      <w:numFmt w:val="decimal"/>
      <w:start w:val="1"/>
    </w:lvl>
    <w:lvl w:ilvl="1">
      <w:lvlJc w:val="left"/>
      <w:lvlText w:val="(%2)"/>
      <w:numFmt w:val="decimal"/>
      <w:start w:val="8"/>
    </w:lvl>
  </w:abstractNum>
  <w:abstractNum w:abstractNumId="4">
    <w:nsid w:val="1BEFD79F"/>
    <w:multiLevelType w:val="hybridMultilevel"/>
    <w:lvl w:ilvl="0">
      <w:lvlJc w:val="left"/>
      <w:lvlText w:val="(%1)"/>
      <w:numFmt w:val="decimal"/>
      <w:start w:val="9"/>
    </w:lvl>
    <w:lvl w:ilvl="1">
      <w:lvlJc w:val="left"/>
      <w:lvlText w:val="%2"/>
      <w:numFmt w:val="decimal"/>
      <w:start w:val="1"/>
    </w:lvl>
  </w:abstractNum>
  <w:abstractNum w:abstractNumId="5">
    <w:nsid w:val="41A7C4C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6B68079A"/>
    <w:multiLevelType w:val="hybridMultilevel"/>
    <w:lvl w:ilvl="0">
      <w:lvlJc w:val="left"/>
      <w:lvlText w:val="%1"/>
      <w:numFmt w:val="decimal"/>
      <w:start w:val="1"/>
    </w:lvl>
    <w:lvl w:ilvl="1">
      <w:lvlJc w:val="left"/>
      <w:lvlText w:val="(%2)"/>
      <w:numFmt w:val="decimal"/>
      <w:start w:val="8"/>
    </w:lvl>
  </w:abstractNum>
  <w:abstractNum w:abstractNumId="7">
    <w:nsid w:val="4E6AFB66"/>
    <w:multiLevelType w:val="hybridMultilevel"/>
    <w:lvl w:ilvl="0">
      <w:lvlJc w:val="left"/>
      <w:lvlText w:val="(%1)"/>
      <w:numFmt w:val="decimal"/>
      <w:start w:val="9"/>
    </w:lvl>
    <w:lvl w:ilvl="1">
      <w:lvlJc w:val="left"/>
      <w:lvlText w:val="%2"/>
      <w:numFmt w:val="decimal"/>
      <w:start w:val="1"/>
    </w:lvl>
  </w:abstractNum>
  <w:abstractNum w:abstractNumId="8">
    <w:nsid w:val="25E45D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519B500D"/>
    <w:multiLevelType w:val="hybridMultilevel"/>
    <w:lvl w:ilvl="0">
      <w:lvlJc w:val="left"/>
      <w:lvlText w:val="%1"/>
      <w:numFmt w:val="decimal"/>
      <w:start w:val="1"/>
    </w:lvl>
    <w:lvl w:ilvl="1">
      <w:lvlJc w:val="left"/>
      <w:lvlText w:val="(%2)"/>
      <w:numFmt w:val="decimal"/>
      <w:start w:val="8"/>
    </w:lvl>
  </w:abstractNum>
  <w:abstractNum w:abstractNumId="10">
    <w:nsid w:val="431BD7B7"/>
    <w:multiLevelType w:val="hybridMultilevel"/>
    <w:lvl w:ilvl="0">
      <w:lvlJc w:val="left"/>
      <w:lvlText w:val="(%1)"/>
      <w:numFmt w:val="decimal"/>
      <w:start w:val="9"/>
    </w:lvl>
    <w:lvl w:ilvl="1">
      <w:lvlJc w:val="left"/>
      <w:lvlText w:val="%2"/>
      <w:numFmt w:val="decimal"/>
      <w:start w:val="1"/>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3">
    <w:nsid w:val="257130A3"/>
    <w:multiLevelType w:val="hybridMultilevel"/>
    <w:lvl w:ilvl="0">
      <w:lvlJc w:val="left"/>
      <w:lvlText w:val="%1"/>
      <w:numFmt w:val="decimal"/>
      <w:start w:val="1"/>
    </w:lvl>
    <w:lvl w:ilvl="1">
      <w:lvlJc w:val="left"/>
      <w:lvlText w:val="(%2)"/>
      <w:numFmt w:val="decimal"/>
      <w:start w:val="8"/>
    </w:lvl>
  </w:abstractNum>
  <w:abstractNum w:abstractNumId="14">
    <w:nsid w:val="62BBD95A"/>
    <w:multiLevelType w:val="hybridMultilevel"/>
    <w:lvl w:ilvl="0">
      <w:lvlJc w:val="left"/>
      <w:lvlText w:val="(%1)"/>
      <w:numFmt w:val="decimal"/>
      <w:start w:val="9"/>
    </w:lvl>
    <w:lvl w:ilvl="1">
      <w:lvlJc w:val="left"/>
      <w:lvlText w:val="%2"/>
      <w:numFmt w:val="decimal"/>
      <w:start w:val="1"/>
    </w:lvl>
  </w:abstractNum>
  <w:abstractNum w:abstractNumId="15">
    <w:nsid w:val="436C6125"/>
    <w:multiLevelType w:val="hybridMultilevel"/>
    <w:lvl w:ilvl="0">
      <w:lvlJc w:val="left"/>
      <w:lvlText w:val="(%1)"/>
      <w:numFmt w:val="decimal"/>
      <w:start w:val="10"/>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1)"/>
      <w:numFmt w:val="lowerLetter"/>
      <w:start w:val="2"/>
    </w:lvl>
  </w:abstractNum>
  <w:abstractNum w:abstractNumId="18">
    <w:nsid w:val="721DA317"/>
    <w:multiLevelType w:val="hybridMultilevel"/>
    <w:lvl w:ilvl="0">
      <w:lvlJc w:val="left"/>
      <w:lvlText w:val="(%1)"/>
      <w:numFmt w:val="lowerLetter"/>
      <w:start w:val="3"/>
    </w:lvl>
  </w:abstractNum>
  <w:abstractNum w:abstractNumId="19">
    <w:nsid w:val="2443A858"/>
    <w:multiLevelType w:val="hybridMultilevel"/>
    <w:lvl w:ilvl="0">
      <w:lvlJc w:val="left"/>
      <w:lvlText w:val="(%1)"/>
      <w:numFmt w:val="lowerLetter"/>
      <w:start w:val="4"/>
    </w:lvl>
  </w:abstractNum>
  <w:abstractNum w:abstractNumId="20">
    <w:nsid w:val="2D1D5AE9"/>
    <w:multiLevelType w:val="hybridMultilevel"/>
    <w:lvl w:ilvl="0">
      <w:lvlJc w:val="left"/>
      <w:lvlText w:val="(%1)"/>
      <w:numFmt w:val="lowerLetter"/>
      <w:start w:val="5"/>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2020-11-13T11:41:38Z</dcterms:created>
  <dcterms:modified xsi:type="dcterms:W3CDTF">2020-11-13T11:41:38Z</dcterms:modified>
</cp:coreProperties>
</file>