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04314ds8.htm"/>
      <w:bookmarkStart w:id="1" w:name="ksd104314ds8"/>
      <w:bookmarkEnd w:id="0"/>
      <w:bookmarkEnd w:id="1"/>
      <w:r>
        <w:rPr>
          <w:rFonts w:ascii="Times New Roman" w:hAnsi="Times New Roman"/>
          <w:b/>
          <w:sz w:val="20"/>
        </w:rPr>
        <w:t xml:space="preserve">As filed with the Securities and Exchange Commission on February 6,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Biodesix,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20-3986492</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919 W. Dillon Road</w:t>
            </w:r>
          </w:p>
          <w:p>
            <w:pPr>
              <w:pStyle w:val="TableContents"/>
              <w:bidi w:val="0"/>
              <w:spacing w:before="0" w:after="20"/>
              <w:jc w:val="center"/>
              <w:rPr>
                <w:rFonts w:ascii="Times New Roman" w:hAnsi="Times New Roman"/>
                <w:b/>
                <w:sz w:val="20"/>
              </w:rPr>
            </w:pPr>
            <w:r>
              <w:rPr>
                <w:rFonts w:ascii="Times New Roman" w:hAnsi="Times New Roman"/>
                <w:b/>
                <w:sz w:val="20"/>
              </w:rPr>
              <w:t>Louisville, Colorado</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80027</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Biodesix, Inc. 2020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Biodesix, Inc.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Scott Hutton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Biodesix, Inc. </w:t>
      </w:r>
    </w:p>
    <w:p>
      <w:pPr>
        <w:pStyle w:val="TextBody"/>
        <w:bidi w:val="0"/>
        <w:spacing w:before="0" w:after="0"/>
        <w:jc w:val="center"/>
        <w:rPr>
          <w:rFonts w:ascii="Times New Roman" w:hAnsi="Times New Roman"/>
          <w:b/>
          <w:sz w:val="20"/>
        </w:rPr>
      </w:pPr>
      <w:r>
        <w:rPr>
          <w:rFonts w:ascii="Times New Roman" w:hAnsi="Times New Roman"/>
          <w:b/>
          <w:sz w:val="20"/>
        </w:rPr>
        <w:t xml:space="preserve">919 W. Dillon Road </w:t>
      </w:r>
    </w:p>
    <w:p>
      <w:pPr>
        <w:pStyle w:val="TextBody"/>
        <w:bidi w:val="0"/>
        <w:spacing w:before="0" w:after="0"/>
        <w:jc w:val="center"/>
        <w:rPr>
          <w:rFonts w:ascii="Times New Roman" w:hAnsi="Times New Roman"/>
          <w:b/>
          <w:sz w:val="20"/>
        </w:rPr>
      </w:pPr>
      <w:r>
        <w:rPr>
          <w:rFonts w:ascii="Times New Roman" w:hAnsi="Times New Roman"/>
          <w:b/>
          <w:sz w:val="20"/>
        </w:rPr>
        <w:t xml:space="preserve">Louisville, Colorado 80027 </w:t>
      </w:r>
    </w:p>
    <w:p>
      <w:pPr>
        <w:pStyle w:val="TextBody"/>
        <w:bidi w:val="0"/>
        <w:spacing w:before="0" w:after="0"/>
        <w:jc w:val="center"/>
        <w:rPr>
          <w:rFonts w:ascii="Times New Roman" w:hAnsi="Times New Roman"/>
          <w:b/>
          <w:sz w:val="20"/>
        </w:rPr>
      </w:pPr>
      <w:r>
        <w:rPr>
          <w:rFonts w:ascii="Times New Roman" w:hAnsi="Times New Roman"/>
          <w:b/>
          <w:sz w:val="20"/>
        </w:rPr>
        <w:t xml:space="preserve">(303) 417-0500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is being filed by Biodesix, Inc. (the “Registrant”) for the purpose of registering (i) an additional 330,122 shares of the Registrant’s common stock, par value $0.001 per share (the “Common Stock”) issuable under the Biodesix, Inc. 2020 Equity Incentive Plan (the “2020 Plan”), as a result of the operation of the automatic annual increase provision therein effective January 1, 2026, and (ii) an additional 82,531 shares of Common Stock issuable under the Biodesix, Inc. Employee Stock Purchase Plan, as amended and restated (the “ESPP”), as a result of the operation of the automatic annual increase provision therein effective January 1, 2026. The shares of the Registrant’s Common Stock previously reserved for issuance under the 2020 Plan were registered on the Registrant’s Registration Statement on Form S-8 filed with the Securities and Exchange Commission (the “Commission”) on November 2, 2020 (File No. 333-249805) (the “2020 Prior Form S-8”), the Registrant’s Registration Statement on Form S-8 filed with the Commission on June 6, 2022 (File No. 333-265445) (the “2022 Prior Form S-8”), the Registrant’s Registration Statement on Form S-8 filed with the Commission on February 2, 2023 (File No. 333-269536) (the “2023 Prior Form S-8”), the Registrant’s Registration Statement on Form S-8 filed with the Commission on February 2, 2024 (File No. 333-276842) (the “2024 Prior Form S-8”), and the Registrant’s Registration Statement on Form S-8 filed with the Commission on February 7, 2025 (File No. 333-284767) (the “2025 February Prior Form S-8”). The shares of the Registrant’s Common Stock previously reserved for issuance under the ESPP were registered on the 2020 Prior Form S-8, the 2023 Prior Form S-8, the 2024 Prior Form S-8, the 2025 February Prior Form S-8, and the Registrant’s Registration Statement on Form S-8 filed with the Commission on May 30, 2025 (File No. 333-287678) (the “2025 May Prior Form S-8”, together with the 2020 Prior Form S-8, the 2022 Prior Form S-8, the 2023 Prior Form S-8, the 2024 Prior Form S-8, and the 2025 February Prior Form S-8, the “Prior Forms S-8”).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relates to securities of the same class as that to which the Prior Forms S-8 relate, and is submitted in accordance with General Instruction E to Form S-8 regarding Registration of Additional Securities. Pursuant to General Instruction E of Form S-8, the contents of the Prior Forms S-8, to the extent relating to the registration of Common Stock issuable under the 2020 Plan and the ESPP, are incorporated herein by reference and made part of this Registration Statement on Form S-8, except as amended hereby. The shares of Common Stock registered by the Prior Forms S-8 have been automatically adjusted to give effect to the Registrant’s 1-for-20 reverse stock split of the issued and outstanding shares of Common Stock effective on September 15, 2025.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Registrant hereby incorporates by reference in this Registration Statement the following documents and information previously filed with the Commission (excluding any portions of such documents that have been “furnished” but not “filed” for purposes of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pPr>
            <w:r>
              <w:rPr>
                <w:rFonts w:ascii="Times New Roman" w:hAnsi="Times New Roman"/>
                <w:sz w:val="20"/>
              </w:rPr>
              <w:t xml:space="preserve">The Registrant’s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Commission on March 3, 2025, including all material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pPr>
            <w:r>
              <w:rPr>
                <w:rFonts w:ascii="Times New Roman" w:hAnsi="Times New Roman"/>
                <w:sz w:val="20"/>
              </w:rPr>
              <w:t xml:space="preserve">The Registrant’s Quarterly Reports on Form 10-Q for the quarters ended </w:t>
            </w:r>
            <w:hyperlink r:id="rId3">
              <w:r>
                <w:rPr>
                  <w:rStyle w:val="InternetLink"/>
                  <w:rFonts w:ascii="Times New Roman" w:hAnsi="Times New Roman"/>
                  <w:sz w:val="20"/>
                </w:rPr>
                <w:t>March  31, 2025</w:t>
              </w:r>
            </w:hyperlink>
            <w:r>
              <w:rPr>
                <w:rFonts w:ascii="Times New Roman" w:hAnsi="Times New Roman"/>
                <w:sz w:val="20"/>
              </w:rPr>
              <w:t xml:space="preserve">, </w:t>
            </w:r>
            <w:hyperlink r:id="rId4">
              <w:r>
                <w:rPr>
                  <w:rStyle w:val="InternetLink"/>
                  <w:rFonts w:ascii="Times New Roman" w:hAnsi="Times New Roman"/>
                  <w:sz w:val="20"/>
                </w:rPr>
                <w:t>June  30, 2025</w:t>
              </w:r>
            </w:hyperlink>
            <w:r>
              <w:rPr>
                <w:rFonts w:ascii="Times New Roman" w:hAnsi="Times New Roman"/>
                <w:sz w:val="20"/>
              </w:rPr>
              <w:t xml:space="preserve">, and </w:t>
            </w:r>
            <w:hyperlink r:id="rId5">
              <w:r>
                <w:rPr>
                  <w:rStyle w:val="InternetLink"/>
                  <w:rFonts w:ascii="Times New Roman" w:hAnsi="Times New Roman"/>
                  <w:sz w:val="20"/>
                </w:rPr>
                <w:t>September 30, 2025</w:t>
              </w:r>
            </w:hyperlink>
            <w:r>
              <w:rPr>
                <w:rFonts w:ascii="Times New Roman" w:hAnsi="Times New Roman"/>
                <w:sz w:val="20"/>
              </w:rPr>
              <w:t xml:space="preserve"> filed with the Commission on May 13, 2025, August 7, 2025 and November 3,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pPr>
            <w:r>
              <w:rPr>
                <w:rFonts w:ascii="Times New Roman" w:hAnsi="Times New Roman"/>
                <w:sz w:val="20"/>
              </w:rPr>
              <w:t xml:space="preserve">The Registrant’s Current Reports on Form 8-K, filed with the Commission on </w:t>
            </w:r>
            <w:hyperlink r:id="rId6">
              <w:r>
                <w:rPr>
                  <w:rStyle w:val="InternetLink"/>
                  <w:rFonts w:ascii="Times New Roman" w:hAnsi="Times New Roman"/>
                  <w:sz w:val="20"/>
                </w:rPr>
                <w:t>March  28, 2025</w:t>
              </w:r>
            </w:hyperlink>
            <w:r>
              <w:rPr>
                <w:rFonts w:ascii="Times New Roman" w:hAnsi="Times New Roman"/>
                <w:sz w:val="20"/>
              </w:rPr>
              <w:t xml:space="preserve">, </w:t>
            </w:r>
            <w:hyperlink r:id="rId7">
              <w:r>
                <w:rPr>
                  <w:rStyle w:val="InternetLink"/>
                  <w:rFonts w:ascii="Times New Roman" w:hAnsi="Times New Roman"/>
                  <w:sz w:val="20"/>
                </w:rPr>
                <w:t>April  17, 2025</w:t>
              </w:r>
            </w:hyperlink>
            <w:r>
              <w:rPr>
                <w:rFonts w:ascii="Times New Roman" w:hAnsi="Times New Roman"/>
                <w:sz w:val="20"/>
              </w:rPr>
              <w:t xml:space="preserve">, </w:t>
            </w:r>
            <w:hyperlink r:id="rId8">
              <w:r>
                <w:rPr>
                  <w:rStyle w:val="InternetLink"/>
                  <w:rFonts w:ascii="Times New Roman" w:hAnsi="Times New Roman"/>
                  <w:sz w:val="20"/>
                </w:rPr>
                <w:t>May  21, 2025</w:t>
              </w:r>
            </w:hyperlink>
            <w:r>
              <w:rPr>
                <w:rFonts w:ascii="Times New Roman" w:hAnsi="Times New Roman"/>
                <w:sz w:val="20"/>
              </w:rPr>
              <w:t xml:space="preserve">, </w:t>
            </w:r>
            <w:hyperlink r:id="rId9">
              <w:r>
                <w:rPr>
                  <w:rStyle w:val="InternetLink"/>
                  <w:rFonts w:ascii="Times New Roman" w:hAnsi="Times New Roman"/>
                  <w:sz w:val="20"/>
                </w:rPr>
                <w:t>September  11, 2025</w:t>
              </w:r>
            </w:hyperlink>
            <w:r>
              <w:rPr>
                <w:rFonts w:ascii="Times New Roman" w:hAnsi="Times New Roman"/>
                <w:sz w:val="20"/>
              </w:rPr>
              <w:t xml:space="preserve">, </w:t>
            </w:r>
            <w:hyperlink r:id="rId10">
              <w:r>
                <w:rPr>
                  <w:rStyle w:val="InternetLink"/>
                  <w:rFonts w:ascii="Times New Roman" w:hAnsi="Times New Roman"/>
                  <w:sz w:val="20"/>
                </w:rPr>
                <w:t>September  15, 2025</w:t>
              </w:r>
            </w:hyperlink>
            <w:r>
              <w:rPr>
                <w:rFonts w:ascii="Times New Roman" w:hAnsi="Times New Roman"/>
                <w:sz w:val="20"/>
              </w:rPr>
              <w:t xml:space="preserve">, </w:t>
            </w:r>
            <w:hyperlink r:id="rId11">
              <w:r>
                <w:rPr>
                  <w:rStyle w:val="InternetLink"/>
                  <w:rFonts w:ascii="Times New Roman" w:hAnsi="Times New Roman"/>
                  <w:sz w:val="20"/>
                </w:rPr>
                <w:t>October  1, 2025</w:t>
              </w:r>
            </w:hyperlink>
            <w:r>
              <w:rPr>
                <w:rFonts w:ascii="Times New Roman" w:hAnsi="Times New Roman"/>
                <w:sz w:val="20"/>
              </w:rPr>
              <w:t xml:space="preserve">, and </w:t>
            </w:r>
            <w:hyperlink r:id="rId12">
              <w:r>
                <w:rPr>
                  <w:rStyle w:val="InternetLink"/>
                  <w:rFonts w:ascii="Times New Roman" w:hAnsi="Times New Roman"/>
                  <w:sz w:val="20"/>
                </w:rPr>
                <w:t>January 12,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contained in the Registrant’s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with the Commission on October 26, 2020, pursuant to Section 12(b) of the Exchange Act, as updated by the Description of Registrant’s Securities, filed as </w:t>
            </w:r>
            <w:hyperlink r:id="rId14">
              <w:r>
                <w:rPr>
                  <w:rStyle w:val="InternetLink"/>
                  <w:rFonts w:ascii="Times New Roman" w:hAnsi="Times New Roman"/>
                  <w:sz w:val="20"/>
                </w:rPr>
                <w:t>Exhibit 4.4</w:t>
              </w:r>
            </w:hyperlink>
            <w:r>
              <w:rPr>
                <w:rFonts w:ascii="Times New Roman" w:hAnsi="Times New Roman"/>
                <w:sz w:val="20"/>
              </w:rPr>
              <w:t xml:space="preserve"> to the Registrant’s Annual Report on Form 10-K for the fiscal year ended December 31, 2024, filed with the Commission on March 3, 2025, including any amendment or report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subsequently filed by the Registrant with the Commission pursuant to Sections 13(a), 13(c), 14 or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respective dates of filing of such documents (such documents, and the documents enumerated above, being hereinafter referred to as “Incorporated Documents”).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8.</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4"/>
        <w:gridCol w:w="428"/>
        <w:gridCol w:w="8983"/>
      </w:tblGrid>
      <w:tr>
        <w:trPr/>
        <w:tc>
          <w:tcPr>
            <w:tcW w:w="794"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8983" w:type="dxa"/>
            <w:tcBorders/>
            <w:vAlign w:val="center"/>
          </w:tcPr>
          <w:p>
            <w:pPr>
              <w:pStyle w:val="TableContents"/>
              <w:bidi w:val="0"/>
              <w:spacing w:before="0" w:after="283"/>
              <w:jc w:val="left"/>
              <w:rPr>
                <w:sz w:val="4"/>
                <w:szCs w:val="4"/>
              </w:rPr>
            </w:pPr>
            <w:r>
              <w:rPr>
                <w:sz w:val="4"/>
                <w:szCs w:val="4"/>
              </w:rPr>
            </w:r>
          </w:p>
        </w:tc>
      </w:tr>
      <w:tr>
        <w:trPr/>
        <w:tc>
          <w:tcPr>
            <w:tcW w:w="794"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No.</w:t>
            </w:r>
          </w:p>
        </w:tc>
        <w:tc>
          <w:tcPr>
            <w:tcW w:w="428" w:type="dxa"/>
            <w:tcBorders/>
            <w:vAlign w:val="bottom"/>
          </w:tcPr>
          <w:p>
            <w:pPr>
              <w:pStyle w:val="TableContents"/>
              <w:bidi w:val="0"/>
              <w:spacing w:before="0" w:after="283"/>
              <w:jc w:val="left"/>
              <w:rPr/>
            </w:pPr>
            <w:r>
              <w:rPr/>
              <w:t>  </w:t>
            </w:r>
          </w:p>
        </w:tc>
        <w:tc>
          <w:tcPr>
            <w:tcW w:w="89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94" w:type="dxa"/>
            <w:tcBorders/>
            <w:vAlign w:val="center"/>
          </w:tcPr>
          <w:p>
            <w:pPr>
              <w:pStyle w:val="TableContents"/>
              <w:bidi w:val="0"/>
              <w:spacing w:before="0" w:after="283"/>
              <w:jc w:val="left"/>
              <w:rPr>
                <w:sz w:val="4"/>
                <w:szCs w:val="4"/>
              </w:rPr>
            </w:pPr>
            <w:r>
              <w:rPr>
                <w:sz w:val="4"/>
                <w:szCs w:val="4"/>
              </w:rPr>
            </w:r>
          </w:p>
        </w:tc>
        <w:tc>
          <w:tcPr>
            <w:tcW w:w="9411" w:type="dxa"/>
            <w:gridSpan w:val="2"/>
            <w:tcBorders/>
            <w:vAlign w:val="center"/>
          </w:tcPr>
          <w:p>
            <w:pPr>
              <w:pStyle w:val="TableContents"/>
              <w:bidi w:val="0"/>
              <w:spacing w:before="0" w:after="283"/>
              <w:jc w:val="left"/>
              <w:rPr>
                <w:sz w:val="4"/>
                <w:szCs w:val="4"/>
              </w:rPr>
            </w:pPr>
            <w:r>
              <w:rPr>
                <w:sz w:val="4"/>
                <w:szCs w:val="4"/>
              </w:rPr>
            </w:r>
          </w:p>
        </w:tc>
      </w:tr>
      <w:tr>
        <w:trPr/>
        <w:tc>
          <w:tcPr>
            <w:tcW w:w="794" w:type="dxa"/>
            <w:tcBorders/>
          </w:tcPr>
          <w:p>
            <w:pPr>
              <w:pStyle w:val="TableContents"/>
              <w:bidi w:val="0"/>
              <w:spacing w:before="0" w:after="283"/>
              <w:jc w:val="left"/>
              <w:rPr/>
            </w:pPr>
            <w:r>
              <w:rPr/>
              <w:t>4.1</w:t>
            </w:r>
          </w:p>
        </w:tc>
        <w:tc>
          <w:tcPr>
            <w:tcW w:w="428"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hyperlink r:id="rId15">
              <w:r>
                <w:rPr>
                  <w:rStyle w:val="InternetLink"/>
                </w:rPr>
                <w:t>Amended and Restated Certificate of Incorporation of Biodesix, Inc. (incorporated by reference to Exhibit 3.1 of the Registrant’s Form 8-K, filed with the Commission on September 15, 2025).</w:t>
              </w:r>
            </w:hyperlink>
          </w:p>
        </w:tc>
      </w:tr>
      <w:tr>
        <w:trPr>
          <w:trHeight w:val="120" w:hRule="atLeast"/>
        </w:trPr>
        <w:tc>
          <w:tcPr>
            <w:tcW w:w="794" w:type="dxa"/>
            <w:tcBorders/>
            <w:vAlign w:val="center"/>
          </w:tcPr>
          <w:p>
            <w:pPr>
              <w:pStyle w:val="TableContents"/>
              <w:bidi w:val="0"/>
              <w:spacing w:before="0" w:after="283"/>
              <w:jc w:val="left"/>
              <w:rPr>
                <w:sz w:val="4"/>
                <w:szCs w:val="4"/>
              </w:rPr>
            </w:pPr>
            <w:r>
              <w:rPr>
                <w:sz w:val="4"/>
                <w:szCs w:val="4"/>
              </w:rPr>
            </w:r>
          </w:p>
        </w:tc>
        <w:tc>
          <w:tcPr>
            <w:tcW w:w="9411" w:type="dxa"/>
            <w:gridSpan w:val="2"/>
            <w:tcBorders/>
            <w:vAlign w:val="center"/>
          </w:tcPr>
          <w:p>
            <w:pPr>
              <w:pStyle w:val="TableContents"/>
              <w:bidi w:val="0"/>
              <w:spacing w:before="0" w:after="283"/>
              <w:jc w:val="left"/>
              <w:rPr>
                <w:sz w:val="4"/>
                <w:szCs w:val="4"/>
              </w:rPr>
            </w:pPr>
            <w:r>
              <w:rPr>
                <w:sz w:val="4"/>
                <w:szCs w:val="4"/>
              </w:rPr>
            </w:r>
          </w:p>
        </w:tc>
      </w:tr>
      <w:tr>
        <w:trPr/>
        <w:tc>
          <w:tcPr>
            <w:tcW w:w="794" w:type="dxa"/>
            <w:tcBorders/>
          </w:tcPr>
          <w:p>
            <w:pPr>
              <w:pStyle w:val="TableContents"/>
              <w:bidi w:val="0"/>
              <w:spacing w:before="0" w:after="283"/>
              <w:jc w:val="left"/>
              <w:rPr/>
            </w:pPr>
            <w:r>
              <w:rPr/>
              <w:t>4.2</w:t>
            </w:r>
          </w:p>
        </w:tc>
        <w:tc>
          <w:tcPr>
            <w:tcW w:w="428"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hyperlink r:id="rId16">
              <w:r>
                <w:rPr>
                  <w:rStyle w:val="InternetLink"/>
                </w:rPr>
                <w:t>Amended and Restated Bylaws of Biodesix, Inc. (incorporated by reference to Exhibit 3.4 of the Registrant’s Registration Statement on Form S-1 (No. 333-249260), filed with the Commission on October 21, 2020).</w:t>
              </w:r>
            </w:hyperlink>
          </w:p>
        </w:tc>
      </w:tr>
      <w:tr>
        <w:trPr>
          <w:trHeight w:val="120" w:hRule="atLeast"/>
        </w:trPr>
        <w:tc>
          <w:tcPr>
            <w:tcW w:w="794" w:type="dxa"/>
            <w:tcBorders/>
            <w:vAlign w:val="center"/>
          </w:tcPr>
          <w:p>
            <w:pPr>
              <w:pStyle w:val="TableContents"/>
              <w:bidi w:val="0"/>
              <w:spacing w:before="0" w:after="283"/>
              <w:jc w:val="left"/>
              <w:rPr>
                <w:sz w:val="4"/>
                <w:szCs w:val="4"/>
              </w:rPr>
            </w:pPr>
            <w:r>
              <w:rPr>
                <w:sz w:val="4"/>
                <w:szCs w:val="4"/>
              </w:rPr>
            </w:r>
          </w:p>
        </w:tc>
        <w:tc>
          <w:tcPr>
            <w:tcW w:w="9411" w:type="dxa"/>
            <w:gridSpan w:val="2"/>
            <w:tcBorders/>
            <w:vAlign w:val="center"/>
          </w:tcPr>
          <w:p>
            <w:pPr>
              <w:pStyle w:val="TableContents"/>
              <w:bidi w:val="0"/>
              <w:spacing w:before="0" w:after="283"/>
              <w:jc w:val="left"/>
              <w:rPr>
                <w:sz w:val="4"/>
                <w:szCs w:val="4"/>
              </w:rPr>
            </w:pPr>
            <w:r>
              <w:rPr>
                <w:sz w:val="4"/>
                <w:szCs w:val="4"/>
              </w:rPr>
            </w:r>
          </w:p>
        </w:tc>
      </w:tr>
      <w:tr>
        <w:trPr/>
        <w:tc>
          <w:tcPr>
            <w:tcW w:w="794" w:type="dxa"/>
            <w:tcBorders/>
          </w:tcPr>
          <w:p>
            <w:pPr>
              <w:pStyle w:val="TableContents"/>
              <w:bidi w:val="0"/>
              <w:spacing w:before="0" w:after="283"/>
              <w:jc w:val="left"/>
              <w:rPr/>
            </w:pPr>
            <w:r>
              <w:rPr/>
              <w:t>4.3</w:t>
            </w:r>
          </w:p>
        </w:tc>
        <w:tc>
          <w:tcPr>
            <w:tcW w:w="428"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hyperlink r:id="rId17">
              <w:r>
                <w:rPr>
                  <w:rStyle w:val="InternetLink"/>
                </w:rPr>
                <w:t>Biodesix, Inc. 2020 Equity Incentive Plan (incorporated by reference to Exhibit 10.5 to the Company’s Registration Statement on Form S-1/A filed with the Commission on October 26, 2020).</w:t>
              </w:r>
            </w:hyperlink>
          </w:p>
        </w:tc>
      </w:tr>
      <w:tr>
        <w:trPr>
          <w:trHeight w:val="120" w:hRule="atLeast"/>
        </w:trPr>
        <w:tc>
          <w:tcPr>
            <w:tcW w:w="794" w:type="dxa"/>
            <w:tcBorders/>
            <w:vAlign w:val="center"/>
          </w:tcPr>
          <w:p>
            <w:pPr>
              <w:pStyle w:val="TableContents"/>
              <w:bidi w:val="0"/>
              <w:spacing w:before="0" w:after="283"/>
              <w:jc w:val="left"/>
              <w:rPr>
                <w:sz w:val="4"/>
                <w:szCs w:val="4"/>
              </w:rPr>
            </w:pPr>
            <w:r>
              <w:rPr>
                <w:sz w:val="4"/>
                <w:szCs w:val="4"/>
              </w:rPr>
            </w:r>
          </w:p>
        </w:tc>
        <w:tc>
          <w:tcPr>
            <w:tcW w:w="9411" w:type="dxa"/>
            <w:gridSpan w:val="2"/>
            <w:tcBorders/>
            <w:vAlign w:val="center"/>
          </w:tcPr>
          <w:p>
            <w:pPr>
              <w:pStyle w:val="TableContents"/>
              <w:bidi w:val="0"/>
              <w:spacing w:before="0" w:after="283"/>
              <w:jc w:val="left"/>
              <w:rPr>
                <w:sz w:val="4"/>
                <w:szCs w:val="4"/>
              </w:rPr>
            </w:pPr>
            <w:r>
              <w:rPr>
                <w:sz w:val="4"/>
                <w:szCs w:val="4"/>
              </w:rPr>
            </w:r>
          </w:p>
        </w:tc>
      </w:tr>
      <w:tr>
        <w:trPr/>
        <w:tc>
          <w:tcPr>
            <w:tcW w:w="794" w:type="dxa"/>
            <w:tcBorders/>
          </w:tcPr>
          <w:p>
            <w:pPr>
              <w:pStyle w:val="TableContents"/>
              <w:bidi w:val="0"/>
              <w:spacing w:before="0" w:after="283"/>
              <w:jc w:val="left"/>
              <w:rPr/>
            </w:pPr>
            <w:r>
              <w:rPr/>
              <w:t>4.4</w:t>
            </w:r>
          </w:p>
        </w:tc>
        <w:tc>
          <w:tcPr>
            <w:tcW w:w="428"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"http://www.sec.gov/Archives/edgar/data/../../../ix?doc=/Archives/edgar/data/0001439725/000119312525100458/d921496ddef14a.htm" \l "toc921496_49"</w:instrText>
            </w:r>
            <w:r>
              <w:rPr>
                <w:rStyle w:val="InternetLink"/>
              </w:rPr>
              <w:fldChar w:fldCharType="separate"/>
            </w:r>
            <w:r>
              <w:rPr>
                <w:rStyle w:val="InternetLink"/>
              </w:rPr>
              <w:t xml:space="preserve">Biodesix, Inc. Employee Stock Purchase Plan, as amended and restated (incorporated by reference to Annex B to the Company’s Definitive Proxy Statement on Schedule 14A filed with the Commission on April 28, 2025). </w:t>
            </w:r>
            <w:r>
              <w:rPr>
                <w:rStyle w:val="InternetLink"/>
              </w:rPr>
              <w:fldChar w:fldCharType="end"/>
            </w:r>
          </w:p>
        </w:tc>
      </w:tr>
      <w:tr>
        <w:trPr>
          <w:trHeight w:val="120" w:hRule="atLeast"/>
        </w:trPr>
        <w:tc>
          <w:tcPr>
            <w:tcW w:w="794" w:type="dxa"/>
            <w:tcBorders/>
            <w:vAlign w:val="center"/>
          </w:tcPr>
          <w:p>
            <w:pPr>
              <w:pStyle w:val="TableContents"/>
              <w:bidi w:val="0"/>
              <w:spacing w:before="0" w:after="283"/>
              <w:jc w:val="left"/>
              <w:rPr>
                <w:sz w:val="4"/>
                <w:szCs w:val="4"/>
              </w:rPr>
            </w:pPr>
            <w:r>
              <w:rPr>
                <w:sz w:val="4"/>
                <w:szCs w:val="4"/>
              </w:rPr>
            </w:r>
          </w:p>
        </w:tc>
        <w:tc>
          <w:tcPr>
            <w:tcW w:w="9411" w:type="dxa"/>
            <w:gridSpan w:val="2"/>
            <w:tcBorders/>
            <w:vAlign w:val="center"/>
          </w:tcPr>
          <w:p>
            <w:pPr>
              <w:pStyle w:val="TableContents"/>
              <w:bidi w:val="0"/>
              <w:spacing w:before="0" w:after="283"/>
              <w:jc w:val="left"/>
              <w:rPr>
                <w:sz w:val="4"/>
                <w:szCs w:val="4"/>
              </w:rPr>
            </w:pPr>
            <w:r>
              <w:rPr>
                <w:sz w:val="4"/>
                <w:szCs w:val="4"/>
              </w:rPr>
            </w:r>
          </w:p>
        </w:tc>
      </w:tr>
      <w:tr>
        <w:trPr/>
        <w:tc>
          <w:tcPr>
            <w:tcW w:w="794" w:type="dxa"/>
            <w:tcBorders/>
          </w:tcPr>
          <w:p>
            <w:pPr>
              <w:pStyle w:val="TableContents"/>
              <w:bidi w:val="0"/>
              <w:spacing w:before="0" w:after="283"/>
              <w:jc w:val="left"/>
              <w:rPr/>
            </w:pPr>
            <w:r>
              <w:rPr/>
              <w:t>5.1*</w:t>
            </w:r>
          </w:p>
        </w:tc>
        <w:tc>
          <w:tcPr>
            <w:tcW w:w="428"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hyperlink w:anchor="d104314dex51.htm">
              <w:r>
                <w:rPr>
                  <w:rStyle w:val="InternetLink"/>
                </w:rPr>
                <w:t xml:space="preserve">Opinion of Sidley Austin LLP with respect to validity of issuance of securities. </w:t>
              </w:r>
            </w:hyperlink>
          </w:p>
        </w:tc>
      </w:tr>
      <w:tr>
        <w:trPr>
          <w:trHeight w:val="120" w:hRule="atLeast"/>
        </w:trPr>
        <w:tc>
          <w:tcPr>
            <w:tcW w:w="794" w:type="dxa"/>
            <w:tcBorders/>
            <w:vAlign w:val="center"/>
          </w:tcPr>
          <w:p>
            <w:pPr>
              <w:pStyle w:val="TableContents"/>
              <w:bidi w:val="0"/>
              <w:spacing w:before="0" w:after="283"/>
              <w:jc w:val="left"/>
              <w:rPr>
                <w:sz w:val="4"/>
                <w:szCs w:val="4"/>
              </w:rPr>
            </w:pPr>
            <w:r>
              <w:rPr>
                <w:sz w:val="4"/>
                <w:szCs w:val="4"/>
              </w:rPr>
            </w:r>
          </w:p>
        </w:tc>
        <w:tc>
          <w:tcPr>
            <w:tcW w:w="9411" w:type="dxa"/>
            <w:gridSpan w:val="2"/>
            <w:tcBorders/>
            <w:vAlign w:val="center"/>
          </w:tcPr>
          <w:p>
            <w:pPr>
              <w:pStyle w:val="TableContents"/>
              <w:bidi w:val="0"/>
              <w:spacing w:before="0" w:after="283"/>
              <w:jc w:val="left"/>
              <w:rPr>
                <w:sz w:val="4"/>
                <w:szCs w:val="4"/>
              </w:rPr>
            </w:pPr>
            <w:r>
              <w:rPr>
                <w:sz w:val="4"/>
                <w:szCs w:val="4"/>
              </w:rPr>
            </w:r>
          </w:p>
        </w:tc>
      </w:tr>
      <w:tr>
        <w:trPr/>
        <w:tc>
          <w:tcPr>
            <w:tcW w:w="794" w:type="dxa"/>
            <w:tcBorders/>
          </w:tcPr>
          <w:p>
            <w:pPr>
              <w:pStyle w:val="TableContents"/>
              <w:bidi w:val="0"/>
              <w:spacing w:before="0" w:after="283"/>
              <w:jc w:val="left"/>
              <w:rPr/>
            </w:pPr>
            <w:r>
              <w:rPr/>
              <w:t>23.1*</w:t>
            </w:r>
          </w:p>
        </w:tc>
        <w:tc>
          <w:tcPr>
            <w:tcW w:w="428"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hyperlink w:anchor="d104314dex231.htm">
              <w:r>
                <w:rPr>
                  <w:rStyle w:val="InternetLink"/>
                </w:rPr>
                <w:t xml:space="preserve">Consent of Independent Registered Public Accounting Firm. </w:t>
              </w:r>
            </w:hyperlink>
          </w:p>
        </w:tc>
      </w:tr>
      <w:tr>
        <w:trPr>
          <w:trHeight w:val="120" w:hRule="atLeast"/>
        </w:trPr>
        <w:tc>
          <w:tcPr>
            <w:tcW w:w="794" w:type="dxa"/>
            <w:tcBorders/>
            <w:vAlign w:val="center"/>
          </w:tcPr>
          <w:p>
            <w:pPr>
              <w:pStyle w:val="TableContents"/>
              <w:bidi w:val="0"/>
              <w:spacing w:before="0" w:after="283"/>
              <w:jc w:val="left"/>
              <w:rPr>
                <w:sz w:val="4"/>
                <w:szCs w:val="4"/>
              </w:rPr>
            </w:pPr>
            <w:r>
              <w:rPr>
                <w:sz w:val="4"/>
                <w:szCs w:val="4"/>
              </w:rPr>
            </w:r>
          </w:p>
        </w:tc>
        <w:tc>
          <w:tcPr>
            <w:tcW w:w="9411" w:type="dxa"/>
            <w:gridSpan w:val="2"/>
            <w:tcBorders/>
            <w:vAlign w:val="center"/>
          </w:tcPr>
          <w:p>
            <w:pPr>
              <w:pStyle w:val="TableContents"/>
              <w:bidi w:val="0"/>
              <w:spacing w:before="0" w:after="283"/>
              <w:jc w:val="left"/>
              <w:rPr>
                <w:sz w:val="4"/>
                <w:szCs w:val="4"/>
              </w:rPr>
            </w:pPr>
            <w:r>
              <w:rPr>
                <w:sz w:val="4"/>
                <w:szCs w:val="4"/>
              </w:rPr>
            </w:r>
          </w:p>
        </w:tc>
      </w:tr>
      <w:tr>
        <w:trPr/>
        <w:tc>
          <w:tcPr>
            <w:tcW w:w="794" w:type="dxa"/>
            <w:tcBorders/>
          </w:tcPr>
          <w:p>
            <w:pPr>
              <w:pStyle w:val="TableContents"/>
              <w:bidi w:val="0"/>
              <w:spacing w:before="0" w:after="283"/>
              <w:jc w:val="left"/>
              <w:rPr/>
            </w:pPr>
            <w:r>
              <w:rPr/>
              <w:t>23.2*</w:t>
            </w:r>
          </w:p>
        </w:tc>
        <w:tc>
          <w:tcPr>
            <w:tcW w:w="428"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hyperlink w:anchor="d104314dex51.htm">
              <w:r>
                <w:rPr>
                  <w:rStyle w:val="InternetLink"/>
                </w:rPr>
                <w:t xml:space="preserve">Consent of Sidley Austin LLP (included in Exhibit 5.1). </w:t>
              </w:r>
            </w:hyperlink>
          </w:p>
        </w:tc>
      </w:tr>
      <w:tr>
        <w:trPr>
          <w:trHeight w:val="120" w:hRule="atLeast"/>
        </w:trPr>
        <w:tc>
          <w:tcPr>
            <w:tcW w:w="794" w:type="dxa"/>
            <w:tcBorders/>
            <w:vAlign w:val="center"/>
          </w:tcPr>
          <w:p>
            <w:pPr>
              <w:pStyle w:val="TableContents"/>
              <w:bidi w:val="0"/>
              <w:spacing w:before="0" w:after="283"/>
              <w:jc w:val="left"/>
              <w:rPr>
                <w:sz w:val="4"/>
                <w:szCs w:val="4"/>
              </w:rPr>
            </w:pPr>
            <w:r>
              <w:rPr>
                <w:sz w:val="4"/>
                <w:szCs w:val="4"/>
              </w:rPr>
            </w:r>
          </w:p>
        </w:tc>
        <w:tc>
          <w:tcPr>
            <w:tcW w:w="9411" w:type="dxa"/>
            <w:gridSpan w:val="2"/>
            <w:tcBorders/>
            <w:vAlign w:val="center"/>
          </w:tcPr>
          <w:p>
            <w:pPr>
              <w:pStyle w:val="TableContents"/>
              <w:bidi w:val="0"/>
              <w:spacing w:before="0" w:after="283"/>
              <w:jc w:val="left"/>
              <w:rPr>
                <w:sz w:val="4"/>
                <w:szCs w:val="4"/>
              </w:rPr>
            </w:pPr>
            <w:r>
              <w:rPr>
                <w:sz w:val="4"/>
                <w:szCs w:val="4"/>
              </w:rPr>
            </w:r>
          </w:p>
        </w:tc>
      </w:tr>
      <w:tr>
        <w:trPr/>
        <w:tc>
          <w:tcPr>
            <w:tcW w:w="794" w:type="dxa"/>
            <w:tcBorders/>
          </w:tcPr>
          <w:p>
            <w:pPr>
              <w:pStyle w:val="TableContents"/>
              <w:bidi w:val="0"/>
              <w:spacing w:before="0" w:after="283"/>
              <w:jc w:val="left"/>
              <w:rPr/>
            </w:pPr>
            <w:r>
              <w:rPr/>
              <w:t>24.1*</w:t>
            </w:r>
          </w:p>
        </w:tc>
        <w:tc>
          <w:tcPr>
            <w:tcW w:w="428"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hyperlink w:anchor="sig">
              <w:r>
                <w:rPr>
                  <w:rStyle w:val="InternetLink"/>
                </w:rPr>
                <w:t xml:space="preserve">Power of Attorney (included on the signature page of the Registration Statement). </w:t>
              </w:r>
            </w:hyperlink>
          </w:p>
        </w:tc>
      </w:tr>
      <w:tr>
        <w:trPr>
          <w:trHeight w:val="120" w:hRule="atLeast"/>
        </w:trPr>
        <w:tc>
          <w:tcPr>
            <w:tcW w:w="794" w:type="dxa"/>
            <w:tcBorders/>
            <w:vAlign w:val="center"/>
          </w:tcPr>
          <w:p>
            <w:pPr>
              <w:pStyle w:val="TableContents"/>
              <w:bidi w:val="0"/>
              <w:spacing w:before="0" w:after="283"/>
              <w:jc w:val="left"/>
              <w:rPr>
                <w:sz w:val="4"/>
                <w:szCs w:val="4"/>
              </w:rPr>
            </w:pPr>
            <w:r>
              <w:rPr>
                <w:sz w:val="4"/>
                <w:szCs w:val="4"/>
              </w:rPr>
            </w:r>
          </w:p>
        </w:tc>
        <w:tc>
          <w:tcPr>
            <w:tcW w:w="9411" w:type="dxa"/>
            <w:gridSpan w:val="2"/>
            <w:tcBorders/>
            <w:vAlign w:val="center"/>
          </w:tcPr>
          <w:p>
            <w:pPr>
              <w:pStyle w:val="TableContents"/>
              <w:bidi w:val="0"/>
              <w:spacing w:before="0" w:after="283"/>
              <w:jc w:val="left"/>
              <w:rPr>
                <w:sz w:val="4"/>
                <w:szCs w:val="4"/>
              </w:rPr>
            </w:pPr>
            <w:r>
              <w:rPr>
                <w:sz w:val="4"/>
                <w:szCs w:val="4"/>
              </w:rPr>
            </w:r>
          </w:p>
        </w:tc>
      </w:tr>
      <w:tr>
        <w:trPr/>
        <w:tc>
          <w:tcPr>
            <w:tcW w:w="794" w:type="dxa"/>
            <w:tcBorders/>
          </w:tcPr>
          <w:p>
            <w:pPr>
              <w:pStyle w:val="TableContents"/>
              <w:bidi w:val="0"/>
              <w:spacing w:before="0" w:after="283"/>
              <w:jc w:val="left"/>
              <w:rPr/>
            </w:pPr>
            <w:r>
              <w:rPr/>
              <w:t>107*</w:t>
            </w:r>
          </w:p>
        </w:tc>
        <w:tc>
          <w:tcPr>
            <w:tcW w:w="428" w:type="dxa"/>
            <w:tcBorders/>
            <w:vAlign w:val="bottom"/>
          </w:tcPr>
          <w:p>
            <w:pPr>
              <w:pStyle w:val="TableContents"/>
              <w:bidi w:val="0"/>
              <w:spacing w:before="0" w:after="283"/>
              <w:jc w:val="left"/>
              <w:rPr/>
            </w:pPr>
            <w:r>
              <w:rPr/>
              <w:t>  </w:t>
            </w:r>
          </w:p>
        </w:tc>
        <w:tc>
          <w:tcPr>
            <w:tcW w:w="8983" w:type="dxa"/>
            <w:tcBorders/>
          </w:tcPr>
          <w:p>
            <w:pPr>
              <w:pStyle w:val="TableContents"/>
              <w:bidi w:val="0"/>
              <w:spacing w:before="0" w:after="283"/>
              <w:jc w:val="left"/>
              <w:rPr/>
            </w:pPr>
            <w:hyperlink w:anchor="d104314dexfilingfees.htm">
              <w:r>
                <w:rPr>
                  <w:rStyle w:val="InternetLink"/>
                </w:rPr>
                <w:t xml:space="preserve">Filing Fee Exhibit.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document marked with an asterisk is 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Louisville, Colorado, on the 6th day of February,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Biodesix,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Hutton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Scott Hutton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President, Chief Executive Officer and Director</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(Principal Executive Officer)</w:t>
            </w:r>
          </w:p>
        </w:tc>
      </w:tr>
    </w:tbl>
    <w:p>
      <w:pPr>
        <w:pStyle w:val="TextBody"/>
        <w:bidi w:val="0"/>
        <w:spacing w:before="480" w:after="0"/>
        <w:jc w:val="center"/>
        <w:rPr>
          <w:rFonts w:ascii="Times New Roman" w:hAnsi="Times New Roman"/>
          <w:b/>
          <w:sz w:val="20"/>
        </w:rPr>
      </w:pPr>
      <w:bookmarkStart w:id="2" w:name="sig"/>
      <w:bookmarkEnd w:id="2"/>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Each of the undersigned officers and directors of Biodesix, Inc. does hereby severally constitute and appoint Scott Hutton and Robin Harper Cowie, and each of them acting alone, his or her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and any applicable securities exchange or securities self-regulatory body,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6"/>
        <w:gridCol w:w="102"/>
        <w:gridCol w:w="408"/>
        <w:gridCol w:w="101"/>
        <w:gridCol w:w="3777"/>
        <w:gridCol w:w="101"/>
        <w:gridCol w:w="1940"/>
      </w:tblGrid>
      <w:tr>
        <w:trPr/>
        <w:tc>
          <w:tcPr>
            <w:tcW w:w="377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37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7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TITLE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w:t>
            </w:r>
          </w:p>
        </w:tc>
      </w:tr>
      <w:tr>
        <w:trPr>
          <w:trHeight w:val="120" w:hRule="atLeast"/>
        </w:trPr>
        <w:tc>
          <w:tcPr>
            <w:tcW w:w="377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7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Scott Hutton</w:t>
            </w:r>
          </w:p>
          <w:p>
            <w:pPr>
              <w:pStyle w:val="TableContents"/>
              <w:bidi w:val="0"/>
              <w:spacing w:before="0" w:after="20"/>
              <w:jc w:val="center"/>
              <w:rPr>
                <w:rFonts w:ascii="Times New Roman" w:hAnsi="Times New Roman"/>
                <w:sz w:val="20"/>
              </w:rPr>
            </w:pPr>
            <w:r>
              <w:rPr>
                <w:rFonts w:ascii="Times New Roman" w:hAnsi="Times New Roman"/>
                <w:sz w:val="20"/>
              </w:rPr>
              <w:t>Scott Hutton</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February 6, 2026</w:t>
            </w:r>
          </w:p>
        </w:tc>
      </w:tr>
      <w:tr>
        <w:trPr>
          <w:trHeight w:val="120" w:hRule="atLeast"/>
        </w:trPr>
        <w:tc>
          <w:tcPr>
            <w:tcW w:w="377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7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Robin Harper Cowie</w:t>
            </w:r>
          </w:p>
          <w:p>
            <w:pPr>
              <w:pStyle w:val="TableContents"/>
              <w:bidi w:val="0"/>
              <w:spacing w:before="0" w:after="20"/>
              <w:jc w:val="center"/>
              <w:rPr>
                <w:rFonts w:ascii="Times New Roman" w:hAnsi="Times New Roman"/>
                <w:sz w:val="20"/>
              </w:rPr>
            </w:pPr>
            <w:r>
              <w:rPr>
                <w:rFonts w:ascii="Times New Roman" w:hAnsi="Times New Roman"/>
                <w:sz w:val="20"/>
              </w:rPr>
              <w:t>Robin Harper Cowie</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and Treasurer</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February 6, 2026</w:t>
            </w:r>
          </w:p>
        </w:tc>
      </w:tr>
      <w:tr>
        <w:trPr>
          <w:trHeight w:val="120" w:hRule="atLeast"/>
        </w:trPr>
        <w:tc>
          <w:tcPr>
            <w:tcW w:w="377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7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C. Vazquez</w:t>
            </w:r>
          </w:p>
          <w:p>
            <w:pPr>
              <w:pStyle w:val="TableContents"/>
              <w:bidi w:val="0"/>
              <w:spacing w:before="0" w:after="20"/>
              <w:jc w:val="center"/>
              <w:rPr>
                <w:rFonts w:ascii="Times New Roman" w:hAnsi="Times New Roman"/>
                <w:sz w:val="20"/>
              </w:rPr>
            </w:pPr>
            <w:r>
              <w:rPr>
                <w:rFonts w:ascii="Times New Roman" w:hAnsi="Times New Roman"/>
                <w:sz w:val="20"/>
              </w:rPr>
              <w:t>Christopher C. Vazquez</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Chief Accounting Officer</w:t>
            </w:r>
          </w:p>
          <w:p>
            <w:pPr>
              <w:pStyle w:val="TableContents"/>
              <w:bidi w:val="0"/>
              <w:spacing w:before="0" w:after="20"/>
              <w:jc w:val="left"/>
              <w:rPr>
                <w:rFonts w:ascii="Times New Roman" w:hAnsi="Times New Roman"/>
                <w:i/>
                <w:sz w:val="20"/>
              </w:rPr>
            </w:pPr>
            <w:r>
              <w:rPr>
                <w:rFonts w:ascii="Times New Roman" w:hAnsi="Times New Roman"/>
                <w:i/>
                <w:sz w:val="20"/>
              </w:rPr>
              <w:t>(Principal Accounting Officer)</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February 6, 2026</w:t>
            </w:r>
          </w:p>
        </w:tc>
      </w:tr>
      <w:tr>
        <w:trPr>
          <w:trHeight w:val="120" w:hRule="atLeast"/>
        </w:trPr>
        <w:tc>
          <w:tcPr>
            <w:tcW w:w="377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7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Patience</w:t>
            </w:r>
          </w:p>
          <w:p>
            <w:pPr>
              <w:pStyle w:val="TableContents"/>
              <w:bidi w:val="0"/>
              <w:spacing w:before="0" w:after="20"/>
              <w:jc w:val="center"/>
              <w:rPr>
                <w:rFonts w:ascii="Times New Roman" w:hAnsi="Times New Roman"/>
                <w:sz w:val="20"/>
              </w:rPr>
            </w:pPr>
            <w:r>
              <w:rPr>
                <w:rFonts w:ascii="Times New Roman" w:hAnsi="Times New Roman"/>
                <w:sz w:val="20"/>
              </w:rPr>
              <w:t>John Patience</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Director</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February 6, 2026</w:t>
            </w:r>
          </w:p>
        </w:tc>
      </w:tr>
      <w:tr>
        <w:trPr>
          <w:trHeight w:val="120" w:hRule="atLeast"/>
        </w:trPr>
        <w:tc>
          <w:tcPr>
            <w:tcW w:w="377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7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Jean Franchi</w:t>
            </w:r>
          </w:p>
          <w:p>
            <w:pPr>
              <w:pStyle w:val="TableContents"/>
              <w:bidi w:val="0"/>
              <w:spacing w:before="0" w:after="20"/>
              <w:jc w:val="center"/>
              <w:rPr>
                <w:rFonts w:ascii="Times New Roman" w:hAnsi="Times New Roman"/>
                <w:sz w:val="20"/>
              </w:rPr>
            </w:pPr>
            <w:r>
              <w:rPr>
                <w:rFonts w:ascii="Times New Roman" w:hAnsi="Times New Roman"/>
                <w:sz w:val="20"/>
              </w:rPr>
              <w:t>Jean Franchi</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Director</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February 6, 2026</w:t>
            </w:r>
          </w:p>
        </w:tc>
      </w:tr>
      <w:tr>
        <w:trPr>
          <w:trHeight w:val="120" w:hRule="atLeast"/>
        </w:trPr>
        <w:tc>
          <w:tcPr>
            <w:tcW w:w="377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77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Jon Faiz Kayyem</w:t>
            </w:r>
          </w:p>
          <w:p>
            <w:pPr>
              <w:pStyle w:val="TableContents"/>
              <w:bidi w:val="0"/>
              <w:spacing w:before="0" w:after="20"/>
              <w:jc w:val="center"/>
              <w:rPr>
                <w:rFonts w:ascii="Times New Roman" w:hAnsi="Times New Roman"/>
                <w:sz w:val="20"/>
              </w:rPr>
            </w:pPr>
            <w:r>
              <w:rPr>
                <w:rFonts w:ascii="Times New Roman" w:hAnsi="Times New Roman"/>
                <w:sz w:val="20"/>
              </w:rPr>
              <w:t>Jon Faiz Kayyem, Ph.D.</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Director</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February 6, 2026</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775"/>
        <w:gridCol w:w="102"/>
        <w:gridCol w:w="409"/>
        <w:gridCol w:w="102"/>
        <w:gridCol w:w="3776"/>
        <w:gridCol w:w="102"/>
        <w:gridCol w:w="1939"/>
      </w:tblGrid>
      <w:tr>
        <w:trPr/>
        <w:tc>
          <w:tcPr>
            <w:tcW w:w="377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37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w:t>
            </w:r>
          </w:p>
        </w:tc>
        <w:tc>
          <w:tcPr>
            <w:tcW w:w="102"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37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TITLE</w:t>
            </w:r>
          </w:p>
        </w:tc>
        <w:tc>
          <w:tcPr>
            <w:tcW w:w="102"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w:t>
            </w:r>
          </w:p>
        </w:tc>
      </w:tr>
      <w:tr>
        <w:trPr>
          <w:trHeight w:val="120" w:hRule="atLeast"/>
        </w:trPr>
        <w:tc>
          <w:tcPr>
            <w:tcW w:w="3775" w:type="dxa"/>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Lawrence T. Kennedy, Jr.</w:t>
            </w:r>
          </w:p>
          <w:p>
            <w:pPr>
              <w:pStyle w:val="TableContents"/>
              <w:bidi w:val="0"/>
              <w:spacing w:before="0" w:after="20"/>
              <w:jc w:val="center"/>
              <w:rPr>
                <w:rFonts w:ascii="Times New Roman" w:hAnsi="Times New Roman"/>
                <w:sz w:val="20"/>
              </w:rPr>
            </w:pPr>
            <w:r>
              <w:rPr>
                <w:rFonts w:ascii="Times New Roman" w:hAnsi="Times New Roman"/>
                <w:sz w:val="20"/>
              </w:rPr>
              <w:t>Lawrence T. Kennedy, Jr.</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Director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February 6, 2026</w:t>
            </w:r>
          </w:p>
        </w:tc>
      </w:tr>
      <w:tr>
        <w:trPr>
          <w:trHeight w:val="120" w:hRule="atLeast"/>
        </w:trPr>
        <w:tc>
          <w:tcPr>
            <w:tcW w:w="3775" w:type="dxa"/>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Hany Massarany</w:t>
            </w:r>
          </w:p>
          <w:p>
            <w:pPr>
              <w:pStyle w:val="TableContents"/>
              <w:bidi w:val="0"/>
              <w:spacing w:before="0" w:after="20"/>
              <w:jc w:val="center"/>
              <w:rPr>
                <w:rFonts w:ascii="Times New Roman" w:hAnsi="Times New Roman"/>
                <w:sz w:val="20"/>
              </w:rPr>
            </w:pPr>
            <w:r>
              <w:rPr>
                <w:rFonts w:ascii="Times New Roman" w:hAnsi="Times New Roman"/>
                <w:sz w:val="20"/>
              </w:rPr>
              <w:t>Hany Massarany</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Director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February 6, 2026</w:t>
            </w:r>
          </w:p>
        </w:tc>
      </w:tr>
      <w:tr>
        <w:trPr>
          <w:trHeight w:val="120" w:hRule="atLeast"/>
        </w:trPr>
        <w:tc>
          <w:tcPr>
            <w:tcW w:w="3775" w:type="dxa"/>
            <w:tcBorders/>
            <w:vAlign w:val="center"/>
          </w:tcPr>
          <w:p>
            <w:pPr>
              <w:pStyle w:val="TableContents"/>
              <w:bidi w:val="0"/>
              <w:spacing w:before="0" w:after="283"/>
              <w:jc w:val="left"/>
              <w:rPr>
                <w:sz w:val="4"/>
                <w:szCs w:val="4"/>
              </w:rPr>
            </w:pPr>
            <w:r>
              <w:rPr>
                <w:sz w:val="4"/>
                <w:szCs w:val="4"/>
              </w:rPr>
            </w:r>
          </w:p>
        </w:tc>
        <w:tc>
          <w:tcPr>
            <w:tcW w:w="511" w:type="dxa"/>
            <w:gridSpan w:val="2"/>
            <w:tcBorders/>
            <w:vAlign w:val="center"/>
          </w:tcPr>
          <w:p>
            <w:pPr>
              <w:pStyle w:val="TableContents"/>
              <w:bidi w:val="0"/>
              <w:spacing w:before="0" w:after="283"/>
              <w:jc w:val="left"/>
              <w:rPr>
                <w:sz w:val="4"/>
                <w:szCs w:val="4"/>
              </w:rPr>
            </w:pPr>
            <w:r>
              <w:rPr>
                <w:sz w:val="4"/>
                <w:szCs w:val="4"/>
              </w:rPr>
            </w:r>
          </w:p>
        </w:tc>
        <w:tc>
          <w:tcPr>
            <w:tcW w:w="3878"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Matthew Strobeck</w:t>
            </w:r>
          </w:p>
          <w:p>
            <w:pPr>
              <w:pStyle w:val="TableContents"/>
              <w:bidi w:val="0"/>
              <w:spacing w:before="0" w:after="20"/>
              <w:jc w:val="center"/>
              <w:rPr>
                <w:rFonts w:ascii="Times New Roman" w:hAnsi="Times New Roman"/>
                <w:sz w:val="20"/>
              </w:rPr>
            </w:pPr>
            <w:r>
              <w:rPr>
                <w:rFonts w:ascii="Times New Roman" w:hAnsi="Times New Roman"/>
                <w:sz w:val="20"/>
              </w:rPr>
              <w:t>Matthew Strobeck, Ph.D.</w:t>
            </w:r>
          </w:p>
        </w:tc>
        <w:tc>
          <w:tcPr>
            <w:tcW w:w="102"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Director</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pPr>
            <w:r>
              <w:rPr/>
              <w:t>February 6, 2026</w:t>
            </w:r>
          </w:p>
        </w:tc>
      </w:tr>
    </w:tbl>
    <w:p>
      <w:pPr>
        <w:pStyle w:val="TextBody"/>
        <w:bidi w:val="0"/>
        <w:spacing w:before="0" w:after="0"/>
        <w:jc w:val="right"/>
        <w:rPr>
          <w:rFonts w:ascii="Times New Roman" w:hAnsi="Times New Roman"/>
          <w:b/>
          <w:sz w:val="20"/>
        </w:rPr>
      </w:pPr>
      <w:bookmarkStart w:id="3" w:name="d104314dex51.htm"/>
      <w:bookmarkStart w:id="4" w:name="ksd104314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7"/>
        <w:gridCol w:w="106"/>
        <w:gridCol w:w="3922"/>
        <w:gridCol w:w="120"/>
        <w:gridCol w:w="3470"/>
      </w:tblGrid>
      <w:tr>
        <w:trPr/>
        <w:tc>
          <w:tcPr>
            <w:tcW w:w="258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2587"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4478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1447800" cy="476250"/>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0"/>
              <w:jc w:val="left"/>
              <w:rPr>
                <w:rFonts w:ascii="Times New Roman" w:hAnsi="Times New Roman"/>
                <w:sz w:val="20"/>
              </w:rPr>
            </w:pPr>
            <w:r>
              <w:rPr>
                <w:rFonts w:ascii="Times New Roman" w:hAnsi="Times New Roman"/>
                <w:sz w:val="20"/>
              </w:rPr>
              <w:t>SIDLEY AUSTIN LLP</w:t>
            </w:r>
          </w:p>
          <w:p>
            <w:pPr>
              <w:pStyle w:val="TableContents"/>
              <w:bidi w:val="0"/>
              <w:spacing w:before="0" w:after="0"/>
              <w:jc w:val="left"/>
              <w:rPr>
                <w:rFonts w:ascii="Times New Roman" w:hAnsi="Times New Roman"/>
                <w:sz w:val="20"/>
              </w:rPr>
            </w:pPr>
            <w:r>
              <w:rPr>
                <w:rFonts w:ascii="Times New Roman" w:hAnsi="Times New Roman"/>
                <w:sz w:val="20"/>
              </w:rPr>
              <w:t>555 CALIFORNIA STREET</w:t>
            </w:r>
          </w:p>
          <w:p>
            <w:pPr>
              <w:pStyle w:val="TableContents"/>
              <w:bidi w:val="0"/>
              <w:spacing w:before="0" w:after="0"/>
              <w:jc w:val="left"/>
              <w:rPr>
                <w:rFonts w:ascii="Times New Roman" w:hAnsi="Times New Roman"/>
                <w:sz w:val="20"/>
              </w:rPr>
            </w:pPr>
            <w:r>
              <w:rPr>
                <w:rFonts w:ascii="Times New Roman" w:hAnsi="Times New Roman"/>
                <w:sz w:val="20"/>
              </w:rPr>
              <w:t>SUITE 2000</w:t>
            </w:r>
          </w:p>
          <w:p>
            <w:pPr>
              <w:pStyle w:val="TableContents"/>
              <w:bidi w:val="0"/>
              <w:spacing w:before="0" w:after="0"/>
              <w:jc w:val="left"/>
              <w:rPr>
                <w:rFonts w:ascii="Times New Roman" w:hAnsi="Times New Roman"/>
                <w:sz w:val="20"/>
              </w:rPr>
            </w:pPr>
            <w:r>
              <w:rPr>
                <w:rFonts w:ascii="Times New Roman" w:hAnsi="Times New Roman"/>
                <w:sz w:val="20"/>
              </w:rPr>
              <w:t>SAN FRANCISCO, CA 94104</w:t>
            </w:r>
          </w:p>
          <w:p>
            <w:pPr>
              <w:pStyle w:val="TableContents"/>
              <w:bidi w:val="0"/>
              <w:spacing w:before="0" w:after="0"/>
              <w:jc w:val="left"/>
              <w:rPr>
                <w:rFonts w:ascii="Times New Roman" w:hAnsi="Times New Roman"/>
                <w:sz w:val="20"/>
              </w:rPr>
            </w:pPr>
            <w:r>
              <w:rPr>
                <w:rFonts w:ascii="Times New Roman" w:hAnsi="Times New Roman"/>
                <w:sz w:val="20"/>
              </w:rPr>
              <w:t>+1 415 772 1200</w:t>
            </w:r>
          </w:p>
          <w:p>
            <w:pPr>
              <w:pStyle w:val="TableContents"/>
              <w:bidi w:val="0"/>
              <w:spacing w:before="0" w:after="0"/>
              <w:jc w:val="left"/>
              <w:rPr>
                <w:rFonts w:ascii="Times New Roman" w:hAnsi="Times New Roman"/>
                <w:sz w:val="20"/>
              </w:rPr>
            </w:pPr>
            <w:r>
              <w:rPr>
                <w:rFonts w:ascii="Times New Roman" w:hAnsi="Times New Roman"/>
                <w:sz w:val="20"/>
              </w:rPr>
              <w:t>+1 415 772 7400 FAX</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AMERICA  ASIA PACIFIC  EUROPE</w:t>
            </w:r>
          </w:p>
        </w:tc>
        <w:tc>
          <w:tcPr>
            <w:tcW w:w="120"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February 6, 2026 </w:t>
      </w:r>
    </w:p>
    <w:p>
      <w:pPr>
        <w:pStyle w:val="TextBody"/>
        <w:bidi w:val="0"/>
        <w:spacing w:before="240" w:after="0"/>
        <w:jc w:val="left"/>
        <w:rPr>
          <w:rFonts w:ascii="Times New Roman" w:hAnsi="Times New Roman"/>
          <w:sz w:val="20"/>
        </w:rPr>
      </w:pPr>
      <w:r>
        <w:rPr>
          <w:rFonts w:ascii="Times New Roman" w:hAnsi="Times New Roman"/>
          <w:sz w:val="20"/>
        </w:rPr>
        <w:t xml:space="preserve">Biodesix, Inc. </w:t>
      </w:r>
    </w:p>
    <w:p>
      <w:pPr>
        <w:pStyle w:val="TextBody"/>
        <w:bidi w:val="0"/>
        <w:spacing w:before="0" w:after="0"/>
        <w:jc w:val="left"/>
        <w:rPr>
          <w:rFonts w:ascii="Times New Roman" w:hAnsi="Times New Roman"/>
          <w:sz w:val="20"/>
        </w:rPr>
      </w:pPr>
      <w:r>
        <w:rPr>
          <w:rFonts w:ascii="Times New Roman" w:hAnsi="Times New Roman"/>
          <w:sz w:val="20"/>
        </w:rPr>
        <w:t xml:space="preserve">919 W. Dillon Road </w:t>
      </w:r>
    </w:p>
    <w:p>
      <w:pPr>
        <w:pStyle w:val="TextBody"/>
        <w:bidi w:val="0"/>
        <w:spacing w:before="0" w:after="0"/>
        <w:jc w:val="left"/>
        <w:rPr>
          <w:rFonts w:ascii="Times New Roman" w:hAnsi="Times New Roman"/>
          <w:sz w:val="20"/>
        </w:rPr>
      </w:pPr>
      <w:r>
        <w:rPr>
          <w:rFonts w:ascii="Times New Roman" w:hAnsi="Times New Roman"/>
          <w:sz w:val="20"/>
        </w:rPr>
        <w:t xml:space="preserve">Louisville, CO 80027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412,653 Shares of Common Stock, $0.001 par value per share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refer to the Registration Statement on Form S-8 (the “</w:t>
      </w:r>
      <w:r>
        <w:rPr>
          <w:rFonts w:ascii="Times New Roman" w:hAnsi="Times New Roman"/>
          <w:sz w:val="20"/>
          <w:u w:val="single"/>
        </w:rPr>
        <w:t>Registration Statement</w:t>
      </w:r>
      <w:r>
        <w:rPr>
          <w:rFonts w:ascii="Times New Roman" w:hAnsi="Times New Roman"/>
          <w:sz w:val="20"/>
        </w:rPr>
        <w:t>”) being filed by Biodesix, Inc., a Delaware corporation (the “</w:t>
      </w:r>
      <w:r>
        <w:rPr>
          <w:rFonts w:ascii="Times New Roman" w:hAnsi="Times New Roman"/>
          <w:sz w:val="20"/>
          <w:u w:val="single"/>
        </w:rPr>
        <w:t>Company</w:t>
      </w:r>
      <w:r>
        <w:rPr>
          <w:rFonts w:ascii="Times New Roman" w:hAnsi="Times New Roman"/>
          <w:sz w:val="20"/>
        </w:rPr>
        <w:t>”), with the Securities and Exchange Commission under the Securities Act of 1933, as amended (the “</w:t>
      </w:r>
      <w:r>
        <w:rPr>
          <w:rFonts w:ascii="Times New Roman" w:hAnsi="Times New Roman"/>
          <w:sz w:val="20"/>
          <w:u w:val="single"/>
        </w:rPr>
        <w:t>Securities Act</w:t>
      </w:r>
      <w:r>
        <w:rPr>
          <w:rFonts w:ascii="Times New Roman" w:hAnsi="Times New Roman"/>
          <w:sz w:val="20"/>
        </w:rPr>
        <w:t>”), relating to the registration of (i) 330,122 shares of Common Stock, $0.001 par value per share (the “</w:t>
      </w:r>
      <w:r>
        <w:rPr>
          <w:rFonts w:ascii="Times New Roman" w:hAnsi="Times New Roman"/>
          <w:sz w:val="20"/>
          <w:u w:val="single"/>
        </w:rPr>
        <w:t>Common Stock</w:t>
      </w:r>
      <w:r>
        <w:rPr>
          <w:rFonts w:ascii="Times New Roman" w:hAnsi="Times New Roman"/>
          <w:sz w:val="20"/>
        </w:rPr>
        <w:t>”), of the Company which may be issued under the Biodesix, Inc. 2020 Equity Incentive Plan (the “</w:t>
      </w:r>
      <w:r>
        <w:rPr>
          <w:rFonts w:ascii="Times New Roman" w:hAnsi="Times New Roman"/>
          <w:sz w:val="20"/>
          <w:u w:val="single"/>
        </w:rPr>
        <w:t>2020 Plan</w:t>
      </w:r>
      <w:r>
        <w:rPr>
          <w:rFonts w:ascii="Times New Roman" w:hAnsi="Times New Roman"/>
          <w:sz w:val="20"/>
        </w:rPr>
        <w:t>”) and (ii) 82,531 shares of Common Stock which may be issued under the Biodesix, Inc. Employee Stock Purchase Plan (the “</w:t>
      </w:r>
      <w:r>
        <w:rPr>
          <w:rFonts w:ascii="Times New Roman" w:hAnsi="Times New Roman"/>
          <w:sz w:val="20"/>
          <w:u w:val="single"/>
        </w:rPr>
        <w:t>ESPP</w:t>
      </w:r>
      <w:r>
        <w:rPr>
          <w:rFonts w:ascii="Times New Roman" w:hAnsi="Times New Roman"/>
          <w:sz w:val="20"/>
        </w:rPr>
        <w:t>”, and together with the aggregate shares of Common Stock to be registered under the Registration Statement, the “</w:t>
      </w:r>
      <w:r>
        <w:rPr>
          <w:rFonts w:ascii="Times New Roman" w:hAnsi="Times New Roman"/>
          <w:sz w:val="20"/>
          <w:u w:val="single"/>
        </w:rPr>
        <w:t>Registered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being delivered in accordance with the requirements of Item 601(b)(5)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2020 Plan, the ESPP, the Registration Statement, the Amended and Restated Certificate of Incorporation of the Company, the Amended and Restated Bylaws of the Company, the resolutions of the Company’s Board of Directors authorizing the 2020 Plan, the ESPP and the issuance of the Registered Shares thereunder and the resolutions of the Company’s stockholders authorizing the 2020 Plan and the ESPP.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Biodesix, Inc. </w:t>
      </w:r>
    </w:p>
    <w:p>
      <w:pPr>
        <w:pStyle w:val="TextBody"/>
        <w:bidi w:val="0"/>
        <w:spacing w:before="0" w:after="0"/>
        <w:jc w:val="left"/>
        <w:rPr>
          <w:rFonts w:ascii="Times New Roman" w:hAnsi="Times New Roman"/>
          <w:sz w:val="20"/>
        </w:rPr>
      </w:pPr>
      <w:r>
        <w:rPr>
          <w:rFonts w:ascii="Times New Roman" w:hAnsi="Times New Roman"/>
          <w:sz w:val="20"/>
        </w:rPr>
        <w:t xml:space="preserve">February 6,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on the foregoing, we are of the opinion that each Registered Share that is newly issued pursuant to the 2020 Plan and the ESPP will be validly issued, fully paid and non-assessable when: (i) the Registration Statement, as finally amended, shall have become effective under the Securities Act; (ii) such Registered Share shall have been duly issued and delivered in accordance with the 2020 Plan and the ESPP; and (iii) certificates representing such Registered Share shall have been duly executed, countersigned and registered and duly delivered to the person entitled thereto against payment of the agreed consideration therefor (in an amount not less than the par value thereof) or, if any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2020 Plan and the ESPP.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Sidley Austin LLP</w:t>
            </w:r>
          </w:p>
        </w:tc>
      </w:tr>
    </w:tbl>
    <w:p>
      <w:pPr>
        <w:pStyle w:val="TextBody"/>
        <w:bidi w:val="0"/>
        <w:spacing w:before="0" w:after="0"/>
        <w:jc w:val="right"/>
        <w:rPr>
          <w:rFonts w:ascii="Times New Roman" w:hAnsi="Times New Roman"/>
          <w:b/>
          <w:sz w:val="20"/>
        </w:rPr>
      </w:pPr>
      <w:bookmarkStart w:id="5" w:name="d104314dex231.htm"/>
      <w:bookmarkStart w:id="6" w:name="ksd104314dex231"/>
      <w:bookmarkEnd w:id="5"/>
      <w:bookmarkEnd w:id="6"/>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3, 2025, with respect to the financial statements of Biodesix, Inc., incorporated herein by reference.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Denver, Colorado </w:t>
      </w:r>
    </w:p>
    <w:p>
      <w:pPr>
        <w:pStyle w:val="TextBody"/>
        <w:bidi w:val="0"/>
        <w:spacing w:before="0" w:after="0"/>
        <w:jc w:val="left"/>
        <w:rPr>
          <w:rFonts w:ascii="Times New Roman" w:hAnsi="Times New Roman"/>
          <w:sz w:val="20"/>
        </w:rPr>
      </w:pPr>
      <w:r>
        <w:rPr>
          <w:rFonts w:ascii="Times New Roman" w:hAnsi="Times New Roman"/>
          <w:sz w:val="20"/>
        </w:rPr>
        <w:t xml:space="preserve">February 6, 2026 </w:t>
      </w:r>
    </w:p>
    <w:p>
      <w:pPr>
        <w:pStyle w:val="Normal"/>
        <w:bidi w:val="0"/>
        <w:spacing w:before="0" w:after="0"/>
        <w:jc w:val="left"/>
        <w:rPr>
          <w:sz w:val="4"/>
          <w:szCs w:val="4"/>
        </w:rPr>
      </w:pPr>
      <w:r>
        <w:rPr>
          <w:sz w:val="4"/>
          <w:szCs w:val="4"/>
        </w:rPr>
      </w:r>
      <w:bookmarkStart w:id="7" w:name="d104314dexfilingfees.htm"/>
      <w:bookmarkStart w:id="8" w:name="ksd104314dexfilingfees"/>
      <w:bookmarkStart w:id="9" w:name="d104314dexfilingfees.htm"/>
      <w:bookmarkStart w:id="10" w:name="ksd104314dexfilingfees"/>
      <w:bookmarkEnd w:id="9"/>
      <w:bookmarkEnd w:id="10"/>
      <w:r>
        <w:br w:type="page"/>
      </w:r>
    </w:p>
    <w:tbl>
      <w:tblPr>
        <w:tblW w:w="3563" w:type="dxa"/>
        <w:jc w:val="left"/>
        <w:tblInd w:w="0" w:type="dxa"/>
        <w:tblLayout w:type="fixed"/>
        <w:tblCellMar>
          <w:top w:w="28" w:type="dxa"/>
          <w:left w:w="28" w:type="dxa"/>
          <w:bottom w:w="28" w:type="dxa"/>
          <w:right w:w="28" w:type="dxa"/>
        </w:tblCellMar>
      </w:tblPr>
      <w:tblGrid>
        <w:gridCol w:w="3409"/>
        <w:gridCol w:w="154"/>
      </w:tblGrid>
      <w:tr>
        <w:trPr/>
        <w:tc>
          <w:tcPr>
            <w:tcW w:w="356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b/>
              </w:rPr>
            </w:pPr>
            <w:r>
              <w:rPr>
                <w:b/>
              </w:rPr>
              <w:t xml:space="preserve">BIODESIX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4"/>
        <w:gridCol w:w="1301"/>
        <w:gridCol w:w="1210"/>
        <w:gridCol w:w="1244"/>
        <w:gridCol w:w="1603"/>
        <w:gridCol w:w="1127"/>
        <w:gridCol w:w="144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4" w:type="dxa"/>
            <w:tcBorders/>
            <w:shd w:fill="E7E7E2" w:val="clear"/>
            <w:vAlign w:val="center"/>
          </w:tcPr>
          <w:p>
            <w:pPr>
              <w:pStyle w:val="TableContents"/>
              <w:bidi w:val="0"/>
              <w:spacing w:before="0" w:after="283"/>
              <w:jc w:val="left"/>
              <w:rPr/>
            </w:pPr>
            <w:r>
              <w:rPr/>
              <w:t xml:space="preserve">Common Stock, par value $0.001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330,122 </w:t>
            </w:r>
          </w:p>
        </w:tc>
        <w:tc>
          <w:tcPr>
            <w:tcW w:w="1244" w:type="dxa"/>
            <w:tcBorders/>
            <w:shd w:fill="E7E7E2" w:val="clear"/>
            <w:vAlign w:val="center"/>
          </w:tcPr>
          <w:p>
            <w:pPr>
              <w:pStyle w:val="TableContents"/>
              <w:bidi w:val="0"/>
              <w:spacing w:before="0" w:after="283"/>
              <w:jc w:val="right"/>
              <w:rPr/>
            </w:pPr>
            <w:r>
              <w:rPr/>
              <w:t xml:space="preserve">$ 9.78 </w:t>
            </w:r>
          </w:p>
        </w:tc>
        <w:tc>
          <w:tcPr>
            <w:tcW w:w="1603" w:type="dxa"/>
            <w:tcBorders/>
            <w:shd w:fill="E7E7E2" w:val="clear"/>
            <w:vAlign w:val="center"/>
          </w:tcPr>
          <w:p>
            <w:pPr>
              <w:pStyle w:val="TableContents"/>
              <w:bidi w:val="0"/>
              <w:spacing w:before="0" w:after="283"/>
              <w:jc w:val="right"/>
              <w:rPr/>
            </w:pPr>
            <w:r>
              <w:rPr/>
              <w:t xml:space="preserve">$ 3,228,593.16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$ 445.87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62" w:type="dxa"/>
            <w:tcBorders/>
            <w:shd w:fill="E7E7E2" w:val="clear"/>
            <w:vAlign w:val="center"/>
          </w:tcPr>
          <w:p>
            <w:pPr>
              <w:pStyle w:val="TableContents"/>
              <w:bidi w:val="0"/>
              <w:spacing w:before="0" w:after="283"/>
              <w:jc w:val="left"/>
              <w:rPr/>
            </w:pPr>
            <w:r>
              <w:rPr/>
              <w:t xml:space="preserve">Equity </w:t>
            </w:r>
          </w:p>
        </w:tc>
        <w:tc>
          <w:tcPr>
            <w:tcW w:w="1074" w:type="dxa"/>
            <w:tcBorders/>
            <w:shd w:fill="E7E7E2" w:val="clear"/>
            <w:vAlign w:val="center"/>
          </w:tcPr>
          <w:p>
            <w:pPr>
              <w:pStyle w:val="TableContents"/>
              <w:bidi w:val="0"/>
              <w:spacing w:before="0" w:after="283"/>
              <w:jc w:val="left"/>
              <w:rPr/>
            </w:pPr>
            <w:r>
              <w:rPr/>
              <w:t xml:space="preserve">Common Stock, par value $0.001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82,531 </w:t>
            </w:r>
          </w:p>
        </w:tc>
        <w:tc>
          <w:tcPr>
            <w:tcW w:w="1244" w:type="dxa"/>
            <w:tcBorders/>
            <w:shd w:fill="E7E7E2" w:val="clear"/>
            <w:vAlign w:val="center"/>
          </w:tcPr>
          <w:p>
            <w:pPr>
              <w:pStyle w:val="TableContents"/>
              <w:bidi w:val="0"/>
              <w:spacing w:before="0" w:after="283"/>
              <w:jc w:val="right"/>
              <w:rPr/>
            </w:pPr>
            <w:r>
              <w:rPr/>
              <w:t xml:space="preserve">$ 9.78 </w:t>
            </w:r>
          </w:p>
        </w:tc>
        <w:tc>
          <w:tcPr>
            <w:tcW w:w="1603" w:type="dxa"/>
            <w:tcBorders/>
            <w:shd w:fill="E7E7E2" w:val="clear"/>
            <w:vAlign w:val="center"/>
          </w:tcPr>
          <w:p>
            <w:pPr>
              <w:pStyle w:val="TableContents"/>
              <w:bidi w:val="0"/>
              <w:spacing w:before="0" w:after="283"/>
              <w:jc w:val="right"/>
              <w:rPr/>
            </w:pPr>
            <w:r>
              <w:rPr/>
              <w:t xml:space="preserve">$ 807,153.18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$ 111.47 </w:t>
            </w:r>
          </w:p>
        </w:tc>
      </w:tr>
      <w:tr>
        <w:trPr/>
        <w:tc>
          <w:tcPr>
            <w:tcW w:w="4789"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1" w:name="MaxAggtOfferingPrice"/>
            <w:bookmarkEnd w:id="11"/>
            <w:r>
              <w:rPr/>
              <w:t xml:space="preserve">$ 4,035,746.34 </w:t>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$ 557.34 </w:t>
            </w:r>
          </w:p>
        </w:tc>
      </w:tr>
      <w:tr>
        <w:trPr/>
        <w:tc>
          <w:tcPr>
            <w:tcW w:w="4789"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89"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4" w:name="NetFeeAmt"/>
            <w:bookmarkEnd w:id="14"/>
            <w:r>
              <w:rPr/>
              <w:t xml:space="preserve">$ 557.34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8"/>
        <w:gridCol w:w="8709"/>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Pursuant to Rule 416 of the Securities Act of 1933, as amended (the "Securities Act"), this Registration Statement also covers such additional and indeterminate number of shares of common stock, par value $0.001 per share (the "Common Stock") of Biodesix, Inc., a Delaware corporation (the "Registrant"), as may become issuable pursuant to the provisions of the plans relating to adjustments for changes resulting from a share dividend, share split or similar change. (2) Estimated pursuant to Rule 457(h) under the Securities Act solely for the purpose of calculating the registration fee. The price of $9.78 per share represents the average high and low prices of the Common Stock as quoted on the Nasdaq Global Select Market on February 2, 2026, a date within five business days prior to the filing of this Registration Statement, in accordance with Rule 457(c) of the Securities Act. (3) Represents shares of Common Stock that were automatically added to the shares authorized for issuance under the Biodesix, Inc. 2020 Equity Incentive Plan (the "2020 Plan") on January 1, 2026 pursuant to an "evergreen" provision contained in the 2020 Plan. Pursuant to such provision, on the first day of each fiscal year, beginning with the fiscal year ending December 31, 2022, and continuing until, and including, the calendar year ending December 31, 2030, the number of shares authorized for issuance under the 2020 Plan is automatically increased by a number equal to the lesser of (i) 4% of the number of shares of Common Stock issued and outstanding as of the December 31st of the immediately preceding calendar year and (ii) such lesser amount determined by the Registrant's board of directors.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(1) Pursuant to Rule 416 of the Securities Act of 1933, as amended (the "Securities Act"), this Registration Statement also covers such additional and indeterminate number of shares of common stock, par value $0.001 per share (the "Common Stock") of Biodesix, Inc., a Delaware corporation (the "Registrant"), as may become issuable pursuant to the provisions of the plans relating to adjustments for changes resulting from a share dividend, share split or similar change. (2) Estimated pursuant to Rule 457(h) under the Securities Act solely for the purpose of calculating the registration fee. The price of $9.78 per share represents the average high and low prices of the Common Stock as quoted on the Nasdaq Global Select Market on February 2, 2026, a date within five business days prior to the filing of this Registration Statement, in accordance with Rule 457(c) of the Securities Act. (4) Represents shares of Common Stock that were automatically added to the shares authorized for issuance under the Biodesix, Inc. Employee Stock Purchase Plan, as amended and restated (the "ESPP") on January 1, 2026 pursuant to an "evergreen" provision contained in the ESPP (the "ESPP evergreen provision"). Pursuant to the ESPP evergreen provision, on the first day of each fiscal year, beginning with the fiscal year ending December 31, 2022, and continuing until, and including, the fiscal year ending December 31, 2030, the number of shares authorized for issuance under the ESPP is automatically increased by a number equal to the lesser of (i) 3,000,000 shares, as adjusted pursuant to Section 18 of the ESPP to reflect the Company's 1-for-20 reverse stock split effective on September 15, 2025, (ii) 1% of the number of shares of Common Stock issued and outstanding as of the December 31st of the immediately preceding fiscal year and (iii) such lesser amount determined by the Registrant's board of directors.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439725/000095017025030835/bdsx-20241231.htm" TargetMode="External"/><Relationship Id="rId3" Type="http://schemas.openxmlformats.org/officeDocument/2006/relationships/hyperlink" Target="http://www.sec.gov/Archives/edgar/data/../../../ix?doc=/Archives/edgar/data/0001439725/000095017025070339/bdsx-20250331.htm" TargetMode="External"/><Relationship Id="rId4" Type="http://schemas.openxmlformats.org/officeDocument/2006/relationships/hyperlink" Target="http://www.sec.gov/Archives/edgar/data/../../../ix?doc=/Archives/edgar/data/0001439725/000095017025105026/bdsx-20250630.htm" TargetMode="External"/><Relationship Id="rId5" Type="http://schemas.openxmlformats.org/officeDocument/2006/relationships/hyperlink" Target="http://www.sec.gov/Archives/edgar/data/../../../ix?doc=/Archives/edgar/data/0001439725/000119312525262532/bdsx-20250930.htm" TargetMode="External"/><Relationship Id="rId6" Type="http://schemas.openxmlformats.org/officeDocument/2006/relationships/hyperlink" Target="http://www.sec.gov/Archives/edgar/data/../../../ix?doc=/Archives/edgar/data/0001439725/000095017025046748/bdsx-20250324.htm" TargetMode="External"/><Relationship Id="rId7" Type="http://schemas.openxmlformats.org/officeDocument/2006/relationships/hyperlink" Target="http://www.sec.gov/Archives/edgar/data/../../../ix?doc=/Archives/edgar/data/0001439725/000119312525084319/d861784d8k.htm" TargetMode="External"/><Relationship Id="rId8" Type="http://schemas.openxmlformats.org/officeDocument/2006/relationships/hyperlink" Target="http://www.sec.gov/Archives/edgar/data/../../../ix?doc=/Archives/edgar/data/0001439725/000119312525124047/d19624d8k.htm" TargetMode="External"/><Relationship Id="rId9" Type="http://schemas.openxmlformats.org/officeDocument/2006/relationships/hyperlink" Target="http://www.sec.gov/Archives/edgar/data/../../../ix?doc=/Archives/edgar/data/0001439725/000119312525200766/d45697d8k.htm" TargetMode="External"/><Relationship Id="rId10" Type="http://schemas.openxmlformats.org/officeDocument/2006/relationships/hyperlink" Target="http://www.sec.gov/Archives/edgar/data/../../../ix?doc=/Archives/edgar/data/0001439725/000119312525203746/d14130d8k.htm" TargetMode="External"/><Relationship Id="rId11" Type="http://schemas.openxmlformats.org/officeDocument/2006/relationships/hyperlink" Target="http://www.sec.gov/Archives/edgar/data/../../../ix?doc=/Archives/edgar/data/0001439725/000119312525226749/d20952d8k.htm" TargetMode="External"/><Relationship Id="rId12" Type="http://schemas.openxmlformats.org/officeDocument/2006/relationships/hyperlink" Target="http://www.sec.gov/Archives/edgar/data/../../../ix?doc=/Archives/edgar/data/0001439725/000119312526010114/bdsx-20260112.htm" TargetMode="External"/><Relationship Id="rId13" Type="http://schemas.openxmlformats.org/officeDocument/2006/relationships/hyperlink" Target="http://www.sec.gov/Archives/edgar/data/1439725/000119312520275716/d94177d8a12b.htm" TargetMode="External"/><Relationship Id="rId14" Type="http://schemas.openxmlformats.org/officeDocument/2006/relationships/hyperlink" Target="http://www.sec.gov/Archives/edgar/data/1439725/000156459021013512/bdsx-ex45_270.htm" TargetMode="External"/><Relationship Id="rId15" Type="http://schemas.openxmlformats.org/officeDocument/2006/relationships/hyperlink" Target="http://www.sec.gov/Archives/edgar/data/1439725/000119312525203746/d14130dex31.htm" TargetMode="External"/><Relationship Id="rId16" Type="http://schemas.openxmlformats.org/officeDocument/2006/relationships/hyperlink" Target="http://www.sec.gov/Archives/edgar/data/1439725/000119312520273369/d937421dex34.htm" TargetMode="External"/><Relationship Id="rId17" Type="http://schemas.openxmlformats.org/officeDocument/2006/relationships/hyperlink" Target="http://www.sec.gov/Archives/edgar/data/1439725/000119312520275630/d937421dex105.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3238</Words>
  <Characters>17204</Characters>
  <CharactersWithSpaces>20467</CharactersWithSpaces>
  <Paragraphs>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