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864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ind w:left="8580"/>
        <w:spacing w:after="0"/>
        <w:rPr>
          <w:sz w:val="20"/>
          <w:szCs w:val="20"/>
          <w:color w:val="auto"/>
        </w:rPr>
      </w:pPr>
      <w:r>
        <w:rPr>
          <w:rFonts w:ascii="Arial" w:cs="Arial" w:eastAsia="Arial" w:hAnsi="Arial"/>
          <w:sz w:val="16"/>
          <w:szCs w:val="16"/>
          <w:b w:val="1"/>
          <w:bCs w:val="1"/>
          <w:color w:val="auto"/>
        </w:rPr>
        <w:t>Registration Number 333-261095</w:t>
      </w:r>
    </w:p>
    <w:p>
      <w:pPr>
        <w:spacing w:after="0" w:line="3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178435</wp:posOffset>
            </wp:positionV>
            <wp:extent cx="199707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This prospectus supplement and the accompanying prospectus relate to the issuance and sale of up to $50.0 million of shares of our common stock, par value $0.001 per share (the “Purchase Shares”) that we may sell to Lincoln Park Capital Fund, LLC (“Lincoln Park”), from time to time pursuant to the purchase agreement dated March 7, 2022 (the “Purchase Agreement”) that we have entered into with Lincoln Park, and 184,275 shares of our common stock being issued to Lincoln Park upon execution of the Purchase Agreement as consideration for its commitment to purchase shares of our common stock under the Purchase Agreement (the “Initial Commitment Shares”).</w:t>
      </w:r>
    </w:p>
    <w:p>
      <w:pPr>
        <w:spacing w:after="0" w:line="176" w:lineRule="exact"/>
        <w:rPr>
          <w:sz w:val="24"/>
          <w:szCs w:val="24"/>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On the commencement date of the Purchase Agreement, which is the date of this prospectus supplement, we will issue 184,275 Initial Commitment Shares to Lincoln Park.</w:t>
      </w:r>
    </w:p>
    <w:p>
      <w:pPr>
        <w:spacing w:after="0" w:line="170" w:lineRule="exact"/>
        <w:rPr>
          <w:sz w:val="24"/>
          <w:szCs w:val="24"/>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This prospectus supplement and the accompanying prospectus also cover the resale of these shares by Lincoln Park to the public. See “Lincoln Park Transaction” for a description of the Purchase Agreement and additional information regarding Lincoln Park. Lincoln Park is an “underwriter” within the meaning of Section 2(a)(11) of the Securities Act of 1933, as amended, or the Securities Act.</w:t>
      </w:r>
    </w:p>
    <w:p>
      <w:pPr>
        <w:spacing w:after="0" w:line="165" w:lineRule="exact"/>
        <w:rPr>
          <w:sz w:val="24"/>
          <w:szCs w:val="24"/>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purchase price for the Purchase Shares will be based upon formulas set forth in the Purchase Agreement depending on the type of purchase notice we submit to Lincoln Park from time to time. We will pay the expenses incurred in connection with the issuance of the shares of our common stock, including legal and accounting fees. See “Plan of Distribution.”</w:t>
      </w:r>
    </w:p>
    <w:p>
      <w:pPr>
        <w:spacing w:after="0" w:line="184" w:lineRule="exact"/>
        <w:rPr>
          <w:sz w:val="24"/>
          <w:szCs w:val="24"/>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“BDSX”. On March 4, 2022, the last reported sale price of our common stock on The NASDAQ Global Market was $2.20 per share.</w:t>
      </w:r>
    </w:p>
    <w:p>
      <w:pPr>
        <w:spacing w:after="0" w:line="170" w:lineRule="exact"/>
        <w:rPr>
          <w:sz w:val="24"/>
          <w:szCs w:val="24"/>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an “emerging growth company” and a “smaller reporting company” under federal securities laws and as such, have elected to comply with reduced public company reporting requirements for this prospectus supplement, the accompanying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173" w:lineRule="exact"/>
        <w:rPr>
          <w:sz w:val="24"/>
          <w:szCs w:val="24"/>
          <w:color w:val="auto"/>
        </w:rPr>
      </w:pPr>
    </w:p>
    <w:p>
      <w:pPr>
        <w:ind w:left="120" w:right="2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Our business and an investment in our common stock involve significant risks. These risks are described under the caption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 of this prospectus supplement and in the documents incorporated by reference into this prospectus supplement.</w:t>
      </w:r>
    </w:p>
    <w:p>
      <w:pPr>
        <w:spacing w:after="0" w:line="186" w:lineRule="exact"/>
        <w:rPr>
          <w:sz w:val="24"/>
          <w:szCs w:val="24"/>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and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supplement is March 7, 2022.</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98"/>
              </w:rPr>
              <w:t>TABLE OF CONTENTS</w:t>
            </w:r>
          </w:p>
        </w:tc>
        <w:tc>
          <w:tcPr>
            <w:tcW w:w="228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97"/>
              </w:rPr>
              <w:t>PROSPECTUS SUPPLEMENT</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w:t>
              </w:r>
            </w:hyperlink>
          </w:p>
        </w:tc>
        <w:tc>
          <w:tcPr>
            <w:tcW w:w="6440" w:type="dxa"/>
            <w:vAlign w:val="bottom"/>
            <w:gridSpan w:val="10"/>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23"/>
        </w:trPr>
        <w:tc>
          <w:tcPr>
            <w:tcW w:w="120" w:type="dxa"/>
            <w:vAlign w:val="bottom"/>
          </w:tcPr>
          <w:p>
            <w:pPr>
              <w:spacing w:after="0"/>
              <w:rPr>
                <w:sz w:val="19"/>
                <w:szCs w:val="19"/>
                <w:color w:val="auto"/>
              </w:rPr>
            </w:pPr>
          </w:p>
        </w:tc>
        <w:tc>
          <w:tcPr>
            <w:tcW w:w="2640" w:type="dxa"/>
            <w:vAlign w:val="bottom"/>
            <w:tcBorders>
              <w:top w:val="single" w:sz="8" w:color="0000EE"/>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6040" w:type="dxa"/>
            <w:vAlign w:val="bottom"/>
            <w:gridSpan w:val="7"/>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23"/>
        </w:trPr>
        <w:tc>
          <w:tcPr>
            <w:tcW w:w="120" w:type="dxa"/>
            <w:vAlign w:val="bottom"/>
          </w:tcPr>
          <w:p>
            <w:pPr>
              <w:spacing w:after="0"/>
              <w:rPr>
                <w:sz w:val="19"/>
                <w:szCs w:val="19"/>
                <w:color w:val="auto"/>
              </w:rPr>
            </w:pP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THE OFFERING</w:t>
              </w:r>
            </w:hyperlink>
          </w:p>
        </w:tc>
        <w:tc>
          <w:tcPr>
            <w:tcW w:w="800" w:type="dxa"/>
            <w:vAlign w:val="bottom"/>
            <w:tcBorders>
              <w:top w:val="single" w:sz="8" w:color="0000EE"/>
            </w:tcBorders>
            <w:gridSpan w:val="5"/>
          </w:tcPr>
          <w:p>
            <w:pPr>
              <w:spacing w:after="0"/>
              <w:rPr>
                <w:sz w:val="19"/>
                <w:szCs w:val="19"/>
                <w:color w:val="auto"/>
              </w:rPr>
            </w:pPr>
          </w:p>
        </w:tc>
        <w:tc>
          <w:tcPr>
            <w:tcW w:w="6600" w:type="dxa"/>
            <w:vAlign w:val="bottom"/>
            <w:gridSpan w:val="13"/>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SPECIAL NOTE REGARDING FORWARD-LOOKING STATEMENTS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223"/>
        </w:trPr>
        <w:tc>
          <w:tcPr>
            <w:tcW w:w="120" w:type="dxa"/>
            <w:vAlign w:val="bottom"/>
          </w:tcPr>
          <w:p>
            <w:pPr>
              <w:spacing w:after="0"/>
              <w:rPr>
                <w:sz w:val="19"/>
                <w:szCs w:val="19"/>
                <w:color w:val="auto"/>
              </w:rPr>
            </w:pPr>
          </w:p>
        </w:tc>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5"/>
          </w:tcPr>
          <w:p>
            <w:pPr>
              <w:spacing w:after="0"/>
              <w:rPr>
                <w:sz w:val="19"/>
                <w:szCs w:val="19"/>
                <w:color w:val="auto"/>
              </w:rPr>
            </w:pPr>
          </w:p>
        </w:tc>
        <w:tc>
          <w:tcPr>
            <w:tcW w:w="336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23"/>
        </w:trPr>
        <w:tc>
          <w:tcPr>
            <w:tcW w:w="120" w:type="dxa"/>
            <w:vAlign w:val="bottom"/>
          </w:tcPr>
          <w:p>
            <w:pPr>
              <w:spacing w:after="0"/>
              <w:rPr>
                <w:sz w:val="19"/>
                <w:szCs w:val="19"/>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DILUTION</w:t>
              </w:r>
            </w:hyperlink>
          </w:p>
        </w:tc>
        <w:tc>
          <w:tcPr>
            <w:tcW w:w="7820" w:type="dxa"/>
            <w:vAlign w:val="bottom"/>
            <w:gridSpan w:val="20"/>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S-17</w:t>
            </w: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LINCOLN PARK TRANSACTION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S-18</w:t>
            </w:r>
          </w:p>
        </w:tc>
      </w:tr>
      <w:tr>
        <w:trPr>
          <w:trHeight w:val="223"/>
        </w:trPr>
        <w:tc>
          <w:tcPr>
            <w:tcW w:w="120" w:type="dxa"/>
            <w:vAlign w:val="bottom"/>
          </w:tcPr>
          <w:p>
            <w:pPr>
              <w:spacing w:after="0"/>
              <w:rPr>
                <w:sz w:val="19"/>
                <w:szCs w:val="19"/>
                <w:color w:val="auto"/>
              </w:rPr>
            </w:pPr>
          </w:p>
        </w:tc>
        <w:tc>
          <w:tcPr>
            <w:tcW w:w="2600" w:type="dxa"/>
            <w:vAlign w:val="bottom"/>
            <w:tcBorders>
              <w:top w:val="single" w:sz="8" w:color="0000EE"/>
            </w:tcBorders>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PLAN OF DISTRIBUTION</w:t>
              </w:r>
            </w:hyperlink>
          </w:p>
        </w:tc>
        <w:tc>
          <w:tcPr>
            <w:tcW w:w="6080" w:type="dxa"/>
            <w:vAlign w:val="bottom"/>
            <w:gridSpan w:val="8"/>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S-23</w:t>
            </w:r>
          </w:p>
        </w:tc>
      </w:tr>
      <w:tr>
        <w:trPr>
          <w:trHeight w:val="223"/>
        </w:trPr>
        <w:tc>
          <w:tcPr>
            <w:tcW w:w="12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9"/>
                <w:szCs w:val="19"/>
                <w:color w:val="auto"/>
              </w:rPr>
            </w:pPr>
          </w:p>
        </w:tc>
        <w:tc>
          <w:tcPr>
            <w:tcW w:w="6640" w:type="dxa"/>
            <w:vAlign w:val="bottom"/>
            <w:gridSpan w:val="14"/>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S-26</w:t>
            </w:r>
          </w:p>
        </w:tc>
      </w:tr>
      <w:tr>
        <w:trPr>
          <w:trHeight w:val="20"/>
        </w:trPr>
        <w:tc>
          <w:tcPr>
            <w:tcW w:w="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518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INCORPORATION OF CERTAIN INFORMATION BY REFERENCE</w:t>
              </w:r>
            </w:hyperlink>
          </w:p>
        </w:tc>
        <w:tc>
          <w:tcPr>
            <w:tcW w:w="3500" w:type="dxa"/>
            <w:vAlign w:val="bottom"/>
            <w:gridSpan w:val="2"/>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S-26</w:t>
            </w:r>
          </w:p>
        </w:tc>
      </w:tr>
      <w:tr>
        <w:trPr>
          <w:trHeight w:val="453"/>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96"/>
              </w:rPr>
              <w:t>PROSPECTUS</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8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20" w:type="dxa"/>
            <w:vAlign w:val="bottom"/>
          </w:tcPr>
          <w:p>
            <w:pPr>
              <w:spacing w:after="0"/>
              <w:rPr>
                <w:sz w:val="19"/>
                <w:szCs w:val="19"/>
                <w:color w:val="auto"/>
              </w:rPr>
            </w:pPr>
          </w:p>
        </w:tc>
        <w:tc>
          <w:tcPr>
            <w:tcW w:w="2220" w:type="dxa"/>
            <w:vAlign w:val="bottom"/>
            <w:tcBorders>
              <w:top w:val="single" w:sz="8" w:color="0000EE"/>
            </w:tcBorders>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460" w:type="dxa"/>
            <w:vAlign w:val="bottom"/>
            <w:gridSpan w:val="11"/>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20" w:type="dxa"/>
            <w:vAlign w:val="bottom"/>
          </w:tcPr>
          <w:p>
            <w:pPr>
              <w:spacing w:after="0"/>
              <w:rPr>
                <w:sz w:val="19"/>
                <w:szCs w:val="19"/>
                <w:color w:val="auto"/>
              </w:rPr>
            </w:pPr>
          </w:p>
        </w:tc>
        <w:tc>
          <w:tcPr>
            <w:tcW w:w="2920" w:type="dxa"/>
            <w:vAlign w:val="bottom"/>
            <w:tcBorders>
              <w:top w:val="single" w:sz="8" w:color="0000EE"/>
            </w:tcBorders>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BIODESIX, INC.</w:t>
              </w:r>
            </w:hyperlink>
          </w:p>
        </w:tc>
        <w:tc>
          <w:tcPr>
            <w:tcW w:w="5760" w:type="dxa"/>
            <w:vAlign w:val="bottom"/>
            <w:gridSpan w:val="5"/>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USE OF PROCEEDS</w:t>
              </w:r>
            </w:hyperlink>
          </w:p>
        </w:tc>
        <w:tc>
          <w:tcPr>
            <w:tcW w:w="7100" w:type="dxa"/>
            <w:vAlign w:val="bottom"/>
            <w:gridSpan w:val="16"/>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20" w:type="dxa"/>
            <w:vAlign w:val="bottom"/>
          </w:tcPr>
          <w:p>
            <w:pPr>
              <w:spacing w:after="0"/>
              <w:rPr>
                <w:sz w:val="19"/>
                <w:szCs w:val="19"/>
                <w:color w:val="auto"/>
              </w:rPr>
            </w:pPr>
          </w:p>
        </w:tc>
        <w:tc>
          <w:tcPr>
            <w:tcW w:w="24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DESCRIPTION OF WARRANTS</w:t>
              </w:r>
            </w:hyperlink>
          </w:p>
        </w:tc>
        <w:tc>
          <w:tcPr>
            <w:tcW w:w="380" w:type="dxa"/>
            <w:vAlign w:val="bottom"/>
            <w:tcBorders>
              <w:top w:val="single" w:sz="8" w:color="0000EE"/>
            </w:tcBorders>
            <w:gridSpan w:val="3"/>
          </w:tcPr>
          <w:p>
            <w:pPr>
              <w:spacing w:after="0"/>
              <w:rPr>
                <w:sz w:val="19"/>
                <w:szCs w:val="19"/>
                <w:color w:val="auto"/>
              </w:rPr>
            </w:pPr>
          </w:p>
        </w:tc>
        <w:tc>
          <w:tcPr>
            <w:tcW w:w="5820" w:type="dxa"/>
            <w:vAlign w:val="bottom"/>
            <w:gridSpan w:val="6"/>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120" w:type="dxa"/>
            <w:vAlign w:val="bottom"/>
          </w:tcPr>
          <w:p>
            <w:pPr>
              <w:spacing w:after="0"/>
              <w:rPr>
                <w:sz w:val="19"/>
                <w:szCs w:val="19"/>
                <w:color w:val="auto"/>
              </w:rPr>
            </w:pPr>
          </w:p>
        </w:tc>
        <w:tc>
          <w:tcPr>
            <w:tcW w:w="21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DESCRIPTION OF RIGHTS</w:t>
              </w:r>
            </w:hyperlink>
          </w:p>
        </w:tc>
        <w:tc>
          <w:tcPr>
            <w:tcW w:w="6540" w:type="dxa"/>
            <w:vAlign w:val="bottom"/>
            <w:gridSpan w:val="12"/>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20" w:type="dxa"/>
            <w:vAlign w:val="bottom"/>
          </w:tcPr>
          <w:p>
            <w:pPr>
              <w:spacing w:after="0"/>
              <w:rPr>
                <w:sz w:val="19"/>
                <w:szCs w:val="19"/>
                <w:color w:val="auto"/>
              </w:rPr>
            </w:pPr>
          </w:p>
        </w:tc>
        <w:tc>
          <w:tcPr>
            <w:tcW w:w="202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DESCRIPTION OF UNITS</w:t>
              </w:r>
            </w:hyperlink>
          </w:p>
        </w:tc>
        <w:tc>
          <w:tcPr>
            <w:tcW w:w="6660" w:type="dxa"/>
            <w:vAlign w:val="bottom"/>
            <w:gridSpan w:val="15"/>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12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9"/>
                <w:szCs w:val="19"/>
                <w:color w:val="auto"/>
              </w:rPr>
            </w:pPr>
          </w:p>
        </w:tc>
        <w:tc>
          <w:tcPr>
            <w:tcW w:w="6640" w:type="dxa"/>
            <w:vAlign w:val="bottom"/>
            <w:gridSpan w:val="14"/>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868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800" w:type="dxa"/>
            <w:vAlign w:val="bottom"/>
            <w:gridSpan w:val="1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tcBorders>
              <w:bottom w:val="single" w:sz="8" w:color="0000EE"/>
            </w:tcBorders>
            <w:gridSpan w:val="19"/>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INFORMATION INCORPORATED BY REFERENCE</w:t>
              </w:r>
            </w:hyperlink>
          </w:p>
        </w:tc>
        <w:tc>
          <w:tcPr>
            <w:tcW w:w="4660" w:type="dxa"/>
            <w:vAlign w:val="bottom"/>
            <w:gridSpan w:val="3"/>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not authorized any other person to provide you with any information other than that contained in, or incorporated by reference into, this prospectus, the accompanying prospectus supplement and in any free writing prospectus that we may authorize for use in connection with this offering. We take no responsibility for, and can provide no assurance as to the reliability of, any other information that others may give you.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accompanying prospectus supplement and the documents incorporated by reference 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accompanying prospectus supplement,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and the accompanying prospectus entitled “Where You Can Find More Information” and “Incorporation of Certain Information By Reference.”</w:t>
      </w:r>
    </w:p>
    <w:p>
      <w:pPr>
        <w:spacing w:after="0" w:line="16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and the accompanying prospectus supplement do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In this prospectus supplement, the terms “Biodesix,” “Company,” “we,” “us,” “our” and similar terms refer to Biodesix, Inc., a Delaware corporation, and its subsidiaries unless the context otherwise requires.</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This prospectus supplement and the information incorporated herein by reference include trademarks, service marks and trade names owned by us or other companies. All trademarks, service marks and trade names included or incorporated by reference in this prospectus supplement are the property of their respective owners.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data included in this prospectus supplement, the accompanying prospectus and the documents incorporated by reference herein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6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supplement, the accompanying prospectus and the documents incorporated by reference herein and we believe the market position, market opportunity, market size and medical information included in this prospectus and the documents incorporated by reference herein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supplement or as of the date of the documents incorporated by reference herein.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supplement, the accompanying prospectus and the documents incorporated by reference herein, and estimates and beliefs based on that data, may not be reliable and are subject to change based on various factors, including those discussed under “Risk Factors” and “Special Note Regarding Forward-Looking Statements.”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the securities covered by this prospectus supplement. For a more complete understanding of Biodesix and this offering, we encourage you to read and consider carefully the more detailed information in this prospectus supplement, including the information incorporated by reference in this prospectus supplement, the accompanying prospectus and the information included in any free writing prospectus that we have authorized for use in connection with this offering, including the information referred to under the heading “Risk Factors” in this prospectus supplement beginning on page S-8.</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Biodesix is a leading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w:t>
      </w:r>
      <w:r>
        <w:rPr>
          <w:rFonts w:ascii="Arial" w:cs="Arial" w:eastAsia="Arial" w:hAnsi="Arial"/>
          <w:sz w:val="15"/>
          <w:szCs w:val="15"/>
          <w:color w:val="auto"/>
        </w:rPr>
        <w:t>™</w:t>
      </w:r>
      <w:r>
        <w:rPr>
          <w:rFonts w:ascii="Arial" w:cs="Arial" w:eastAsia="Arial" w:hAnsi="Arial"/>
          <w:sz w:val="18"/>
          <w:szCs w:val="18"/>
          <w:color w:val="auto"/>
        </w:rPr>
        <w:t xml:space="preserve">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Blood-Based Lung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offers five diagnostic blood-based tests across the lung cancer continuum of care:</w:t>
      </w:r>
    </w:p>
    <w:p>
      <w:pPr>
        <w:spacing w:after="0" w:line="131" w:lineRule="exact"/>
        <w:rPr>
          <w:sz w:val="20"/>
          <w:szCs w:val="20"/>
          <w:color w:val="auto"/>
        </w:rPr>
      </w:pPr>
    </w:p>
    <w:p>
      <w:pPr>
        <w:jc w:val="both"/>
        <w:ind w:left="1080" w:right="120" w:hanging="424"/>
        <w:spacing w:after="0" w:line="286"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Nodify XL2</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Nodify CDT</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together marketed as part of our Nodify Lung</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Nodule Risk Assessment testing strategy, assess the</w:t>
      </w:r>
      <w:r>
        <w:rPr>
          <w:rFonts w:ascii="Arial" w:cs="Arial" w:eastAsia="Arial" w:hAnsi="Arial"/>
          <w:sz w:val="17"/>
          <w:szCs w:val="17"/>
          <w:i w:val="1"/>
          <w:iCs w:val="1"/>
          <w:color w:val="auto"/>
        </w:rPr>
        <w:t xml:space="preserve"> </w:t>
      </w:r>
      <w:r>
        <w:rPr>
          <w:rFonts w:ascii="Arial" w:cs="Arial" w:eastAsia="Arial" w:hAnsi="Arial"/>
          <w:sz w:val="17"/>
          <w:szCs w:val="17"/>
          <w:color w:val="auto"/>
        </w:rPr>
        <w:t>risk of lung cancer to help identify the most appropriate treatment pathway. We believe we are the only company to offer two commercial blood-based tests to help physicians reclassify risk of malignancy in patients with suspicious lung nodules.</w:t>
      </w:r>
    </w:p>
    <w:p>
      <w:pPr>
        <w:spacing w:after="0" w:line="70" w:lineRule="exact"/>
        <w:rPr>
          <w:rFonts w:ascii="Arial" w:cs="Arial" w:eastAsia="Arial" w:hAnsi="Arial"/>
          <w:sz w:val="17"/>
          <w:szCs w:val="17"/>
          <w:color w:val="auto"/>
        </w:rPr>
      </w:pPr>
    </w:p>
    <w:p>
      <w:pPr>
        <w:ind w:left="1080" w:right="180" w:hanging="424"/>
        <w:spacing w:after="0" w:line="279"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GeneStratddPCR</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VeriStrat</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part of our new IQLung</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strategy, are used following diagnosis of lung</w:t>
      </w:r>
      <w:r>
        <w:rPr>
          <w:rFonts w:ascii="Arial" w:cs="Arial" w:eastAsia="Arial" w:hAnsi="Arial"/>
          <w:sz w:val="17"/>
          <w:szCs w:val="17"/>
          <w:i w:val="1"/>
          <w:iCs w:val="1"/>
          <w:color w:val="auto"/>
        </w:rPr>
        <w:t xml:space="preserve"> </w:t>
      </w:r>
      <w:r>
        <w:rPr>
          <w:rFonts w:ascii="Arial" w:cs="Arial" w:eastAsia="Arial" w:hAnsi="Arial"/>
          <w:sz w:val="17"/>
          <w:szCs w:val="17"/>
          <w:color w:val="auto"/>
        </w:rPr>
        <w:t>cancer to measure the presence of mutations in the tumor and the state of the patient’s immune system to establish the patient’s prognosis and help guide treatment decisions. The GeneStrat ddPCR tumor profiling test and the VeriStrat immune profiling test have a 36-hour average turnaround time, providing physicians with timely results to facilitate treatment decisions.</w:t>
      </w:r>
    </w:p>
    <w:p>
      <w:pPr>
        <w:spacing w:after="0" w:line="76"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GeneStrat NGS</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(NGS) </w:t>
      </w:r>
      <w:r>
        <w:rPr>
          <w:rFonts w:ascii="Arial" w:cs="Arial" w:eastAsia="Arial" w:hAnsi="Arial"/>
          <w:sz w:val="18"/>
          <w:szCs w:val="18"/>
          <w:color w:val="auto"/>
        </w:rPr>
        <w:t>test, our 72-hour blood-based NGS test, was launched in November 2021 to a select group of physicians, with</w:t>
      </w:r>
      <w:r>
        <w:rPr>
          <w:rFonts w:ascii="Arial" w:cs="Arial" w:eastAsia="Arial" w:hAnsi="Arial"/>
          <w:sz w:val="18"/>
          <w:szCs w:val="18"/>
          <w:i w:val="1"/>
          <w:iCs w:val="1"/>
          <w:color w:val="auto"/>
        </w:rPr>
        <w:t xml:space="preserve"> </w:t>
      </w:r>
      <w:r>
        <w:rPr>
          <w:rFonts w:ascii="Arial" w:cs="Arial" w:eastAsia="Arial" w:hAnsi="Arial"/>
          <w:sz w:val="18"/>
          <w:szCs w:val="18"/>
          <w:color w:val="auto"/>
        </w:rPr>
        <w:t>broad US launch in January 2022. The GeneStrat NGS test is marketed as part of the new IQLung testing strategy with the GeneStrat ddPCR and VeriStrat tests.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COVID-19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operate and have commercialized the Biodesix WorkSafe</w:t>
      </w:r>
      <w:r>
        <w:rPr>
          <w:rFonts w:ascii="Arial" w:cs="Arial" w:eastAsia="Arial" w:hAnsi="Arial"/>
          <w:sz w:val="14"/>
          <w:szCs w:val="14"/>
          <w:color w:val="auto"/>
        </w:rPr>
        <w:t>™</w:t>
      </w:r>
      <w:r>
        <w:rPr>
          <w:rFonts w:ascii="Arial" w:cs="Arial" w:eastAsia="Arial" w:hAnsi="Arial"/>
          <w:sz w:val="17"/>
          <w:szCs w:val="17"/>
          <w:color w:val="auto"/>
        </w:rPr>
        <w:t xml:space="preserve"> testing program, under which the Company offers three SARS-CoV-2 tests:</w:t>
      </w:r>
    </w:p>
    <w:p>
      <w:pPr>
        <w:spacing w:after="0" w:line="142" w:lineRule="exact"/>
        <w:rPr>
          <w:sz w:val="20"/>
          <w:szCs w:val="20"/>
          <w:color w:val="auto"/>
        </w:rPr>
      </w:pPr>
    </w:p>
    <w:p>
      <w:pPr>
        <w:ind w:left="1080" w:right="6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Bio-Rad SARS-CoV-2 ddPCR test, which is authorized by the FDA to be performed by Clinical Laboratory Institute Amendments (CLIA) authorized laboratories that perform high complexity tests. The ddPCR test is designed to detect the presence of infection by the SARS-CoV-2 virus.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Platelia SARS-CoV-2 Total Ab test, which is an antibody test, authorized by the FDA, intended for detecting a B-cell immune response to SARS-CoV-2, indicating recent or prior infection.</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cPass</w:t>
      </w:r>
      <w:r>
        <w:rPr>
          <w:rFonts w:ascii="Arial" w:cs="Arial" w:eastAsia="Arial" w:hAnsi="Arial"/>
          <w:sz w:val="15"/>
          <w:szCs w:val="15"/>
          <w:color w:val="auto"/>
        </w:rPr>
        <w:t>™</w:t>
      </w:r>
      <w:r>
        <w:rPr>
          <w:rFonts w:ascii="Arial" w:cs="Arial" w:eastAsia="Arial" w:hAnsi="Arial"/>
          <w:sz w:val="18"/>
          <w:szCs w:val="18"/>
          <w:color w:val="auto"/>
        </w:rPr>
        <w:t xml:space="preserve"> SARS-CoV-2 Neutralization Antibody test, which is the first and only surrogate neutralizing antibody test with FDA EUA and uses ELISA technology to qualitatively detect circulating neutralizing antibodies to the receptor binding domain (RBD) in the spike protein of SARS-CoV-2 that are produced in response to vaccination or previous SARS-CoV-2 infection. This test was commercially introduced during the second quarter 2021 in partnership with GenScript Biotech Corporation.</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These tests under the Biodesix WorkSafe</w:t>
      </w:r>
      <w:r>
        <w:rPr>
          <w:rFonts w:ascii="Arial" w:cs="Arial" w:eastAsia="Arial" w:hAnsi="Arial"/>
          <w:sz w:val="15"/>
          <w:szCs w:val="15"/>
          <w:color w:val="auto"/>
        </w:rPr>
        <w:t>™</w:t>
      </w:r>
      <w:r>
        <w:rPr>
          <w:rFonts w:ascii="Arial" w:cs="Arial" w:eastAsia="Arial" w:hAnsi="Arial"/>
          <w:sz w:val="18"/>
          <w:szCs w:val="18"/>
          <w:color w:val="auto"/>
        </w:rPr>
        <w:t xml:space="preserv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supplement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supplement,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6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For certain risks related to our status as an emerging growth company, see “Risk Factors—Risks Related to our Common Stock and this Offering —We are an “emerging growth company” and a “smaller reporting company,” and the reduced disclosure requirements applicable to emerging growth companies and smaller reporting companies may make our common stock less attractive to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2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supplement, and you should not consider information on our website to be part of this prospectus supplement, or in deciding whether to purchase our common stock.</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76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760" w:type="dxa"/>
            <w:vAlign w:val="bottom"/>
          </w:tcPr>
          <w:p>
            <w:pPr>
              <w:ind w:left="164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33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Common stock offered by us</w:t>
            </w:r>
          </w:p>
        </w:tc>
        <w:tc>
          <w:tcPr>
            <w:tcW w:w="7760" w:type="dxa"/>
            <w:vAlign w:val="bottom"/>
          </w:tcPr>
          <w:p>
            <w:pPr>
              <w:ind w:left="1000"/>
              <w:spacing w:after="0"/>
              <w:rPr>
                <w:sz w:val="20"/>
                <w:szCs w:val="20"/>
                <w:color w:val="auto"/>
              </w:rPr>
            </w:pPr>
            <w:r>
              <w:rPr>
                <w:rFonts w:ascii="Arial" w:cs="Arial" w:eastAsia="Arial" w:hAnsi="Arial"/>
                <w:sz w:val="18"/>
                <w:szCs w:val="18"/>
                <w:color w:val="auto"/>
                <w:w w:val="94"/>
              </w:rPr>
              <w:t>184,275 shares of our common stock being issued to Lincoln Park as consideration for its</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w w:val="93"/>
              </w:rPr>
              <w:t>commitment to purchase shares of our common stock under the Purchase Agreement (the</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w w:val="93"/>
              </w:rPr>
              <w:t>“Initial Commitment Shares”); and 61,425 shares of common stock, which is the number of</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w w:val="96"/>
              </w:rPr>
              <w:t>shares we will issue to Lincoln Park following its purchase of an amount of shares which</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w w:val="89"/>
              </w:rPr>
              <w:t>reduces the amount available to be purchased by Lincoln Park under the Purchase Agreement</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w w:val="94"/>
              </w:rPr>
              <w:t>to $20,000,000 of shares of our common stock (the “Additional Commitment Shares” and,</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w w:val="92"/>
              </w:rPr>
              <w:t>together with the Initial Commitment Shares, the “Commitment Shares”). We will not receive</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rPr>
              <w:t>any cash proceeds from the issuance of these Commitment Shares.</w:t>
            </w:r>
          </w:p>
        </w:tc>
      </w:tr>
      <w:tr>
        <w:trPr>
          <w:trHeight w:val="323"/>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w w:val="93"/>
              </w:rPr>
              <w:t>Up to $50,000,000 of shares of our common stock we may sell to Lincoln Park from time to</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w w:val="99"/>
              </w:rPr>
              <w:t>time over the next 36 months, at our sole discretion, in accordance with the Purchase</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760" w:type="dxa"/>
            <w:vAlign w:val="bottom"/>
          </w:tcPr>
          <w:p>
            <w:pPr>
              <w:ind w:left="1000"/>
              <w:spacing w:after="0"/>
              <w:rPr>
                <w:sz w:val="20"/>
                <w:szCs w:val="20"/>
                <w:color w:val="auto"/>
              </w:rPr>
            </w:pPr>
            <w:r>
              <w:rPr>
                <w:rFonts w:ascii="Arial" w:cs="Arial" w:eastAsia="Arial" w:hAnsi="Arial"/>
                <w:sz w:val="18"/>
                <w:szCs w:val="18"/>
                <w:color w:val="auto"/>
              </w:rPr>
              <w:t>Agreement.</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tabs>
          <w:tab w:leader="none" w:pos="4280" w:val="left"/>
        </w:tabs>
        <w:rPr>
          <w:sz w:val="20"/>
          <w:szCs w:val="20"/>
          <w:color w:val="auto"/>
        </w:rPr>
      </w:pPr>
      <w:r>
        <w:rPr>
          <w:rFonts w:ascii="Arial" w:cs="Arial" w:eastAsia="Arial" w:hAnsi="Arial"/>
          <w:sz w:val="18"/>
          <w:szCs w:val="18"/>
          <w:b w:val="1"/>
          <w:bCs w:val="1"/>
          <w:color w:val="auto"/>
        </w:rPr>
        <w:t>Common stock to be outstanding after this offering</w:t>
      </w:r>
      <w:r>
        <w:rPr>
          <w:sz w:val="20"/>
          <w:szCs w:val="20"/>
          <w:color w:val="auto"/>
        </w:rPr>
        <w:tab/>
      </w:r>
      <w:r>
        <w:rPr>
          <w:rFonts w:ascii="Arial" w:cs="Arial" w:eastAsia="Arial" w:hAnsi="Arial"/>
          <w:sz w:val="16"/>
          <w:szCs w:val="16"/>
          <w:color w:val="auto"/>
        </w:rPr>
        <w:t>37,345,181 shares, which includes the issuance of 184,275 Initial Commitment Shares and</w:t>
      </w:r>
    </w:p>
    <w:p>
      <w:pPr>
        <w:spacing w:after="0" w:line="27" w:lineRule="exact"/>
        <w:rPr>
          <w:sz w:val="20"/>
          <w:szCs w:val="20"/>
          <w:color w:val="auto"/>
        </w:rPr>
      </w:pPr>
    </w:p>
    <w:p>
      <w:pPr>
        <w:ind w:left="4300"/>
        <w:spacing w:after="0" w:line="268" w:lineRule="auto"/>
        <w:rPr>
          <w:sz w:val="20"/>
          <w:szCs w:val="20"/>
          <w:color w:val="auto"/>
        </w:rPr>
      </w:pPr>
      <w:r>
        <w:rPr>
          <w:rFonts w:ascii="Arial" w:cs="Arial" w:eastAsia="Arial" w:hAnsi="Arial"/>
          <w:sz w:val="17"/>
          <w:szCs w:val="17"/>
          <w:color w:val="auto"/>
        </w:rPr>
        <w:t>assumes the sale of 6,037,328 shares at a price of $2.20 per share, which was the closing price of our common stock on the Nasdaq Capital Market on March 4, 2022. The actual number of shares issued will vary depending on the sales prices under this offering, but will not be greater than 6,221,603 shares, representing 19.99% of the shares of our common stock outstanding on the date of the Purchase Agreement, unless, in accordance with Nasdaq Market rules, we obtain stockholder approval of the issuance of shares of our common stock under the Purchase Agreement in excess of the Exchange Cap (as defined therein), or the average price of all applicable sales of our common stock to Lincoln Park under the Purchase Agreement is equal to or greater than the $2.20 Minimum Price.</w:t>
      </w:r>
    </w:p>
    <w:p>
      <w:pPr>
        <w:sectPr>
          <w:pgSz w:w="11900" w:h="16838" w:orient="portrait"/>
          <w:cols w:equalWidth="0" w:num="1">
            <w:col w:w="11120"/>
          </w:cols>
          <w:pgMar w:left="320" w:top="446" w:right="459" w:bottom="1440" w:gutter="0" w:footer="0" w:header="0"/>
        </w:sectPr>
      </w:pPr>
    </w:p>
    <w:p>
      <w:pPr>
        <w:spacing w:after="0" w:line="83"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management will retain broad discretion regarding the allocation and use of the net proceeds from this offering. We currently intend to use the net proceeds from this offering, if any, for general corporate purposes, including for (1) commercial expansion of sales, marketing, reimbursement, customer support and business development, (2) supporting our product pipeline and research and development, (3) funding the expansion of technology integration efforts and automation and (4) our Integrated Diagnostics acquisition milestone payments. See “Use of Proceeds” on page S-16 of this prospectus supplement.</w:t>
      </w:r>
    </w:p>
    <w:p>
      <w:pPr>
        <w:spacing w:after="0" w:line="68" w:lineRule="exact"/>
        <w:rPr>
          <w:sz w:val="20"/>
          <w:szCs w:val="20"/>
          <w:color w:val="auto"/>
        </w:rPr>
      </w:pPr>
    </w:p>
    <w:p>
      <w:pPr>
        <w:sectPr>
          <w:pgSz w:w="11900" w:h="16838" w:orient="portrait"/>
          <w:cols w:equalWidth="0" w:num="2">
            <w:col w:w="3580" w:space="720"/>
            <w:col w:w="6820"/>
          </w:cols>
          <w:pgMar w:left="320" w:top="446" w:right="45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“BDSX”</w:t>
      </w:r>
    </w:p>
    <w:p>
      <w:pPr>
        <w:spacing w:after="0" w:line="140" w:lineRule="exact"/>
        <w:rPr>
          <w:sz w:val="20"/>
          <w:szCs w:val="20"/>
          <w:color w:val="auto"/>
        </w:rPr>
      </w:pPr>
    </w:p>
    <w:p>
      <w:pPr>
        <w:sectPr>
          <w:pgSz w:w="11900" w:h="16838" w:orient="portrait"/>
          <w:cols w:equalWidth="0" w:num="2">
            <w:col w:w="3580" w:space="720"/>
            <w:col w:w="6820"/>
          </w:cols>
          <w:pgMar w:left="320" w:top="446" w:right="45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80"/>
        <w:spacing w:after="0" w:line="301" w:lineRule="auto"/>
        <w:rPr>
          <w:sz w:val="20"/>
          <w:szCs w:val="20"/>
          <w:color w:val="auto"/>
        </w:rPr>
      </w:pPr>
      <w:r>
        <w:rPr>
          <w:rFonts w:ascii="Arial" w:cs="Arial" w:eastAsia="Arial" w:hAnsi="Arial"/>
          <w:sz w:val="16"/>
          <w:szCs w:val="16"/>
          <w:color w:val="auto"/>
        </w:rPr>
        <w:t>Investing in our securities involves a high degree of risk. See “Risk Factors” beginning on page S-8 of this prospectus supplement and the other information included in, or incorporated by reference into, this prospectus supplement for a discussion of certain factors that you should carefully consider before deciding to invest in shares of our common stock.</w:t>
      </w:r>
    </w:p>
    <w:p>
      <w:pPr>
        <w:spacing w:after="0" w:line="90" w:lineRule="exact"/>
        <w:rPr>
          <w:sz w:val="20"/>
          <w:szCs w:val="20"/>
          <w:color w:val="auto"/>
        </w:rPr>
      </w:pPr>
    </w:p>
    <w:p>
      <w:pPr>
        <w:sectPr>
          <w:pgSz w:w="11900" w:h="16838" w:orient="portrait"/>
          <w:cols w:equalWidth="0" w:num="2">
            <w:col w:w="3580" w:space="720"/>
            <w:col w:w="6820"/>
          </w:cols>
          <w:pgMar w:left="320" w:top="446"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11120"/>
          </w:cols>
          <w:pgMar w:left="320" w:top="446"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number of shares of common stock shown above to be outstanding immediately following this offering is based on 31,123,578 shares outstanding as of March 4, 2022 and excludes:</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772,814 shares of common stock reserved for future issuance under our 2020 Equity Incentive Plan (the “2020 Incentive Plan”); and</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195,246 shares of common stock reserved for issuance pursuant to future awards under our under our 2020 Employee Stock Purchase Plan (“ESPP”).</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supplement reflects and assumes no exercise of outstanding options or warrants.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Investing in our securities common stock involves a high degree of risk. You should consider and read carefully all of the risks and uncertainties described below, as well as all the other information contained in the prospectus supplement or incorporated by reference into this prospectus supplement and the accompanying prospectus. You should also consider the risks, uncertainties and assumptions discussed under the caption “Risk Factors” included in our Annual Report on Form 10-K for the year ended December 31, 2020 and in our Quarterly Reports on Form 10-Q for the periods ended March 31, June 30 and September 30, 2021, and in subsequent filings, which are incorporated by reference into this prospectus supplement and the accompanying prospectus. These risk factors may be amended, supplemented or superseded from time to time by other reports we file with the SEC in the future.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supplement and the accompanying prospectus also contain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March 7, 2022, we entered into the Purchase Agreement with Lincoln Park, pursuant to which Lincoln Park has committed to purchase up to $50,000,000 of our common stock. On the commencement date of the Purchase Agreement, which is the date of this prospectus supplement, we will issue 184,275 Initial Commitment Shares to Lincoln Park, and we will issue 61,425 Additional Commitment Shares to Lincoln Park following its purchase of an amount of shares which reduces the amount available to be purchased by Lincoln Park under the Purchase Agreement to be $20,000,000 of shares of our common stock. The shares of our common stock that may be issued under the Purchase Agreement may be sold by us to Lincoln Park at our discretion from time to time over a 36-month period commencing after the satisfaction of certain conditions set forth in the Purchase Agreement, including that the registration statement that includes this prospectus supplement and accompanying prospectus is effective. The purchase price for the shares that we may sell to Lincoln Park under the Purchase Agreement will fluctuate based on the price of our common stock. Depending on market liquidity at the time, sales of such shares may cause the trading price of our common stock to fall.</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generally have the right to control the timing and amount of any future sales of our shares to Lincoln Park. Sales of our common stock, if any, to Lincoln Park will depend upon market conditions and other factors to be determined by us. We may ultimately decide to sell to Lincoln Park all, some or none of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access sufficient funds under the Purchase Agreement when needed.</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ability to sell shares to Lincoln Park and obtain funds under the Purchase Agreement is limited by the terms and conditions in the Purchase Agreement, including restrictions on the amounts we may sell to Lincoln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Park at any one time, and a limitation on our ability to sell shares to Lincoln Park to the extent that it would cause Lincoln Park to beneficially own more than 9.99% of our outstanding shares of common stock. Additionally, under the Purchase Agreement, we will only be able to sell or issue to Lincoln Park a maximum aggregate number of shares equal to the Exchange Cap of 19.99% of the shares of common stock outstanding on the date of the Purchase Agreement, unless we obtain shareholder approval to issue shares in excess of the Exchange Cap, or unless the average price of all applicable sales of our common stock to Lincoln Park under the Purchase Agreement is equal to or greater than the Minimum Price of $2.20, such that the Exchange Cap would not apply to issuances and sales of common stock to Lincoln Park under the Purchase Agreement. Therefore, we currently do not, and may not in the future, have access to the full amount otherwise available to us under the Purchase Agreement. In addition, any amounts we sell under the Purchase Agreement may not satisfy all of our funding needs, even if we are able and choose to sell and issue all of our common stock otherwise issuable pursuant to the Purchase Agreement.</w:t>
      </w:r>
    </w:p>
    <w:p>
      <w:pPr>
        <w:spacing w:after="0" w:line="28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We will require additional financing to sustain our operations, without which we may not be able to continue operations, and the terms of subsequent financings may adversely impact our stockholders.</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may direct Lincoln Park to purchase up to $50,000,000 worth of shares of our common stock under our agreement over a 36-month period, generally in a “regular purchase,” in amounts up to 50,000 shares of our common stock, which may be increased to up to 100,000 shares of our common stock depending on the market price of our common stock at the time of sale, and, in each case, subject to a maximum limit of $1,500,000 per purchase, on any single business day (such share amounts being subject to adjustment for any reorganization, recapitalization, non-cash dividend, stock split, reverse stock split or other similar transaction as provided in the Purchase Agreement).</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extent to which we rely on Lincoln Park as a source of funding will depend on a number of factors including the prevailing market price of our common stock and the extent to which we are able to secure working capital from other sources. If obtaining sufficient funding from Lincoln Park were to prove unavailable or prohibitively dilutive, we will need to secure another source of funding in order to satisfy our working capital needs. Even if we sell all of the $50,000,000 of our common stock to Lincoln Park under the Purchase Agreement, we will still need additional capital to finance our future working capital needs, and we may have to raise funds through the issuance of equity or debt securities. Depending on the type and the terms of any financing we pursue, stockholders’ rights and the value of their investment in our common stock could be reduced. A financing could involve one or more types of securities including common stock, convertible debt or warrants to acquire common stock. These securities could be issued at or below the then prevailing market price for our common stock. In addition, if we issue secured debt securities, the holders of the debt would have a claim to our assets that would be prior to the rights of stockholders until the debt is paid. Interest on these debt securities would increase costs and negatively impact operating results. If the issuance of new securities results in diminished rights to holders of our common stock, the market price of our common stock could be negatively impacted. Should the financing we require to sustain our clinical development and working capital needs be unavailable or prohibitively expensive when we require it, the consequences could be a material adverse effect on our business, operating results, financial condition and prospects.</w:t>
      </w:r>
    </w:p>
    <w:p>
      <w:pPr>
        <w:spacing w:after="0" w:line="29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or raising additional funds through debt or equity financing could cause our stock price to fall.</w:t>
      </w:r>
    </w:p>
    <w:p>
      <w:pPr>
        <w:spacing w:after="0" w:line="6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may be diluted, and the terms of these securities may include liquidation or other preferences that adversely affect your rights as a stockholder. Debt financing, if available, may involve agreements that include covenants limiting or restricting our ability to take certain actions, such as incurring debt, making capital expenditures or declaring dividends. If we raise additional funds through collaborations, strategic collaborations or partnerships, or marketing, distribution or licensing arrangements with third parties, we may be required to limit valuable rights to our intellectual property, technologies, or future revenue streams, or grant licenses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other rights on terms that are not favorable to us. Furthermore, any additional fundraising efforts may divert our management from their day-to-day activities, which may adversely affect our ability to develop and commercialize our diagnostic testing and services.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with which you may not agree. Accordingly, you will be relying on the judgment of our management with regard to the use of the net proceeds, and you will not have the opportunity, as part of your investment decision, to assess whether the proceeds are being used appropriately. It is possible that the net proceeds will be invested or otherwise used in a way that does not yield a favorable, or any, return for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significant losses since inception, including as a consequence of the COVID-19 pandemic.</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September 30, 2021, we maintained cash and cash equivalents of $47.9 million and we are fully drawn under our $30 million Loan and Security Agreement dated March 19, 2021 (the “2021 Term Loan”). We have incurred significant losses since inception and, as a result, we have funded our operations to date primarily through the sale of common stock in our initial public offering in October 2020, the issuance of notes payable, and from our two primary revenue sources: (i) diagnostic testing, which include lung diagnostic testing and COVID-19 testing, and (ii) providing biopharmaceutical companies with development and testing services.</w:t>
      </w:r>
    </w:p>
    <w:p>
      <w:pPr>
        <w:spacing w:after="0" w:line="188"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As a result of the impact of the COVID-19 pandemic on our operations and our obligation to remain in compliance with our financial covenants under our 2021 Term Loan, our management has determined that there is a substantial doubt about our ability to continue as a going concern over the next twelve months. If we are not able to improve our operating results, we may need to limit our operations substantially. We will need to raise additional capital to increase our liquidity but there is no assurance that we will be able to secure any such funding in a sufficient amount or on terms that are acceptable to us.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our periodic filings, and our potential inability to continue as a going concern, could materially adversely affect the price of our common stock.</w:t>
      </w:r>
    </w:p>
    <w:p>
      <w:pPr>
        <w:spacing w:after="0" w:line="28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continuing spread of COVID-19 and the impact to our business may continue to have a material and adverse effect on our ability to generate revenues, maintain compliance with our financial covenants and result in our inability to continue as a going concern. Any such impacts could have a material and adverse effect on the price of our common stock.</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financial statements as of and for the period ended September 30, 2021 were prepared on the assumption that we would continue as a going concern. These financial statements did not include any adjustments that might result from the outcome of this uncertainty. As a result of the impact of the COVID-19 pandemic on our operations as described in this report, and our obligation to remain in compliance with our financial covenants under our 2021 Term Loan, our management has determined that there is a substantial doubt about our ability to continue as a going concern over the next twelve months. Although we have taken steps to improve our liquidity through our recent amendment to our 2021 Term Loan to modify certain financial covenants and have taken measures to reduce planned capital expenditures and operating expenses, these actions alone will not be sufficient to mitigate our liquidity concerns in the wake of the material impact to our revenues, income and cash flows from the continued spread of COVID-19. In addition, if we are not able to improve our operating results, we may need to limit our operations substantially. We will need to raise additional capital in the form of equity or debt to increase our liquidity but there is no assurance that we will be able to secure any such funding in a sufficient amount or on terms that are acceptable to us. If we do raise additional capital through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this report, and our potential inability to continue as a going concern, could materially adversely affect the price of our common stock.</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pharmaceutical and biotechnology companies in particular have experienced extreme volatility that has often been unrelated to the operating performance of particular companies. As a result of this volatility, our stockholders may not be able to sell our common stock at or above the price they paid for it. The market price for our common stock may be influenced by many factors, including:</w:t>
      </w:r>
    </w:p>
    <w:p>
      <w:pPr>
        <w:spacing w:after="0" w:line="9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positive or negative coverage, or public perception, of our diagnostic tests or those of our competitors or broader industry trends;</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if any, of the spread of COVID-19 and any newly discovered variants, and the resulting effects on the number of patients treated or the demand for our non-COVID-19 diagnostic tests;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89"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conformity certifications or clearances for planned or future improvements or enhancements to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regulatory requirements or in the status of regulatory approvals or applications or conformity certifications;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cyber-attacks, failures in our information systems, or fraudulent activity;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factors described in the “Risk Factors” sections of our Form 10-K for the year ended December 31, 2020 and in our Quarterly Reports on Form 10-Q for the periods ended March 31, June 30 and September 30, 2021, and in subsequent filings, which are incorporated by reference into this prospectus supplement and the accompanying prospectus.</w:t>
      </w:r>
    </w:p>
    <w:p>
      <w:pPr>
        <w:spacing w:after="0" w:line="184"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In addition, the spread of COVID-19 has caused a broad impact globally. While the potential economic impact brought by, and the duration of, COVID-19 may be difficult to assess or predict, it has significantly disrupted global financial markets, and a recession or market correction resulting from the spread or continuation of COVID-19 could materially affect our business and the value of our common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supplement and the accompanying prospectus include and incorporate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supplement any the accompanying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100"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COVID-19 pandemic on our business;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incurrence of substantial liabilities and limiting or halting the marketing and sale of our diagnostic tests due to product liability lawsuits;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supplement, the accompanying prospectus and any related free writing prospectus, and in any other documents incorporated herein or therein. Any forward-looking statement in this prospectus supplement and the accompanying prospectus reflect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6"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receive up to $50,000,000 in aggregate gross proceeds from any sales we make to Lincoln Park pursuant to the Purchase Agreement from and after the date of this prospectus supplement. We may sell fewer than all of the shares offered by this prospectus supplement, in which case our offering proceeds will be less. Because we are not obligated to sell any shares of our common stock under the Purchase Agreement, the actual total offering amount and proceeds to us, if any, are not determinable at this time. See “Plan of Distribution” elsewhere in this prospectus supplement for more information.</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We intend to use the net proceeds from this offering, if any, for general corporate purposes, including for (1) commercial expansion of sales, marketing, reimbursement, customer support and business development, (2) supporting our product pipeline and research and development, (3) funding the expansion of technology integration efforts and automation and (4) our Integrated Diagnostics acquisition milestone payments. The amount and timing of these expenditures will depend on a number of factors, such as the timing, scope, progress and results of our commercial expansion and research and development efforts.</w:t>
      </w:r>
    </w:p>
    <w:p>
      <w:pPr>
        <w:spacing w:after="0" w:line="161"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As of the date of this prospectus supplement, we cannot specify with certainty all of the particular uses for the net proceeds to us from this offering, if any. As a result, our management will have broad discretion regarding the timing and application of the net proceeds from this offering. Pending the application of the net proceeds, we intend to invest the net proceeds in short-term, investment grade, interest-bearing securities.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you invest in our common stock, you will experience dilution to the extent of the difference between the price per share you pay in this offering and the net tangible book value per share of our common stock immediately after this offering. Our net tangible book value as of September 30, 2021 was approximately $16,033,000, or $0.59 per share of our common stock. Net tangible book value per share as of September 30, 2021 is equal to our total tangible assets minus total liabilities, all divided by the number of shares of common stock outstanding as of September 30, 2021.</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After giving effect to the assumed sale by us of 22,727,272 shares of our common stock to Lincoln Park pursuant to the Purchase Agreement at an assumed sale price of $2.20 per share of our common stock, which was the last reported sale price of our common stock on Nasdaq on March 4, 2022, and the issuance of 245,700 shares of common stock to Lincoln Park as Commitment Shares and without giving effect to the Exchange Cap under the Purchase Agreement, and after deducting estimated aggregate offering expenses payable by us and the fair value of Commitment Shares, our as adjusted net tangible book value as of September 30, 2021 would have been approximately $65,337,460, or $1.31 per share of common stock. This represents an immediate increase in net tangible book value per share of $0.72 to our existing stockholders and an immediate dilution in net tangible book value of $0.89 per share to Lincoln Park.</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calculation on a per share basis.</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7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4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September 30, 2021</w:t>
            </w:r>
          </w:p>
        </w:tc>
        <w:tc>
          <w:tcPr>
            <w:tcW w:w="1820" w:type="dxa"/>
            <w:vAlign w:val="bottom"/>
          </w:tcPr>
          <w:p>
            <w:pPr>
              <w:jc w:val="right"/>
              <w:ind w:right="91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Lincoln Park</w:t>
            </w:r>
          </w:p>
        </w:tc>
        <w:tc>
          <w:tcPr>
            <w:tcW w:w="18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440" w:type="dxa"/>
            <w:vAlign w:val="bottom"/>
          </w:tcPr>
          <w:p>
            <w:pPr>
              <w:spacing w:after="0" w:line="201" w:lineRule="exact"/>
              <w:rPr>
                <w:sz w:val="20"/>
                <w:szCs w:val="20"/>
                <w:color w:val="auto"/>
              </w:rPr>
            </w:pPr>
            <w:r>
              <w:rPr>
                <w:rFonts w:ascii="Arial" w:cs="Arial" w:eastAsia="Arial" w:hAnsi="Arial"/>
                <w:sz w:val="18"/>
                <w:szCs w:val="18"/>
                <w:color w:val="auto"/>
                <w:w w:val="95"/>
              </w:rPr>
              <w:t>As adjusted net tangible book value per share as of September 30, 2021, after giving effect to this</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8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Lincoln Park</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number of shares of common stock shown above to be outstanding immediately following this offering is based on 27,020,070 shares outstanding as of September 30, 2021 and excludes:</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691,918 shares of common stock reserved for future issuance under the 2020 Incentive Plan;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295,251 shares of common stock reserved for issuance pursuant to future awards under the ESPP.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supplement also reflects and assumes no exercise of outstanding options or warrants.</w:t>
      </w:r>
    </w:p>
    <w:p>
      <w:pPr>
        <w:spacing w:after="0" w:line="22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above illustration of dilution per share to investors participating in this offering assumes no exercise of outstanding options to purchase our common stock. The exercise of outstanding options having an exercise price per share that is less than the offering price per share in this offering will increase dilution to investors in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LINCOLN PARK TRANSACTION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On March 7, 2022, we entered into the Purchase Agreement with Lincoln Park. In connection with the Purchase Agreement, on March 7, 2022, we also entered into a registration rights agreement (the “Registration Rights Agreement”) with Lincoln Park, pursuant to which we agreed to take specified actions to maintain the registration of the shares of our common stock subject to the offering described in this prospectus supplement and the accompanying prospectus. Pursuant to the terms of the Purchase Agreement, Lincoln Park has agreed to purchase from us up to $50,000,000 of our common stock (subject to certain limitations) from time to time during the term of the Purchase Agreement. Pursuant to the terms of the Purchase Agreement and Registration Rights Agreement, we have filed this prospectus supplement regarding the offer and sale under the Securities Act of the shares of common stock that we may issue and sell to Lincoln Park under the Purchase Agreement with the SEC. Pursuant to the terms of the Purchase Agreement, on the date of this prospectus supplement (which is the “commencement date” under the Purchase Agreement), we are issuing 184,275 Initial Commitment Shares to Lincoln Park. We may issue 61,425 Additional Commitment Shares to Lincoln Park following its purchase of an amount of shares which reduces the amount available to be purchased by Lincoln Park under the Purchase Agreement to $20,000,000 of shares of our common stock.</w:t>
      </w:r>
    </w:p>
    <w:p>
      <w:pPr>
        <w:spacing w:after="0" w:line="18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to our issuance of 184,275 Initial Commitment Shares to Lincoln Park as consideration for its commitment to purchase shares of our common stock under the Purchase Agreement, which is occurring on the date of this prospectus supplement, after the date of this prospectus supplement, we may, from time to time and at our sole discretion, direct Lincoln Park to purchase up to $50,000,000 of shares of our common stock at a purchase price per share based on the market price of our common stock at the time of sale as calculated under the Purchase Agreement. Lincoln Park may not assign or transfer its rights and obligations under the Purchase Agreement.</w:t>
      </w:r>
    </w:p>
    <w:p>
      <w:pPr>
        <w:spacing w:after="0" w:line="1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applicable rules of the Nasdaq Global Market, in no event may we issue or sell to Lincoln Park under the Purchase Agreement shares of our common stock in excess of 6,221,603 shares (including the Commitment Shares), which represents 19.99% of the shares of our common stock outstanding immediately prior to the execution of the Purchase Agreement, or the Exchange Cap, unless (i) we obtain stockholder approval to issue shares of our common stock in excess of the Exchange Cap or (ii) the average price of all applicable sales of our common stock to Lincoln Park under the Purchase Agreement equals or exceeds $2.20 per share (which represents the lower of (A) the official closing price of our common stock on Nasdaq on the trading day immediately preceding the date of the Purchase Agreement and (B) the average official closing price of our common stock on Nasdaq for the five (5) consecutive trading days ending on the trading day immediately preceding the date of the Purchase Agreement, adjusted such that the transactions contemplated by the Purchase Agreement are exempt from the Exchange Cap limitation under applicable Nasdaq rules. In any event, the Purchase Agreement specifically provides that we may not issue or sell any shares of our common stock under the Purchase Agreement if such issuance or sale would breach any applicable rules or regulations of the Nasdaq Global Market.</w:t>
      </w:r>
    </w:p>
    <w:p>
      <w:pPr>
        <w:spacing w:after="0" w:line="16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Purchase Agreement also prohibits us from directing Lincoln Park to purchase any shares of our common stock if those shares, when aggregated with all other shares of our common stock then beneficially owned by Lincoln Park, would result in Lincoln Park beneficially owning more than 9.99% of our outstanding shares of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Shares under the Purchase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Regular Purchases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Under the Purchase Agreement, on any business day after March 7, 2022 selected by us over the 36-month term of the Purchase Agreement, each such date a (“Purchase Date”), we may direct Lincoln Park to purchase up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to 50,000 shares of our common stock on such Purchase Date, or a Regular Purchase, if the closing sale price of our common stock on the Nasdaq Capital Market is not below $1.00 on the applicable Purchase Date; provided, however, that (i) a Regular Purchase may be increased to up to 60,000 shares, if the closing sale price of our common stock on Nasdaq is not below $2.00 on the applicable Purchase Date; (ii) a Regular Purchase may be increased to up to 80,000 shares, if the closing sale price of our common stock on Nasdaq is not below $4.00 on the applicable Purchase Date; and (iii) a Regular Purchase may be increased to up to 100,000 shares, if the closing sale price of our common stock on Nasdaq is not below $6.00 on the applicable Purchase Date provided, that Lincoln Park’s maximum purchase obligation under any single Regular Purchase will not exceed $1,500,000. In any case, the maximum amount of any single Regular Purchase may be increased upon the mutual agreement of the parties. We may direct Lincoln Park to purchase shares in Regular Purchases as often as every business day, provided that all Purchase Shares subject to all prior Regular Purchases have been delivered to Lincoln Park in accordance with the Purchase Agreement. The foregoing share amounts and per share prices will be adjusted for any reorganization, recapitalization, non-cash dividend, stock split, reverse stock split or other similar transaction occurring after the date of this prospectus supplement, as set forth in the Purchase Agreement.</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purchase price per share for each such Regular Purchase will be equal to the lesser of:</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lowest sale price for our common stock on the Nasdaq Capital Market on the date of sale;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of the three lowest closing sale prices for our common stock on the Nasdaq Capital Market during the ten (10) consecutive business days ending on the business day immediately preceding the purchase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Accelerated Purchases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also have the right to direct Lincoln Park, on any business day on which we have properly submitted a Regular Purchase notice for the maximum amount we are then permitted to sell to Lincoln Park in such Regular Purchase, to purchase an additional amount of our common stock, or an Accelerated Purchase, of up to the lesser of:</w:t>
      </w:r>
    </w:p>
    <w:p>
      <w:pPr>
        <w:spacing w:after="0" w:line="8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300% of the number of shares to be purchased pursuant to such Regular Purchase; and</w:t>
      </w:r>
    </w:p>
    <w:p>
      <w:pPr>
        <w:spacing w:after="0" w:line="130" w:lineRule="exact"/>
        <w:rPr>
          <w:rFonts w:ascii="Arial" w:cs="Arial" w:eastAsia="Arial" w:hAnsi="Arial"/>
          <w:sz w:val="18"/>
          <w:szCs w:val="18"/>
          <w:color w:val="auto"/>
        </w:rPr>
      </w:pPr>
    </w:p>
    <w:p>
      <w:pPr>
        <w:jc w:val="both"/>
        <w:ind w:left="1080" w:right="200" w:hanging="424"/>
        <w:spacing w:after="0" w:line="30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30% of the aggregate shares of our common stock traded on the Nasdaq Global Market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 price per share for each such Accelerated Purchase will be equal to 97% of the lesser of:</w:t>
      </w:r>
    </w:p>
    <w:p>
      <w:pPr>
        <w:spacing w:after="0" w:line="131" w:lineRule="exact"/>
        <w:rPr>
          <w:sz w:val="20"/>
          <w:szCs w:val="20"/>
          <w:color w:val="auto"/>
        </w:rPr>
      </w:pPr>
    </w:p>
    <w:p>
      <w:pPr>
        <w:ind w:left="1080" w:right="5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volume-weighted average price of our common stock on the Nasdaq Global Market during the applicable Accelerated Purchase Measurement Period on the applicable Accelerated Purchase date;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closing sale price of our common stock on the Nasdaq Global Market on the applicable Accelerated Purchase date.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Accelerated Purchases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also have the right to direct Lincoln Park on any business day on which an Accelerated Purchase has been completed and all of the shares to be purchased thereunder have been properly delivered to Lincoln Park in accordance with the Purchase Agreement to purchase an additional amount of our common stock, or an Additional Accelerated Purchase, of up to the lesser of:</w:t>
      </w:r>
    </w:p>
    <w:p>
      <w:pPr>
        <w:spacing w:after="0" w:line="89" w:lineRule="exact"/>
        <w:rPr>
          <w:sz w:val="20"/>
          <w:szCs w:val="20"/>
          <w:color w:val="auto"/>
        </w:rPr>
      </w:pPr>
    </w:p>
    <w:p>
      <w:pPr>
        <w:ind w:left="5460" w:right="2440" w:hanging="4804"/>
        <w:spacing w:after="0" w:line="449" w:lineRule="auto"/>
        <w:tabs>
          <w:tab w:leader="none" w:pos="10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300% of the number of shares purchased pursuant to the applicable corresponding Regular Purchase; and S-19</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 of the aggregate shares of our common stock traded on the Nasdaq Global Market during all or, if certain trading volume or market price thresholds specified in the Purchase Agreement are crossed on the applicable Additional Accelerated Purchase date, the portion of the normal trading hours on the applicable Additional Accelerated Purchase date prior to such time that any one of such thresholds is crossed, which period of time on the applicable Additional Accelerated Purchase date we refer to as the Additional Accelerated Purchase Measurement Period.</w:t>
      </w:r>
    </w:p>
    <w:p>
      <w:pPr>
        <w:spacing w:after="0" w:line="18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in our sole discretion, submit multiple Additional Accelerated Purchase notices to Lincoln Park on a single Accelerated Purchase date, provided that all prior Accelerated Purchases and Additional Accelerated Purchases (including those that have occurred earlier on the same day) have been completed and all of the shares to be purchased thereunder have been properly delivered to Lincoln Park in accordance with the Purchase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 price per share for each such Additional Accelerated Purchase will be equal to 97% of the lower of:</w:t>
      </w:r>
    </w:p>
    <w:p>
      <w:pPr>
        <w:spacing w:after="0" w:line="131" w:lineRule="exact"/>
        <w:rPr>
          <w:sz w:val="20"/>
          <w:szCs w:val="20"/>
          <w:color w:val="auto"/>
        </w:rPr>
      </w:pPr>
    </w:p>
    <w:p>
      <w:pPr>
        <w:ind w:left="1080" w:right="4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volume-weighted average price of our common stock on the Nasdaq Capital Market during the applicable Additional Accelerated Purchase Measurement Period on the applicable Additional Accelerated Purchase date;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closing sale price of our common stock on the Nasdaq Global Market on the applicable Additional Accelerated Purchase date.</w:t>
      </w:r>
    </w:p>
    <w:p>
      <w:pPr>
        <w:spacing w:after="0" w:line="237" w:lineRule="exact"/>
        <w:rPr>
          <w:sz w:val="20"/>
          <w:szCs w:val="20"/>
          <w:color w:val="auto"/>
        </w:rPr>
      </w:pPr>
    </w:p>
    <w:p>
      <w:pPr>
        <w:jc w:val="both"/>
        <w:ind w:left="120" w:right="380" w:firstLine="440"/>
        <w:spacing w:after="0" w:line="301" w:lineRule="auto"/>
        <w:rPr>
          <w:sz w:val="20"/>
          <w:szCs w:val="20"/>
          <w:color w:val="auto"/>
        </w:rPr>
      </w:pPr>
      <w:r>
        <w:rPr>
          <w:rFonts w:ascii="Arial" w:cs="Arial" w:eastAsia="Arial" w:hAnsi="Arial"/>
          <w:sz w:val="16"/>
          <w:szCs w:val="16"/>
          <w:color w:val="auto"/>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 Other than as described above, there are no trading volume requirements or restrictions under the Purchase Agreement, and we will control the timing and amount of any sales of our common stock to Lincoln Park.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Events of default under the Purchase Agreement include the following:</w:t>
      </w:r>
    </w:p>
    <w:p>
      <w:pPr>
        <w:spacing w:after="0" w:line="131" w:lineRule="exact"/>
        <w:rPr>
          <w:sz w:val="20"/>
          <w:szCs w:val="20"/>
          <w:color w:val="auto"/>
        </w:rPr>
      </w:pPr>
    </w:p>
    <w:p>
      <w:pPr>
        <w:ind w:left="1080" w:right="20" w:hanging="424"/>
        <w:spacing w:after="0" w:line="30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effectiveness of the registration statement of which this prospectus supplement and accompanying prospectus form a part lapses for any reason (including, without limitation, the issuance of a stop order by the SEC),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w:t>
      </w:r>
    </w:p>
    <w:p>
      <w:pPr>
        <w:spacing w:after="0" w:line="62"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by the principal market of our common stock from trading or failure of the common stock to be listed on the Nasdaq Global Market for a period of one business day;</w:t>
      </w:r>
    </w:p>
    <w:p>
      <w:pPr>
        <w:spacing w:after="0" w:line="75"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de-listing of our common stock from the Nasdaq Global Market, our principal market, unless our common stock is immediately thereafter trading on the Nasdaq Capital Market, the Nasdaq Global Select Market, the New York Stock Exchange, the NYSE American, the NYSE Arca, the OTC Bulletin Board or the OTCQB or the OTCQX operated by the OTC Markets Group, Inc. (or any nationally recognized successor to any of the foregoing);</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for any reason by our transfer agent to issue Purchase Shares to Lincoln Park within two business days after any Purchase Date, Accelerated Purchase date or Additional Accelerated Purchase date, as applicable, on which Lincoln Park is entitled to receive such Purchase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31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breach of the representations, warranties, covenants or other terms or conditions contained in the Purchase Agreement or Registration Rights Agreement that would be reasonably expected to have a Material Adverse Effect (as defined in the Purchase Agreement) and, in the case of a breach of a covenant that is reasonably curable, that is not cured within a period of at least five business days;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voluntary or involuntary participation or threatened participation in insolvency or bankruptcy proceedings by or against us;</w:t>
      </w:r>
    </w:p>
    <w:p>
      <w:pPr>
        <w:spacing w:after="0" w:line="130"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common stock ceases to be DTC authorized and ceases to participate in the DWAC/FAST systems or if we fail to maintain the service of our transfer agent (or a successor transfer agent) with respect to the issuance of Purchase Shares under the Purchase Agreement; or</w:t>
      </w:r>
    </w:p>
    <w:p>
      <w:pPr>
        <w:spacing w:after="0" w:line="29"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at any time the Exchange Cap (to the extent applicable under the terms of the Purchase Agreement) is reached and our stockholders have not approved the issuance of common stock in excess of the Exchange Cap in accordance with the applicable rules of the Nasdaq Capital Market.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Lincoln Park does not have the right to terminate the Purchase Agreement upon any of the events of default set forth above; however, the Purchase Agreement will automatically terminate upon initiation of insolvency or bankruptcy proceedings by or against us. During an event of default, all of which are outside of Lincoln Park’s control, we are not permitted to direct Lincoln Park to purchase any shares of our common stock under the Purchase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Termination Rights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have the unconditional right, at any time, for any reason and without any payment or liability to us, to give one business day notice to Lincoln Park to terminate the Purchase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Short-Selling or Hedging by Lincoln Park</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Lincoln Park has agreed that neither it nor any of its affiliates shall engage in any direct or indirect short-selling or hedging of our common stock during any time prior to the termination of the Purchase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Prohibitions on Other Equity Lines of Credit</w:t>
      </w:r>
    </w:p>
    <w:p>
      <w:pPr>
        <w:spacing w:after="0" w:line="121"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Subject to specified exceptions included in the Purchase Agreement, until the earlier of (i) the expiration of the 36-month term of the Purchase Agreement and (ii) the one-year anniversary of the termination of the Purchase Agreement by us prior to such expiration in accordance with the Purchase Agreement, we are limited in our ability to enter into any “equity line of credit” or other similar continuous offering in which we may offer, issue or sell common stock or securities convertible into or exercisable for common stock at a future determined price, other than an “at-the-market offering” exclusively through a registered broker-dealer acting as our agent.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Performance of the Purchase Agreement on our Stockholders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All shares registered in this offering that have been or may be issued or sold by us to Lincoln Park under the Purchase Agreement are expected to be freely tradable. Shares registered in this offering may be sold over a period of up to 36 months commencing on the date of this prospectus supplement. The sale by Lincoln Park of a significant amount of shares registered in this offering at any given time could cause the market price of our common stock to decline and to be highly volatile. Sales of our common stock to Lincoln Park, if any, will depend upon market conditions and other factors to be determined by us, in our sole discretion. We may ultimately decide to sell to Lincoln Park all, some or none of the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under the Purchase Agreement may result in substantial dilution to the interests of other holders of our common stock. In addition, if we sell 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substantial number of shares to Lincoln Park under the Purchase Agreement, or if investors expect that we will do so, the actual sales of shares or the mere existence of our arrangement with Lincoln Park may make it more difficult for us to sell equity or equity related securities in the future at a time and at a price that we might otherwise wish to effect such sales. However, we have the right to control the timing and amount of any sales of our shares to Lincoln Park and the Purchase Agreement may be terminated by us at any time at our discretion without any cost to us.</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the terms of the Purchase Agreement, we have the right, but not the obligation, to direct Lincoln Park to purchase up to $50,000,000 of our common stock, exclusive of the Commitment Shares being issued to Lincoln Park as consideration for its commitment to purchase shares of our common stock under the Purchase Agreement. The Purchase Agreement prohibits us from issuing or selling to Lincoln Park under the Purchase Agreement (i) shares of our common stock in excess of the Exchange Cap, unless we obtain stockholder approval to issue shares in excess of the Exchange Cap or the average price of all applicable sales of our common stock to Lincoln Park under the Purchase Agreement equals or exceeds $2.20 per share, such that the transactions contemplated by the Purchase Agreement are exempt from the Exchange Cap limitation under applicable Nasdaq rules and (ii) any shares of our common stock if those shares, when aggregated with all other shares of our common stock then beneficially owned by Lincoln Park, would exceed than 9.99% of our outstanding shares of common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 of Potential Proceeds to be Received under the Purchase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amount of gross proceeds we would receive from Lincoln Park from our sale of shares to Lincoln Park under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 Agreement at varying purchase prices:</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2000" w:type="dxa"/>
            <w:vAlign w:val="bottom"/>
            <w:vMerge w:val="restart"/>
          </w:tcPr>
          <w:p>
            <w:pPr>
              <w:jc w:val="center"/>
              <w:ind w:left="618"/>
              <w:spacing w:after="0"/>
              <w:rPr>
                <w:sz w:val="20"/>
                <w:szCs w:val="20"/>
                <w:color w:val="auto"/>
              </w:rPr>
            </w:pPr>
            <w:r>
              <w:rPr>
                <w:rFonts w:ascii="Arial" w:cs="Arial" w:eastAsia="Arial" w:hAnsi="Arial"/>
                <w:sz w:val="14"/>
                <w:szCs w:val="14"/>
                <w:b w:val="1"/>
                <w:bCs w:val="1"/>
                <w:color w:val="auto"/>
                <w:w w:val="88"/>
              </w:rPr>
              <w:t>Gross Proceeds to Us</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Registered</w:t>
            </w:r>
          </w:p>
        </w:tc>
        <w:tc>
          <w:tcPr>
            <w:tcW w:w="2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2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00" w:type="dxa"/>
            <w:vAlign w:val="bottom"/>
          </w:tcPr>
          <w:p>
            <w:pPr>
              <w:jc w:val="center"/>
              <w:ind w:left="618"/>
              <w:spacing w:after="0" w:line="149" w:lineRule="exact"/>
              <w:rPr>
                <w:sz w:val="20"/>
                <w:szCs w:val="20"/>
                <w:color w:val="auto"/>
              </w:rPr>
            </w:pPr>
            <w:r>
              <w:rPr>
                <w:rFonts w:ascii="Arial" w:cs="Arial" w:eastAsia="Arial" w:hAnsi="Arial"/>
                <w:sz w:val="14"/>
                <w:szCs w:val="14"/>
                <w:b w:val="1"/>
                <w:bCs w:val="1"/>
                <w:color w:val="auto"/>
                <w:w w:val="92"/>
              </w:rPr>
              <w:t>from the Sale</w:t>
            </w:r>
          </w:p>
        </w:tc>
        <w:tc>
          <w:tcPr>
            <w:tcW w:w="0" w:type="dxa"/>
            <w:vAlign w:val="bottom"/>
          </w:tcPr>
          <w:p>
            <w:pPr>
              <w:spacing w:after="0"/>
              <w:rPr>
                <w:sz w:val="1"/>
                <w:szCs w:val="1"/>
                <w:color w:val="auto"/>
              </w:rPr>
            </w:pPr>
          </w:p>
        </w:tc>
      </w:tr>
      <w:tr>
        <w:trPr>
          <w:trHeight w:val="148"/>
        </w:trPr>
        <w:tc>
          <w:tcPr>
            <w:tcW w:w="1880" w:type="dxa"/>
            <w:vAlign w:val="bottom"/>
            <w:vMerge w:val="restart"/>
          </w:tcPr>
          <w:p>
            <w:pPr>
              <w:jc w:val="center"/>
              <w:ind w:right="695"/>
              <w:spacing w:after="0"/>
              <w:rPr>
                <w:sz w:val="20"/>
                <w:szCs w:val="20"/>
                <w:color w:val="auto"/>
              </w:rPr>
            </w:pPr>
            <w:r>
              <w:rPr>
                <w:rFonts w:ascii="Arial" w:cs="Arial" w:eastAsia="Arial" w:hAnsi="Arial"/>
                <w:sz w:val="14"/>
                <w:szCs w:val="14"/>
                <w:b w:val="1"/>
                <w:bCs w:val="1"/>
                <w:color w:val="auto"/>
                <w:w w:val="90"/>
              </w:rPr>
              <w:t>Assumed Average</w:t>
            </w:r>
          </w:p>
        </w:tc>
        <w:tc>
          <w:tcPr>
            <w:tcW w:w="2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to be Issued</w:t>
            </w:r>
          </w:p>
        </w:tc>
        <w:tc>
          <w:tcPr>
            <w:tcW w:w="2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 Giving</w:t>
            </w:r>
          </w:p>
        </w:tc>
        <w:tc>
          <w:tcPr>
            <w:tcW w:w="2000" w:type="dxa"/>
            <w:vAlign w:val="bottom"/>
          </w:tcPr>
          <w:p>
            <w:pPr>
              <w:jc w:val="center"/>
              <w:ind w:left="638"/>
              <w:spacing w:after="0" w:line="149" w:lineRule="exact"/>
              <w:rPr>
                <w:sz w:val="20"/>
                <w:szCs w:val="20"/>
                <w:color w:val="auto"/>
              </w:rPr>
            </w:pPr>
            <w:r>
              <w:rPr>
                <w:rFonts w:ascii="Arial" w:cs="Arial" w:eastAsia="Arial" w:hAnsi="Arial"/>
                <w:sz w:val="14"/>
                <w:szCs w:val="14"/>
                <w:b w:val="1"/>
                <w:bCs w:val="1"/>
                <w:color w:val="auto"/>
                <w:w w:val="92"/>
              </w:rPr>
              <w:t>of Shares to Lincoln</w:t>
            </w:r>
          </w:p>
        </w:tc>
        <w:tc>
          <w:tcPr>
            <w:tcW w:w="0" w:type="dxa"/>
            <w:vAlign w:val="bottom"/>
          </w:tcPr>
          <w:p>
            <w:pPr>
              <w:spacing w:after="0"/>
              <w:rPr>
                <w:sz w:val="1"/>
                <w:szCs w:val="1"/>
                <w:color w:val="auto"/>
              </w:rPr>
            </w:pPr>
          </w:p>
        </w:tc>
      </w:tr>
      <w:tr>
        <w:trPr>
          <w:trHeight w:val="148"/>
        </w:trPr>
        <w:tc>
          <w:tcPr>
            <w:tcW w:w="1880" w:type="dxa"/>
            <w:vAlign w:val="bottom"/>
            <w:vMerge w:val="continue"/>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if Full</w:t>
            </w:r>
          </w:p>
        </w:tc>
        <w:tc>
          <w:tcPr>
            <w:tcW w:w="2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Effect to the Issuance to</w:t>
            </w:r>
          </w:p>
        </w:tc>
        <w:tc>
          <w:tcPr>
            <w:tcW w:w="2000" w:type="dxa"/>
            <w:vAlign w:val="bottom"/>
          </w:tcPr>
          <w:p>
            <w:pPr>
              <w:jc w:val="center"/>
              <w:ind w:left="638"/>
              <w:spacing w:after="0" w:line="149" w:lineRule="exact"/>
              <w:rPr>
                <w:sz w:val="20"/>
                <w:szCs w:val="20"/>
                <w:color w:val="auto"/>
              </w:rPr>
            </w:pPr>
            <w:r>
              <w:rPr>
                <w:rFonts w:ascii="Arial" w:cs="Arial" w:eastAsia="Arial" w:hAnsi="Arial"/>
                <w:sz w:val="14"/>
                <w:szCs w:val="14"/>
                <w:b w:val="1"/>
                <w:bCs w:val="1"/>
                <w:color w:val="auto"/>
                <w:w w:val="96"/>
              </w:rPr>
              <w:t>Park Under the</w:t>
            </w:r>
          </w:p>
        </w:tc>
        <w:tc>
          <w:tcPr>
            <w:tcW w:w="0" w:type="dxa"/>
            <w:vAlign w:val="bottom"/>
          </w:tcPr>
          <w:p>
            <w:pPr>
              <w:spacing w:after="0"/>
              <w:rPr>
                <w:sz w:val="1"/>
                <w:szCs w:val="1"/>
                <w:color w:val="auto"/>
              </w:rPr>
            </w:pPr>
          </w:p>
        </w:tc>
      </w:tr>
      <w:tr>
        <w:trPr>
          <w:trHeight w:val="157"/>
        </w:trPr>
        <w:tc>
          <w:tcPr>
            <w:tcW w:w="1880" w:type="dxa"/>
            <w:vAlign w:val="bottom"/>
          </w:tcPr>
          <w:p>
            <w:pPr>
              <w:jc w:val="center"/>
              <w:ind w:right="675"/>
              <w:spacing w:after="0" w:line="157" w:lineRule="exact"/>
              <w:rPr>
                <w:sz w:val="20"/>
                <w:szCs w:val="20"/>
                <w:color w:val="auto"/>
              </w:rPr>
            </w:pPr>
            <w:r>
              <w:rPr>
                <w:rFonts w:ascii="Arial" w:cs="Arial" w:eastAsia="Arial" w:hAnsi="Arial"/>
                <w:sz w:val="14"/>
                <w:szCs w:val="14"/>
                <w:b w:val="1"/>
                <w:bCs w:val="1"/>
                <w:color w:val="auto"/>
                <w:w w:val="90"/>
              </w:rPr>
              <w:t>Purchase Price</w:t>
            </w:r>
          </w:p>
        </w:tc>
        <w:tc>
          <w:tcPr>
            <w:tcW w:w="2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Purchase</w:t>
            </w:r>
            <w:r>
              <w:rPr>
                <w:rFonts w:ascii="Arial" w:cs="Arial" w:eastAsia="Arial" w:hAnsi="Arial"/>
                <w:sz w:val="12"/>
                <w:szCs w:val="12"/>
                <w:b w:val="1"/>
                <w:bCs w:val="1"/>
                <w:color w:val="auto"/>
                <w:w w:val="90"/>
              </w:rPr>
              <w:t>(1)</w:t>
            </w:r>
          </w:p>
        </w:tc>
        <w:tc>
          <w:tcPr>
            <w:tcW w:w="2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Lincoln Park</w:t>
            </w:r>
            <w:r>
              <w:rPr>
                <w:rFonts w:ascii="Arial" w:cs="Arial" w:eastAsia="Arial" w:hAnsi="Arial"/>
                <w:sz w:val="12"/>
                <w:szCs w:val="12"/>
                <w:b w:val="1"/>
                <w:bCs w:val="1"/>
                <w:color w:val="auto"/>
                <w:w w:val="97"/>
              </w:rPr>
              <w:t>(2)</w:t>
            </w:r>
          </w:p>
        </w:tc>
        <w:tc>
          <w:tcPr>
            <w:tcW w:w="2000" w:type="dxa"/>
            <w:vAlign w:val="bottom"/>
          </w:tcPr>
          <w:p>
            <w:pPr>
              <w:jc w:val="center"/>
              <w:ind w:left="638"/>
              <w:spacing w:after="0" w:line="157" w:lineRule="exact"/>
              <w:rPr>
                <w:sz w:val="20"/>
                <w:szCs w:val="20"/>
                <w:color w:val="auto"/>
              </w:rPr>
            </w:pPr>
            <w:r>
              <w:rPr>
                <w:rFonts w:ascii="Arial" w:cs="Arial" w:eastAsia="Arial" w:hAnsi="Arial"/>
                <w:sz w:val="14"/>
                <w:szCs w:val="14"/>
                <w:b w:val="1"/>
                <w:bCs w:val="1"/>
                <w:color w:val="auto"/>
                <w:w w:val="91"/>
              </w:rPr>
              <w:t>Purchase Agreement</w:t>
            </w:r>
          </w:p>
        </w:tc>
        <w:tc>
          <w:tcPr>
            <w:tcW w:w="0" w:type="dxa"/>
            <w:vAlign w:val="bottom"/>
          </w:tcPr>
          <w:p>
            <w:pPr>
              <w:spacing w:after="0"/>
              <w:rPr>
                <w:sz w:val="1"/>
                <w:szCs w:val="1"/>
                <w:color w:val="auto"/>
              </w:rPr>
            </w:pPr>
          </w:p>
        </w:tc>
      </w:tr>
      <w:tr>
        <w:trPr>
          <w:trHeight w:val="216"/>
        </w:trPr>
        <w:tc>
          <w:tcPr>
            <w:tcW w:w="1880" w:type="dxa"/>
            <w:vAlign w:val="bottom"/>
          </w:tcPr>
          <w:p>
            <w:pPr>
              <w:jc w:val="center"/>
              <w:ind w:right="695"/>
              <w:spacing w:after="0"/>
              <w:rPr>
                <w:sz w:val="20"/>
                <w:szCs w:val="20"/>
                <w:color w:val="auto"/>
              </w:rPr>
            </w:pPr>
            <w:r>
              <w:rPr>
                <w:rFonts w:ascii="Arial" w:cs="Arial" w:eastAsia="Arial" w:hAnsi="Arial"/>
                <w:sz w:val="18"/>
                <w:szCs w:val="18"/>
                <w:color w:val="auto"/>
                <w:w w:val="91"/>
              </w:rPr>
              <w:t>$2.20</w:t>
            </w:r>
            <w:r>
              <w:rPr>
                <w:rFonts w:ascii="Arial" w:cs="Arial" w:eastAsia="Arial" w:hAnsi="Arial"/>
                <w:sz w:val="15"/>
                <w:szCs w:val="15"/>
                <w:color w:val="auto"/>
                <w:w w:val="91"/>
              </w:rPr>
              <w:t>(3)</w:t>
            </w:r>
          </w:p>
        </w:tc>
        <w:tc>
          <w:tcPr>
            <w:tcW w:w="2820" w:type="dxa"/>
            <w:vAlign w:val="bottom"/>
          </w:tcPr>
          <w:p>
            <w:pPr>
              <w:jc w:val="center"/>
              <w:ind w:left="17"/>
              <w:spacing w:after="0"/>
              <w:rPr>
                <w:sz w:val="20"/>
                <w:szCs w:val="20"/>
                <w:color w:val="auto"/>
              </w:rPr>
            </w:pPr>
            <w:r>
              <w:rPr>
                <w:rFonts w:ascii="Arial" w:cs="Arial" w:eastAsia="Arial" w:hAnsi="Arial"/>
                <w:sz w:val="18"/>
                <w:szCs w:val="18"/>
                <w:color w:val="auto"/>
                <w:w w:val="89"/>
              </w:rPr>
              <w:t>6,037,328</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16.25%</w:t>
            </w:r>
          </w:p>
        </w:tc>
        <w:tc>
          <w:tcPr>
            <w:tcW w:w="2000" w:type="dxa"/>
            <w:vAlign w:val="bottom"/>
          </w:tcPr>
          <w:p>
            <w:pPr>
              <w:jc w:val="center"/>
              <w:ind w:left="618"/>
              <w:spacing w:after="0"/>
              <w:rPr>
                <w:sz w:val="20"/>
                <w:szCs w:val="20"/>
                <w:color w:val="auto"/>
              </w:rPr>
            </w:pPr>
            <w:r>
              <w:rPr>
                <w:rFonts w:ascii="Arial" w:cs="Arial" w:eastAsia="Arial" w:hAnsi="Arial"/>
                <w:sz w:val="18"/>
                <w:szCs w:val="18"/>
                <w:color w:val="auto"/>
                <w:w w:val="89"/>
              </w:rPr>
              <w:t>$13,282,122</w:t>
            </w:r>
          </w:p>
        </w:tc>
        <w:tc>
          <w:tcPr>
            <w:tcW w:w="0" w:type="dxa"/>
            <w:vAlign w:val="bottom"/>
          </w:tcPr>
          <w:p>
            <w:pPr>
              <w:spacing w:after="0"/>
              <w:rPr>
                <w:sz w:val="1"/>
                <w:szCs w:val="1"/>
                <w:color w:val="auto"/>
              </w:rPr>
            </w:pPr>
          </w:p>
        </w:tc>
      </w:tr>
      <w:tr>
        <w:trPr>
          <w:trHeight w:val="216"/>
        </w:trPr>
        <w:tc>
          <w:tcPr>
            <w:tcW w:w="1880" w:type="dxa"/>
            <w:vAlign w:val="bottom"/>
          </w:tcPr>
          <w:p>
            <w:pPr>
              <w:jc w:val="right"/>
              <w:ind w:right="1115"/>
              <w:spacing w:after="0"/>
              <w:rPr>
                <w:sz w:val="20"/>
                <w:szCs w:val="20"/>
                <w:color w:val="auto"/>
              </w:rPr>
            </w:pPr>
            <w:r>
              <w:rPr>
                <w:rFonts w:ascii="Arial" w:cs="Arial" w:eastAsia="Arial" w:hAnsi="Arial"/>
                <w:sz w:val="18"/>
                <w:szCs w:val="18"/>
                <w:color w:val="auto"/>
              </w:rPr>
              <w:t>$3.00</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16,666,667</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34.87%</w:t>
            </w:r>
          </w:p>
        </w:tc>
        <w:tc>
          <w:tcPr>
            <w:tcW w:w="2000" w:type="dxa"/>
            <w:vAlign w:val="bottom"/>
          </w:tcPr>
          <w:p>
            <w:pPr>
              <w:jc w:val="center"/>
              <w:ind w:left="618"/>
              <w:spacing w:after="0"/>
              <w:rPr>
                <w:sz w:val="20"/>
                <w:szCs w:val="20"/>
                <w:color w:val="auto"/>
              </w:rPr>
            </w:pPr>
            <w:r>
              <w:rPr>
                <w:rFonts w:ascii="Arial" w:cs="Arial" w:eastAsia="Arial" w:hAnsi="Arial"/>
                <w:sz w:val="18"/>
                <w:szCs w:val="18"/>
                <w:color w:val="auto"/>
                <w:w w:val="89"/>
              </w:rPr>
              <w:t>$50,000,000</w:t>
            </w:r>
          </w:p>
        </w:tc>
        <w:tc>
          <w:tcPr>
            <w:tcW w:w="0" w:type="dxa"/>
            <w:vAlign w:val="bottom"/>
          </w:tcPr>
          <w:p>
            <w:pPr>
              <w:spacing w:after="0"/>
              <w:rPr>
                <w:sz w:val="1"/>
                <w:szCs w:val="1"/>
                <w:color w:val="auto"/>
              </w:rPr>
            </w:pPr>
          </w:p>
        </w:tc>
      </w:tr>
      <w:tr>
        <w:trPr>
          <w:trHeight w:val="216"/>
        </w:trPr>
        <w:tc>
          <w:tcPr>
            <w:tcW w:w="1880" w:type="dxa"/>
            <w:vAlign w:val="bottom"/>
          </w:tcPr>
          <w:p>
            <w:pPr>
              <w:jc w:val="right"/>
              <w:ind w:right="1115"/>
              <w:spacing w:after="0"/>
              <w:rPr>
                <w:sz w:val="20"/>
                <w:szCs w:val="20"/>
                <w:color w:val="auto"/>
              </w:rPr>
            </w:pPr>
            <w:r>
              <w:rPr>
                <w:rFonts w:ascii="Arial" w:cs="Arial" w:eastAsia="Arial" w:hAnsi="Arial"/>
                <w:sz w:val="18"/>
                <w:szCs w:val="18"/>
                <w:color w:val="auto"/>
              </w:rPr>
              <w:t>$4.00</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12,500,000</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28.65%</w:t>
            </w:r>
          </w:p>
        </w:tc>
        <w:tc>
          <w:tcPr>
            <w:tcW w:w="2000" w:type="dxa"/>
            <w:vAlign w:val="bottom"/>
          </w:tcPr>
          <w:p>
            <w:pPr>
              <w:jc w:val="center"/>
              <w:ind w:left="618"/>
              <w:spacing w:after="0"/>
              <w:rPr>
                <w:sz w:val="20"/>
                <w:szCs w:val="20"/>
                <w:color w:val="auto"/>
              </w:rPr>
            </w:pPr>
            <w:r>
              <w:rPr>
                <w:rFonts w:ascii="Arial" w:cs="Arial" w:eastAsia="Arial" w:hAnsi="Arial"/>
                <w:sz w:val="18"/>
                <w:szCs w:val="18"/>
                <w:color w:val="auto"/>
                <w:w w:val="89"/>
              </w:rPr>
              <w:t>$50,000,000</w:t>
            </w:r>
          </w:p>
        </w:tc>
        <w:tc>
          <w:tcPr>
            <w:tcW w:w="0" w:type="dxa"/>
            <w:vAlign w:val="bottom"/>
          </w:tcPr>
          <w:p>
            <w:pPr>
              <w:spacing w:after="0"/>
              <w:rPr>
                <w:sz w:val="1"/>
                <w:szCs w:val="1"/>
                <w:color w:val="auto"/>
              </w:rPr>
            </w:pPr>
          </w:p>
        </w:tc>
      </w:tr>
      <w:tr>
        <w:trPr>
          <w:trHeight w:val="216"/>
        </w:trPr>
        <w:tc>
          <w:tcPr>
            <w:tcW w:w="1880" w:type="dxa"/>
            <w:vAlign w:val="bottom"/>
          </w:tcPr>
          <w:p>
            <w:pPr>
              <w:jc w:val="right"/>
              <w:ind w:right="1115"/>
              <w:spacing w:after="0"/>
              <w:rPr>
                <w:sz w:val="20"/>
                <w:szCs w:val="20"/>
                <w:color w:val="auto"/>
              </w:rPr>
            </w:pPr>
            <w:r>
              <w:rPr>
                <w:rFonts w:ascii="Arial" w:cs="Arial" w:eastAsia="Arial" w:hAnsi="Arial"/>
                <w:sz w:val="18"/>
                <w:szCs w:val="18"/>
                <w:color w:val="auto"/>
              </w:rPr>
              <w:t>$5.00</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10,000,000</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24.32%</w:t>
            </w:r>
          </w:p>
        </w:tc>
        <w:tc>
          <w:tcPr>
            <w:tcW w:w="2000" w:type="dxa"/>
            <w:vAlign w:val="bottom"/>
          </w:tcPr>
          <w:p>
            <w:pPr>
              <w:jc w:val="center"/>
              <w:ind w:left="618"/>
              <w:spacing w:after="0"/>
              <w:rPr>
                <w:sz w:val="20"/>
                <w:szCs w:val="20"/>
                <w:color w:val="auto"/>
              </w:rPr>
            </w:pPr>
            <w:r>
              <w:rPr>
                <w:rFonts w:ascii="Arial" w:cs="Arial" w:eastAsia="Arial" w:hAnsi="Arial"/>
                <w:sz w:val="18"/>
                <w:szCs w:val="18"/>
                <w:color w:val="auto"/>
                <w:w w:val="89"/>
              </w:rPr>
              <w:t>$50,000,000</w:t>
            </w:r>
          </w:p>
        </w:tc>
        <w:tc>
          <w:tcPr>
            <w:tcW w:w="0" w:type="dxa"/>
            <w:vAlign w:val="bottom"/>
          </w:tcPr>
          <w:p>
            <w:pPr>
              <w:spacing w:after="0"/>
              <w:rPr>
                <w:sz w:val="1"/>
                <w:szCs w:val="1"/>
                <w:color w:val="auto"/>
              </w:rPr>
            </w:pPr>
          </w:p>
        </w:tc>
      </w:tr>
      <w:tr>
        <w:trPr>
          <w:trHeight w:val="216"/>
        </w:trPr>
        <w:tc>
          <w:tcPr>
            <w:tcW w:w="1880" w:type="dxa"/>
            <w:vAlign w:val="bottom"/>
          </w:tcPr>
          <w:p>
            <w:pPr>
              <w:jc w:val="right"/>
              <w:ind w:right="1115"/>
              <w:spacing w:after="0"/>
              <w:rPr>
                <w:sz w:val="20"/>
                <w:szCs w:val="20"/>
                <w:color w:val="auto"/>
              </w:rPr>
            </w:pPr>
            <w:r>
              <w:rPr>
                <w:rFonts w:ascii="Arial" w:cs="Arial" w:eastAsia="Arial" w:hAnsi="Arial"/>
                <w:sz w:val="18"/>
                <w:szCs w:val="18"/>
                <w:color w:val="auto"/>
              </w:rPr>
              <w:t>$6.00</w:t>
            </w:r>
          </w:p>
        </w:tc>
        <w:tc>
          <w:tcPr>
            <w:tcW w:w="2820" w:type="dxa"/>
            <w:vAlign w:val="bottom"/>
          </w:tcPr>
          <w:p>
            <w:pPr>
              <w:jc w:val="center"/>
              <w:ind w:left="17"/>
              <w:spacing w:after="0"/>
              <w:rPr>
                <w:sz w:val="20"/>
                <w:szCs w:val="20"/>
                <w:color w:val="auto"/>
              </w:rPr>
            </w:pPr>
            <w:r>
              <w:rPr>
                <w:rFonts w:ascii="Arial" w:cs="Arial" w:eastAsia="Arial" w:hAnsi="Arial"/>
                <w:sz w:val="18"/>
                <w:szCs w:val="18"/>
                <w:color w:val="auto"/>
                <w:w w:val="89"/>
              </w:rPr>
              <w:t>8,333,333</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21.12%</w:t>
            </w:r>
          </w:p>
        </w:tc>
        <w:tc>
          <w:tcPr>
            <w:tcW w:w="2000" w:type="dxa"/>
            <w:vAlign w:val="bottom"/>
          </w:tcPr>
          <w:p>
            <w:pPr>
              <w:jc w:val="center"/>
              <w:ind w:left="618"/>
              <w:spacing w:after="0"/>
              <w:rPr>
                <w:sz w:val="20"/>
                <w:szCs w:val="20"/>
                <w:color w:val="auto"/>
              </w:rPr>
            </w:pPr>
            <w:r>
              <w:rPr>
                <w:rFonts w:ascii="Arial" w:cs="Arial" w:eastAsia="Arial" w:hAnsi="Arial"/>
                <w:sz w:val="18"/>
                <w:szCs w:val="18"/>
                <w:color w:val="auto"/>
                <w:w w:val="89"/>
              </w:rPr>
              <w:t>$50,000,000</w:t>
            </w:r>
          </w:p>
        </w:tc>
        <w:tc>
          <w:tcPr>
            <w:tcW w:w="0" w:type="dxa"/>
            <w:vAlign w:val="bottom"/>
          </w:tcPr>
          <w:p>
            <w:pPr>
              <w:spacing w:after="0"/>
              <w:rPr>
                <w:sz w:val="1"/>
                <w:szCs w:val="1"/>
                <w:color w:val="auto"/>
              </w:rPr>
            </w:pPr>
          </w:p>
        </w:tc>
      </w:tr>
      <w:tr>
        <w:trPr>
          <w:trHeight w:val="230"/>
        </w:trPr>
        <w:tc>
          <w:tcPr>
            <w:tcW w:w="1880" w:type="dxa"/>
            <w:vAlign w:val="bottom"/>
          </w:tcPr>
          <w:p>
            <w:pPr>
              <w:jc w:val="right"/>
              <w:ind w:right="1115"/>
              <w:spacing w:after="0"/>
              <w:rPr>
                <w:sz w:val="20"/>
                <w:szCs w:val="20"/>
                <w:color w:val="auto"/>
              </w:rPr>
            </w:pPr>
            <w:r>
              <w:rPr>
                <w:rFonts w:ascii="Arial" w:cs="Arial" w:eastAsia="Arial" w:hAnsi="Arial"/>
                <w:sz w:val="18"/>
                <w:szCs w:val="18"/>
                <w:color w:val="auto"/>
              </w:rPr>
              <w:t>$7.00</w:t>
            </w:r>
          </w:p>
        </w:tc>
        <w:tc>
          <w:tcPr>
            <w:tcW w:w="2820" w:type="dxa"/>
            <w:vAlign w:val="bottom"/>
          </w:tcPr>
          <w:p>
            <w:pPr>
              <w:jc w:val="center"/>
              <w:ind w:left="17"/>
              <w:spacing w:after="0"/>
              <w:rPr>
                <w:sz w:val="20"/>
                <w:szCs w:val="20"/>
                <w:color w:val="auto"/>
              </w:rPr>
            </w:pPr>
            <w:r>
              <w:rPr>
                <w:rFonts w:ascii="Arial" w:cs="Arial" w:eastAsia="Arial" w:hAnsi="Arial"/>
                <w:sz w:val="18"/>
                <w:szCs w:val="18"/>
                <w:color w:val="auto"/>
                <w:w w:val="89"/>
              </w:rPr>
              <w:t>7,142,857</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18.67%</w:t>
            </w:r>
          </w:p>
        </w:tc>
        <w:tc>
          <w:tcPr>
            <w:tcW w:w="2000" w:type="dxa"/>
            <w:vAlign w:val="bottom"/>
          </w:tcPr>
          <w:p>
            <w:pPr>
              <w:jc w:val="center"/>
              <w:ind w:left="618"/>
              <w:spacing w:after="0"/>
              <w:rPr>
                <w:sz w:val="20"/>
                <w:szCs w:val="20"/>
                <w:color w:val="auto"/>
              </w:rPr>
            </w:pPr>
            <w:r>
              <w:rPr>
                <w:rFonts w:ascii="Arial" w:cs="Arial" w:eastAsia="Arial" w:hAnsi="Arial"/>
                <w:sz w:val="18"/>
                <w:szCs w:val="18"/>
                <w:color w:val="auto"/>
                <w:w w:val="89"/>
              </w:rPr>
              <w:t>$50,000,000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80" w:hanging="424"/>
        <w:spacing w:after="0" w:line="286"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the total number of Purchase Shares which we would have sold under the Purchase Agreement at the corresponding assumed average purchase price set forth in the first column, up to the aggregate purchase price of $50,000,000, if available, while giving effect to the Exchange Cap (subject to the average sales price exception above $2.20 per share) and without regard for the limitation of 9.99% of our outstanding shares of common stock that Lincoln Park may beneficially own under the Purchase Agreement, and excludes the Commitment Shares.</w:t>
      </w:r>
    </w:p>
    <w:p>
      <w:pPr>
        <w:spacing w:after="0" w:line="1"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denominator is based on 31,123,578 shares outstanding as of March 4, 2022. The numerator is based on the number of shares issuable under the Purchase Agreement (that are the subject of this offering) at the corresponding assumed average purchase price set forth in the first column, which excludes the issuance of any Commitment Shares.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sale price of our common stock on the Nasdaq Capital Market on March 4, 2022.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with Respect to Lincoln Park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Immediately prior to the date of the Purchase Agreement, Lincoln Park Capital Fund, LLC did not beneficially own any shares of Common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Lincoln Park Capital, LLC is not a licensed broker dealer or an affiliate of a licensed broker dealer.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Pursuant to this prospectus supplement and the accompanying prospectus, we are offering up to $50,000,000 of shares of common stock that we may issue and sell to Lincoln Park from time to time pursuant to the Purchase Agreement and 184,275 shares of our common stock being issued to Lincoln Park as Initial Commitment Shares under the Purchase Agreement.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the commencement date of the Purchase Agreement, which is the date of this prospectus supplement, we will issue 184,275 Initial Commitment Shares to Lincoln Park. We may issue 61,425 shares of our common stock as Additional Commitment Shares in connection with the purchase of our common stock by Lincoln Park. It is anticipated that shares offered to Lincoln Park in this offering will be sold over a period of up to 36 months from the date of this prospectus supplement. This prospectus supplement and the accompanying prospectus also cover the resale of these shares by Lincoln Park to the public.</w:t>
      </w:r>
    </w:p>
    <w:p>
      <w:pPr>
        <w:spacing w:after="0" w:line="18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We may, from time to time after the date of this prospectus supplement and at our sole discretion, direct Lincoln Park to purchase shares of our common stock in a Regular Purchase in amounts up to 50,000 shares on any single business day during the term of the Purchase Agreement, which amounts may be increased to up to 100,000 shares of our common stock depending on the market price of our common stock at the time of sale, subject to further increases upon the parties mutual agreement, which share amounts and related market prices will be adjusted for any reorganization, recapitalization, non- cash dividend, stock split, reverse stock split or other similar transaction occurring after the date of this prospectus supplement, as set forth in the Purchase Agreement. In addition, upon notice to Lincoln Park, we may, from time to time and at our sole discretion, direct Lincoln Park to purchase shares of our common stock in Accelerated Purchases and Additional Accelerated Purchase as set forth in the Purchase Agreement. The purchase price per share in a Regular Purchase, Accelerated Purchase and Additional Accelerated Purchase will be based on the market price of our common stock at the time of sale as computed under the Purchase Agreement. Lincoln Park may not assign or transfer its rights and obligations under the Purchase Agreement. See “Lincoln Park Transaction-Purchases of Shares under the Purchase Agreement.”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Lincoln Park is an “underwriter” within the meaning of Section 2(a)(11) of the Securities Act.</w:t>
      </w:r>
    </w:p>
    <w:p>
      <w:pPr>
        <w:spacing w:after="0" w:line="225"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We have agreed to indemnify Lincoln Park and certain other persons against certain liabilities in connection with the offering of shares of our common stock offered. We have agreed to reimburse Lincoln Park for certain of its expenses in connection with the offering.</w:t>
      </w:r>
    </w:p>
    <w:p>
      <w:pPr>
        <w:spacing w:after="0" w:line="14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8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have advised Lincoln Park that it is required to comply with Regulation M promulgated under the Exchange Act. With certain exceptions, Regulation M precludes Lincoln Park,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spacing w:after="0" w:line="16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This offering will terminate at the end of the “Registration Period” as defined in the Registration Rights Agreement following the date that all shares offered by this prospectus supplement have been sold to Lincoln Park.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Market and trades under the symbol “BDSX.” The transfer agent of our common stock is Computershare.</w:t>
      </w:r>
    </w:p>
    <w:p>
      <w:pPr>
        <w:spacing w:after="0" w:line="10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0680"/>
          </w:cols>
          <w:pgMar w:left="320" w:top="459" w:right="8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legal matters in connection with the securities offered hereby will be passed upon for us by Sidley Austin LLP.</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financial statements of Biodesix, Inc. as of December 31, 2020 and 2019, and for each of the years in the two-year period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have been incorporated by reference herein and in the registration statement in reliance upon the report of KPMG LLP,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registered public accounting firm, incorporated by reference herein, and upon the authority of said firm as experts in accounting and auditing.</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filed with the SEC a registration statement on Form S-3 under the Securities Act, of which this prospectus supplement and the accompanying prospectus form a part. This prospectus supplement does not contain all of the information set forth in the registration statement, of which it is a part, and its exhibits and schedules in accordance with SEC rules and regulations. For further information with respect to us and the securities being offered hereby, you should read the registration statement, including its exhibits and schedules. Statements contained in this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are subject to the information and periodic reporting requirements of the Exchange Act, and we file annual, quarterly and current reports, proxy statements and other documents with the SEC. The SEC maintains a website that contains reports, proxy and information statements and other information regarding issuers, including us, that file electronically with the SEC. You may obtain documents that we file with the SEC at http://www.sec.gov.</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also make these documents available on our website at www.biodesix.com. Our website and the information contained or accessible through our website is not incorporated by reference into this prospectus supplement, and you should not consider it a part of this prospectus supplement, the accompanying prospectus or the registration statement of which they are a part.</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SEC rules permit us to incorporate information by reference in this prospectus supplement and the accompanying prospectus. This means that we can disclose important information to you by referring you to another document filed separately with the SEC. The information incorporated by reference is considered to be part of this prospectus supplement, except for information superseded by information contained in this prospectus supplement itself or in any subsequently filed incorporated document. This prospectus supplement incorporates by reference the documents set forth below that we have previously filed with the SEC (Commission File No. 001-39659), other than information in such documents that is deemed to be furnished and not filed. These documents contain important information about us and our business and financial condition.</w:t>
      </w:r>
    </w:p>
    <w:p>
      <w:pPr>
        <w:spacing w:after="0" w:line="70"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3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16, 2021;</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periods ended </w:t>
      </w:r>
      <w:hyperlink r:id="rId39">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1">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 filed with the SEC on May 11, 2021, August 10, 2021 and November 15, 2021, respectively;</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
        </w:numPr>
        <w:rPr>
          <w:rFonts w:ascii="Arial" w:cs="Arial" w:eastAsia="Arial" w:hAnsi="Arial"/>
          <w:sz w:val="18"/>
          <w:szCs w:val="18"/>
          <w:color w:val="0000EE"/>
        </w:rPr>
      </w:pPr>
      <w:hyperlink r:id="rId42">
        <w:r>
          <w:rPr>
            <w:rFonts w:ascii="Arial" w:cs="Arial" w:eastAsia="Arial" w:hAnsi="Arial"/>
            <w:sz w:val="18"/>
            <w:szCs w:val="18"/>
            <w:color w:val="auto"/>
          </w:rPr>
          <w:t xml:space="preserve">Current Reports on Form 8-K, filed with the SEC on </w:t>
        </w:r>
        <w:r>
          <w:rPr>
            <w:rFonts w:ascii="Arial" w:cs="Arial" w:eastAsia="Arial" w:hAnsi="Arial"/>
            <w:sz w:val="18"/>
            <w:szCs w:val="18"/>
            <w:u w:val="single" w:color="auto"/>
            <w:color w:val="0000EE"/>
          </w:rPr>
          <w:t>January 5, 2021 (Item 5.02 only)</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23,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27,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December 8,</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2021 (Item 5.02 only)</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3">
        <w:r>
          <w:rPr>
            <w:rFonts w:ascii="Arial" w:cs="Arial" w:eastAsia="Arial" w:hAnsi="Arial"/>
            <w:sz w:val="18"/>
            <w:szCs w:val="18"/>
            <w:u w:val="single" w:color="auto"/>
            <w:color w:val="0000EE"/>
          </w:rPr>
          <w:t xml:space="preserve">January 4, 2022 </w:t>
        </w:r>
      </w:hyperlink>
      <w:hyperlink r:id="rId42">
        <w:r>
          <w:rPr>
            <w:rFonts w:ascii="Arial" w:cs="Arial" w:eastAsia="Arial" w:hAnsi="Arial"/>
            <w:sz w:val="18"/>
            <w:szCs w:val="18"/>
            <w:color w:val="000000"/>
          </w:rPr>
          <w:t>and February 14, 2022;</w:t>
        </w:r>
      </w:hyperlink>
    </w:p>
    <w:p>
      <w:pPr>
        <w:spacing w:after="0" w:line="75" w:lineRule="exact"/>
        <w:rPr>
          <w:rFonts w:ascii="Arial" w:cs="Arial" w:eastAsia="Arial" w:hAnsi="Arial"/>
          <w:sz w:val="18"/>
          <w:szCs w:val="18"/>
          <w:color w:val="0000EE"/>
        </w:rPr>
      </w:pPr>
    </w:p>
    <w:p>
      <w:pPr>
        <w:ind w:left="1080" w:right="360" w:hanging="424"/>
        <w:spacing w:after="0" w:line="277" w:lineRule="auto"/>
        <w:tabs>
          <w:tab w:leader="none" w:pos="1080" w:val="left"/>
        </w:tabs>
        <w:numPr>
          <w:ilvl w:val="0"/>
          <w:numId w:val="18"/>
        </w:numPr>
        <w:rPr>
          <w:rFonts w:ascii="Arial" w:cs="Arial" w:eastAsia="Arial" w:hAnsi="Arial"/>
          <w:sz w:val="18"/>
          <w:szCs w:val="18"/>
          <w:color w:val="0000EE"/>
        </w:rPr>
      </w:pPr>
      <w:hyperlink r:id="rId44">
        <w:r>
          <w:rPr>
            <w:rFonts w:ascii="Arial" w:cs="Arial" w:eastAsia="Arial" w:hAnsi="Arial"/>
            <w:sz w:val="18"/>
            <w:szCs w:val="18"/>
            <w:color w:val="auto"/>
          </w:rPr>
          <w:t xml:space="preserve">the information specifically incorporated by reference into our Annual Report on </w:t>
        </w:r>
        <w:r>
          <w:rPr>
            <w:rFonts w:ascii="Arial" w:cs="Arial" w:eastAsia="Arial" w:hAnsi="Arial"/>
            <w:sz w:val="18"/>
            <w:szCs w:val="18"/>
            <w:u w:val="single" w:color="auto"/>
            <w:color w:val="0000EE"/>
          </w:rPr>
          <w:t>Form 10-K</w:t>
        </w:r>
        <w:r>
          <w:rPr>
            <w:rFonts w:ascii="Arial" w:cs="Arial" w:eastAsia="Arial" w:hAnsi="Arial"/>
            <w:sz w:val="18"/>
            <w:szCs w:val="18"/>
            <w:color w:val="auto"/>
          </w:rPr>
          <w:t xml:space="preserve"> from our </w:t>
        </w:r>
        <w:r>
          <w:rPr>
            <w:rFonts w:ascii="Arial" w:cs="Arial" w:eastAsia="Arial" w:hAnsi="Arial"/>
            <w:sz w:val="18"/>
            <w:szCs w:val="18"/>
            <w:u w:val="single" w:color="auto"/>
            <w:color w:val="0000EE"/>
          </w:rPr>
          <w:t>Definitive Proxy Statement on</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Schedule 14A</w:t>
        </w:r>
        <w:r>
          <w:rPr>
            <w:rFonts w:ascii="Arial" w:cs="Arial" w:eastAsia="Arial" w:hAnsi="Arial"/>
            <w:sz w:val="18"/>
            <w:szCs w:val="18"/>
            <w:color w:val="000000"/>
          </w:rPr>
          <w:t>, filed with the SEC on April 29, 2021; and</w:t>
        </w:r>
      </w:hyperlink>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5">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October 26, 2020.</w:t>
      </w:r>
    </w:p>
    <w:p>
      <w:pPr>
        <w:spacing w:after="0" w:line="225" w:lineRule="exact"/>
        <w:rPr>
          <w:rFonts w:ascii="Arial" w:cs="Arial" w:eastAsia="Arial" w:hAnsi="Arial"/>
          <w:sz w:val="18"/>
          <w:szCs w:val="18"/>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this prospectus supplement shall be deemed to be incorporated by reference into</w:t>
      </w:r>
    </w:p>
    <w:p>
      <w:pPr>
        <w:spacing w:after="0" w:line="10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40"/>
          </w:cols>
          <w:pgMar w:left="32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this prospectus supplement and will automatically update and supersede the information in this prospectus supplement, the accompanying prospectus and any previously filed documents. All documents that we file (but not those that we furnish) pursuant to Section 13(a), 13(c), 14 or 15(d) of the Exchange Act on or after the date of this prospectus supplement and prior to the termination of the offering of any of the securities covered under this prospectus shall be deemed to be incorporated by reference into this prospectus and will automatically update and supersede the information in this prospectus and any previously filed documents.</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prospectus supplement shall be deemed to be modified or superseded for purposes of this prospectus supplement to the extent that a statement contained in this prospectus supplement, or in any other subsequently filed document which also is or is deemed to be incorporated by reference in this prospectus supplement, modifies or supersedes such earlier statement. Any statement so modified or superseded shall not be deemed, except as so modified or superseded, to constitute a part of this prospectus supplement.</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You can obtain any of the filings incorporated by reference into this prospectus supplement through us or from the SEC through the SEC’s website at http://www.sec.gov. Upon request, we will provide, without charge, a copy of any or all of the reports and documents referred to above which have been incorporated by reference into this prospectus supplement. Prospective investors may obtain documents incorporated by reference in this prospectus supplement by requesting them in writing or by telephone from us at our executive offices at:</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Boulder, Colorado 80301 (303) 417-0500</w:t>
      </w:r>
    </w:p>
    <w:p>
      <w:pPr>
        <w:spacing w:after="0" w:line="21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“Incorporation of Certain Information by Reference”) is not incorporated by reference into this prospectus supplement and you should not consider it a part of this prospectus supplement, the accompanying prospectus or the registration statement of which they are a part.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171450</wp:posOffset>
            </wp:positionV>
            <wp:extent cx="1997075"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$250,000,000</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BIODESIX, INC.</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Rights to Purchase Common Stock, Preferred Stock or Units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rights to purchase common stock, preferred stock or units, as well as units that include any of these securities. We may sell any combination of these securities in one or more offerings with an aggregate offering price of up to $250,000,000.</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prospectus provides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offer and sell securities unless accompanied by the applicable prospectus supplement.</w:t>
      </w:r>
    </w:p>
    <w:p>
      <w:pPr>
        <w:spacing w:after="0" w:line="22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“BDSX.” On November 23, 2021, the last reported sale price of our common stock was $6.29.</w:t>
      </w:r>
    </w:p>
    <w:p>
      <w:pPr>
        <w:spacing w:after="0" w:line="170"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may sell the securities directly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36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hyperlink w:anchor="page3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 of this prospectus</w:t>
      </w:r>
      <w:r>
        <w:rPr>
          <w:rFonts w:ascii="Arial" w:cs="Arial" w:eastAsia="Arial" w:hAnsi="Arial"/>
          <w:sz w:val="22"/>
          <w:szCs w:val="22"/>
          <w:b w:val="1"/>
          <w:bCs w:val="1"/>
          <w:i w:val="1"/>
          <w:iCs w:val="1"/>
          <w:color w:val="auto"/>
        </w:rPr>
        <w:t>.</w:t>
      </w:r>
    </w:p>
    <w:p>
      <w:pPr>
        <w:spacing w:after="0" w:line="189"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November 29, 2021</w:t>
      </w:r>
    </w:p>
    <w:p>
      <w:pPr>
        <w:sectPr>
          <w:pgSz w:w="11900" w:h="16838" w:orient="portrait"/>
          <w:cols w:equalWidth="0" w:num="1">
            <w:col w:w="11140"/>
          </w:cols>
          <w:pgMar w:left="320" w:top="459" w:right="4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140" w:type="dxa"/>
            <w:vAlign w:val="bottom"/>
            <w:gridSpan w:val="1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9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02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20" w:type="dxa"/>
            <w:vAlign w:val="bottom"/>
          </w:tcPr>
          <w:p>
            <w:pPr>
              <w:spacing w:after="0"/>
              <w:rPr>
                <w:sz w:val="19"/>
                <w:szCs w:val="19"/>
                <w:color w:val="auto"/>
              </w:rPr>
            </w:pPr>
          </w:p>
        </w:tc>
        <w:tc>
          <w:tcPr>
            <w:tcW w:w="2220" w:type="dxa"/>
            <w:vAlign w:val="bottom"/>
            <w:tcBorders>
              <w:top w:val="single" w:sz="8" w:color="0000EE"/>
            </w:tcBorders>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1800" w:type="dxa"/>
            <w:vAlign w:val="bottom"/>
            <w:gridSpan w:val="5"/>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20" w:type="dxa"/>
            <w:vAlign w:val="bottom"/>
          </w:tcPr>
          <w:p>
            <w:pPr>
              <w:spacing w:after="0"/>
              <w:rPr>
                <w:sz w:val="19"/>
                <w:szCs w:val="19"/>
                <w:color w:val="auto"/>
              </w:rPr>
            </w:pPr>
          </w:p>
        </w:tc>
        <w:tc>
          <w:tcPr>
            <w:tcW w:w="2920" w:type="dxa"/>
            <w:vAlign w:val="bottom"/>
            <w:tcBorders>
              <w:top w:val="single" w:sz="8" w:color="0000EE"/>
            </w:tcBorders>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BIODESIX, INC.</w:t>
              </w:r>
            </w:hyperlink>
          </w:p>
        </w:tc>
        <w:tc>
          <w:tcPr>
            <w:tcW w:w="1100" w:type="dxa"/>
            <w:vAlign w:val="bottom"/>
            <w:gridSpan w:val="2"/>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USE OF PROCEEDS</w:t>
              </w:r>
            </w:hyperlink>
          </w:p>
        </w:tc>
        <w:tc>
          <w:tcPr>
            <w:tcW w:w="2440" w:type="dxa"/>
            <w:vAlign w:val="bottom"/>
            <w:gridSpan w:val="9"/>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20" w:type="dxa"/>
            <w:vAlign w:val="bottom"/>
          </w:tcPr>
          <w:p>
            <w:pPr>
              <w:spacing w:after="0"/>
              <w:rPr>
                <w:sz w:val="19"/>
                <w:szCs w:val="19"/>
                <w:color w:val="auto"/>
              </w:rPr>
            </w:pPr>
          </w:p>
        </w:tc>
        <w:tc>
          <w:tcPr>
            <w:tcW w:w="24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DESCRIPTION OF WARRANTS</w:t>
              </w:r>
            </w:hyperlink>
          </w:p>
        </w:tc>
        <w:tc>
          <w:tcPr>
            <w:tcW w:w="380" w:type="dxa"/>
            <w:vAlign w:val="bottom"/>
            <w:tcBorders>
              <w:top w:val="single" w:sz="8" w:color="0000EE"/>
            </w:tcBorders>
          </w:tcPr>
          <w:p>
            <w:pPr>
              <w:spacing w:after="0"/>
              <w:rPr>
                <w:sz w:val="19"/>
                <w:szCs w:val="19"/>
                <w:color w:val="auto"/>
              </w:rPr>
            </w:pPr>
          </w:p>
        </w:tc>
        <w:tc>
          <w:tcPr>
            <w:tcW w:w="1160" w:type="dxa"/>
            <w:vAlign w:val="bottom"/>
            <w:gridSpan w:val="3"/>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120" w:type="dxa"/>
            <w:vAlign w:val="bottom"/>
          </w:tcPr>
          <w:p>
            <w:pPr>
              <w:spacing w:after="0"/>
              <w:rPr>
                <w:sz w:val="19"/>
                <w:szCs w:val="19"/>
                <w:color w:val="auto"/>
              </w:rPr>
            </w:pPr>
          </w:p>
        </w:tc>
        <w:tc>
          <w:tcPr>
            <w:tcW w:w="21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DESCRIPTION OF RIGHTS</w:t>
              </w:r>
            </w:hyperlink>
          </w:p>
        </w:tc>
        <w:tc>
          <w:tcPr>
            <w:tcW w:w="1880" w:type="dxa"/>
            <w:vAlign w:val="bottom"/>
            <w:gridSpan w:val="6"/>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20" w:type="dxa"/>
            <w:vAlign w:val="bottom"/>
          </w:tcPr>
          <w:p>
            <w:pPr>
              <w:spacing w:after="0"/>
              <w:rPr>
                <w:sz w:val="19"/>
                <w:szCs w:val="19"/>
                <w:color w:val="auto"/>
              </w:rPr>
            </w:pPr>
          </w:p>
        </w:tc>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DESCRIPTION OF UNITS</w:t>
              </w:r>
            </w:hyperlink>
          </w:p>
        </w:tc>
        <w:tc>
          <w:tcPr>
            <w:tcW w:w="2000" w:type="dxa"/>
            <w:vAlign w:val="bottom"/>
            <w:gridSpan w:val="8"/>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12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9"/>
                <w:szCs w:val="19"/>
                <w:color w:val="auto"/>
              </w:rPr>
            </w:pPr>
          </w:p>
        </w:tc>
        <w:tc>
          <w:tcPr>
            <w:tcW w:w="1980" w:type="dxa"/>
            <w:vAlign w:val="bottom"/>
            <w:gridSpan w:val="7"/>
          </w:tcPr>
          <w:p>
            <w:pPr>
              <w:spacing w:after="0"/>
              <w:rPr>
                <w:sz w:val="19"/>
                <w:szCs w:val="19"/>
                <w:color w:val="auto"/>
              </w:rPr>
            </w:pPr>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800" w:type="dxa"/>
            <w:vAlign w:val="bottom"/>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2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INFORMATION INCORPORATED BY REFERENCE</w:t>
              </w:r>
            </w:hyperlink>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offering price of up to $250,000,000. This prospectus provides you with a general description of the securities we may offer.</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Each time we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You should read both this prospectus and any accompanying prospectus supplement together with the additional information incorporated by reference. See “Where You Can Find More Information” and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6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may sell our securities to or through underwriters,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dealers or agents involved in the sale of our securities, and any related fee, commission or discount arrangements. See “Plan of Distribution.”</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terms “Biodesix,” the “Company,” “our,” “us” and “we,” as used in this prospectus, refer to Biodesix, Inc., unless we state otherwise or the context indicates otherwise.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specific risks discussed or incorporated by reference into the applicable prospectus supplement, together with all the other information contained in the prospectus or incorporated by reference into this prospectus and the applicable prospectus supplement. You should also consider the risks, uncertainties and assumptions discussed under the caption “Risk Factors” included in our Annual Report on Form 10-K for the year ended December 31, 2020 and in our Quarterly Reports on Form 10-Q for the periods ended March 31, June 30 and September 30, 2021,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 occurrence of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83" w:lineRule="exact"/>
        <w:rPr>
          <w:sz w:val="20"/>
          <w:szCs w:val="20"/>
          <w:color w:val="auto"/>
        </w:rPr>
      </w:pPr>
    </w:p>
    <w:p>
      <w:pPr>
        <w:ind w:left="108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incurrence of substantial liabilities and limiting or halting the marketing and sale of our diagnostic tests due to product liability lawsuits;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459" w:right="5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w:t>
      </w:r>
      <w:r>
        <w:rPr>
          <w:rFonts w:ascii="Arial" w:cs="Arial" w:eastAsia="Arial" w:hAnsi="Arial"/>
          <w:sz w:val="15"/>
          <w:szCs w:val="15"/>
          <w:color w:val="auto"/>
        </w:rPr>
        <w:t>™</w:t>
      </w:r>
      <w:r>
        <w:rPr>
          <w:rFonts w:ascii="Arial" w:cs="Arial" w:eastAsia="Arial" w:hAnsi="Arial"/>
          <w:sz w:val="18"/>
          <w:szCs w:val="18"/>
          <w:color w:val="auto"/>
        </w:rPr>
        <w:t xml:space="preserve">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Blood-Based Lung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31" w:lineRule="exact"/>
        <w:rPr>
          <w:sz w:val="20"/>
          <w:szCs w:val="20"/>
          <w:color w:val="auto"/>
        </w:rPr>
      </w:pPr>
    </w:p>
    <w:p>
      <w:pPr>
        <w:ind w:left="1080" w:right="10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Nodify XL2</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tests, marketed as our Nodify Lung</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89" w:lineRule="exact"/>
        <w:rPr>
          <w:rFonts w:ascii="Arial" w:cs="Arial" w:eastAsia="Arial" w:hAnsi="Arial"/>
          <w:sz w:val="18"/>
          <w:szCs w:val="18"/>
          <w:color w:val="auto"/>
        </w:rPr>
      </w:pPr>
    </w:p>
    <w:p>
      <w:pPr>
        <w:ind w:left="1080" w:right="200" w:hanging="424"/>
        <w:spacing w:after="0" w:line="279"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GeneStrat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VeriStrat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our Biodesix Lung Reflex</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strategy, are used following diagnosis of lung cancer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the presence of mutations in the tumor and the state of the patient’s immune system to establish the patient’s prognosis and help guide treatment decisions. The GeneStrat targeted tumor profiling test and the VeriStrat immune profiling test have a 36-hour average turnaround time, providing physicians with timely results to facilitate treatment decisions.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COVID-19 Tests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operate and have commercialized the Biodesix WorkSafe</w:t>
      </w:r>
      <w:r>
        <w:rPr>
          <w:rFonts w:ascii="Arial" w:cs="Arial" w:eastAsia="Arial" w:hAnsi="Arial"/>
          <w:sz w:val="14"/>
          <w:szCs w:val="14"/>
          <w:color w:val="auto"/>
        </w:rPr>
        <w:t>™</w:t>
      </w:r>
      <w:r>
        <w:rPr>
          <w:rFonts w:ascii="Arial" w:cs="Arial" w:eastAsia="Arial" w:hAnsi="Arial"/>
          <w:sz w:val="17"/>
          <w:szCs w:val="17"/>
          <w:color w:val="auto"/>
        </w:rPr>
        <w:t xml:space="preserve"> testing program, under which the Company offers three SARS-CoV-2 tests:</w:t>
      </w:r>
    </w:p>
    <w:p>
      <w:pPr>
        <w:spacing w:after="0" w:line="142" w:lineRule="exact"/>
        <w:rPr>
          <w:sz w:val="20"/>
          <w:szCs w:val="20"/>
          <w:color w:val="auto"/>
        </w:rPr>
      </w:pPr>
    </w:p>
    <w:p>
      <w:pPr>
        <w:ind w:left="1080" w:right="14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w:t>
      </w:r>
      <w:r>
        <w:rPr>
          <w:rFonts w:ascii="Arial" w:cs="Arial" w:eastAsia="Arial" w:hAnsi="Arial"/>
          <w:sz w:val="18"/>
          <w:szCs w:val="18"/>
          <w:i w:val="1"/>
          <w:iCs w:val="1"/>
          <w:color w:val="auto"/>
        </w:rPr>
        <w:t xml:space="preserve"> </w:t>
      </w:r>
      <w:r>
        <w:rPr>
          <w:rFonts w:ascii="Arial" w:cs="Arial" w:eastAsia="Arial" w:hAnsi="Arial"/>
          <w:sz w:val="18"/>
          <w:szCs w:val="18"/>
          <w:color w:val="auto"/>
        </w:rPr>
        <w:t>SARS-CoV-2, indicating recent or prior infection.</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cPass</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w:t>
      </w:r>
      <w:r>
        <w:rPr>
          <w:rFonts w:ascii="Arial" w:cs="Arial" w:eastAsia="Arial" w:hAnsi="Arial"/>
          <w:sz w:val="18"/>
          <w:szCs w:val="18"/>
          <w:i w:val="1"/>
          <w:iCs w:val="1"/>
          <w:color w:val="auto"/>
        </w:rPr>
        <w:t xml:space="preserve"> </w:t>
      </w:r>
      <w:r>
        <w:rPr>
          <w:rFonts w:ascii="Arial" w:cs="Arial" w:eastAsia="Arial" w:hAnsi="Arial"/>
          <w:sz w:val="18"/>
          <w:szCs w:val="18"/>
          <w:color w:val="auto"/>
        </w:rPr>
        <w:t>uses ELISA technology to qualitatively detect circulating neutralizing antibodies to the receptor binding domain (RBD) in the spike protein of SARS-CoV-2 that are produced in response to vaccination or a previous SARS-CoV-2 infection. This test was commercially introduced during the second quarter 2021 in partnership with GenScript Biotech Corporation.</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These tests under the Biodesix WorkSafe</w:t>
      </w:r>
      <w:r>
        <w:rPr>
          <w:rFonts w:ascii="Arial" w:cs="Arial" w:eastAsia="Arial" w:hAnsi="Arial"/>
          <w:sz w:val="15"/>
          <w:szCs w:val="15"/>
          <w:color w:val="auto"/>
        </w:rPr>
        <w:t>™</w:t>
      </w:r>
      <w:r>
        <w:rPr>
          <w:rFonts w:ascii="Arial" w:cs="Arial" w:eastAsia="Arial" w:hAnsi="Arial"/>
          <w:sz w:val="18"/>
          <w:szCs w:val="18"/>
          <w:color w:val="auto"/>
        </w:rPr>
        <w:t xml:space="preserv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7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120" w:right="820" w:firstLine="440"/>
        <w:spacing w:after="0" w:line="291" w:lineRule="auto"/>
        <w:rPr>
          <w:sz w:val="20"/>
          <w:szCs w:val="20"/>
          <w:color w:val="auto"/>
        </w:rPr>
      </w:pPr>
      <w:r>
        <w:rPr>
          <w:rFonts w:ascii="Arial" w:cs="Arial" w:eastAsia="Arial" w:hAnsi="Arial"/>
          <w:sz w:val="16"/>
          <w:szCs w:val="16"/>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w:t>
      </w:r>
    </w:p>
    <w:p>
      <w:pPr>
        <w:ind w:left="120" w:right="140"/>
        <w:spacing w:after="0" w:line="260" w:lineRule="auto"/>
        <w:rPr>
          <w:sz w:val="20"/>
          <w:szCs w:val="20"/>
          <w:color w:val="auto"/>
        </w:rPr>
      </w:pPr>
      <w:r>
        <w:rPr>
          <w:rFonts w:ascii="Arial" w:cs="Arial" w:eastAsia="Arial" w:hAnsi="Arial"/>
          <w:sz w:val="18"/>
          <w:szCs w:val="18"/>
          <w:color w:val="auto"/>
        </w:rPr>
        <w:t>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certain risks related to our status as an emerging growth company, see “Risk Factors—Risks Related to our Common Stock and this Offering —We are an “emerging growth company” and a “smaller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company,” and the reduced disclosure requirements applicable to emerging growth companies and smaller reporting companies may make our common stock less attractive to investors.”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securities.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will retain broad discretion over the use of the net proceeds from the sale of the securities offered hereby. Except as described in any prospectus supplement or any related free writing prospectus that we may authorize to be provided to you, we currently intend to use the net proceeds from the sale of the securities offered hereby for general corporate purposes, including working capital, operating expenses and capital expenditures. We may also use a portion of the net proceeds to acquire or invest in businesses and products that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We intend to invest the net proceeds to us from the sale of securities offered hereby that are not used as described above in short-term, investment-grade, interest-bearing instruments.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Our charter authorizes to issue up to 200,000,000 shares of common stock, $0.001 par value per share, and 5,000,000 shares of preferred stock, $0.001 par value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November 12, 2021, we had outstanding 27,020,576 shares of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Rights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are outstanding.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are party to the Eleventh Amended and Restated Investor Rights Agreement (the “IRA”) which provides that certain holders of shares of common stock have the right to demand that we file a registration statement for their shares of our common stock or request that their shares of our common stock be covered by a registration statement that we are otherwise filing, including, in each case, shares of our common stock that were issued upon conversion of convertible preferred stock. These shares are referred to as registrable securities.</w:t>
      </w:r>
    </w:p>
    <w:p>
      <w:pPr>
        <w:spacing w:after="0" w:line="17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piggyback and Form S-3 registrations described below.</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piggyback and Form S-3 registration rights described below will terminate on the date five years following the closing of our initial public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are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registrable securities are entitled to certain piggyback registration rights.</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the IRA, we are required to pay all registration expenses, including all registration and filing fees, printing expenses, fees and disbursements of our counsel and reasonable fees and disbursements not to exceed $75,000 of one counsel representing all Holders, as defined in the IRA, participating in the offering, blue sky fees and expenses and the expense of any special audits incident to or required by any such registration, other than any underwriting discounts and selling commissions attributable to the sale of registrable securities, as defined in the IRA.</w:t>
      </w:r>
    </w:p>
    <w:p>
      <w:pPr>
        <w:spacing w:after="0" w:line="17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IRA contains customary cross-indemnification provisions, pursuant to which we are obligated to indemnify Holders, as defined in the IRA, beneficially owning registrable securities covered by a registration statement in the event of material misstatements or omissions in the registration statement attributable to us, and each Holder, as defined in the IRA, is obligated to indemnify us for material misstatements or omissions in the registration statement attributable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and amended and restated bylaws:</w:t>
      </w:r>
    </w:p>
    <w:p>
      <w:pPr>
        <w:spacing w:after="0" w:line="131" w:lineRule="exact"/>
        <w:rPr>
          <w:sz w:val="20"/>
          <w:szCs w:val="20"/>
          <w:color w:val="auto"/>
        </w:rPr>
      </w:pPr>
    </w:p>
    <w:p>
      <w:pPr>
        <w:ind w:left="1080" w:right="2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80" w:right="380" w:hanging="424"/>
        <w:spacing w:after="0" w:line="28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 and</w:t>
      </w:r>
    </w:p>
    <w:p>
      <w:pPr>
        <w:spacing w:after="0" w:line="70"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combination of these provisions make it more difficult for our existing stockholders to replace our Board of Directors as well as for another party to obtain control of us by replacing our Board of Directors. Since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7"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“BDSX.”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subject to any limitations imposed by the listing requirements of The Nasdaq</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320" w:top="459" w:right="6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may issue warrants for the purchase of shares of our common stock or shares of our preferred stock.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Warrants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warrant will entitle the holder of the warrant to purchase at the exercise price set forth in the applicable prospectus supplement the number of shares of common stock or shares of preferred stock. Unless we otherwise specify in the applicable prospectus supplement,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8"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Until a holder exercises the warrants to purchase our shares of common stock or shares of preferred stock, the holder will not have any rights as a holder of our shares of common stock or shares of preferred stock, as the case may be, by virtue of ownership of warrants.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rights to purchase common stock, preferred stock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Rights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one or more underwriters,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dealers or agents in connection with the offering, including: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320" w:top="459" w:right="5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validity of the securities being offered hereby will be passed upon for us by Sidley Austin LLP.</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financial statements of Biodesix, Inc. as of December 31, 2020 and 2019, and for each of the years in the two-year period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have been incorporated by reference herein and in the registration statement in reliance upon the report of KPMG LLP,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registered public accounting firm, incorporated by reference herein, and upon the authority of said firm as experts in accounting and auditing.</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No. 001-39659), other than information in such documents that is deemed to be furnished and not filed. These documents contain important information about us and our business and financial condition.</w:t>
      </w:r>
    </w:p>
    <w:p>
      <w:pPr>
        <w:spacing w:after="0" w:line="9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w:t>
      </w:r>
      <w:hyperlink r:id="rId38">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 filed with the SEC on March 16, 2021;</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periods ended </w:t>
      </w:r>
      <w:hyperlink r:id="rId39">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1">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 filed with the SEC on May 11, 2021, August 10, 2021 and November 15, 2021,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75">
        <w:r>
          <w:rPr>
            <w:rFonts w:ascii="Arial" w:cs="Arial" w:eastAsia="Arial" w:hAnsi="Arial"/>
            <w:sz w:val="18"/>
            <w:szCs w:val="18"/>
            <w:u w:val="single" w:color="auto"/>
            <w:color w:val="0000EE"/>
          </w:rPr>
          <w:t>January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76">
        <w:r>
          <w:rPr>
            <w:rFonts w:ascii="Arial" w:cs="Arial" w:eastAsia="Arial" w:hAnsi="Arial"/>
            <w:sz w:val="18"/>
            <w:szCs w:val="18"/>
            <w:u w:val="single" w:color="auto"/>
            <w:color w:val="0000EE"/>
          </w:rPr>
          <w:t>March 23,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7">
        <w:r>
          <w:rPr>
            <w:rFonts w:ascii="Arial" w:cs="Arial" w:eastAsia="Arial" w:hAnsi="Arial"/>
            <w:sz w:val="18"/>
            <w:szCs w:val="18"/>
            <w:u w:val="single" w:color="auto"/>
            <w:color w:val="0000EE"/>
          </w:rPr>
          <w:t>May 27,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2"/>
        </w:numPr>
        <w:rPr>
          <w:rFonts w:ascii="Arial" w:cs="Arial" w:eastAsia="Arial" w:hAnsi="Arial"/>
          <w:sz w:val="18"/>
          <w:szCs w:val="18"/>
          <w:color w:val="0000EE"/>
        </w:rPr>
      </w:pPr>
      <w:hyperlink r:id="rId44">
        <w:r>
          <w:rPr>
            <w:rFonts w:ascii="Arial" w:cs="Arial" w:eastAsia="Arial" w:hAnsi="Arial"/>
            <w:sz w:val="18"/>
            <w:szCs w:val="18"/>
            <w:color w:val="auto"/>
          </w:rPr>
          <w:t xml:space="preserve">the information specifically incorporated by reference into our Annual Report on Form 10-K from our </w:t>
        </w:r>
        <w:r>
          <w:rPr>
            <w:rFonts w:ascii="Arial" w:cs="Arial" w:eastAsia="Arial" w:hAnsi="Arial"/>
            <w:sz w:val="18"/>
            <w:szCs w:val="18"/>
            <w:u w:val="single" w:color="auto"/>
            <w:color w:val="0000EE"/>
          </w:rPr>
          <w:t>Definitive Proxy Statement on</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Schedule 14A</w:t>
        </w:r>
        <w:r>
          <w:rPr>
            <w:rFonts w:ascii="Arial" w:cs="Arial" w:eastAsia="Arial" w:hAnsi="Arial"/>
            <w:sz w:val="18"/>
            <w:szCs w:val="18"/>
            <w:color w:val="000000"/>
          </w:rPr>
          <w:t>, filed with the SEC on April 29, 2021; and</w:t>
        </w:r>
      </w:hyperlink>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5">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October 26, 2020.</w:t>
      </w:r>
    </w:p>
    <w:p>
      <w:pPr>
        <w:spacing w:after="0" w:line="225" w:lineRule="exact"/>
        <w:rPr>
          <w:rFonts w:ascii="Arial" w:cs="Arial" w:eastAsia="Arial" w:hAnsi="Arial"/>
          <w:sz w:val="18"/>
          <w:szCs w:val="18"/>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the initial registration statement of which this prospectus is a part and prior to the</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Boulder, Colorado 80301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(303) 417-0500</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“Information Incorporated by Reference”) is not incorporated by reference into this prospectus or any applicable prospectus supplement and you should not consider it a part of this prospectus, any applicable prospectus supplement, or the registration statement.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1249045</wp:posOffset>
            </wp:positionV>
            <wp:extent cx="1997075" cy="3600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997075" cy="3600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00"/>
        <w:spacing w:after="0"/>
        <w:rPr>
          <w:sz w:val="20"/>
          <w:szCs w:val="20"/>
          <w:color w:val="auto"/>
        </w:rPr>
      </w:pPr>
      <w:r>
        <w:rPr>
          <w:rFonts w:ascii="Arial" w:cs="Arial" w:eastAsia="Arial" w:hAnsi="Arial"/>
          <w:sz w:val="29"/>
          <w:szCs w:val="29"/>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1480185</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March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jpe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jpe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38" Type="http://schemas.openxmlformats.org/officeDocument/2006/relationships/hyperlink" Target="http://www.sec.gov/ix?doc=/Archives/edgar/data/1439725/000156459021013512/bdsx-10k_20201231.htm" TargetMode="External"/><Relationship Id="rId39" Type="http://schemas.openxmlformats.org/officeDocument/2006/relationships/hyperlink" Target="http://www.sec.gov/ix?doc=/Archives/edgar/data/1439725/000156459021026558/bdsx-10q_20210331.htm" TargetMode="External"/><Relationship Id="rId40" Type="http://schemas.openxmlformats.org/officeDocument/2006/relationships/hyperlink" Target="http://www.sec.gov/ix?doc=/Archives/edgar/data/1439725/000156459021043081/bdsx-10q_20210630.htm" TargetMode="External"/><Relationship Id="rId41" Type="http://schemas.openxmlformats.org/officeDocument/2006/relationships/hyperlink" Target="http://www.sec.gov/ix?doc=/Archives/edgar/data/1439725/000156459021056811/bdsx-10q_20210930.htm" TargetMode="External"/><Relationship Id="rId42" Type="http://schemas.openxmlformats.org/officeDocument/2006/relationships/hyperlink" Target="http://www.sec.gov/ix?doc=/Archives/edgar/data/1439725/000095017021005077/bdsx-20211206.htm" TargetMode="External"/><Relationship Id="rId43" Type="http://schemas.openxmlformats.org/officeDocument/2006/relationships/hyperlink" Target="http://www.sec.gov/ix?doc=/Archives/edgar/data/1439725/000095017022000036/bdsx-20211230.htm" TargetMode="External"/><Relationship Id="rId44" Type="http://schemas.openxmlformats.org/officeDocument/2006/relationships/hyperlink" Target="http://www.sec.gov/Archives/edgar/data/1439725/000119312521140545/d142163ddef14a.htm" TargetMode="External"/><Relationship Id="rId45" Type="http://schemas.openxmlformats.org/officeDocument/2006/relationships/hyperlink" Target="http://www.sec.gov/Archives/edgar/data/1439725/000119312520275716/d94177d8a12b.htm" TargetMode="External"/><Relationship Id="rId75" Type="http://schemas.openxmlformats.org/officeDocument/2006/relationships/hyperlink" Target="http://www.sec.gov/ix?doc=/Archives/edgar/data/1439725/000156459021000191/bdsx-8k_20201231.htm" TargetMode="External"/><Relationship Id="rId76" Type="http://schemas.openxmlformats.org/officeDocument/2006/relationships/hyperlink" Target="http://www.sec.gov/ix?doc=/Archives/edgar/data/1439725/000156459021014880/bdsx-8k_20210319.htm" TargetMode="External"/><Relationship Id="rId77" Type="http://schemas.openxmlformats.org/officeDocument/2006/relationships/hyperlink" Target="http://www.sec.gov/ix?doc=/Archives/edgar/data/1439725/000119312521175320/d19054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2022-03-07T15:14:13Z</dcterms:created>
  <dcterms:modified xsi:type="dcterms:W3CDTF">2022-03-07T15:14:13Z</dcterms:modified>
</cp:coreProperties>
</file>