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7,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2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20-3986492</w:t>
            </w:r>
          </w:p>
        </w:tc>
      </w:tr>
      <w:tr>
        <w:trPr>
          <w:trHeight w:val="148"/>
        </w:trPr>
        <w:tc>
          <w:tcPr>
            <w:tcW w:w="5900" w:type="dxa"/>
            <w:vAlign w:val="bottom"/>
          </w:tcPr>
          <w:p>
            <w:pPr>
              <w:jc w:val="center"/>
              <w:ind w:right="33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7"/>
              </w:rPr>
              <w:t>919 W. Dillon Road</w:t>
            </w:r>
          </w:p>
        </w:tc>
        <w:tc>
          <w:tcPr>
            <w:tcW w:w="1620" w:type="dxa"/>
            <w:vAlign w:val="bottom"/>
          </w:tcPr>
          <w:p>
            <w:pPr>
              <w:spacing w:after="0"/>
              <w:rPr>
                <w:sz w:val="24"/>
                <w:szCs w:val="24"/>
                <w:color w:val="auto"/>
              </w:rPr>
            </w:pPr>
          </w:p>
        </w:tc>
      </w:tr>
      <w:tr>
        <w:trPr>
          <w:trHeight w:val="227"/>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9"/>
              </w:rPr>
              <w:t>Louisville, Colorado</w:t>
            </w:r>
          </w:p>
        </w:tc>
        <w:tc>
          <w:tcPr>
            <w:tcW w:w="162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80027</w:t>
            </w:r>
          </w:p>
        </w:tc>
      </w:tr>
      <w:tr>
        <w:trPr>
          <w:trHeight w:val="190"/>
        </w:trPr>
        <w:tc>
          <w:tcPr>
            <w:tcW w:w="5900" w:type="dxa"/>
            <w:vAlign w:val="bottom"/>
          </w:tcPr>
          <w:p>
            <w:pPr>
              <w:jc w:val="center"/>
              <w:ind w:right="33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5900" w:type="dxa"/>
            <w:vAlign w:val="bottom"/>
          </w:tcPr>
          <w:p>
            <w:pPr>
              <w:jc w:val="center"/>
              <w:ind w:left="1938"/>
              <w:spacing w:after="0"/>
              <w:rPr>
                <w:sz w:val="20"/>
                <w:szCs w:val="20"/>
                <w:color w:val="auto"/>
              </w:rPr>
            </w:pPr>
            <w:r>
              <w:rPr>
                <w:rFonts w:ascii="Times New Roman" w:cs="Times New Roman" w:eastAsia="Times New Roman" w:hAnsi="Times New Roman"/>
                <w:sz w:val="18"/>
                <w:szCs w:val="18"/>
                <w:b w:val="1"/>
                <w:bCs w:val="1"/>
                <w:color w:val="auto"/>
              </w:rPr>
              <w:t>Biodesix, Inc. 2020 Equity Incentive Plan</w:t>
            </w:r>
          </w:p>
        </w:tc>
        <w:tc>
          <w:tcPr>
            <w:tcW w:w="1620" w:type="dxa"/>
            <w:vAlign w:val="bottom"/>
          </w:tcPr>
          <w:p>
            <w:pPr>
              <w:spacing w:after="0"/>
              <w:rPr>
                <w:sz w:val="24"/>
                <w:szCs w:val="24"/>
                <w:color w:val="auto"/>
              </w:rPr>
            </w:pPr>
          </w:p>
        </w:tc>
      </w:tr>
      <w:tr>
        <w:trPr>
          <w:trHeight w:val="214"/>
        </w:trPr>
        <w:tc>
          <w:tcPr>
            <w:tcW w:w="5900" w:type="dxa"/>
            <w:vAlign w:val="bottom"/>
          </w:tcPr>
          <w:p>
            <w:pPr>
              <w:jc w:val="center"/>
              <w:ind w:left="1958"/>
              <w:spacing w:after="0"/>
              <w:rPr>
                <w:sz w:val="20"/>
                <w:szCs w:val="20"/>
                <w:color w:val="auto"/>
              </w:rPr>
            </w:pPr>
            <w:r>
              <w:rPr>
                <w:rFonts w:ascii="Times New Roman" w:cs="Times New Roman" w:eastAsia="Times New Roman" w:hAnsi="Times New Roman"/>
                <w:sz w:val="18"/>
                <w:szCs w:val="18"/>
                <w:b w:val="1"/>
                <w:bCs w:val="1"/>
                <w:color w:val="auto"/>
                <w:w w:val="99"/>
              </w:rPr>
              <w:t>Biodesix, Inc. Employee Stock Purchase Plan</w:t>
            </w:r>
          </w:p>
        </w:tc>
        <w:tc>
          <w:tcPr>
            <w:tcW w:w="1620" w:type="dxa"/>
            <w:vAlign w:val="bottom"/>
          </w:tcPr>
          <w:p>
            <w:pPr>
              <w:spacing w:after="0"/>
              <w:rPr>
                <w:sz w:val="18"/>
                <w:szCs w:val="18"/>
                <w:color w:val="auto"/>
              </w:rPr>
            </w:pPr>
          </w:p>
        </w:tc>
      </w:tr>
      <w:tr>
        <w:trPr>
          <w:trHeight w:val="190"/>
        </w:trPr>
        <w:tc>
          <w:tcPr>
            <w:tcW w:w="5900" w:type="dxa"/>
            <w:vAlign w:val="bottom"/>
          </w:tcPr>
          <w:p>
            <w:pPr>
              <w:jc w:val="center"/>
              <w:ind w:left="1938"/>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620" w:type="dxa"/>
            <w:vAlign w:val="bottom"/>
          </w:tcPr>
          <w:p>
            <w:pPr>
              <w:spacing w:after="0"/>
              <w:rPr>
                <w:sz w:val="16"/>
                <w:szCs w:val="16"/>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Scott Hutton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919 W. Dillon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Louisville, Colorado 80027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(303) 417-0500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is being filed by Biodesix, Inc. (the “Registrant”) for the purpose of registering (i) an additional 5,819,663 shares of the Registrant’s common stock, par value $0.001 per share (the “Common Stock”) issuable under the Biodesix, Inc. 2020 Equity Incentive Plan (the “2020 Plan”), as a result of the operation of the automatic annual increase provision therein effective January 1, 2025, and (ii) an additional 338,106 shares of Common Stock issuable under the Biodesix, Inc. Employee Stock Purchase Plan (the “ESPP”), as a result of the operation of the automatic annual increase provision therein effective January 1, 2025. The shares of the Registrant’s Common Stock previously reserved for issuance under the 2020 Plan were registered on the Registrant’s Registration Statement on Form S-8 filed with the Securities and Exchange Commission (the “Commission”) on November 2, 2020 (File No. 333-249805) (the “2020 Prior Form S-8”), the Registrant’s Registration Statement on Form S-8 filed with the Commission on June 6, 2022 (File No. 333-265445) (the “2022 Prior Form S-8”), the Registrant’s Registration Statement on Form S-8 filed with the Commission on February 2, 2023 (File No. 333-269536) (the “2023 Prior Form S-8”), and the Registrant’s Registration Statement on Form S-8 filed with the Commission on February 2, 2024 (File No. 333-276842) (the “2024 Prior Form S-8”, together with the 2020 Prior Form S-8, the 2022 Prior Form S-8, and the 2023 Prior Form S-8, the “Prior Forms S-8”). The shares of the Registrant’s Common Stock previously reserved for issuance under the ESPP were registered on the 2020 Prior Form S-8, the 2023 Prior Form S-8, and the 2024 Prior Form S-8.</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relates to securities of the same class as that to which the Prior Forms S-8 relate, and is submitted in accordance with General Instruction E to Form S-8 regarding Registration of Additional Securities. Pursuant to General Instruction E of Form S-8, the contents of the Prior Forms S-8, to the extent relating to the registration of Common Stock issuable under the 2020 Plan and the ESPP, are incorporated herein by reference and made part of this Registration Statement on Form S-8, except as amended hereby.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 Commission (excluding any portions of such documents that have been “furnished” but not “filed” for purposes of the Securities Exchange Act of 1934, as amended (the “Exchange Act”):</w:t>
      </w:r>
    </w:p>
    <w:p>
      <w:pPr>
        <w:spacing w:after="0" w:line="81" w:lineRule="exact"/>
        <w:rPr>
          <w:sz w:val="20"/>
          <w:szCs w:val="20"/>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1, 2024, including all material incorporated by reference therein;</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quarters ended </w:t>
      </w:r>
      <w:hyperlink r:id="rId18">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and </w:t>
      </w:r>
      <w:hyperlink r:id="rId20">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Commission on May 8, 2024, August 7, 2024 and November 1, 2024;</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April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18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October 26, 2020, pursuant to Section 12(b) of the Exchange Act, including any amendment or report for the purpose of updating such description.</w:t>
      </w:r>
    </w:p>
    <w:p>
      <w:pPr>
        <w:spacing w:after="0" w:line="176" w:lineRule="exact"/>
        <w:rPr>
          <w:rFonts w:ascii="Times New Roman" w:cs="Times New Roman" w:eastAsia="Times New Roman" w:hAnsi="Times New Roman"/>
          <w:sz w:val="18"/>
          <w:szCs w:val="18"/>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60"/>
          </w:cols>
          <w:pgMar w:left="440" w:top="266"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884" w:right="86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25">
        <w:r>
          <w:rPr>
            <w:rFonts w:ascii="Times New Roman" w:cs="Times New Roman" w:eastAsia="Times New Roman" w:hAnsi="Times New Roman"/>
            <w:sz w:val="18"/>
            <w:szCs w:val="18"/>
            <w:u w:val="single" w:color="auto"/>
            <w:color w:val="0000EE"/>
          </w:rPr>
          <w:t>Amended and Restated Certificate of Incorporation of Biodesix, Inc. (incorporated by reference to Exhibit 3.2 of the Registrant’s</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Registration Statement on Form S-1 (No. 333-249260), filed with the Commission on October 21,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6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6">
        <w:r>
          <w:rPr>
            <w:rFonts w:ascii="Times New Roman" w:cs="Times New Roman" w:eastAsia="Times New Roman" w:hAnsi="Times New Roman"/>
            <w:sz w:val="18"/>
            <w:szCs w:val="18"/>
            <w:u w:val="single" w:color="auto"/>
            <w:color w:val="0000EE"/>
          </w:rPr>
          <w:t>Certificate of Designations of Series A Non-Voting Convertible Preferred Stock (incorporated by reference to Exhibit 3.1 of the Registrant’s</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Form 8-K (No. 001-39659), filed with the Commission on April 9, 2024).</w:t>
        </w:r>
      </w:hyperlink>
    </w:p>
    <w:p>
      <w:pPr>
        <w:spacing w:after="0" w:line="53" w:lineRule="exact"/>
        <w:rPr>
          <w:rFonts w:ascii="Times New Roman" w:cs="Times New Roman" w:eastAsia="Times New Roman" w:hAnsi="Times New Roman"/>
          <w:sz w:val="18"/>
          <w:szCs w:val="18"/>
          <w:u w:val="single" w:color="auto"/>
          <w:color w:val="0000EE"/>
        </w:rPr>
      </w:pPr>
    </w:p>
    <w:p>
      <w:pPr>
        <w:ind w:left="884" w:right="38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27">
        <w:r>
          <w:rPr>
            <w:rFonts w:ascii="Times New Roman" w:cs="Times New Roman" w:eastAsia="Times New Roman" w:hAnsi="Times New Roman"/>
            <w:sz w:val="18"/>
            <w:szCs w:val="18"/>
            <w:u w:val="single" w:color="auto"/>
            <w:color w:val="0000EE"/>
          </w:rPr>
          <w:t>Amended and Restated Bylaws of Biodesix, Inc. (incorporated by reference to Exhibit 3.4 of the Registrant’s Registration Statement on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Form S-1 (No. 333-249260), filed with the Commission on October 21,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20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28">
        <w:r>
          <w:rPr>
            <w:rFonts w:ascii="Times New Roman" w:cs="Times New Roman" w:eastAsia="Times New Roman" w:hAnsi="Times New Roman"/>
            <w:sz w:val="18"/>
            <w:szCs w:val="18"/>
            <w:u w:val="single" w:color="auto"/>
            <w:color w:val="0000EE"/>
          </w:rPr>
          <w:t>Biodesix, Inc. 2020 Equity Incentive Plan (incorporated by reference to Exhibit 10.5 to the Company’s Registration Statement on Form S-</w:t>
        </w:r>
      </w:hyperlink>
      <w:hyperlink r:id="rId28">
        <w:r>
          <w:rPr>
            <w:rFonts w:ascii="Times New Roman" w:cs="Times New Roman" w:eastAsia="Times New Roman" w:hAnsi="Times New Roman"/>
            <w:sz w:val="18"/>
            <w:szCs w:val="18"/>
            <w:u w:val="single" w:color="auto"/>
            <w:color w:val="0000EE"/>
          </w:rPr>
          <w:t>1/A filed with the Commission on October 26, 2020).</w:t>
        </w:r>
      </w:hyperlink>
    </w:p>
    <w:p>
      <w:pPr>
        <w:spacing w:after="0" w:line="53" w:lineRule="exact"/>
        <w:rPr>
          <w:rFonts w:ascii="Times New Roman" w:cs="Times New Roman" w:eastAsia="Times New Roman" w:hAnsi="Times New Roman"/>
          <w:sz w:val="18"/>
          <w:szCs w:val="18"/>
          <w:u w:val="single" w:color="auto"/>
          <w:color w:val="0000EE"/>
        </w:rPr>
      </w:pPr>
    </w:p>
    <w:p>
      <w:pPr>
        <w:ind w:left="884" w:right="14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hyperlink r:id="rId29">
        <w:r>
          <w:rPr>
            <w:rFonts w:ascii="Times New Roman" w:cs="Times New Roman" w:eastAsia="Times New Roman" w:hAnsi="Times New Roman"/>
            <w:sz w:val="18"/>
            <w:szCs w:val="18"/>
            <w:u w:val="single" w:color="auto"/>
            <w:color w:val="0000EE"/>
          </w:rPr>
          <w:t>Biodesix, Inc. 2020 Employee Stock Purchase Plan (incorporated by reference to Exhibit 10.6 to the Company’s Registration Statement on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Form S-1/A filed with the Commission on October 26, 2020).</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Sidley Austin LLP with respect to validity of issuance of securities.</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Sidley Austin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the Registration Statement).</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Exhibit.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marked with an asterisk is 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Louisville, Colorado, on the 7th day of February,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Scott Hutton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C. Vazquez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 Vazquez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Patience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Franchi</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Faiz Kayyem</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Jon Faiz Kayyem,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T. Kennedy, Jr.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Lawrence T. Kennedy, Jr.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Hany Massarany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Schuler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Strobeck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Watts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SUITE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13157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131570" cy="308610"/>
                    </a:xfrm>
                    <a:prstGeom prst="rect">
                      <a:avLst/>
                    </a:prstGeom>
                    <a:noFill/>
                  </pic:spPr>
                </pic:pic>
              </a:graphicData>
            </a:graphic>
          </wp:anchor>
        </w:drawing>
      </w:r>
    </w:p>
    <w:p>
      <w:pPr>
        <w:ind w:left="320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W. Dillon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CO 80027</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6,157,769 Shares of Common Stock, $0.001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(i) 5,819,663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which may be issued under the Biodesix,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and (ii) 338,106 shares of Common Stock which may be issued under the Biodesix, Inc.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aggregate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2020 Plan, the ESPP, the Registration Statement, the Amended and Restated Certificate of Incorporation of the Company, the Amended and Restated Bylaws of the Company, the resolutions of the Company’s Board of Directors authorizing the 2020 Plan, the ESPP and the issuance of the Registered Shares thereunder and the resolutions of the Company’s stockholders authorizing the 2020 Plan and the ESPP.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Based on the foregoing, we are of the opinion that each Registered Share that is newly issued pursuant to the 2020 Plan and the ESPP will be validly issued, fully paid and non-assessable when: (i) the Registration Statement, as finally amended, shall have become effective under the Securities Act; (ii) such Registered Share shall have been duly issued and delivered in accordance with the 2020 Plan and the ESPP;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2020 Plan and the ESPP.</w:t>
      </w:r>
    </w:p>
    <w:p>
      <w:pPr>
        <w:spacing w:after="0" w:line="189"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6837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1225 17th Street</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Denver, CO 80202-5598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We consent to the use of our report dated March 1, 2024, with respect to the financial statements of Biodesix, Inc., incorporated herein by reference.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KPMG LLP, a Delaware limited liability partnership and a member firm of</w:t>
      </w:r>
    </w:p>
    <w:p>
      <w:pPr>
        <w:jc w:val="center"/>
        <w:spacing w:after="0" w:line="226" w:lineRule="auto"/>
        <w:rPr>
          <w:sz w:val="20"/>
          <w:szCs w:val="20"/>
          <w:color w:val="auto"/>
        </w:rPr>
      </w:pPr>
      <w:r>
        <w:rPr>
          <w:rFonts w:ascii="Times New Roman" w:cs="Times New Roman" w:eastAsia="Times New Roman" w:hAnsi="Times New Roman"/>
          <w:sz w:val="14"/>
          <w:szCs w:val="14"/>
          <w:color w:val="auto"/>
        </w:rPr>
        <w:t>the KPMG global organization of independent member firms affiliated with</w:t>
      </w:r>
    </w:p>
    <w:p>
      <w:pPr>
        <w:jc w:val="center"/>
        <w:spacing w:after="0"/>
        <w:rPr>
          <w:sz w:val="20"/>
          <w:szCs w:val="20"/>
          <w:color w:val="auto"/>
        </w:rPr>
      </w:pPr>
      <w:r>
        <w:rPr>
          <w:rFonts w:ascii="Times New Roman" w:cs="Times New Roman" w:eastAsia="Times New Roman" w:hAnsi="Times New Roman"/>
          <w:sz w:val="14"/>
          <w:szCs w:val="14"/>
          <w:color w:val="auto"/>
        </w:rPr>
        <w:t>KPMG International Limited, a private English company limited by guarantee.</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360" w:type="dxa"/>
            <w:vAlign w:val="bottom"/>
            <w:tcBorders>
              <w:top w:val="single" w:sz="8" w:color="auto"/>
              <w:left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6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2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5"/>
              </w:rPr>
              <w:t>Security Type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6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Unit</w:t>
            </w:r>
            <w:r>
              <w:rPr>
                <w:rFonts w:ascii="Times New Roman" w:cs="Times New Roman" w:eastAsia="Times New Roman" w:hAnsi="Times New Roman"/>
                <w:sz w:val="18"/>
                <w:szCs w:val="18"/>
                <w:color w:val="auto"/>
                <w:w w:val="91"/>
                <w:vertAlign w:val="superscript"/>
              </w:rPr>
              <w:t>(2)</w:t>
            </w:r>
          </w:p>
        </w:tc>
        <w:tc>
          <w:tcPr>
            <w:tcW w:w="12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3"/>
              </w:rPr>
              <w:t>Price</w:t>
            </w:r>
            <w:r>
              <w:rPr>
                <w:rFonts w:ascii="Times New Roman" w:cs="Times New Roman" w:eastAsia="Times New Roman" w:hAnsi="Times New Roman"/>
                <w:sz w:val="18"/>
                <w:szCs w:val="18"/>
                <w:color w:val="auto"/>
                <w:w w:val="93"/>
                <w:vertAlign w:val="superscript"/>
              </w:rPr>
              <w:t>(2)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5"/>
        </w:trPr>
        <w:tc>
          <w:tcPr>
            <w:tcW w:w="1360" w:type="dxa"/>
            <w:vAlign w:val="bottom"/>
            <w:tcBorders>
              <w:left w:val="single" w:sz="8" w:color="auto"/>
              <w:right w:val="single" w:sz="8" w:color="auto"/>
            </w:tcBorders>
          </w:tcPr>
          <w:p>
            <w:pPr>
              <w:jc w:val="center"/>
              <w:ind w:left="79"/>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10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5,819,663</w:t>
            </w:r>
            <w:r>
              <w:rPr>
                <w:rFonts w:ascii="Times New Roman" w:cs="Times New Roman" w:eastAsia="Times New Roman" w:hAnsi="Times New Roman"/>
                <w:sz w:val="26"/>
                <w:szCs w:val="26"/>
                <w:color w:val="auto"/>
                <w:vertAlign w:val="superscript"/>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$5,994,252.89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$917.72</w:t>
            </w:r>
          </w:p>
        </w:tc>
        <w:tc>
          <w:tcPr>
            <w:tcW w:w="0" w:type="dxa"/>
            <w:vAlign w:val="bottom"/>
          </w:tcPr>
          <w:p>
            <w:pPr>
              <w:spacing w:after="0"/>
              <w:rPr>
                <w:sz w:val="1"/>
                <w:szCs w:val="1"/>
                <w:color w:val="auto"/>
              </w:rPr>
            </w:pPr>
          </w:p>
        </w:tc>
      </w:tr>
      <w:tr>
        <w:trPr>
          <w:trHeight w:val="205"/>
        </w:trPr>
        <w:tc>
          <w:tcPr>
            <w:tcW w:w="1360" w:type="dxa"/>
            <w:vAlign w:val="bottom"/>
            <w:tcBorders>
              <w:left w:val="single" w:sz="8" w:color="auto"/>
              <w:right w:val="single" w:sz="8" w:color="auto"/>
            </w:tcBorders>
          </w:tcPr>
          <w:p>
            <w:pPr>
              <w:jc w:val="center"/>
              <w:ind w:left="79"/>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10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jc w:val="center"/>
              <w:ind w:right="4"/>
              <w:spacing w:after="0" w:line="247" w:lineRule="exact"/>
              <w:rPr>
                <w:sz w:val="20"/>
                <w:szCs w:val="20"/>
                <w:color w:val="auto"/>
              </w:rPr>
            </w:pPr>
            <w:r>
              <w:rPr>
                <w:rFonts w:ascii="Times New Roman" w:cs="Times New Roman" w:eastAsia="Times New Roman" w:hAnsi="Times New Roman"/>
                <w:sz w:val="18"/>
                <w:szCs w:val="18"/>
                <w:color w:val="auto"/>
              </w:rPr>
              <w:t>338,106</w:t>
            </w:r>
            <w:r>
              <w:rPr>
                <w:rFonts w:ascii="Times New Roman" w:cs="Times New Roman" w:eastAsia="Times New Roman" w:hAnsi="Times New Roman"/>
                <w:sz w:val="26"/>
                <w:szCs w:val="26"/>
                <w:color w:val="auto"/>
                <w:vertAlign w:val="superscript"/>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$348,249.18</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$53.32</w:t>
            </w:r>
          </w:p>
        </w:tc>
        <w:tc>
          <w:tcPr>
            <w:tcW w:w="0" w:type="dxa"/>
            <w:vAlign w:val="bottom"/>
          </w:tcPr>
          <w:p>
            <w:pPr>
              <w:spacing w:after="0"/>
              <w:rPr>
                <w:sz w:val="1"/>
                <w:szCs w:val="1"/>
                <w:color w:val="auto"/>
              </w:rPr>
            </w:pPr>
          </w:p>
        </w:tc>
      </w:tr>
      <w:tr>
        <w:trPr>
          <w:trHeight w:val="232"/>
        </w:trPr>
        <w:tc>
          <w:tcPr>
            <w:tcW w:w="136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$6,342,502.07</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$971.04</w:t>
            </w:r>
          </w:p>
        </w:tc>
        <w:tc>
          <w:tcPr>
            <w:tcW w:w="0" w:type="dxa"/>
            <w:vAlign w:val="bottom"/>
          </w:tcPr>
          <w:p>
            <w:pPr>
              <w:spacing w:after="0"/>
              <w:rPr>
                <w:sz w:val="1"/>
                <w:szCs w:val="1"/>
                <w:color w:val="auto"/>
              </w:rPr>
            </w:pPr>
          </w:p>
        </w:tc>
      </w:tr>
      <w:tr>
        <w:trPr>
          <w:trHeight w:val="237"/>
        </w:trPr>
        <w:tc>
          <w:tcPr>
            <w:tcW w:w="136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36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8"/>
                <w:szCs w:val="18"/>
                <w:color w:val="auto"/>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80" w:hanging="424"/>
        <w:spacing w:after="0" w:line="227"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Pursuant to Rule 416 of the Securities Act of 1933, as amended (the “Securities Act”), this Registration Statement also covers such additional and indeterminate number of shares of common stock, par value $0.001 per share (the “Common Stock”) of Biodesix, Inc., a Delaware corporation (the “Registrant”), as may become issuable pursuant to the provisions of the plans relating to adjustments for changes resulting from a share dividend, share split or similar change.</w:t>
      </w:r>
    </w:p>
    <w:p>
      <w:pPr>
        <w:spacing w:after="0" w:line="1" w:lineRule="exact"/>
        <w:rPr>
          <w:rFonts w:ascii="Times New Roman" w:cs="Times New Roman" w:eastAsia="Times New Roman" w:hAnsi="Times New Roman"/>
          <w:sz w:val="27"/>
          <w:szCs w:val="27"/>
          <w:color w:val="auto"/>
          <w:vertAlign w:val="superscript"/>
        </w:rPr>
      </w:pPr>
    </w:p>
    <w:p>
      <w:pPr>
        <w:ind w:left="424" w:right="180" w:hanging="424"/>
        <w:spacing w:after="0" w:line="214"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$1.03 per share represents the average high and low prices of the Common Stock as quoted on the Nasdaq Global Select Market on January 31, 2025, a date within five business days prior to the filing of this Registration Statement, in accordance with Rule 457(c) of the Securities Act.</w:t>
      </w:r>
    </w:p>
    <w:p>
      <w:pPr>
        <w:spacing w:after="0" w:line="2" w:lineRule="exact"/>
        <w:rPr>
          <w:rFonts w:ascii="Times New Roman" w:cs="Times New Roman" w:eastAsia="Times New Roman" w:hAnsi="Times New Roman"/>
          <w:sz w:val="27"/>
          <w:szCs w:val="27"/>
          <w:color w:val="auto"/>
          <w:vertAlign w:val="superscript"/>
        </w:rPr>
      </w:pPr>
    </w:p>
    <w:p>
      <w:pPr>
        <w:ind w:left="424" w:right="20" w:hanging="424"/>
        <w:spacing w:after="0" w:line="231"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2020 Equity Incentive Plan (the “2020 Plan”) on January 1, 2025 pursuant to an “evergreen” provision contained in the 2020 Plan. Pursuant to such provision, on the first day of each fiscal year, beginning with the fiscal year ending December 31, 2022, and continuing until, and including, the calendar year ending December 31, 2030, the number of shares authorized for issuance under the 2020 Plan is automatically increased by a number equal to the lesser of (i) 4% of the number of shares of Common Stock issued and outstanding as of the December 31st of the immediately preceding calendar year and (ii) such lesser amount determined by the Registrant’s board of directors.</w:t>
      </w:r>
    </w:p>
    <w:p>
      <w:pPr>
        <w:spacing w:after="0" w:line="1" w:lineRule="exact"/>
        <w:rPr>
          <w:rFonts w:ascii="Times New Roman" w:cs="Times New Roman" w:eastAsia="Times New Roman" w:hAnsi="Times New Roman"/>
          <w:sz w:val="27"/>
          <w:szCs w:val="27"/>
          <w:color w:val="auto"/>
          <w:vertAlign w:val="superscript"/>
        </w:rPr>
      </w:pPr>
    </w:p>
    <w:p>
      <w:pPr>
        <w:ind w:left="424" w:right="80" w:hanging="424"/>
        <w:spacing w:after="0" w:line="233"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Employee Stock Purchase Plan (the “ESPP”) on January 1, 2025 pursuant to an “evergreen” provision contained in the ESPP (the “ESPP evergreen provision”). Pursuant to the ESPP evergreen provision, on the first day of each fiscal year, beginning with the fiscal year ending December 31, 2022, and continuing until, and including, the fiscal year ending December 31, 2030, the number of shares authorized for issuance under the ESPP is automatically increased by a number equal to the lesser of (i) 338,106 shares, (ii) 1% of the number of shares of Common Stock issued and outstanding as of the December 31st of the immediately preceding fiscal year and (iii) such lesser amount determined by the Registrant’s board of directors.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png"/><Relationship Id="rId36" Type="http://schemas.openxmlformats.org/officeDocument/2006/relationships/image" Target="media/image17.jpeg"/><Relationship Id="rId37" Type="http://schemas.openxmlformats.org/officeDocument/2006/relationships/image" Target="media/image18.png"/><Relationship Id="rId17" Type="http://schemas.openxmlformats.org/officeDocument/2006/relationships/hyperlink" Target="http://www.sec.gov/ix?doc=/Archives/edgar/data/1439725/000095017024023513/bdsx-20231231.htm" TargetMode="External"/><Relationship Id="rId18" Type="http://schemas.openxmlformats.org/officeDocument/2006/relationships/hyperlink" Target="http://www.sec.gov/ix?doc=/Archives/edgar/data/1439725/000095017024055651/bdsx-20240331.htm" TargetMode="External"/><Relationship Id="rId19" Type="http://schemas.openxmlformats.org/officeDocument/2006/relationships/hyperlink" Target="http://www.sec.gov/ix?doc=/Archives/edgar/data/1439725/000095017024092773/bdsx-20240630.htm" TargetMode="External"/><Relationship Id="rId20" Type="http://schemas.openxmlformats.org/officeDocument/2006/relationships/hyperlink" Target="http://www.sec.gov/ix?doc=/Archives/edgar/data/1439725/000095017024119792/bdsx-20240930.htm" TargetMode="External"/><Relationship Id="rId21" Type="http://schemas.openxmlformats.org/officeDocument/2006/relationships/hyperlink" Target="http://www.sec.gov/ix?doc=/Archives/edgar/data/1439725/000119312524090787/d779805d8k.htm" TargetMode="External"/><Relationship Id="rId22" Type="http://schemas.openxmlformats.org/officeDocument/2006/relationships/hyperlink" Target="http://www.sec.gov/ix?doc=/Archives/edgar/data/1439725/000119312524145965/d832577d8k.htm" TargetMode="External"/><Relationship Id="rId23" Type="http://schemas.openxmlformats.org/officeDocument/2006/relationships/hyperlink" Target="http://www.sec.gov/Archives/edgar/data/1439725/000119312520275716/d94177d8a12b.htm" TargetMode="External"/><Relationship Id="rId25" Type="http://schemas.openxmlformats.org/officeDocument/2006/relationships/hyperlink" Target="http://www.sec.gov/Archives/edgar/data/1439725/000119312520273369/d937421dex32.htm" TargetMode="External"/><Relationship Id="rId26" Type="http://schemas.openxmlformats.org/officeDocument/2006/relationships/hyperlink" Target="http://www.sec.gov/Archives/edgar/data/1439725/000119312524090787/d779805dex31.htm" TargetMode="External"/><Relationship Id="rId27" Type="http://schemas.openxmlformats.org/officeDocument/2006/relationships/hyperlink" Target="http://www.sec.gov/Archives/edgar/data/1439725/000119312520273369/d937421dex34.htm" TargetMode="External"/><Relationship Id="rId28" Type="http://schemas.openxmlformats.org/officeDocument/2006/relationships/hyperlink" Target="http://www.sec.gov/Archives/edgar/data/1439725/000119312520275630/d937421dex105.htm" TargetMode="External"/><Relationship Id="rId29" Type="http://schemas.openxmlformats.org/officeDocument/2006/relationships/hyperlink" Target="http://www.sec.gov/Archives/edgar/data/1439725/000119312520275630/d937421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2025-02-07T15:18:31Z</dcterms:created>
  <dcterms:modified xsi:type="dcterms:W3CDTF">2025-02-07T15:18:31Z</dcterms:modified>
</cp:coreProperties>
</file>