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SCHEDULE 13G</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w:t>
      </w:r>
    </w:p>
    <w:p>
      <w:pPr>
        <w:spacing w:after="0" w:line="209" w:lineRule="exact"/>
        <w:rPr>
          <w:sz w:val="24"/>
          <w:szCs w:val="24"/>
          <w:color w:val="auto"/>
        </w:rPr>
      </w:pPr>
    </w:p>
    <w:p>
      <w:pPr>
        <w:jc w:val="right"/>
        <w:ind w:right="4800"/>
        <w:spacing w:after="0"/>
        <w:rPr>
          <w:sz w:val="20"/>
          <w:szCs w:val="20"/>
          <w:color w:val="auto"/>
        </w:rPr>
      </w:pPr>
      <w:r>
        <w:rPr>
          <w:rFonts w:ascii="Arial" w:cs="Arial" w:eastAsia="Arial" w:hAnsi="Arial"/>
          <w:sz w:val="22"/>
          <w:szCs w:val="22"/>
          <w:b w:val="1"/>
          <w:bCs w:val="1"/>
          <w:u w:val="single" w:color="auto"/>
          <w:color w:val="auto"/>
        </w:rPr>
        <w:t>BIODESIX, INC.</w:t>
      </w:r>
    </w:p>
    <w:p>
      <w:pPr>
        <w:spacing w:after="0" w:line="14" w:lineRule="exact"/>
        <w:rPr>
          <w:sz w:val="24"/>
          <w:szCs w:val="24"/>
          <w:color w:val="auto"/>
        </w:rPr>
      </w:pPr>
    </w:p>
    <w:p>
      <w:pPr>
        <w:jc w:val="right"/>
        <w:ind w:right="4860"/>
        <w:spacing w:after="0"/>
        <w:rPr>
          <w:sz w:val="20"/>
          <w:szCs w:val="20"/>
          <w:color w:val="auto"/>
        </w:rPr>
      </w:pPr>
      <w:r>
        <w:rPr>
          <w:rFonts w:ascii="Arial" w:cs="Arial" w:eastAsia="Arial" w:hAnsi="Arial"/>
          <w:sz w:val="22"/>
          <w:szCs w:val="22"/>
          <w:color w:val="auto"/>
        </w:rPr>
        <w:t>(Name of Issuer)</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Common Stock, par value $0.001 per share</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(Title of Class of Securities)</w:t>
      </w:r>
    </w:p>
    <w:p>
      <w:pPr>
        <w:spacing w:after="0" w:line="209" w:lineRule="exact"/>
        <w:rPr>
          <w:sz w:val="24"/>
          <w:szCs w:val="24"/>
          <w:color w:val="auto"/>
        </w:rPr>
      </w:pPr>
    </w:p>
    <w:p>
      <w:pPr>
        <w:ind w:left="5120"/>
        <w:spacing w:after="0"/>
        <w:rPr>
          <w:sz w:val="20"/>
          <w:szCs w:val="20"/>
          <w:color w:val="auto"/>
        </w:rPr>
      </w:pPr>
      <w:r>
        <w:rPr>
          <w:rFonts w:ascii="Arial" w:cs="Arial" w:eastAsia="Arial" w:hAnsi="Arial"/>
          <w:sz w:val="22"/>
          <w:szCs w:val="22"/>
          <w:b w:val="1"/>
          <w:bCs w:val="1"/>
          <w:u w:val="single" w:color="auto"/>
          <w:color w:val="auto"/>
        </w:rPr>
        <w:t>09075X108</w:t>
      </w:r>
    </w:p>
    <w:p>
      <w:pPr>
        <w:spacing w:after="0" w:line="14"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(CUSIP Number)</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December 31, 2020</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(Date of Event which Requires Filing of this Statement)</w:t>
      </w:r>
    </w:p>
    <w:p>
      <w:pPr>
        <w:spacing w:after="0" w:line="250" w:lineRule="exact"/>
        <w:rPr>
          <w:sz w:val="24"/>
          <w:szCs w:val="24"/>
          <w:color w:val="auto"/>
        </w:rPr>
      </w:pPr>
    </w:p>
    <w:p>
      <w:pPr>
        <w:spacing w:after="0"/>
        <w:rPr>
          <w:sz w:val="20"/>
          <w:szCs w:val="20"/>
          <w:color w:val="auto"/>
        </w:rPr>
      </w:pPr>
      <w:r>
        <w:rPr>
          <w:rFonts w:ascii="Arial" w:cs="Arial" w:eastAsia="Arial" w:hAnsi="Arial"/>
          <w:sz w:val="19"/>
          <w:szCs w:val="19"/>
          <w:color w:val="auto"/>
        </w:rPr>
        <w:t>Check the appropriate box to designate the rule pursuant to which this Schedule is filed:</w:t>
      </w:r>
    </w:p>
    <w:p>
      <w:pPr>
        <w:sectPr>
          <w:pgSz w:w="11900" w:h="16838" w:orient="portrait"/>
          <w:cols w:equalWidth="0" w:num="1">
            <w:col w:w="11240"/>
          </w:cols>
          <w:pgMar w:left="320" w:top="220" w:right="339" w:bottom="1440" w:gutter="0" w:footer="0" w:header="0"/>
        </w:sectPr>
      </w:pPr>
    </w:p>
    <w:p>
      <w:pPr>
        <w:spacing w:after="0" w:line="268" w:lineRule="exact"/>
        <w:rPr>
          <w:sz w:val="24"/>
          <w:szCs w:val="24"/>
          <w:color w:val="auto"/>
        </w:rPr>
      </w:pPr>
    </w:p>
    <w:p>
      <w:pPr>
        <w:ind w:left="4520"/>
        <w:spacing w:after="0"/>
        <w:rPr>
          <w:sz w:val="20"/>
          <w:szCs w:val="20"/>
          <w:color w:val="auto"/>
        </w:rPr>
      </w:pPr>
      <w:r>
        <w:rPr>
          <w:rFonts w:ascii="Arial" w:cs="Arial" w:eastAsia="Arial" w:hAnsi="Arial"/>
          <w:sz w:val="21"/>
          <w:szCs w:val="21"/>
          <w:color w:val="auto"/>
        </w:rPr>
        <w:t>[</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Arial" w:cs="Arial" w:eastAsia="Arial" w:hAnsi="Arial"/>
          <w:sz w:val="19"/>
          <w:szCs w:val="19"/>
          <w:color w:val="auto"/>
        </w:rPr>
        <w:t>Rule 13d-1(b)</w:t>
      </w:r>
    </w:p>
    <w:p>
      <w:pPr>
        <w:spacing w:after="0" w:line="234" w:lineRule="exact"/>
        <w:rPr>
          <w:sz w:val="24"/>
          <w:szCs w:val="24"/>
          <w:color w:val="auto"/>
        </w:rPr>
      </w:pPr>
    </w:p>
    <w:p>
      <w:pPr>
        <w:sectPr>
          <w:pgSz w:w="11900" w:h="16838" w:orient="portrait"/>
          <w:cols w:equalWidth="0" w:num="3">
            <w:col w:w="4580" w:space="220"/>
            <w:col w:w="80" w:space="640"/>
            <w:col w:w="5720"/>
          </w:cols>
          <w:pgMar w:left="320" w:top="220" w:right="339" w:bottom="1440" w:gutter="0" w:footer="0" w:header="0"/>
          <w:type w:val="continuous"/>
        </w:sectPr>
      </w:pPr>
    </w:p>
    <w:p>
      <w:pPr>
        <w:spacing w:after="0" w:line="33" w:lineRule="exact"/>
        <w:rPr>
          <w:sz w:val="24"/>
          <w:szCs w:val="24"/>
          <w:color w:val="auto"/>
        </w:rPr>
      </w:pPr>
    </w:p>
    <w:p>
      <w:pPr>
        <w:ind w:left="4520"/>
        <w:spacing w:after="0"/>
        <w:tabs>
          <w:tab w:leader="none" w:pos="4780" w:val="left"/>
        </w:tabs>
        <w:rPr>
          <w:sz w:val="20"/>
          <w:szCs w:val="20"/>
          <w:color w:val="auto"/>
        </w:rPr>
      </w:pPr>
      <w:r>
        <w:rPr>
          <w:rFonts w:ascii="Arial" w:cs="Arial" w:eastAsia="Arial" w:hAnsi="Arial"/>
          <w:sz w:val="22"/>
          <w:szCs w:val="22"/>
          <w:color w:val="auto"/>
        </w:rPr>
        <w:t>[</w:t>
        <w:tab/>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9"/>
          <w:szCs w:val="19"/>
          <w:color w:val="auto"/>
        </w:rPr>
        <w:t>Rule 13d-1(c)</w:t>
      </w:r>
    </w:p>
    <w:p>
      <w:pPr>
        <w:spacing w:after="0" w:line="234" w:lineRule="exact"/>
        <w:rPr>
          <w:sz w:val="24"/>
          <w:szCs w:val="24"/>
          <w:color w:val="auto"/>
        </w:rPr>
      </w:pPr>
    </w:p>
    <w:p>
      <w:pPr>
        <w:sectPr>
          <w:pgSz w:w="11900" w:h="16838" w:orient="portrait"/>
          <w:cols w:equalWidth="0" w:num="2">
            <w:col w:w="4880" w:space="640"/>
            <w:col w:w="5720"/>
          </w:cols>
          <w:pgMar w:left="320" w:top="220" w:right="339" w:bottom="1440" w:gutter="0" w:footer="0" w:header="0"/>
          <w:type w:val="continuous"/>
        </w:sectPr>
      </w:pPr>
    </w:p>
    <w:p>
      <w:pPr>
        <w:spacing w:after="0" w:line="33" w:lineRule="exact"/>
        <w:rPr>
          <w:sz w:val="24"/>
          <w:szCs w:val="24"/>
          <w:color w:val="auto"/>
        </w:rPr>
      </w:pPr>
    </w:p>
    <w:p>
      <w:pPr>
        <w:ind w:left="4640" w:hanging="129"/>
        <w:spacing w:after="0"/>
        <w:tabs>
          <w:tab w:leader="none" w:pos="4640" w:val="left"/>
        </w:tabs>
        <w:numPr>
          <w:ilvl w:val="1"/>
          <w:numId w:val="1"/>
        </w:numPr>
        <w:rPr>
          <w:rFonts w:ascii="Arial" w:cs="Arial" w:eastAsia="Arial" w:hAnsi="Arial"/>
          <w:sz w:val="22"/>
          <w:szCs w:val="22"/>
          <w:color w:val="auto"/>
        </w:rPr>
      </w:pPr>
      <w:r>
        <w:rPr>
          <w:rFonts w:ascii="Arial" w:cs="Arial" w:eastAsia="Arial" w:hAnsi="Arial"/>
          <w:sz w:val="22"/>
          <w:szCs w:val="22"/>
          <w:color w:val="auto"/>
        </w:rPr>
        <w:t>x ]</w:t>
      </w:r>
      <w:r>
        <w:rPr>
          <w:rFonts w:ascii="Arial" w:cs="Arial" w:eastAsia="Arial" w:hAnsi="Arial"/>
          <w:sz w:val="19"/>
          <w:szCs w:val="19"/>
          <w:color w:val="auto"/>
        </w:rPr>
        <w:t>Rule 13d-1(d)</w:t>
      </w:r>
    </w:p>
    <w:p>
      <w:pPr>
        <w:spacing w:after="0" w:line="233" w:lineRule="exact"/>
        <w:rPr>
          <w:rFonts w:ascii="Arial" w:cs="Arial" w:eastAsia="Arial" w:hAnsi="Arial"/>
          <w:sz w:val="22"/>
          <w:szCs w:val="22"/>
          <w:color w:val="auto"/>
        </w:rPr>
      </w:pPr>
    </w:p>
    <w:p>
      <w:pPr>
        <w:jc w:val="both"/>
        <w:spacing w:after="0"/>
        <w:rPr>
          <w:rFonts w:ascii="Arial" w:cs="Arial" w:eastAsia="Arial" w:hAnsi="Arial"/>
          <w:sz w:val="22"/>
          <w:szCs w:val="22"/>
          <w:color w:val="auto"/>
        </w:rPr>
      </w:pPr>
      <w:r>
        <w:rPr>
          <w:rFonts w:ascii="Arial" w:cs="Arial" w:eastAsia="Arial" w:hAnsi="Arial"/>
          <w:sz w:val="22"/>
          <w:szCs w:val="22"/>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Continued on following pages</w:t>
      </w:r>
    </w:p>
    <w:p>
      <w:pPr>
        <w:jc w:val="center"/>
        <w:ind w:right="-19"/>
        <w:spacing w:after="0" w:line="238" w:lineRule="auto"/>
        <w:rPr>
          <w:sz w:val="20"/>
          <w:szCs w:val="20"/>
          <w:color w:val="auto"/>
        </w:rPr>
      </w:pPr>
      <w:r>
        <w:rPr>
          <w:rFonts w:ascii="Arial" w:cs="Arial" w:eastAsia="Arial" w:hAnsi="Arial"/>
          <w:sz w:val="22"/>
          <w:szCs w:val="22"/>
          <w:color w:val="auto"/>
        </w:rPr>
        <w:t>Page 1 of Pages</w:t>
      </w:r>
    </w:p>
    <w:p>
      <w:pPr>
        <w:jc w:val="center"/>
        <w:ind w:right="-19"/>
        <w:spacing w:after="0"/>
        <w:rPr>
          <w:sz w:val="20"/>
          <w:szCs w:val="20"/>
          <w:color w:val="auto"/>
        </w:rPr>
      </w:pPr>
      <w:r>
        <w:rPr>
          <w:rFonts w:ascii="Arial" w:cs="Arial" w:eastAsia="Arial" w:hAnsi="Arial"/>
          <w:sz w:val="22"/>
          <w:szCs w:val="22"/>
          <w:color w:val="auto"/>
        </w:rPr>
        <w:t>Exhibit Index: Page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type w:val="continuous"/>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2240" w:type="dxa"/>
            <w:vAlign w:val="bottom"/>
            <w:gridSpan w:val="3"/>
          </w:tcPr>
          <w:p>
            <w:pPr>
              <w:spacing w:after="0"/>
              <w:rPr>
                <w:sz w:val="20"/>
                <w:szCs w:val="20"/>
                <w:color w:val="auto"/>
              </w:rPr>
            </w:pPr>
            <w:r>
              <w:rPr>
                <w:rFonts w:ascii="Arial" w:cs="Arial" w:eastAsia="Arial" w:hAnsi="Arial"/>
                <w:sz w:val="18"/>
                <w:szCs w:val="18"/>
                <w:color w:val="auto"/>
              </w:rPr>
              <w:t>CUSIP No. 09075X108</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20" w:type="dxa"/>
            <w:vAlign w:val="bottom"/>
            <w:gridSpan w:val="2"/>
          </w:tcPr>
          <w:p>
            <w:pPr>
              <w:ind w:left="7240"/>
              <w:spacing w:after="0"/>
              <w:rPr>
                <w:sz w:val="20"/>
                <w:szCs w:val="20"/>
                <w:color w:val="auto"/>
              </w:rPr>
            </w:pPr>
            <w:r>
              <w:rPr>
                <w:rFonts w:ascii="Arial" w:cs="Arial" w:eastAsia="Arial" w:hAnsi="Arial"/>
                <w:sz w:val="18"/>
                <w:szCs w:val="18"/>
                <w:color w:val="auto"/>
                <w:w w:val="83"/>
              </w:rPr>
              <w:t>Page 2 of 8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9840" w:type="dxa"/>
            <w:vAlign w:val="bottom"/>
            <w:tcBorders>
              <w:bottom w:val="single" w:sz="8" w:color="auto"/>
            </w:tcBorders>
            <w:gridSpan w:val="6"/>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4"/>
          </w:tcPr>
          <w:p>
            <w:pPr>
              <w:ind w:left="80"/>
              <w:spacing w:after="0"/>
              <w:rPr>
                <w:sz w:val="20"/>
                <w:szCs w:val="20"/>
                <w:color w:val="auto"/>
              </w:rPr>
            </w:pPr>
            <w:r>
              <w:rPr>
                <w:rFonts w:ascii="Arial" w:cs="Arial" w:eastAsia="Arial" w:hAnsi="Arial"/>
                <w:sz w:val="18"/>
                <w:szCs w:val="18"/>
                <w:color w:val="auto"/>
              </w:rPr>
              <w:t>Manlia Limited</w:t>
            </w: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40" w:type="dxa"/>
            <w:vAlign w:val="bottom"/>
            <w:tcBorders>
              <w:bottom w:val="single" w:sz="8" w:color="auto"/>
              <w:right w:val="single" w:sz="8" w:color="auto"/>
            </w:tcBorders>
            <w:gridSpan w:val="6"/>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320" w:type="dxa"/>
            <w:vAlign w:val="bottom"/>
            <w:tcBorders>
              <w:bottom w:val="single" w:sz="8" w:color="auto"/>
            </w:tcBorders>
            <w:gridSpan w:val="2"/>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color w:val="auto"/>
                <w:w w:val="94"/>
              </w:rPr>
              <w:t>Guernsey</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6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60"/>
              <w:spacing w:after="0"/>
              <w:rPr>
                <w:sz w:val="20"/>
                <w:szCs w:val="20"/>
                <w:color w:val="auto"/>
              </w:rPr>
            </w:pPr>
            <w:r>
              <w:rPr>
                <w:rFonts w:ascii="Arial" w:cs="Arial" w:eastAsia="Arial" w:hAnsi="Arial"/>
                <w:sz w:val="18"/>
                <w:szCs w:val="18"/>
                <w:color w:val="auto"/>
              </w:rPr>
              <w:t>1,928,879</w:t>
            </w: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5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200" w:type="dxa"/>
            <w:vAlign w:val="bottom"/>
          </w:tcPr>
          <w:p>
            <w:pPr>
              <w:spacing w:after="0"/>
              <w:rPr>
                <w:sz w:val="14"/>
                <w:szCs w:val="14"/>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5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8300" w:type="dxa"/>
            <w:vAlign w:val="bottom"/>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60"/>
              <w:spacing w:after="0"/>
              <w:rPr>
                <w:sz w:val="20"/>
                <w:szCs w:val="20"/>
                <w:color w:val="auto"/>
              </w:rPr>
            </w:pPr>
            <w:r>
              <w:rPr>
                <w:rFonts w:ascii="Arial" w:cs="Arial" w:eastAsia="Arial" w:hAnsi="Arial"/>
                <w:sz w:val="18"/>
                <w:szCs w:val="18"/>
                <w:color w:val="auto"/>
              </w:rPr>
              <w:t>1,928,879</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color w:val="auto"/>
                <w:w w:val="92"/>
              </w:rPr>
              <w:t>1,928,879</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54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color w:val="auto"/>
              </w:rPr>
              <w:t>7.2% (1)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color w:val="auto"/>
              </w:rPr>
              <w:t>OO</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300" w:right="260" w:hanging="968"/>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percentage is based on a total of 26,861,021 Shares outstanding as of May 7, 2021, as disclosed in the Issuer’s quarterly report on Form 10-Q, as filed with the Securities and Exchange Commission on June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2200" w:type="dxa"/>
            <w:vAlign w:val="bottom"/>
            <w:gridSpan w:val="3"/>
          </w:tcPr>
          <w:p>
            <w:pPr>
              <w:spacing w:after="0"/>
              <w:rPr>
                <w:sz w:val="20"/>
                <w:szCs w:val="20"/>
                <w:color w:val="auto"/>
              </w:rPr>
            </w:pPr>
            <w:r>
              <w:rPr>
                <w:rFonts w:ascii="Arial" w:cs="Arial" w:eastAsia="Arial" w:hAnsi="Arial"/>
                <w:sz w:val="18"/>
                <w:szCs w:val="18"/>
                <w:color w:val="auto"/>
              </w:rPr>
              <w:t>CUSIP No. 09075X108</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20" w:type="dxa"/>
            <w:vAlign w:val="bottom"/>
            <w:gridSpan w:val="2"/>
          </w:tcPr>
          <w:p>
            <w:pPr>
              <w:ind w:left="7240"/>
              <w:spacing w:after="0"/>
              <w:rPr>
                <w:sz w:val="20"/>
                <w:szCs w:val="20"/>
                <w:color w:val="auto"/>
              </w:rPr>
            </w:pPr>
            <w:r>
              <w:rPr>
                <w:rFonts w:ascii="Arial" w:cs="Arial" w:eastAsia="Arial" w:hAnsi="Arial"/>
                <w:sz w:val="18"/>
                <w:szCs w:val="18"/>
                <w:color w:val="auto"/>
                <w:w w:val="83"/>
              </w:rPr>
              <w:t>Page 3 of 8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9840" w:type="dxa"/>
            <w:vAlign w:val="bottom"/>
            <w:tcBorders>
              <w:bottom w:val="single" w:sz="8" w:color="auto"/>
            </w:tcBorders>
            <w:gridSpan w:val="6"/>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Robert Cawthorn</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40" w:type="dxa"/>
            <w:vAlign w:val="bottom"/>
            <w:tcBorders>
              <w:bottom w:val="single" w:sz="8" w:color="auto"/>
              <w:right w:val="single" w:sz="8" w:color="auto"/>
            </w:tcBorders>
            <w:gridSpan w:val="6"/>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320" w:type="dxa"/>
            <w:vAlign w:val="bottom"/>
            <w:tcBorders>
              <w:bottom w:val="single" w:sz="8" w:color="auto"/>
            </w:tcBorders>
            <w:gridSpan w:val="2"/>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United Kingdom / Canada</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60"/>
              <w:spacing w:after="0"/>
              <w:rPr>
                <w:sz w:val="20"/>
                <w:szCs w:val="20"/>
                <w:color w:val="auto"/>
              </w:rPr>
            </w:pPr>
            <w:r>
              <w:rPr>
                <w:rFonts w:ascii="Arial" w:cs="Arial" w:eastAsia="Arial" w:hAnsi="Arial"/>
                <w:sz w:val="18"/>
                <w:szCs w:val="18"/>
                <w:color w:val="auto"/>
              </w:rPr>
              <w:t>70,314 (1)</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6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60"/>
              <w:spacing w:after="0"/>
              <w:rPr>
                <w:sz w:val="20"/>
                <w:szCs w:val="20"/>
                <w:color w:val="auto"/>
              </w:rPr>
            </w:pPr>
            <w:r>
              <w:rPr>
                <w:rFonts w:ascii="Arial" w:cs="Arial" w:eastAsia="Arial" w:hAnsi="Arial"/>
                <w:sz w:val="18"/>
                <w:szCs w:val="18"/>
                <w:color w:val="auto"/>
              </w:rPr>
              <w:t>1,928,879</w:t>
            </w: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5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60" w:type="dxa"/>
            <w:vAlign w:val="bottom"/>
          </w:tcPr>
          <w:p>
            <w:pPr>
              <w:spacing w:after="0"/>
              <w:rPr>
                <w:sz w:val="14"/>
                <w:szCs w:val="14"/>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5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60"/>
              <w:spacing w:after="0"/>
              <w:rPr>
                <w:sz w:val="20"/>
                <w:szCs w:val="20"/>
                <w:color w:val="auto"/>
              </w:rPr>
            </w:pPr>
            <w:r>
              <w:rPr>
                <w:rFonts w:ascii="Arial" w:cs="Arial" w:eastAsia="Arial" w:hAnsi="Arial"/>
                <w:sz w:val="18"/>
                <w:szCs w:val="18"/>
                <w:color w:val="auto"/>
              </w:rPr>
              <w:t>70,314 (1)</w:t>
            </w: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60"/>
              <w:spacing w:after="0"/>
              <w:rPr>
                <w:sz w:val="20"/>
                <w:szCs w:val="20"/>
                <w:color w:val="auto"/>
              </w:rPr>
            </w:pPr>
            <w:r>
              <w:rPr>
                <w:rFonts w:ascii="Arial" w:cs="Arial" w:eastAsia="Arial" w:hAnsi="Arial"/>
                <w:sz w:val="18"/>
                <w:szCs w:val="18"/>
                <w:color w:val="auto"/>
              </w:rPr>
              <w:t>1,928,879</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00" w:type="dxa"/>
            <w:vAlign w:val="bottom"/>
            <w:gridSpan w:val="3"/>
          </w:tcPr>
          <w:p>
            <w:pPr>
              <w:ind w:left="80"/>
              <w:spacing w:after="0"/>
              <w:rPr>
                <w:sz w:val="20"/>
                <w:szCs w:val="20"/>
                <w:color w:val="auto"/>
              </w:rPr>
            </w:pPr>
            <w:r>
              <w:rPr>
                <w:rFonts w:ascii="Arial" w:cs="Arial" w:eastAsia="Arial" w:hAnsi="Arial"/>
                <w:sz w:val="18"/>
                <w:szCs w:val="18"/>
                <w:color w:val="auto"/>
              </w:rPr>
              <w:t>1,999,193 (1)</w:t>
            </w: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54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Arial" w:cs="Arial" w:eastAsia="Arial" w:hAnsi="Arial"/>
                <w:sz w:val="18"/>
                <w:szCs w:val="18"/>
                <w:color w:val="auto"/>
              </w:rPr>
              <w:t>7.4% (2)</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Arial" w:cs="Arial" w:eastAsia="Arial" w:hAnsi="Arial"/>
                <w:sz w:val="18"/>
                <w:szCs w:val="18"/>
                <w:color w:val="auto"/>
              </w:rPr>
              <w:t>IN, HC</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300" w:right="180" w:hanging="968"/>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70,314 shares of common stock issuable upon the exercise of options held by Robert Cawthorn that are vested and exercisable within 60 days.</w:t>
      </w:r>
    </w:p>
    <w:p>
      <w:pPr>
        <w:spacing w:after="0" w:line="197" w:lineRule="exact"/>
        <w:rPr>
          <w:rFonts w:ascii="Arial" w:cs="Arial" w:eastAsia="Arial" w:hAnsi="Arial"/>
          <w:sz w:val="18"/>
          <w:szCs w:val="18"/>
          <w:color w:val="auto"/>
        </w:rPr>
      </w:pPr>
    </w:p>
    <w:p>
      <w:pPr>
        <w:ind w:left="1300" w:right="260" w:hanging="968"/>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percentage is based on a total of 26,861,021 Shares outstanding as of May 7, 2021, as disclosed in the Issuer’s quarterly report on Form 10-Q, as filed with the Securities and Exchange Commission on June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2600" w:type="dxa"/>
            <w:vAlign w:val="bottom"/>
            <w:gridSpan w:val="2"/>
          </w:tcPr>
          <w:p>
            <w:pPr>
              <w:spacing w:after="0"/>
              <w:rPr>
                <w:sz w:val="20"/>
                <w:szCs w:val="20"/>
                <w:color w:val="auto"/>
              </w:rPr>
            </w:pPr>
            <w:r>
              <w:rPr>
                <w:rFonts w:ascii="Arial" w:cs="Arial" w:eastAsia="Arial" w:hAnsi="Arial"/>
                <w:sz w:val="18"/>
                <w:szCs w:val="18"/>
                <w:color w:val="auto"/>
              </w:rPr>
              <w:t>CUSIP No. 09075X108</w:t>
            </w:r>
          </w:p>
        </w:tc>
        <w:tc>
          <w:tcPr>
            <w:tcW w:w="8640" w:type="dxa"/>
            <w:vAlign w:val="bottom"/>
          </w:tcPr>
          <w:p>
            <w:pPr>
              <w:ind w:left="7360"/>
              <w:spacing w:after="0"/>
              <w:rPr>
                <w:sz w:val="20"/>
                <w:szCs w:val="20"/>
                <w:color w:val="auto"/>
              </w:rPr>
            </w:pPr>
            <w:r>
              <w:rPr>
                <w:rFonts w:ascii="Arial" w:cs="Arial" w:eastAsia="Arial" w:hAnsi="Arial"/>
                <w:sz w:val="18"/>
                <w:szCs w:val="18"/>
                <w:color w:val="auto"/>
                <w:w w:val="85"/>
              </w:rPr>
              <w:t>Page 4 of 8 Pages</w:t>
            </w:r>
          </w:p>
        </w:tc>
      </w:tr>
      <w:tr>
        <w:trPr>
          <w:trHeight w:val="634"/>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560" w:type="dxa"/>
            <w:vAlign w:val="bottom"/>
          </w:tcPr>
          <w:p>
            <w:pPr>
              <w:ind w:left="260"/>
              <w:spacing w:after="0"/>
              <w:rPr>
                <w:sz w:val="20"/>
                <w:szCs w:val="20"/>
                <w:color w:val="auto"/>
              </w:rPr>
            </w:pPr>
            <w:r>
              <w:rPr>
                <w:rFonts w:ascii="Arial" w:cs="Arial" w:eastAsia="Arial" w:hAnsi="Arial"/>
                <w:sz w:val="18"/>
                <w:szCs w:val="18"/>
                <w:b w:val="1"/>
                <w:bCs w:val="1"/>
                <w:color w:val="auto"/>
                <w:w w:val="94"/>
              </w:rPr>
              <w:t>Name of Issuer:</w:t>
            </w:r>
          </w:p>
        </w:tc>
        <w:tc>
          <w:tcPr>
            <w:tcW w:w="8640" w:type="dxa"/>
            <w:vAlign w:val="bottom"/>
          </w:tcPr>
          <w:p>
            <w:pPr>
              <w:spacing w:after="0"/>
              <w:rPr>
                <w:sz w:val="24"/>
                <w:szCs w:val="24"/>
                <w:color w:val="auto"/>
              </w:rPr>
            </w:pPr>
          </w:p>
        </w:tc>
      </w:tr>
      <w:tr>
        <w:trPr>
          <w:trHeight w:val="496"/>
        </w:trPr>
        <w:tc>
          <w:tcPr>
            <w:tcW w:w="1040" w:type="dxa"/>
            <w:vAlign w:val="bottom"/>
          </w:tcPr>
          <w:p>
            <w:pPr>
              <w:spacing w:after="0"/>
              <w:rPr>
                <w:sz w:val="24"/>
                <w:szCs w:val="24"/>
                <w:color w:val="auto"/>
              </w:rPr>
            </w:pPr>
          </w:p>
        </w:tc>
        <w:tc>
          <w:tcPr>
            <w:tcW w:w="10200" w:type="dxa"/>
            <w:vAlign w:val="bottom"/>
            <w:gridSpan w:val="2"/>
          </w:tcPr>
          <w:p>
            <w:pPr>
              <w:ind w:left="260"/>
              <w:spacing w:after="0"/>
              <w:rPr>
                <w:sz w:val="20"/>
                <w:szCs w:val="20"/>
                <w:color w:val="auto"/>
              </w:rPr>
            </w:pPr>
            <w:r>
              <w:rPr>
                <w:rFonts w:ascii="Arial" w:cs="Arial" w:eastAsia="Arial" w:hAnsi="Arial"/>
                <w:sz w:val="22"/>
                <w:szCs w:val="22"/>
                <w:color w:val="auto"/>
              </w:rPr>
              <w:t>Biodesix, Inc. (the “Issuer”).</w:t>
            </w:r>
          </w:p>
        </w:tc>
      </w:tr>
      <w:tr>
        <w:trPr>
          <w:trHeight w:val="449"/>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10200" w:type="dxa"/>
            <w:vAlign w:val="bottom"/>
            <w:gridSpan w:val="2"/>
          </w:tcPr>
          <w:p>
            <w:pPr>
              <w:ind w:left="260"/>
              <w:spacing w:after="0"/>
              <w:rPr>
                <w:sz w:val="20"/>
                <w:szCs w:val="20"/>
                <w:color w:val="auto"/>
              </w:rPr>
            </w:pPr>
            <w:r>
              <w:rPr>
                <w:rFonts w:ascii="Arial" w:cs="Arial" w:eastAsia="Arial" w:hAnsi="Arial"/>
                <w:sz w:val="18"/>
                <w:szCs w:val="18"/>
                <w:b w:val="1"/>
                <w:bCs w:val="1"/>
                <w:color w:val="auto"/>
              </w:rPr>
              <w:t>Address of Issuer’s Principal Executive Offices:</w:t>
            </w:r>
          </w:p>
        </w:tc>
      </w:tr>
      <w:tr>
        <w:trPr>
          <w:trHeight w:val="496"/>
        </w:trPr>
        <w:tc>
          <w:tcPr>
            <w:tcW w:w="1040" w:type="dxa"/>
            <w:vAlign w:val="bottom"/>
          </w:tcPr>
          <w:p>
            <w:pPr>
              <w:spacing w:after="0"/>
              <w:rPr>
                <w:sz w:val="24"/>
                <w:szCs w:val="24"/>
                <w:color w:val="auto"/>
              </w:rPr>
            </w:pPr>
          </w:p>
        </w:tc>
        <w:tc>
          <w:tcPr>
            <w:tcW w:w="10200" w:type="dxa"/>
            <w:vAlign w:val="bottom"/>
            <w:gridSpan w:val="2"/>
          </w:tcPr>
          <w:p>
            <w:pPr>
              <w:ind w:left="260"/>
              <w:spacing w:after="0"/>
              <w:rPr>
                <w:sz w:val="20"/>
                <w:szCs w:val="20"/>
                <w:color w:val="auto"/>
              </w:rPr>
            </w:pPr>
            <w:r>
              <w:rPr>
                <w:rFonts w:ascii="Arial" w:cs="Arial" w:eastAsia="Arial" w:hAnsi="Arial"/>
                <w:sz w:val="22"/>
                <w:szCs w:val="22"/>
                <w:color w:val="auto"/>
              </w:rPr>
              <w:t>2970 Wilderness Place, Suite 100, Boulder, Colorado 80301.</w:t>
            </w:r>
          </w:p>
        </w:tc>
      </w:tr>
      <w:tr>
        <w:trPr>
          <w:trHeight w:val="449"/>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10200" w:type="dxa"/>
            <w:vAlign w:val="bottom"/>
            <w:gridSpan w:val="2"/>
          </w:tcPr>
          <w:p>
            <w:pPr>
              <w:ind w:left="260"/>
              <w:spacing w:after="0"/>
              <w:rPr>
                <w:sz w:val="20"/>
                <w:szCs w:val="20"/>
                <w:color w:val="auto"/>
              </w:rPr>
            </w:pPr>
            <w:r>
              <w:rPr>
                <w:rFonts w:ascii="Arial" w:cs="Arial" w:eastAsia="Arial" w:hAnsi="Arial"/>
                <w:sz w:val="18"/>
                <w:szCs w:val="18"/>
                <w:b w:val="1"/>
                <w:bCs w:val="1"/>
                <w:color w:val="auto"/>
              </w:rPr>
              <w:t>Name of Person Filing</w:t>
            </w:r>
          </w:p>
        </w:tc>
      </w:tr>
      <w:tr>
        <w:trPr>
          <w:trHeight w:val="465"/>
        </w:trPr>
        <w:tc>
          <w:tcPr>
            <w:tcW w:w="1040" w:type="dxa"/>
            <w:vAlign w:val="bottom"/>
          </w:tcPr>
          <w:p>
            <w:pPr>
              <w:spacing w:after="0"/>
              <w:rPr>
                <w:sz w:val="24"/>
                <w:szCs w:val="24"/>
                <w:color w:val="auto"/>
              </w:rPr>
            </w:pPr>
          </w:p>
        </w:tc>
        <w:tc>
          <w:tcPr>
            <w:tcW w:w="10200" w:type="dxa"/>
            <w:vAlign w:val="bottom"/>
            <w:gridSpan w:val="2"/>
          </w:tcPr>
          <w:p>
            <w:pPr>
              <w:ind w:left="260"/>
              <w:spacing w:after="0"/>
              <w:rPr>
                <w:sz w:val="20"/>
                <w:szCs w:val="20"/>
                <w:color w:val="auto"/>
              </w:rPr>
            </w:pPr>
            <w:r>
              <w:rPr>
                <w:rFonts w:ascii="Arial" w:cs="Arial" w:eastAsia="Arial" w:hAnsi="Arial"/>
                <w:sz w:val="22"/>
                <w:szCs w:val="22"/>
                <w:color w:val="auto"/>
                <w:w w:val="92"/>
              </w:rPr>
              <w:t>This statement is filed on behalf of each of the following persons (each a “Reporting Person,” and together the</w:t>
            </w:r>
          </w:p>
        </w:tc>
      </w:tr>
      <w:tr>
        <w:trPr>
          <w:trHeight w:val="274"/>
        </w:trPr>
        <w:tc>
          <w:tcPr>
            <w:tcW w:w="1040" w:type="dxa"/>
            <w:vAlign w:val="bottom"/>
          </w:tcPr>
          <w:p>
            <w:pPr>
              <w:spacing w:after="0"/>
              <w:rPr>
                <w:sz w:val="23"/>
                <w:szCs w:val="23"/>
                <w:color w:val="auto"/>
              </w:rPr>
            </w:pPr>
          </w:p>
        </w:tc>
        <w:tc>
          <w:tcPr>
            <w:tcW w:w="10200" w:type="dxa"/>
            <w:vAlign w:val="bottom"/>
            <w:gridSpan w:val="2"/>
          </w:tcPr>
          <w:p>
            <w:pPr>
              <w:ind w:left="260"/>
              <w:spacing w:after="0"/>
              <w:rPr>
                <w:sz w:val="20"/>
                <w:szCs w:val="20"/>
                <w:color w:val="auto"/>
              </w:rPr>
            </w:pPr>
            <w:r>
              <w:rPr>
                <w:rFonts w:ascii="Arial" w:cs="Arial" w:eastAsia="Arial" w:hAnsi="Arial"/>
                <w:sz w:val="22"/>
                <w:szCs w:val="22"/>
                <w:color w:val="auto"/>
              </w:rPr>
              <w:t>“Reporting Persons”):</w:t>
            </w:r>
          </w:p>
        </w:tc>
      </w:tr>
      <w:tr>
        <w:trPr>
          <w:trHeight w:val="435"/>
        </w:trPr>
        <w:tc>
          <w:tcPr>
            <w:tcW w:w="1040" w:type="dxa"/>
            <w:vAlign w:val="bottom"/>
          </w:tcPr>
          <w:p>
            <w:pPr>
              <w:spacing w:after="0"/>
              <w:rPr>
                <w:sz w:val="24"/>
                <w:szCs w:val="24"/>
                <w:color w:val="auto"/>
              </w:rPr>
            </w:pPr>
          </w:p>
        </w:tc>
        <w:tc>
          <w:tcPr>
            <w:tcW w:w="1560" w:type="dxa"/>
            <w:vAlign w:val="bottom"/>
          </w:tcPr>
          <w:p>
            <w:pPr>
              <w:ind w:left="580"/>
              <w:spacing w:after="0"/>
              <w:rPr>
                <w:sz w:val="20"/>
                <w:szCs w:val="20"/>
                <w:color w:val="auto"/>
              </w:rPr>
            </w:pPr>
            <w:r>
              <w:rPr>
                <w:rFonts w:ascii="Arial" w:cs="Arial" w:eastAsia="Arial" w:hAnsi="Arial"/>
                <w:sz w:val="18"/>
                <w:szCs w:val="18"/>
                <w:color w:val="auto"/>
              </w:rPr>
              <w:t>(1)</w:t>
            </w:r>
          </w:p>
        </w:tc>
        <w:tc>
          <w:tcPr>
            <w:tcW w:w="8640" w:type="dxa"/>
            <w:vAlign w:val="bottom"/>
          </w:tcPr>
          <w:p>
            <w:pPr>
              <w:spacing w:after="0"/>
              <w:rPr>
                <w:sz w:val="20"/>
                <w:szCs w:val="20"/>
                <w:color w:val="auto"/>
              </w:rPr>
            </w:pPr>
            <w:r>
              <w:rPr>
                <w:rFonts w:ascii="Arial" w:cs="Arial" w:eastAsia="Arial" w:hAnsi="Arial"/>
                <w:sz w:val="18"/>
                <w:szCs w:val="18"/>
                <w:color w:val="auto"/>
              </w:rPr>
              <w:t>Manlia Limited, and</w:t>
            </w:r>
          </w:p>
        </w:tc>
      </w:tr>
      <w:tr>
        <w:trPr>
          <w:trHeight w:val="230"/>
        </w:trPr>
        <w:tc>
          <w:tcPr>
            <w:tcW w:w="1040" w:type="dxa"/>
            <w:vAlign w:val="bottom"/>
          </w:tcPr>
          <w:p>
            <w:pPr>
              <w:spacing w:after="0"/>
              <w:rPr>
                <w:sz w:val="20"/>
                <w:szCs w:val="20"/>
                <w:color w:val="auto"/>
              </w:rPr>
            </w:pPr>
          </w:p>
        </w:tc>
        <w:tc>
          <w:tcPr>
            <w:tcW w:w="1560" w:type="dxa"/>
            <w:vAlign w:val="bottom"/>
          </w:tcPr>
          <w:p>
            <w:pPr>
              <w:ind w:left="580"/>
              <w:spacing w:after="0"/>
              <w:rPr>
                <w:sz w:val="20"/>
                <w:szCs w:val="20"/>
                <w:color w:val="auto"/>
              </w:rPr>
            </w:pPr>
            <w:r>
              <w:rPr>
                <w:rFonts w:ascii="Arial" w:cs="Arial" w:eastAsia="Arial" w:hAnsi="Arial"/>
                <w:sz w:val="18"/>
                <w:szCs w:val="18"/>
                <w:color w:val="auto"/>
              </w:rPr>
              <w:t>(2)</w:t>
            </w:r>
          </w:p>
        </w:tc>
        <w:tc>
          <w:tcPr>
            <w:tcW w:w="8640" w:type="dxa"/>
            <w:vAlign w:val="bottom"/>
          </w:tcPr>
          <w:p>
            <w:pPr>
              <w:spacing w:after="0"/>
              <w:rPr>
                <w:sz w:val="20"/>
                <w:szCs w:val="20"/>
                <w:color w:val="auto"/>
              </w:rPr>
            </w:pPr>
            <w:r>
              <w:rPr>
                <w:rFonts w:ascii="Arial" w:cs="Arial" w:eastAsia="Arial" w:hAnsi="Arial"/>
                <w:sz w:val="18"/>
                <w:szCs w:val="18"/>
                <w:color w:val="auto"/>
              </w:rPr>
              <w:t>Robert Cawthorn (“Mr. Cawthorn”).</w:t>
            </w:r>
          </w:p>
        </w:tc>
      </w:tr>
      <w:tr>
        <w:trPr>
          <w:trHeight w:val="465"/>
        </w:trPr>
        <w:tc>
          <w:tcPr>
            <w:tcW w:w="1040" w:type="dxa"/>
            <w:vAlign w:val="bottom"/>
          </w:tcPr>
          <w:p>
            <w:pPr>
              <w:spacing w:after="0"/>
              <w:rPr>
                <w:sz w:val="24"/>
                <w:szCs w:val="24"/>
                <w:color w:val="auto"/>
              </w:rPr>
            </w:pPr>
          </w:p>
        </w:tc>
        <w:tc>
          <w:tcPr>
            <w:tcW w:w="10200" w:type="dxa"/>
            <w:vAlign w:val="bottom"/>
            <w:gridSpan w:val="2"/>
          </w:tcPr>
          <w:p>
            <w:pPr>
              <w:ind w:left="260"/>
              <w:spacing w:after="0"/>
              <w:rPr>
                <w:sz w:val="20"/>
                <w:szCs w:val="20"/>
                <w:color w:val="auto"/>
              </w:rPr>
            </w:pPr>
            <w:r>
              <w:rPr>
                <w:rFonts w:ascii="Arial" w:cs="Arial" w:eastAsia="Arial" w:hAnsi="Arial"/>
                <w:sz w:val="22"/>
                <w:szCs w:val="22"/>
                <w:color w:val="auto"/>
                <w:w w:val="90"/>
              </w:rPr>
              <w:t>This statement relates to Shares (as defined herein) held directly by Manlia Limited, as well as Shares underlying</w:t>
            </w:r>
          </w:p>
        </w:tc>
      </w:tr>
      <w:tr>
        <w:trPr>
          <w:trHeight w:val="243"/>
        </w:trPr>
        <w:tc>
          <w:tcPr>
            <w:tcW w:w="1040" w:type="dxa"/>
            <w:vAlign w:val="bottom"/>
          </w:tcPr>
          <w:p>
            <w:pPr>
              <w:spacing w:after="0"/>
              <w:rPr>
                <w:sz w:val="21"/>
                <w:szCs w:val="21"/>
                <w:color w:val="auto"/>
              </w:rPr>
            </w:pPr>
          </w:p>
        </w:tc>
        <w:tc>
          <w:tcPr>
            <w:tcW w:w="10200" w:type="dxa"/>
            <w:vAlign w:val="bottom"/>
            <w:gridSpan w:val="2"/>
          </w:tcPr>
          <w:p>
            <w:pPr>
              <w:ind w:left="260"/>
              <w:spacing w:after="0" w:line="243" w:lineRule="exact"/>
              <w:rPr>
                <w:sz w:val="20"/>
                <w:szCs w:val="20"/>
                <w:color w:val="auto"/>
              </w:rPr>
            </w:pPr>
            <w:r>
              <w:rPr>
                <w:rFonts w:ascii="Arial" w:cs="Arial" w:eastAsia="Arial" w:hAnsi="Arial"/>
                <w:sz w:val="22"/>
                <w:szCs w:val="22"/>
                <w:color w:val="auto"/>
                <w:w w:val="91"/>
              </w:rPr>
              <w:t>options held directly by Mr. Cawthorn that are currently vested and exercisable within 60 days. Manlia Limited is</w:t>
            </w:r>
          </w:p>
        </w:tc>
      </w:tr>
      <w:tr>
        <w:trPr>
          <w:trHeight w:val="243"/>
        </w:trPr>
        <w:tc>
          <w:tcPr>
            <w:tcW w:w="1040" w:type="dxa"/>
            <w:vAlign w:val="bottom"/>
          </w:tcPr>
          <w:p>
            <w:pPr>
              <w:spacing w:after="0"/>
              <w:rPr>
                <w:sz w:val="21"/>
                <w:szCs w:val="21"/>
                <w:color w:val="auto"/>
              </w:rPr>
            </w:pPr>
          </w:p>
        </w:tc>
        <w:tc>
          <w:tcPr>
            <w:tcW w:w="10200" w:type="dxa"/>
            <w:vAlign w:val="bottom"/>
            <w:gridSpan w:val="2"/>
          </w:tcPr>
          <w:p>
            <w:pPr>
              <w:ind w:left="260"/>
              <w:spacing w:after="0" w:line="243" w:lineRule="exact"/>
              <w:rPr>
                <w:sz w:val="20"/>
                <w:szCs w:val="20"/>
                <w:color w:val="auto"/>
              </w:rPr>
            </w:pPr>
            <w:r>
              <w:rPr>
                <w:rFonts w:ascii="Arial" w:cs="Arial" w:eastAsia="Arial" w:hAnsi="Arial"/>
                <w:sz w:val="22"/>
                <w:szCs w:val="22"/>
                <w:color w:val="auto"/>
                <w:w w:val="91"/>
              </w:rPr>
              <w:t>wholly owned by a revocable trust for which Mr. Cawthorn is sole grantor and is a beneficiary. In such capacity,</w:t>
            </w:r>
          </w:p>
        </w:tc>
      </w:tr>
      <w:tr>
        <w:trPr>
          <w:trHeight w:val="243"/>
        </w:trPr>
        <w:tc>
          <w:tcPr>
            <w:tcW w:w="1040" w:type="dxa"/>
            <w:vAlign w:val="bottom"/>
          </w:tcPr>
          <w:p>
            <w:pPr>
              <w:spacing w:after="0"/>
              <w:rPr>
                <w:sz w:val="21"/>
                <w:szCs w:val="21"/>
                <w:color w:val="auto"/>
              </w:rPr>
            </w:pPr>
          </w:p>
        </w:tc>
        <w:tc>
          <w:tcPr>
            <w:tcW w:w="10200" w:type="dxa"/>
            <w:vAlign w:val="bottom"/>
            <w:gridSpan w:val="2"/>
          </w:tcPr>
          <w:p>
            <w:pPr>
              <w:ind w:left="260"/>
              <w:spacing w:after="0" w:line="243" w:lineRule="exact"/>
              <w:rPr>
                <w:sz w:val="20"/>
                <w:szCs w:val="20"/>
                <w:color w:val="auto"/>
              </w:rPr>
            </w:pPr>
            <w:r>
              <w:rPr>
                <w:rFonts w:ascii="Arial" w:cs="Arial" w:eastAsia="Arial" w:hAnsi="Arial"/>
                <w:sz w:val="22"/>
                <w:szCs w:val="22"/>
                <w:color w:val="auto"/>
                <w:w w:val="94"/>
              </w:rPr>
              <w:t>Mr. Cawthorn may be deemed to indirectly beneficially own the Shares directly beneficially owned by Manlia</w:t>
            </w:r>
          </w:p>
        </w:tc>
      </w:tr>
      <w:tr>
        <w:trPr>
          <w:trHeight w:val="274"/>
        </w:trPr>
        <w:tc>
          <w:tcPr>
            <w:tcW w:w="1040" w:type="dxa"/>
            <w:vAlign w:val="bottom"/>
          </w:tcPr>
          <w:p>
            <w:pPr>
              <w:spacing w:after="0"/>
              <w:rPr>
                <w:sz w:val="23"/>
                <w:szCs w:val="23"/>
                <w:color w:val="auto"/>
              </w:rPr>
            </w:pPr>
          </w:p>
        </w:tc>
        <w:tc>
          <w:tcPr>
            <w:tcW w:w="1560" w:type="dxa"/>
            <w:vAlign w:val="bottom"/>
          </w:tcPr>
          <w:p>
            <w:pPr>
              <w:ind w:left="260"/>
              <w:spacing w:after="0"/>
              <w:rPr>
                <w:sz w:val="20"/>
                <w:szCs w:val="20"/>
                <w:color w:val="auto"/>
              </w:rPr>
            </w:pPr>
            <w:r>
              <w:rPr>
                <w:rFonts w:ascii="Arial" w:cs="Arial" w:eastAsia="Arial" w:hAnsi="Arial"/>
                <w:sz w:val="22"/>
                <w:szCs w:val="22"/>
                <w:color w:val="auto"/>
              </w:rPr>
              <w:t>Limited.</w:t>
            </w:r>
          </w:p>
        </w:tc>
        <w:tc>
          <w:tcPr>
            <w:tcW w:w="8640" w:type="dxa"/>
            <w:vAlign w:val="bottom"/>
          </w:tcPr>
          <w:p>
            <w:pPr>
              <w:spacing w:after="0"/>
              <w:rPr>
                <w:sz w:val="23"/>
                <w:szCs w:val="23"/>
                <w:color w:val="auto"/>
              </w:rPr>
            </w:pPr>
          </w:p>
        </w:tc>
      </w:tr>
      <w:tr>
        <w:trPr>
          <w:trHeight w:val="449"/>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10200" w:type="dxa"/>
            <w:vAlign w:val="bottom"/>
            <w:gridSpan w:val="2"/>
          </w:tcPr>
          <w:p>
            <w:pPr>
              <w:ind w:left="260"/>
              <w:spacing w:after="0"/>
              <w:rPr>
                <w:sz w:val="20"/>
                <w:szCs w:val="20"/>
                <w:color w:val="auto"/>
              </w:rPr>
            </w:pPr>
            <w:r>
              <w:rPr>
                <w:rFonts w:ascii="Arial" w:cs="Arial" w:eastAsia="Arial" w:hAnsi="Arial"/>
                <w:sz w:val="18"/>
                <w:szCs w:val="18"/>
                <w:b w:val="1"/>
                <w:bCs w:val="1"/>
                <w:color w:val="auto"/>
              </w:rPr>
              <w:t>Address of Principal Business Office or, if None, Residence:</w:t>
            </w:r>
          </w:p>
        </w:tc>
      </w:tr>
      <w:tr>
        <w:trPr>
          <w:trHeight w:val="465"/>
        </w:trPr>
        <w:tc>
          <w:tcPr>
            <w:tcW w:w="1040" w:type="dxa"/>
            <w:vAlign w:val="bottom"/>
          </w:tcPr>
          <w:p>
            <w:pPr>
              <w:spacing w:after="0"/>
              <w:rPr>
                <w:sz w:val="24"/>
                <w:szCs w:val="24"/>
                <w:color w:val="auto"/>
              </w:rPr>
            </w:pPr>
          </w:p>
        </w:tc>
        <w:tc>
          <w:tcPr>
            <w:tcW w:w="10200" w:type="dxa"/>
            <w:vAlign w:val="bottom"/>
            <w:gridSpan w:val="2"/>
          </w:tcPr>
          <w:p>
            <w:pPr>
              <w:ind w:left="260"/>
              <w:spacing w:after="0"/>
              <w:rPr>
                <w:sz w:val="20"/>
                <w:szCs w:val="20"/>
                <w:color w:val="auto"/>
              </w:rPr>
            </w:pPr>
            <w:r>
              <w:rPr>
                <w:rFonts w:ascii="Arial" w:cs="Arial" w:eastAsia="Arial" w:hAnsi="Arial"/>
                <w:sz w:val="22"/>
                <w:szCs w:val="22"/>
                <w:color w:val="auto"/>
                <w:w w:val="92"/>
              </w:rPr>
              <w:t>The address of the principal business office of Manlia Limited is Regency Court, Glategny Esplanade, St Peter</w:t>
            </w:r>
          </w:p>
        </w:tc>
      </w:tr>
      <w:tr>
        <w:trPr>
          <w:trHeight w:val="274"/>
        </w:trPr>
        <w:tc>
          <w:tcPr>
            <w:tcW w:w="1040" w:type="dxa"/>
            <w:vAlign w:val="bottom"/>
          </w:tcPr>
          <w:p>
            <w:pPr>
              <w:spacing w:after="0"/>
              <w:rPr>
                <w:sz w:val="23"/>
                <w:szCs w:val="23"/>
                <w:color w:val="auto"/>
              </w:rPr>
            </w:pPr>
          </w:p>
        </w:tc>
        <w:tc>
          <w:tcPr>
            <w:tcW w:w="10200" w:type="dxa"/>
            <w:vAlign w:val="bottom"/>
            <w:gridSpan w:val="2"/>
          </w:tcPr>
          <w:p>
            <w:pPr>
              <w:ind w:left="260"/>
              <w:spacing w:after="0"/>
              <w:rPr>
                <w:sz w:val="20"/>
                <w:szCs w:val="20"/>
                <w:color w:val="auto"/>
              </w:rPr>
            </w:pPr>
            <w:r>
              <w:rPr>
                <w:rFonts w:ascii="Arial" w:cs="Arial" w:eastAsia="Arial" w:hAnsi="Arial"/>
                <w:sz w:val="22"/>
                <w:szCs w:val="22"/>
                <w:color w:val="auto"/>
              </w:rPr>
              <w:t>Port, Guernsey, GY1 3AP. Mr. Cawthorn’s address is 51 Paynters Hill, St George’s, HS02, Bermuda.</w:t>
            </w:r>
          </w:p>
        </w:tc>
      </w:tr>
      <w:tr>
        <w:trPr>
          <w:trHeight w:val="449"/>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1560" w:type="dxa"/>
            <w:vAlign w:val="bottom"/>
          </w:tcPr>
          <w:p>
            <w:pPr>
              <w:ind w:left="260"/>
              <w:spacing w:after="0"/>
              <w:rPr>
                <w:sz w:val="20"/>
                <w:szCs w:val="20"/>
                <w:color w:val="auto"/>
              </w:rPr>
            </w:pPr>
            <w:r>
              <w:rPr>
                <w:rFonts w:ascii="Arial" w:cs="Arial" w:eastAsia="Arial" w:hAnsi="Arial"/>
                <w:sz w:val="18"/>
                <w:szCs w:val="18"/>
                <w:b w:val="1"/>
                <w:bCs w:val="1"/>
                <w:color w:val="auto"/>
              </w:rPr>
              <w:t>Citizenship:</w:t>
            </w:r>
          </w:p>
        </w:tc>
        <w:tc>
          <w:tcPr>
            <w:tcW w:w="8640" w:type="dxa"/>
            <w:vAlign w:val="bottom"/>
          </w:tcPr>
          <w:p>
            <w:pPr>
              <w:spacing w:after="0"/>
              <w:rPr>
                <w:sz w:val="24"/>
                <w:szCs w:val="24"/>
                <w:color w:val="auto"/>
              </w:rPr>
            </w:pPr>
          </w:p>
        </w:tc>
      </w:tr>
      <w:tr>
        <w:trPr>
          <w:trHeight w:val="496"/>
        </w:trPr>
        <w:tc>
          <w:tcPr>
            <w:tcW w:w="1040" w:type="dxa"/>
            <w:vAlign w:val="bottom"/>
          </w:tcPr>
          <w:p>
            <w:pPr>
              <w:spacing w:after="0"/>
              <w:rPr>
                <w:sz w:val="24"/>
                <w:szCs w:val="24"/>
                <w:color w:val="auto"/>
              </w:rPr>
            </w:pPr>
          </w:p>
        </w:tc>
        <w:tc>
          <w:tcPr>
            <w:tcW w:w="10200" w:type="dxa"/>
            <w:vAlign w:val="bottom"/>
            <w:gridSpan w:val="2"/>
          </w:tcPr>
          <w:p>
            <w:pPr>
              <w:ind w:left="260"/>
              <w:spacing w:after="0"/>
              <w:rPr>
                <w:sz w:val="20"/>
                <w:szCs w:val="20"/>
                <w:color w:val="auto"/>
              </w:rPr>
            </w:pPr>
            <w:r>
              <w:rPr>
                <w:rFonts w:ascii="Arial" w:cs="Arial" w:eastAsia="Arial" w:hAnsi="Arial"/>
                <w:sz w:val="22"/>
                <w:szCs w:val="22"/>
                <w:color w:val="auto"/>
                <w:w w:val="92"/>
              </w:rPr>
              <w:t>Manlia Limited is incorporated in Guernsey. Mr. Cawthorn is a citizen of both the United Kingdom and Canada.</w:t>
            </w:r>
          </w:p>
        </w:tc>
      </w:tr>
      <w:tr>
        <w:trPr>
          <w:trHeight w:val="449"/>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10200" w:type="dxa"/>
            <w:vAlign w:val="bottom"/>
            <w:gridSpan w:val="2"/>
          </w:tcPr>
          <w:p>
            <w:pPr>
              <w:ind w:left="260"/>
              <w:spacing w:after="0"/>
              <w:rPr>
                <w:sz w:val="20"/>
                <w:szCs w:val="20"/>
                <w:color w:val="auto"/>
              </w:rPr>
            </w:pPr>
            <w:r>
              <w:rPr>
                <w:rFonts w:ascii="Arial" w:cs="Arial" w:eastAsia="Arial" w:hAnsi="Arial"/>
                <w:sz w:val="18"/>
                <w:szCs w:val="18"/>
                <w:b w:val="1"/>
                <w:bCs w:val="1"/>
                <w:color w:val="auto"/>
              </w:rPr>
              <w:t>Title of Class of Securities:</w:t>
            </w:r>
          </w:p>
        </w:tc>
      </w:tr>
      <w:tr>
        <w:trPr>
          <w:trHeight w:val="496"/>
        </w:trPr>
        <w:tc>
          <w:tcPr>
            <w:tcW w:w="1040" w:type="dxa"/>
            <w:vAlign w:val="bottom"/>
          </w:tcPr>
          <w:p>
            <w:pPr>
              <w:spacing w:after="0"/>
              <w:rPr>
                <w:sz w:val="24"/>
                <w:szCs w:val="24"/>
                <w:color w:val="auto"/>
              </w:rPr>
            </w:pPr>
          </w:p>
        </w:tc>
        <w:tc>
          <w:tcPr>
            <w:tcW w:w="10200" w:type="dxa"/>
            <w:vAlign w:val="bottom"/>
            <w:gridSpan w:val="2"/>
          </w:tcPr>
          <w:p>
            <w:pPr>
              <w:ind w:left="260"/>
              <w:spacing w:after="0"/>
              <w:rPr>
                <w:sz w:val="20"/>
                <w:szCs w:val="20"/>
                <w:color w:val="auto"/>
              </w:rPr>
            </w:pPr>
            <w:r>
              <w:rPr>
                <w:rFonts w:ascii="Arial" w:cs="Arial" w:eastAsia="Arial" w:hAnsi="Arial"/>
                <w:sz w:val="22"/>
                <w:szCs w:val="22"/>
                <w:color w:val="auto"/>
              </w:rPr>
              <w:t>Common Stock, par value $0.001 per share (“Shares”)</w:t>
            </w:r>
          </w:p>
        </w:tc>
      </w:tr>
      <w:tr>
        <w:trPr>
          <w:trHeight w:val="449"/>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1560" w:type="dxa"/>
            <w:vAlign w:val="bottom"/>
          </w:tcPr>
          <w:p>
            <w:pPr>
              <w:ind w:left="260"/>
              <w:spacing w:after="0"/>
              <w:rPr>
                <w:sz w:val="20"/>
                <w:szCs w:val="20"/>
                <w:color w:val="auto"/>
              </w:rPr>
            </w:pPr>
            <w:r>
              <w:rPr>
                <w:rFonts w:ascii="Arial" w:cs="Arial" w:eastAsia="Arial" w:hAnsi="Arial"/>
                <w:sz w:val="18"/>
                <w:szCs w:val="18"/>
                <w:b w:val="1"/>
                <w:bCs w:val="1"/>
                <w:color w:val="auto"/>
                <w:w w:val="95"/>
              </w:rPr>
              <w:t>CUSIP Number:</w:t>
            </w:r>
          </w:p>
        </w:tc>
        <w:tc>
          <w:tcPr>
            <w:tcW w:w="8640" w:type="dxa"/>
            <w:vAlign w:val="bottom"/>
          </w:tcPr>
          <w:p>
            <w:pPr>
              <w:spacing w:after="0"/>
              <w:rPr>
                <w:sz w:val="24"/>
                <w:szCs w:val="24"/>
                <w:color w:val="auto"/>
              </w:rPr>
            </w:pPr>
          </w:p>
        </w:tc>
      </w:tr>
      <w:tr>
        <w:trPr>
          <w:trHeight w:val="496"/>
        </w:trPr>
        <w:tc>
          <w:tcPr>
            <w:tcW w:w="1040" w:type="dxa"/>
            <w:vAlign w:val="bottom"/>
          </w:tcPr>
          <w:p>
            <w:pPr>
              <w:spacing w:after="0"/>
              <w:rPr>
                <w:sz w:val="24"/>
                <w:szCs w:val="24"/>
                <w:color w:val="auto"/>
              </w:rPr>
            </w:pPr>
          </w:p>
        </w:tc>
        <w:tc>
          <w:tcPr>
            <w:tcW w:w="1560" w:type="dxa"/>
            <w:vAlign w:val="bottom"/>
          </w:tcPr>
          <w:p>
            <w:pPr>
              <w:ind w:left="260"/>
              <w:spacing w:after="0"/>
              <w:rPr>
                <w:sz w:val="20"/>
                <w:szCs w:val="20"/>
                <w:color w:val="auto"/>
              </w:rPr>
            </w:pPr>
            <w:r>
              <w:rPr>
                <w:rFonts w:ascii="Arial" w:cs="Arial" w:eastAsia="Arial" w:hAnsi="Arial"/>
                <w:sz w:val="22"/>
                <w:szCs w:val="22"/>
                <w:color w:val="auto"/>
              </w:rPr>
              <w:t>09075X108</w:t>
            </w:r>
          </w:p>
        </w:tc>
        <w:tc>
          <w:tcPr>
            <w:tcW w:w="8640" w:type="dxa"/>
            <w:vAlign w:val="bottom"/>
          </w:tcPr>
          <w:p>
            <w:pPr>
              <w:spacing w:after="0"/>
              <w:rPr>
                <w:sz w:val="24"/>
                <w:szCs w:val="24"/>
                <w:color w:val="auto"/>
              </w:rPr>
            </w:pPr>
          </w:p>
        </w:tc>
      </w:tr>
      <w:tr>
        <w:trPr>
          <w:trHeight w:val="449"/>
        </w:trPr>
        <w:tc>
          <w:tcPr>
            <w:tcW w:w="10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200" w:type="dxa"/>
            <w:vAlign w:val="bottom"/>
            <w:gridSpan w:val="2"/>
          </w:tcPr>
          <w:p>
            <w:pPr>
              <w:ind w:left="260"/>
              <w:spacing w:after="0"/>
              <w:rPr>
                <w:sz w:val="20"/>
                <w:szCs w:val="20"/>
                <w:color w:val="auto"/>
              </w:rPr>
            </w:pPr>
            <w:r>
              <w:rPr>
                <w:rFonts w:ascii="Arial" w:cs="Arial" w:eastAsia="Arial" w:hAnsi="Arial"/>
                <w:sz w:val="18"/>
                <w:szCs w:val="18"/>
                <w:b w:val="1"/>
                <w:bCs w:val="1"/>
                <w:color w:val="auto"/>
              </w:rPr>
              <w:t>If This Statement is Filed Pursuant to §§240.13d-1(b) or 240.13d-2(b) or (c), Check Whether the Person Filing is a:</w:t>
            </w:r>
          </w:p>
        </w:tc>
      </w:tr>
      <w:tr>
        <w:trPr>
          <w:trHeight w:val="496"/>
        </w:trPr>
        <w:tc>
          <w:tcPr>
            <w:tcW w:w="1040" w:type="dxa"/>
            <w:vAlign w:val="bottom"/>
          </w:tcPr>
          <w:p>
            <w:pPr>
              <w:spacing w:after="0"/>
              <w:rPr>
                <w:sz w:val="24"/>
                <w:szCs w:val="24"/>
                <w:color w:val="auto"/>
              </w:rPr>
            </w:pPr>
          </w:p>
        </w:tc>
        <w:tc>
          <w:tcPr>
            <w:tcW w:w="10200" w:type="dxa"/>
            <w:vAlign w:val="bottom"/>
            <w:gridSpan w:val="2"/>
          </w:tcPr>
          <w:p>
            <w:pPr>
              <w:ind w:left="260"/>
              <w:spacing w:after="0"/>
              <w:rPr>
                <w:sz w:val="20"/>
                <w:szCs w:val="20"/>
                <w:color w:val="auto"/>
              </w:rPr>
            </w:pPr>
            <w:r>
              <w:rPr>
                <w:rFonts w:ascii="Arial" w:cs="Arial" w:eastAsia="Arial" w:hAnsi="Arial"/>
                <w:sz w:val="22"/>
                <w:szCs w:val="22"/>
                <w:color w:val="auto"/>
              </w:rPr>
              <w:t>Not applicable.</w:t>
            </w:r>
          </w:p>
        </w:tc>
      </w:tr>
      <w:tr>
        <w:trPr>
          <w:trHeight w:val="186"/>
        </w:trPr>
        <w:tc>
          <w:tcPr>
            <w:tcW w:w="10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8640" w:type="dxa"/>
            <w:vAlign w:val="bottom"/>
            <w:tcBorders>
              <w:bottom w:val="single" w:sz="8" w:color="auto"/>
            </w:tcBorders>
          </w:tcPr>
          <w:p>
            <w:pPr>
              <w:spacing w:after="0"/>
              <w:rPr>
                <w:sz w:val="16"/>
                <w:szCs w:val="16"/>
                <w:color w:val="auto"/>
              </w:rPr>
            </w:pPr>
          </w:p>
        </w:tc>
      </w:tr>
    </w:tbl>
    <w:p>
      <w:pPr>
        <w:sectPr>
          <w:pgSz w:w="11900" w:h="16838" w:orient="portrait"/>
          <w:cols w:equalWidth="0" w:num="1">
            <w:col w:w="11240"/>
          </w:cols>
          <w:pgMar w:left="320" w:top="125"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840" w:type="dxa"/>
            <w:vAlign w:val="bottom"/>
            <w:gridSpan w:val="2"/>
          </w:tcPr>
          <w:p>
            <w:pPr>
              <w:spacing w:after="0"/>
              <w:rPr>
                <w:sz w:val="20"/>
                <w:szCs w:val="20"/>
                <w:color w:val="auto"/>
              </w:rPr>
            </w:pPr>
            <w:r>
              <w:rPr>
                <w:rFonts w:ascii="Arial" w:cs="Arial" w:eastAsia="Arial" w:hAnsi="Arial"/>
                <w:sz w:val="18"/>
                <w:szCs w:val="18"/>
                <w:color w:val="auto"/>
                <w:w w:val="98"/>
              </w:rPr>
              <w:t>CUSIP No. 09075X108</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ind w:left="200"/>
              <w:spacing w:after="0"/>
              <w:rPr>
                <w:sz w:val="20"/>
                <w:szCs w:val="20"/>
                <w:color w:val="auto"/>
              </w:rPr>
            </w:pPr>
            <w:r>
              <w:rPr>
                <w:rFonts w:ascii="Arial" w:cs="Arial" w:eastAsia="Arial" w:hAnsi="Arial"/>
                <w:sz w:val="18"/>
                <w:szCs w:val="18"/>
                <w:color w:val="auto"/>
                <w:w w:val="83"/>
              </w:rPr>
              <w:t>Page 5 of 8 Pages</w:t>
            </w:r>
          </w:p>
        </w:tc>
      </w:tr>
      <w:tr>
        <w:trPr>
          <w:trHeight w:val="878"/>
        </w:trPr>
        <w:tc>
          <w:tcPr>
            <w:tcW w:w="13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2780" w:type="dxa"/>
            <w:vAlign w:val="bottom"/>
            <w:gridSpan w:val="6"/>
          </w:tcPr>
          <w:p>
            <w:pPr>
              <w:spacing w:after="0"/>
              <w:rPr>
                <w:sz w:val="20"/>
                <w:szCs w:val="20"/>
                <w:color w:val="auto"/>
              </w:rPr>
            </w:pPr>
            <w:r>
              <w:rPr>
                <w:rFonts w:ascii="Arial" w:cs="Arial" w:eastAsia="Arial" w:hAnsi="Arial"/>
                <w:sz w:val="18"/>
                <w:szCs w:val="18"/>
                <w:b w:val="1"/>
                <w:bCs w:val="1"/>
                <w:color w:val="auto"/>
              </w:rPr>
              <w:t>Ownership:</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13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r>
      <w:tr>
        <w:trPr>
          <w:trHeight w:val="198"/>
        </w:trPr>
        <w:tc>
          <w:tcPr>
            <w:tcW w:w="1300" w:type="dxa"/>
            <w:vAlign w:val="bottom"/>
            <w:tcBorders>
              <w:lef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0"/>
              </w:rPr>
              <w:t>(c)(iv) Shared</w:t>
            </w:r>
          </w:p>
        </w:tc>
      </w:tr>
      <w:tr>
        <w:trPr>
          <w:trHeight w:val="216"/>
        </w:trPr>
        <w:tc>
          <w:tcPr>
            <w:tcW w:w="130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(c)(i) Sole</w:t>
            </w:r>
          </w:p>
        </w:tc>
        <w:tc>
          <w:tcPr>
            <w:tcW w:w="8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(c)(iii) Sole power</w:t>
            </w:r>
          </w:p>
        </w:tc>
        <w:tc>
          <w:tcPr>
            <w:tcW w:w="8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power to</w:t>
            </w:r>
          </w:p>
        </w:tc>
      </w:tr>
      <w:tr>
        <w:trPr>
          <w:trHeight w:val="216"/>
        </w:trPr>
        <w:tc>
          <w:tcPr>
            <w:tcW w:w="130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power</w:t>
            </w:r>
          </w:p>
        </w:tc>
        <w:tc>
          <w:tcPr>
            <w:tcW w:w="8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(c)(ii) Shared</w:t>
            </w:r>
          </w:p>
        </w:tc>
        <w:tc>
          <w:tcPr>
            <w:tcW w:w="8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2"/>
              </w:rPr>
              <w:t>to dispose</w:t>
            </w:r>
          </w:p>
        </w:tc>
        <w:tc>
          <w:tcPr>
            <w:tcW w:w="8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dispose or</w:t>
            </w:r>
          </w:p>
        </w:tc>
      </w:tr>
      <w:tr>
        <w:trPr>
          <w:trHeight w:val="216"/>
        </w:trPr>
        <w:tc>
          <w:tcPr>
            <w:tcW w:w="130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 vote</w:t>
            </w:r>
          </w:p>
        </w:tc>
        <w:tc>
          <w:tcPr>
            <w:tcW w:w="8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power to</w:t>
            </w:r>
          </w:p>
        </w:tc>
        <w:tc>
          <w:tcPr>
            <w:tcW w:w="8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or to direct</w:t>
            </w:r>
          </w:p>
        </w:tc>
        <w:tc>
          <w:tcPr>
            <w:tcW w:w="8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to direct</w:t>
            </w:r>
          </w:p>
        </w:tc>
      </w:tr>
      <w:tr>
        <w:trPr>
          <w:trHeight w:val="216"/>
        </w:trPr>
        <w:tc>
          <w:tcPr>
            <w:tcW w:w="130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or to</w:t>
            </w:r>
          </w:p>
        </w:tc>
        <w:tc>
          <w:tcPr>
            <w:tcW w:w="8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vote or to</w:t>
            </w:r>
          </w:p>
        </w:tc>
        <w:tc>
          <w:tcPr>
            <w:tcW w:w="8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the</w:t>
            </w:r>
          </w:p>
        </w:tc>
        <w:tc>
          <w:tcPr>
            <w:tcW w:w="8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the</w:t>
            </w:r>
          </w:p>
        </w:tc>
      </w:tr>
      <w:tr>
        <w:trPr>
          <w:trHeight w:val="216"/>
        </w:trPr>
        <w:tc>
          <w:tcPr>
            <w:tcW w:w="130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 Amount</w:t>
            </w:r>
          </w:p>
        </w:tc>
        <w:tc>
          <w:tcPr>
            <w:tcW w:w="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(b) Percent of</w:t>
            </w:r>
          </w:p>
        </w:tc>
        <w:tc>
          <w:tcPr>
            <w:tcW w:w="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direct</w:t>
            </w:r>
          </w:p>
        </w:tc>
        <w:tc>
          <w:tcPr>
            <w:tcW w:w="8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direct the</w:t>
            </w:r>
          </w:p>
        </w:tc>
        <w:tc>
          <w:tcPr>
            <w:tcW w:w="8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disposition</w:t>
            </w:r>
          </w:p>
        </w:tc>
        <w:tc>
          <w:tcPr>
            <w:tcW w:w="8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disposition</w:t>
            </w:r>
          </w:p>
        </w:tc>
      </w:tr>
      <w:tr>
        <w:trPr>
          <w:trHeight w:val="241"/>
        </w:trPr>
        <w:tc>
          <w:tcPr>
            <w:tcW w:w="184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Reporting Person</w:t>
            </w:r>
          </w:p>
        </w:tc>
        <w:tc>
          <w:tcPr>
            <w:tcW w:w="2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beneficially owned</w:t>
            </w:r>
          </w:p>
        </w:tc>
        <w:tc>
          <w:tcPr>
            <w:tcW w:w="8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2"/>
              </w:rPr>
              <w:t>class:</w:t>
            </w:r>
          </w:p>
        </w:tc>
        <w:tc>
          <w:tcPr>
            <w:tcW w:w="8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the vote:</w:t>
            </w:r>
          </w:p>
        </w:tc>
        <w:tc>
          <w:tcPr>
            <w:tcW w:w="8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vote:</w:t>
            </w:r>
          </w:p>
        </w:tc>
        <w:tc>
          <w:tcPr>
            <w:tcW w:w="8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of:</w:t>
            </w:r>
          </w:p>
        </w:tc>
        <w:tc>
          <w:tcPr>
            <w:tcW w:w="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of:</w:t>
            </w:r>
          </w:p>
        </w:tc>
      </w:tr>
      <w:tr>
        <w:trPr>
          <w:trHeight w:val="223"/>
        </w:trPr>
        <w:tc>
          <w:tcPr>
            <w:tcW w:w="1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1"/>
              </w:rPr>
              <w:t>Robert Cawthorn</w:t>
            </w:r>
          </w:p>
        </w:tc>
        <w:tc>
          <w:tcPr>
            <w:tcW w:w="540" w:type="dxa"/>
            <w:vAlign w:val="bottom"/>
            <w:tcBorders>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color w:val="auto"/>
              </w:rPr>
              <w:t>1,999,193 (1)</w:t>
            </w:r>
          </w:p>
        </w:tc>
        <w:tc>
          <w:tcPr>
            <w:tcW w:w="8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jc w:val="center"/>
              <w:ind w:right="50"/>
              <w:spacing w:after="0"/>
              <w:rPr>
                <w:sz w:val="20"/>
                <w:szCs w:val="20"/>
                <w:color w:val="auto"/>
              </w:rPr>
            </w:pPr>
            <w:r>
              <w:rPr>
                <w:rFonts w:ascii="Arial" w:cs="Arial" w:eastAsia="Arial" w:hAnsi="Arial"/>
                <w:sz w:val="18"/>
                <w:szCs w:val="18"/>
                <w:color w:val="auto"/>
                <w:w w:val="91"/>
              </w:rPr>
              <w:t>7.4% (2)</w:t>
            </w:r>
          </w:p>
        </w:tc>
        <w:tc>
          <w:tcPr>
            <w:tcW w:w="8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70,314 (1)</w:t>
            </w:r>
          </w:p>
        </w:tc>
        <w:tc>
          <w:tcPr>
            <w:tcW w:w="80" w:type="dxa"/>
            <w:vAlign w:val="bottom"/>
            <w:tcBorders>
              <w:bottom w:val="single" w:sz="8" w:color="auto"/>
              <w:right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1,928,879</w:t>
            </w:r>
          </w:p>
        </w:tc>
        <w:tc>
          <w:tcPr>
            <w:tcW w:w="8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70,314 (1)</w:t>
            </w:r>
          </w:p>
        </w:tc>
        <w:tc>
          <w:tcPr>
            <w:tcW w:w="8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1,928,879</w:t>
            </w:r>
          </w:p>
        </w:tc>
      </w:tr>
      <w:tr>
        <w:trPr>
          <w:trHeight w:val="223"/>
        </w:trPr>
        <w:tc>
          <w:tcPr>
            <w:tcW w:w="1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Manlia Limited</w:t>
            </w:r>
          </w:p>
        </w:tc>
        <w:tc>
          <w:tcPr>
            <w:tcW w:w="540" w:type="dxa"/>
            <w:vAlign w:val="bottom"/>
            <w:tcBorders>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1,928,879</w:t>
            </w:r>
          </w:p>
        </w:tc>
        <w:tc>
          <w:tcPr>
            <w:tcW w:w="8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jc w:val="center"/>
              <w:ind w:right="50"/>
              <w:spacing w:after="0"/>
              <w:rPr>
                <w:sz w:val="20"/>
                <w:szCs w:val="20"/>
                <w:color w:val="auto"/>
              </w:rPr>
            </w:pPr>
            <w:r>
              <w:rPr>
                <w:rFonts w:ascii="Arial" w:cs="Arial" w:eastAsia="Arial" w:hAnsi="Arial"/>
                <w:sz w:val="18"/>
                <w:szCs w:val="18"/>
                <w:color w:val="auto"/>
                <w:w w:val="91"/>
              </w:rPr>
              <w:t>7.2% (2)</w:t>
            </w:r>
          </w:p>
        </w:tc>
        <w:tc>
          <w:tcPr>
            <w:tcW w:w="8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0</w:t>
            </w:r>
          </w:p>
        </w:tc>
        <w:tc>
          <w:tcPr>
            <w:tcW w:w="80" w:type="dxa"/>
            <w:vAlign w:val="bottom"/>
            <w:tcBorders>
              <w:bottom w:val="single" w:sz="8" w:color="auto"/>
              <w:right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1,928,879</w:t>
            </w:r>
          </w:p>
        </w:tc>
        <w:tc>
          <w:tcPr>
            <w:tcW w:w="8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jc w:val="right"/>
              <w:ind w:right="630"/>
              <w:spacing w:after="0"/>
              <w:rPr>
                <w:sz w:val="20"/>
                <w:szCs w:val="20"/>
                <w:color w:val="auto"/>
              </w:rPr>
            </w:pPr>
            <w:r>
              <w:rPr>
                <w:rFonts w:ascii="Arial" w:cs="Arial" w:eastAsia="Arial" w:hAnsi="Arial"/>
                <w:sz w:val="18"/>
                <w:szCs w:val="18"/>
                <w:color w:val="auto"/>
              </w:rPr>
              <w:t>0</w:t>
            </w:r>
          </w:p>
        </w:tc>
        <w:tc>
          <w:tcPr>
            <w:tcW w:w="8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1,928,879</w:t>
            </w:r>
          </w:p>
        </w:tc>
      </w:tr>
      <w:tr>
        <w:trPr>
          <w:trHeight w:val="445"/>
        </w:trPr>
        <w:tc>
          <w:tcPr>
            <w:tcW w:w="130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(1)</w:t>
            </w:r>
          </w:p>
        </w:tc>
        <w:tc>
          <w:tcPr>
            <w:tcW w:w="9400" w:type="dxa"/>
            <w:vAlign w:val="bottom"/>
            <w:gridSpan w:val="14"/>
          </w:tcPr>
          <w:p>
            <w:pPr>
              <w:ind w:left="120"/>
              <w:spacing w:after="0"/>
              <w:rPr>
                <w:sz w:val="20"/>
                <w:szCs w:val="20"/>
                <w:color w:val="auto"/>
              </w:rPr>
            </w:pPr>
            <w:r>
              <w:rPr>
                <w:rFonts w:ascii="Arial" w:cs="Arial" w:eastAsia="Arial" w:hAnsi="Arial"/>
                <w:sz w:val="18"/>
                <w:szCs w:val="18"/>
                <w:color w:val="auto"/>
                <w:w w:val="93"/>
              </w:rPr>
              <w:t>Includes 70,314 shares of common stock issuable upon the exercise of options held by Robert Cawthorn that are vested and</w:t>
            </w:r>
          </w:p>
        </w:tc>
      </w:tr>
      <w:tr>
        <w:trPr>
          <w:trHeight w:val="216"/>
        </w:trPr>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40" w:type="dxa"/>
            <w:vAlign w:val="bottom"/>
            <w:gridSpan w:val="5"/>
          </w:tcPr>
          <w:p>
            <w:pPr>
              <w:ind w:left="120"/>
              <w:spacing w:after="0"/>
              <w:rPr>
                <w:sz w:val="20"/>
                <w:szCs w:val="20"/>
                <w:color w:val="auto"/>
              </w:rPr>
            </w:pPr>
            <w:r>
              <w:rPr>
                <w:rFonts w:ascii="Arial" w:cs="Arial" w:eastAsia="Arial" w:hAnsi="Arial"/>
                <w:sz w:val="18"/>
                <w:szCs w:val="18"/>
                <w:color w:val="auto"/>
                <w:w w:val="97"/>
              </w:rPr>
              <w:t>exercisable within 60 days.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(2)</w:t>
            </w:r>
          </w:p>
        </w:tc>
        <w:tc>
          <w:tcPr>
            <w:tcW w:w="9400" w:type="dxa"/>
            <w:vAlign w:val="bottom"/>
            <w:gridSpan w:val="14"/>
          </w:tcPr>
          <w:p>
            <w:pPr>
              <w:ind w:left="120"/>
              <w:spacing w:after="0"/>
              <w:rPr>
                <w:sz w:val="20"/>
                <w:szCs w:val="20"/>
                <w:color w:val="auto"/>
              </w:rPr>
            </w:pPr>
            <w:r>
              <w:rPr>
                <w:rFonts w:ascii="Arial" w:cs="Arial" w:eastAsia="Arial" w:hAnsi="Arial"/>
                <w:sz w:val="18"/>
                <w:szCs w:val="18"/>
                <w:color w:val="auto"/>
                <w:w w:val="92"/>
              </w:rPr>
              <w:t>This percentage is based on a total of 26,861,021 Shares outstanding as of May 7, 2021, as disclosed in the Issuer’s quarterly</w:t>
            </w:r>
          </w:p>
        </w:tc>
      </w:tr>
      <w:tr>
        <w:trPr>
          <w:trHeight w:val="230"/>
        </w:trPr>
        <w:tc>
          <w:tcPr>
            <w:tcW w:w="1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920" w:type="dxa"/>
            <w:vAlign w:val="bottom"/>
            <w:gridSpan w:val="13"/>
          </w:tcPr>
          <w:p>
            <w:pPr>
              <w:ind w:left="120"/>
              <w:spacing w:after="0"/>
              <w:rPr>
                <w:sz w:val="20"/>
                <w:szCs w:val="20"/>
                <w:color w:val="auto"/>
              </w:rPr>
            </w:pPr>
            <w:r>
              <w:rPr>
                <w:rFonts w:ascii="Arial" w:cs="Arial" w:eastAsia="Arial" w:hAnsi="Arial"/>
                <w:sz w:val="18"/>
                <w:szCs w:val="18"/>
                <w:color w:val="auto"/>
              </w:rPr>
              <w:t>report on Form 10-Q, as filed with the Securities and Exchange Commission on June 1, 2021.</w:t>
            </w:r>
          </w:p>
        </w:tc>
        <w:tc>
          <w:tcPr>
            <w:tcW w:w="1480" w:type="dxa"/>
            <w:vAlign w:val="bottom"/>
          </w:tcPr>
          <w:p>
            <w:pPr>
              <w:spacing w:after="0"/>
              <w:rPr>
                <w:sz w:val="20"/>
                <w:szCs w:val="20"/>
                <w:color w:val="auto"/>
              </w:rPr>
            </w:pPr>
          </w:p>
        </w:tc>
      </w:tr>
      <w:tr>
        <w:trPr>
          <w:trHeight w:val="459"/>
        </w:trPr>
        <w:tc>
          <w:tcPr>
            <w:tcW w:w="13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4140" w:type="dxa"/>
            <w:vAlign w:val="bottom"/>
            <w:gridSpan w:val="8"/>
          </w:tcPr>
          <w:p>
            <w:pPr>
              <w:spacing w:after="0"/>
              <w:rPr>
                <w:sz w:val="20"/>
                <w:szCs w:val="20"/>
                <w:color w:val="auto"/>
              </w:rPr>
            </w:pPr>
            <w:r>
              <w:rPr>
                <w:rFonts w:ascii="Arial" w:cs="Arial" w:eastAsia="Arial" w:hAnsi="Arial"/>
                <w:sz w:val="18"/>
                <w:szCs w:val="18"/>
                <w:b w:val="1"/>
                <w:bCs w:val="1"/>
                <w:color w:val="auto"/>
              </w:rPr>
              <w:t>Ownership of Five Percent or Less of a Class:</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96"/>
        </w:trPr>
        <w:tc>
          <w:tcPr>
            <w:tcW w:w="13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22"/>
                <w:szCs w:val="22"/>
                <w:color w:val="auto"/>
              </w:rPr>
              <w:t>Not applicable.</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49"/>
        </w:trPr>
        <w:tc>
          <w:tcPr>
            <w:tcW w:w="13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5600" w:type="dxa"/>
            <w:vAlign w:val="bottom"/>
            <w:gridSpan w:val="10"/>
          </w:tcPr>
          <w:p>
            <w:pPr>
              <w:spacing w:after="0"/>
              <w:rPr>
                <w:sz w:val="20"/>
                <w:szCs w:val="20"/>
                <w:color w:val="auto"/>
              </w:rPr>
            </w:pPr>
            <w:r>
              <w:rPr>
                <w:rFonts w:ascii="Arial" w:cs="Arial" w:eastAsia="Arial" w:hAnsi="Arial"/>
                <w:sz w:val="18"/>
                <w:szCs w:val="18"/>
                <w:b w:val="1"/>
                <w:bCs w:val="1"/>
                <w:color w:val="auto"/>
                <w:w w:val="97"/>
              </w:rPr>
              <w:t>Ownership of More than Five Percent on Behalf of Another Person:</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96"/>
        </w:trPr>
        <w:tc>
          <w:tcPr>
            <w:tcW w:w="13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22"/>
                <w:szCs w:val="22"/>
                <w:color w:val="auto"/>
              </w:rPr>
              <w:t>Not applicable.</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31"/>
        </w:trPr>
        <w:tc>
          <w:tcPr>
            <w:tcW w:w="130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9940" w:type="dxa"/>
            <w:vAlign w:val="bottom"/>
            <w:gridSpan w:val="15"/>
          </w:tcPr>
          <w:p>
            <w:pPr>
              <w:spacing w:after="0"/>
              <w:rPr>
                <w:sz w:val="20"/>
                <w:szCs w:val="20"/>
                <w:color w:val="auto"/>
              </w:rPr>
            </w:pPr>
            <w:r>
              <w:rPr>
                <w:rFonts w:ascii="Arial" w:cs="Arial" w:eastAsia="Arial" w:hAnsi="Arial"/>
                <w:sz w:val="18"/>
                <w:szCs w:val="18"/>
                <w:b w:val="1"/>
                <w:bCs w:val="1"/>
                <w:color w:val="auto"/>
                <w:w w:val="95"/>
              </w:rPr>
              <w:t>Identification and Classification of the Subsidiary Which Acquired the Security Being Reported on By the Parent Holding</w:t>
            </w:r>
          </w:p>
        </w:tc>
      </w:tr>
      <w:tr>
        <w:trPr>
          <w:trHeight w:val="234"/>
        </w:trPr>
        <w:tc>
          <w:tcPr>
            <w:tcW w:w="1300" w:type="dxa"/>
            <w:vAlign w:val="bottom"/>
          </w:tcPr>
          <w:p>
            <w:pPr>
              <w:spacing w:after="0"/>
              <w:rPr>
                <w:sz w:val="20"/>
                <w:szCs w:val="20"/>
                <w:color w:val="auto"/>
              </w:rPr>
            </w:pPr>
          </w:p>
        </w:tc>
        <w:tc>
          <w:tcPr>
            <w:tcW w:w="2780" w:type="dxa"/>
            <w:vAlign w:val="bottom"/>
            <w:gridSpan w:val="6"/>
          </w:tcPr>
          <w:p>
            <w:pPr>
              <w:spacing w:after="0"/>
              <w:rPr>
                <w:sz w:val="20"/>
                <w:szCs w:val="20"/>
                <w:color w:val="auto"/>
              </w:rPr>
            </w:pPr>
            <w:r>
              <w:rPr>
                <w:rFonts w:ascii="Arial" w:cs="Arial" w:eastAsia="Arial" w:hAnsi="Arial"/>
                <w:sz w:val="18"/>
                <w:szCs w:val="18"/>
                <w:b w:val="1"/>
                <w:bCs w:val="1"/>
                <w:color w:val="auto"/>
              </w:rPr>
              <w:t>Company or Control Person:</w:t>
            </w: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96"/>
        </w:trPr>
        <w:tc>
          <w:tcPr>
            <w:tcW w:w="13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22"/>
                <w:szCs w:val="22"/>
                <w:color w:val="auto"/>
                <w:w w:val="89"/>
              </w:rPr>
              <w:t>See disclosure in Item 2 hereof.</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49"/>
        </w:trPr>
        <w:tc>
          <w:tcPr>
            <w:tcW w:w="130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5600" w:type="dxa"/>
            <w:vAlign w:val="bottom"/>
            <w:gridSpan w:val="10"/>
          </w:tcPr>
          <w:p>
            <w:pPr>
              <w:spacing w:after="0"/>
              <w:rPr>
                <w:sz w:val="20"/>
                <w:szCs w:val="20"/>
                <w:color w:val="auto"/>
              </w:rPr>
            </w:pPr>
            <w:r>
              <w:rPr>
                <w:rFonts w:ascii="Arial" w:cs="Arial" w:eastAsia="Arial" w:hAnsi="Arial"/>
                <w:sz w:val="18"/>
                <w:szCs w:val="18"/>
                <w:b w:val="1"/>
                <w:bCs w:val="1"/>
                <w:color w:val="auto"/>
              </w:rPr>
              <w:t>Identification and Classification of Members of the Group:</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96"/>
        </w:trPr>
        <w:tc>
          <w:tcPr>
            <w:tcW w:w="13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22"/>
                <w:szCs w:val="22"/>
                <w:color w:val="auto"/>
              </w:rPr>
              <w:t>Not applicable.</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49"/>
        </w:trPr>
        <w:tc>
          <w:tcPr>
            <w:tcW w:w="130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2780" w:type="dxa"/>
            <w:vAlign w:val="bottom"/>
            <w:gridSpan w:val="6"/>
          </w:tcPr>
          <w:p>
            <w:pPr>
              <w:spacing w:after="0"/>
              <w:rPr>
                <w:sz w:val="20"/>
                <w:szCs w:val="20"/>
                <w:color w:val="auto"/>
              </w:rPr>
            </w:pPr>
            <w:r>
              <w:rPr>
                <w:rFonts w:ascii="Arial" w:cs="Arial" w:eastAsia="Arial" w:hAnsi="Arial"/>
                <w:sz w:val="18"/>
                <w:szCs w:val="18"/>
                <w:b w:val="1"/>
                <w:bCs w:val="1"/>
                <w:color w:val="auto"/>
              </w:rPr>
              <w:t>Notice of Dissolution of Group:</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96"/>
        </w:trPr>
        <w:tc>
          <w:tcPr>
            <w:tcW w:w="13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22"/>
                <w:szCs w:val="22"/>
                <w:color w:val="auto"/>
              </w:rPr>
              <w:t>Not applicable.</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49"/>
        </w:trPr>
        <w:tc>
          <w:tcPr>
            <w:tcW w:w="130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2780" w:type="dxa"/>
            <w:vAlign w:val="bottom"/>
            <w:gridSpan w:val="6"/>
          </w:tcPr>
          <w:p>
            <w:pPr>
              <w:spacing w:after="0"/>
              <w:rPr>
                <w:sz w:val="20"/>
                <w:szCs w:val="20"/>
                <w:color w:val="auto"/>
              </w:rPr>
            </w:pPr>
            <w:r>
              <w:rPr>
                <w:rFonts w:ascii="Arial" w:cs="Arial" w:eastAsia="Arial" w:hAnsi="Arial"/>
                <w:sz w:val="18"/>
                <w:szCs w:val="18"/>
                <w:b w:val="1"/>
                <w:bCs w:val="1"/>
                <w:color w:val="auto"/>
              </w:rPr>
              <w:t>Certification:</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96"/>
        </w:trPr>
        <w:tc>
          <w:tcPr>
            <w:tcW w:w="13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22"/>
                <w:szCs w:val="22"/>
                <w:color w:val="auto"/>
              </w:rPr>
              <w:t>Not applicable.</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29"/>
        </w:trPr>
        <w:tc>
          <w:tcPr>
            <w:tcW w:w="13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5" w:name="page6"/>
    <w:bookmarkEnd w:id="5"/>
    <w:p>
      <w:pPr>
        <w:spacing w:after="0"/>
        <w:tabs>
          <w:tab w:leader="none" w:pos="9940" w:val="left"/>
        </w:tabs>
        <w:rPr>
          <w:sz w:val="20"/>
          <w:szCs w:val="20"/>
          <w:color w:val="auto"/>
        </w:rPr>
      </w:pPr>
      <w:r>
        <w:rPr>
          <w:rFonts w:ascii="Arial" w:cs="Arial" w:eastAsia="Arial" w:hAnsi="Arial"/>
          <w:sz w:val="18"/>
          <w:szCs w:val="18"/>
          <w:color w:val="auto"/>
        </w:rPr>
        <w:t>CUSIP No. 09075X108</w:t>
      </w:r>
      <w:r>
        <w:rPr>
          <w:sz w:val="20"/>
          <w:szCs w:val="20"/>
          <w:color w:val="auto"/>
        </w:rPr>
        <w:tab/>
      </w:r>
      <w:r>
        <w:rPr>
          <w:rFonts w:ascii="Arial" w:cs="Arial" w:eastAsia="Arial" w:hAnsi="Arial"/>
          <w:sz w:val="15"/>
          <w:szCs w:val="15"/>
          <w:color w:val="auto"/>
        </w:rPr>
        <w:t>Page 6 of 8 Pages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ind w:right="760" w:firstLine="648"/>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Manlia Limited</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Sarah-Jane Parker</w:t>
      </w:r>
    </w:p>
    <w:p>
      <w:pPr>
        <w:spacing w:after="0" w:line="3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Sarah-Jane Parker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 Havre Management Services</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Limited, Corporate Director of Manlia Limited</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Robert Cawthorn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u w:val="single" w:color="auto"/>
          <w:color w:val="auto"/>
        </w:rPr>
        <w:t>/s/ Robert Cawthorn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color w:val="auto"/>
        </w:rPr>
        <w:t>August 23,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435610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tabs>
          <w:tab w:leader="none" w:pos="9940" w:val="left"/>
        </w:tabs>
        <w:rPr>
          <w:sz w:val="20"/>
          <w:szCs w:val="20"/>
          <w:color w:val="auto"/>
        </w:rPr>
      </w:pPr>
      <w:r>
        <w:rPr>
          <w:rFonts w:ascii="Arial" w:cs="Arial" w:eastAsia="Arial" w:hAnsi="Arial"/>
          <w:sz w:val="18"/>
          <w:szCs w:val="18"/>
          <w:color w:val="auto"/>
        </w:rPr>
        <w:t>CUSIP No. 09075X108</w:t>
      </w:r>
      <w:r>
        <w:rPr>
          <w:sz w:val="20"/>
          <w:szCs w:val="20"/>
          <w:color w:val="auto"/>
        </w:rPr>
        <w:tab/>
      </w:r>
      <w:r>
        <w:rPr>
          <w:rFonts w:ascii="Arial" w:cs="Arial" w:eastAsia="Arial" w:hAnsi="Arial"/>
          <w:sz w:val="15"/>
          <w:szCs w:val="15"/>
          <w:color w:val="auto"/>
        </w:rPr>
        <w:t>Page 7 of 8 Pages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7680" w:type="dxa"/>
            <w:vAlign w:val="bottom"/>
            <w:gridSpan w:val="2"/>
          </w:tcPr>
          <w:p>
            <w:pPr>
              <w:jc w:val="right"/>
              <w:ind w:right="4690"/>
              <w:spacing w:after="0"/>
              <w:rPr>
                <w:sz w:val="20"/>
                <w:szCs w:val="20"/>
                <w:color w:val="auto"/>
              </w:rPr>
            </w:pPr>
            <w:r>
              <w:rPr>
                <w:rFonts w:ascii="Arial" w:cs="Arial" w:eastAsia="Arial" w:hAnsi="Arial"/>
                <w:sz w:val="22"/>
                <w:szCs w:val="22"/>
                <w:b w:val="1"/>
                <w:bCs w:val="1"/>
                <w:color w:val="auto"/>
              </w:rPr>
              <w:t>EXHIBIT INDEX</w:t>
            </w:r>
          </w:p>
        </w:tc>
      </w:tr>
      <w:tr>
        <w:trPr>
          <w:trHeight w:val="408"/>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Ex.</w:t>
            </w:r>
          </w:p>
        </w:tc>
        <w:tc>
          <w:tcPr>
            <w:tcW w:w="2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Page No.</w:t>
            </w:r>
          </w:p>
        </w:tc>
      </w:tr>
      <w:tr>
        <w:trPr>
          <w:trHeight w:val="453"/>
        </w:trPr>
        <w:tc>
          <w:tcPr>
            <w:tcW w:w="460" w:type="dxa"/>
            <w:vAlign w:val="bottom"/>
            <w:gridSpan w:val="2"/>
          </w:tcPr>
          <w:p>
            <w:pPr>
              <w:spacing w:after="0"/>
              <w:rPr>
                <w:sz w:val="20"/>
                <w:szCs w:val="20"/>
                <w:color w:val="auto"/>
              </w:rPr>
            </w:pPr>
            <w:r>
              <w:rPr>
                <w:rFonts w:ascii="Arial" w:cs="Arial" w:eastAsia="Arial" w:hAnsi="Arial"/>
                <w:sz w:val="18"/>
                <w:szCs w:val="18"/>
                <w:color w:val="auto"/>
              </w:rPr>
              <w:t>A</w:t>
            </w:r>
          </w:p>
        </w:tc>
        <w:tc>
          <w:tcPr>
            <w:tcW w:w="3100" w:type="dxa"/>
            <w:vAlign w:val="bottom"/>
          </w:tcPr>
          <w:p>
            <w:pPr>
              <w:ind w:left="200"/>
              <w:spacing w:after="0"/>
              <w:rPr>
                <w:sz w:val="20"/>
                <w:szCs w:val="20"/>
                <w:color w:val="auto"/>
              </w:rPr>
            </w:pPr>
            <w:r>
              <w:rPr>
                <w:rFonts w:ascii="Arial" w:cs="Arial" w:eastAsia="Arial" w:hAnsi="Arial"/>
                <w:sz w:val="18"/>
                <w:szCs w:val="18"/>
                <w:color w:val="auto"/>
              </w:rPr>
              <w:t>Joint Filing Agreement</w:t>
            </w:r>
          </w:p>
        </w:tc>
        <w:tc>
          <w:tcPr>
            <w:tcW w:w="768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925"/>
        </w:trPr>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70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7" w:name="page8"/>
    <w:bookmarkEnd w:id="7"/>
    <w:p>
      <w:pPr>
        <w:spacing w:after="0"/>
        <w:tabs>
          <w:tab w:leader="none" w:pos="9940" w:val="left"/>
        </w:tabs>
        <w:rPr>
          <w:sz w:val="20"/>
          <w:szCs w:val="20"/>
          <w:color w:val="auto"/>
        </w:rPr>
      </w:pPr>
      <w:r>
        <w:rPr>
          <w:rFonts w:ascii="Arial" w:cs="Arial" w:eastAsia="Arial" w:hAnsi="Arial"/>
          <w:sz w:val="18"/>
          <w:szCs w:val="18"/>
          <w:color w:val="auto"/>
        </w:rPr>
        <w:t>CUSIP No. 09075X108</w:t>
      </w:r>
      <w:r>
        <w:rPr>
          <w:sz w:val="20"/>
          <w:szCs w:val="20"/>
          <w:color w:val="auto"/>
        </w:rPr>
        <w:tab/>
      </w:r>
      <w:r>
        <w:rPr>
          <w:rFonts w:ascii="Arial" w:cs="Arial" w:eastAsia="Arial" w:hAnsi="Arial"/>
          <w:sz w:val="15"/>
          <w:szCs w:val="15"/>
          <w:color w:val="auto"/>
        </w:rPr>
        <w:t>Page 8 of 8 Pages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340"/>
        <w:spacing w:after="0"/>
        <w:rPr>
          <w:sz w:val="20"/>
          <w:szCs w:val="20"/>
          <w:color w:val="auto"/>
        </w:rPr>
      </w:pPr>
      <w:r>
        <w:rPr>
          <w:rFonts w:ascii="Arial" w:cs="Arial" w:eastAsia="Arial" w:hAnsi="Arial"/>
          <w:sz w:val="19"/>
          <w:szCs w:val="19"/>
          <w:b w:val="1"/>
          <w:bCs w:val="1"/>
          <w:color w:val="auto"/>
        </w:rPr>
        <w:t>Exhibit A</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JOINT FILING AGREEMENT</w:t>
      </w:r>
    </w:p>
    <w:p>
      <w:pPr>
        <w:spacing w:after="0" w:line="200" w:lineRule="exact"/>
        <w:rPr>
          <w:sz w:val="20"/>
          <w:szCs w:val="20"/>
          <w:color w:val="auto"/>
        </w:rPr>
      </w:pPr>
    </w:p>
    <w:p>
      <w:pPr>
        <w:spacing w:after="0" w:line="282"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The undersigned hereby agree that the statement on Schedule 13G with respect to the common stock of Biodesix, Inc. dated as of August 23, 2021 is, and any amendments thereto (including amendments on Schedule 13D) signed by each of the undersigned shall be, filed on behalf of each of us pursuant to and in accordance with the provisions of Rule 13d-1(k) under the Securities Exchange Act of 1934, as amended.</w:t>
      </w:r>
    </w:p>
    <w:p>
      <w:pPr>
        <w:spacing w:after="0" w:line="21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Manlia Limited</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Sarah-Jane Parker</w:t>
      </w:r>
    </w:p>
    <w:p>
      <w:pPr>
        <w:spacing w:after="0" w:line="3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Sarah-Jane Parker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 Havre Management Services</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Limited, Corporate Director of Manlia Limited</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Robert Cawthorn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u w:val="single" w:color="auto"/>
          <w:color w:val="auto"/>
        </w:rPr>
        <w:t>/s/ Robert Cawthorn</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August 23,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538480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2021-08-23T16:22:40Z</dcterms:created>
  <dcterms:modified xsi:type="dcterms:W3CDTF">2021-08-23T16:22:40Z</dcterms:modified>
</cp:coreProperties>
</file>