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28"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219" w:lineRule="auto"/>
        <w:tabs>
          <w:tab w:leader="none" w:pos="46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90" w:lineRule="exact"/>
        <w:rPr>
          <w:sz w:val="24"/>
          <w:szCs w:val="24"/>
          <w:color w:val="auto"/>
        </w:rPr>
      </w:pPr>
    </w:p>
    <w:p>
      <w:pPr>
        <w:ind w:left="41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189" w:lineRule="exact"/>
        <w:rPr>
          <w:sz w:val="24"/>
          <w:szCs w:val="24"/>
          <w:color w:val="auto"/>
        </w:rPr>
      </w:pPr>
    </w:p>
    <w:p>
      <w:pPr>
        <w:jc w:val="center"/>
        <w:ind w:left="3560"/>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4"/>
          <w:szCs w:val="24"/>
          <w:b w:val="1"/>
          <w:bCs w:val="1"/>
          <w:color w:val="auto"/>
        </w:rPr>
        <w:t>IODESIX</w:t>
      </w:r>
      <w:r>
        <w:rPr>
          <w:rFonts w:ascii="Arial" w:cs="Arial" w:eastAsia="Arial" w:hAnsi="Arial"/>
          <w:sz w:val="32"/>
          <w:szCs w:val="32"/>
          <w:b w:val="1"/>
          <w:bCs w:val="1"/>
          <w:color w:val="auto"/>
        </w:rPr>
        <w:t>, I</w:t>
      </w:r>
      <w:r>
        <w:rPr>
          <w:rFonts w:ascii="Arial" w:cs="Arial" w:eastAsia="Arial" w:hAnsi="Arial"/>
          <w:sz w:val="24"/>
          <w:szCs w:val="24"/>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20-3986492</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37" w:lineRule="exact"/>
        <w:rPr>
          <w:sz w:val="24"/>
          <w:szCs w:val="24"/>
          <w:color w:val="auto"/>
        </w:rPr>
      </w:pPr>
    </w:p>
    <w:p>
      <w:pPr>
        <w:sectPr>
          <w:pgSz w:w="11900" w:h="16838" w:orient="portrait"/>
          <w:cols w:equalWidth="0" w:num="2">
            <w:col w:w="7700" w:space="240"/>
            <w:col w:w="3300"/>
          </w:cols>
          <w:pgMar w:left="320" w:top="557"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71"/>
              <w:spacing w:after="0"/>
              <w:rPr>
                <w:sz w:val="20"/>
                <w:szCs w:val="20"/>
                <w:color w:val="auto"/>
              </w:rPr>
            </w:pPr>
            <w:r>
              <w:rPr>
                <w:rFonts w:ascii="Arial" w:cs="Arial" w:eastAsia="Arial" w:hAnsi="Arial"/>
                <w:sz w:val="14"/>
                <w:szCs w:val="14"/>
                <w:b w:val="1"/>
                <w:bCs w:val="1"/>
                <w:color w:val="auto"/>
                <w:w w:val="91"/>
              </w:rPr>
              <w:t>2970 Wilderness Place, Suite 100</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80301</w:t>
            </w:r>
          </w:p>
        </w:tc>
        <w:tc>
          <w:tcPr>
            <w:tcW w:w="0" w:type="dxa"/>
            <w:vAlign w:val="bottom"/>
          </w:tcPr>
          <w:p>
            <w:pPr>
              <w:spacing w:after="0"/>
              <w:rPr>
                <w:sz w:val="1"/>
                <w:szCs w:val="1"/>
                <w:color w:val="auto"/>
              </w:rPr>
            </w:pPr>
          </w:p>
        </w:tc>
      </w:tr>
      <w:tr>
        <w:trPr>
          <w:trHeight w:val="153"/>
        </w:trPr>
        <w:tc>
          <w:tcPr>
            <w:tcW w:w="4220" w:type="dxa"/>
            <w:vAlign w:val="bottom"/>
          </w:tcPr>
          <w:p>
            <w:pPr>
              <w:jc w:val="center"/>
              <w:ind w:right="2071"/>
              <w:spacing w:after="0" w:line="153" w:lineRule="exact"/>
              <w:rPr>
                <w:sz w:val="20"/>
                <w:szCs w:val="20"/>
                <w:color w:val="auto"/>
              </w:rPr>
            </w:pPr>
            <w:r>
              <w:rPr>
                <w:rFonts w:ascii="Arial" w:cs="Arial" w:eastAsia="Arial" w:hAnsi="Arial"/>
                <w:sz w:val="14"/>
                <w:szCs w:val="14"/>
                <w:b w:val="1"/>
                <w:bCs w:val="1"/>
                <w:color w:val="auto"/>
                <w:w w:val="92"/>
              </w:rPr>
              <w:t>Boulder, Colorado 80301</w:t>
            </w: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20" w:type="dxa"/>
            <w:vAlign w:val="bottom"/>
          </w:tcPr>
          <w:p>
            <w:pPr>
              <w:jc w:val="center"/>
              <w:ind w:right="207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vMerge w:val="restart"/>
          </w:tcPr>
          <w:p>
            <w:pPr>
              <w:jc w:val="center"/>
              <w:ind w:right="699"/>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vMerge w:val="restart"/>
          </w:tcPr>
          <w:p>
            <w:pPr>
              <w:jc w:val="center"/>
              <w:ind w:left="799"/>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230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00" w:type="dxa"/>
            <w:vAlign w:val="bottom"/>
          </w:tcPr>
          <w:p>
            <w:pPr>
              <w:jc w:val="center"/>
              <w:ind w:right="699"/>
              <w:spacing w:after="0"/>
              <w:rPr>
                <w:sz w:val="20"/>
                <w:szCs w:val="20"/>
                <w:color w:val="auto"/>
              </w:rPr>
            </w:pPr>
            <w:r>
              <w:rPr>
                <w:rFonts w:ascii="Arial" w:cs="Arial" w:eastAsia="Arial" w:hAnsi="Arial"/>
                <w:sz w:val="18"/>
                <w:szCs w:val="18"/>
                <w:color w:val="auto"/>
                <w:w w:val="89"/>
              </w:rPr>
              <w:t>Common Stock, par value $0.001 per share</w:t>
            </w:r>
          </w:p>
        </w:tc>
        <w:tc>
          <w:tcPr>
            <w:tcW w:w="2300" w:type="dxa"/>
            <w:vAlign w:val="bottom"/>
          </w:tcPr>
          <w:p>
            <w:pPr>
              <w:jc w:val="center"/>
              <w:ind w:right="22"/>
              <w:spacing w:after="0"/>
              <w:rPr>
                <w:sz w:val="20"/>
                <w:szCs w:val="20"/>
                <w:color w:val="auto"/>
              </w:rPr>
            </w:pPr>
            <w:r>
              <w:rPr>
                <w:rFonts w:ascii="Arial" w:cs="Arial" w:eastAsia="Arial" w:hAnsi="Arial"/>
                <w:sz w:val="18"/>
                <w:szCs w:val="18"/>
                <w:color w:val="auto"/>
                <w:w w:val="97"/>
              </w:rPr>
              <w:t>BDSX</w:t>
            </w:r>
          </w:p>
        </w:tc>
        <w:tc>
          <w:tcPr>
            <w:tcW w:w="3540" w:type="dxa"/>
            <w:vAlign w:val="bottom"/>
          </w:tcPr>
          <w:p>
            <w:pPr>
              <w:jc w:val="center"/>
              <w:ind w:left="819"/>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firstLine="51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20"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May 7, 2021, the registrant had 26,861,021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2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9460" w:type="dxa"/>
            <w:vAlign w:val="bottom"/>
            <w:gridSpan w:val="22"/>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946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 as of March 31,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66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Statements of Operations for the Three Months Ended March 31, 2021 and 2020</w:t>
              </w:r>
            </w:hyperlink>
          </w:p>
        </w:tc>
        <w:tc>
          <w:tcPr>
            <w:tcW w:w="2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92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Statements of Convertible Preferred Stock and Stockholders' Equity (Deficit) for the Three Months Ended March 31,</w:t>
              </w:r>
            </w:hyperlink>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2021 and 2020</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946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 for the Three Months Ended March 31,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700" w:type="dxa"/>
            <w:vAlign w:val="bottom"/>
            <w:tcBorders>
              <w:top w:val="single" w:sz="8" w:color="0000EE"/>
            </w:tcBorders>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Financial Statements</w:t>
              </w:r>
            </w:hyperlink>
          </w:p>
        </w:tc>
        <w:tc>
          <w:tcPr>
            <w:tcW w:w="2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0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Controls and Procedures</w:t>
              </w:r>
            </w:hyperlink>
          </w:p>
        </w:tc>
        <w:tc>
          <w:tcPr>
            <w:tcW w:w="766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OTHER INFORMATION</w:t>
              </w:r>
            </w:hyperlink>
          </w:p>
        </w:tc>
        <w:tc>
          <w:tcPr>
            <w:tcW w:w="75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8"/>
                <w:szCs w:val="18"/>
                <w:color w:val="auto"/>
              </w:rPr>
            </w:pPr>
          </w:p>
        </w:tc>
        <w:tc>
          <w:tcPr>
            <w:tcW w:w="81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51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71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76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14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6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Signature</w:t>
              </w:r>
            </w:hyperlink>
          </w:p>
        </w:tc>
        <w:tc>
          <w:tcPr>
            <w:tcW w:w="87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in this Quarterly Report on Form 10-Q and those discussed in our other filings with the Securities and Exchange Commission (SEC), including the risks described in Item 1A “Risk Factors” of Part I of our Annual Report on Form 10-K for the year ended December 31, 2020, which was filed on March 16, 2021.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our Annual Report on Form 10-K for the year ended December 31, 2020, regarding, among other things:</w:t>
      </w:r>
    </w:p>
    <w:p>
      <w:pPr>
        <w:spacing w:after="0" w:line="79"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22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22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fluctuation in our operating results, causing our operating results to fall below expectations or any guidance we provide;</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22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170"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170"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170"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incurrence of substantial liabilities and limiting or halting the marketing and sale of our diagnostic tests due to product liability lawsuits;</w:t>
      </w:r>
    </w:p>
    <w:p>
      <w:pPr>
        <w:spacing w:after="0" w:line="236"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22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713" w:gutter="0" w:footer="0" w:header="0"/>
        </w:sectPr>
      </w:pPr>
    </w:p>
    <w:bookmarkStart w:id="3" w:name="page4"/>
    <w:bookmarkEnd w:id="3"/>
    <w:p>
      <w:pPr>
        <w:ind w:left="8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225"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22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170"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22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225"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32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7320" w:type="dxa"/>
            <w:vAlign w:val="bottom"/>
          </w:tcPr>
          <w:p>
            <w:pPr>
              <w:jc w:val="center"/>
              <w:ind w:left="3850"/>
              <w:spacing w:after="0"/>
              <w:rPr>
                <w:sz w:val="20"/>
                <w:szCs w:val="20"/>
                <w:color w:val="auto"/>
              </w:rPr>
            </w:pPr>
            <w:r>
              <w:rPr>
                <w:rFonts w:ascii="Arial" w:cs="Arial" w:eastAsia="Arial" w:hAnsi="Arial"/>
                <w:sz w:val="18"/>
                <w:szCs w:val="18"/>
                <w:b w:val="1"/>
                <w:bCs w:val="1"/>
                <w:color w:val="auto"/>
              </w:rPr>
              <w:t>BIODESIX, INC.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86"/>
              </w:rPr>
              <w:t>Condensed Balance Sheets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88"/>
              </w:rPr>
              <w:t>(in thousands, except share data)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March 31, 2021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7320" w:type="dxa"/>
            <w:vAlign w:val="bottom"/>
            <w:tcBorders>
              <w:top w:val="single" w:sz="8" w:color="CFF0FC"/>
            </w:tcBorders>
            <w:shd w:val="clear" w:color="auto" w:fill="CFF0FC"/>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55,329</w:t>
            </w:r>
          </w:p>
        </w:tc>
        <w:tc>
          <w:tcPr>
            <w:tcW w:w="10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2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15,304</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9"/>
                <w:szCs w:val="19"/>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86,140</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CEEFF"/>
          </w:tcPr>
          <w:p>
            <w:pPr>
              <w:spacing w:after="0"/>
              <w:rPr>
                <w:sz w:val="19"/>
                <w:szCs w:val="19"/>
                <w:color w:val="auto"/>
              </w:rPr>
            </w:pPr>
          </w:p>
        </w:tc>
      </w:tr>
      <w:tr>
        <w:trPr>
          <w:trHeight w:val="223"/>
        </w:trPr>
        <w:tc>
          <w:tcPr>
            <w:tcW w:w="7320" w:type="dxa"/>
            <w:vAlign w:val="bottom"/>
            <w:tcBorders>
              <w:bottom w:val="single" w:sz="8" w:color="CFF0FC"/>
            </w:tcBorders>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w:t>
            </w:r>
          </w:p>
        </w:tc>
        <w:tc>
          <w:tcPr>
            <w:tcW w:w="120" w:type="dxa"/>
            <w:vAlign w:val="bottom"/>
            <w:tcBorders>
              <w:bottom w:val="single" w:sz="8" w:color="CCEEFF"/>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320" w:type="dxa"/>
            <w:vAlign w:val="bottom"/>
            <w:shd w:val="clear" w:color="auto" w:fill="CFF0FC"/>
          </w:tcPr>
          <w:p>
            <w:pPr>
              <w:ind w:left="41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20" w:type="dxa"/>
            <w:vAlign w:val="bottom"/>
            <w:shd w:val="clear" w:color="auto" w:fill="CCEEFF"/>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9"/>
                <w:szCs w:val="19"/>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Borders>
              <w:bottom w:val="single" w:sz="8" w:color="CCEEFF"/>
            </w:tcBorders>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shd w:val="clear" w:color="auto" w:fill="CCEEFF"/>
          </w:tcPr>
          <w:p>
            <w:pPr>
              <w:spacing w:after="0"/>
              <w:rPr>
                <w:sz w:val="19"/>
                <w:szCs w:val="19"/>
                <w:color w:val="auto"/>
              </w:rPr>
            </w:pPr>
          </w:p>
        </w:tc>
      </w:tr>
      <w:tr>
        <w:trPr>
          <w:trHeight w:val="230"/>
        </w:trPr>
        <w:tc>
          <w:tcPr>
            <w:tcW w:w="732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shd w:val="clear" w:color="auto" w:fill="CCEEFF"/>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19"/>
                <w:szCs w:val="19"/>
                <w:color w:val="auto"/>
              </w:rPr>
            </w:pPr>
          </w:p>
        </w:tc>
      </w:tr>
      <w:tr>
        <w:trPr>
          <w:trHeight w:val="223"/>
        </w:trPr>
        <w:tc>
          <w:tcPr>
            <w:tcW w:w="7320" w:type="dxa"/>
            <w:vAlign w:val="bottom"/>
            <w:tcBorders>
              <w:bottom w:val="single" w:sz="8" w:color="CFF0FC"/>
            </w:tcBorders>
          </w:tcPr>
          <w:p>
            <w:pPr>
              <w:ind w:left="50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47,779</w:t>
            </w:r>
          </w:p>
        </w:tc>
        <w:tc>
          <w:tcPr>
            <w:tcW w:w="120" w:type="dxa"/>
            <w:vAlign w:val="bottom"/>
            <w:tcBorders>
              <w:bottom w:val="single" w:sz="8" w:color="CCEEFF"/>
            </w:tcBorders>
          </w:tcPr>
          <w:p>
            <w:pPr>
              <w:spacing w:after="0"/>
              <w:rPr>
                <w:sz w:val="19"/>
                <w:szCs w:val="19"/>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79,904</w:t>
            </w:r>
          </w:p>
        </w:tc>
        <w:tc>
          <w:tcPr>
            <w:tcW w:w="120" w:type="dxa"/>
            <w:vAlign w:val="bottom"/>
            <w:shd w:val="clear" w:color="auto" w:fill="CCEEFF"/>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320" w:type="dxa"/>
            <w:vAlign w:val="bottom"/>
          </w:tcPr>
          <w:p>
            <w:pPr>
              <w:ind w:left="260"/>
              <w:spacing w:after="0"/>
              <w:rPr>
                <w:sz w:val="20"/>
                <w:szCs w:val="20"/>
                <w:color w:val="auto"/>
              </w:rPr>
            </w:pPr>
            <w:r>
              <w:rPr>
                <w:rFonts w:ascii="Arial" w:cs="Arial" w:eastAsia="Arial" w:hAnsi="Arial"/>
                <w:sz w:val="18"/>
                <w:szCs w:val="18"/>
                <w:color w:val="auto"/>
              </w:rPr>
              <w:t>Preferred stock, $0.001 par value, 5,000,000 shares authorized; 0 (2021 and 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20" w:type="dxa"/>
            <w:vAlign w:val="bottom"/>
          </w:tcPr>
          <w:p>
            <w:pPr>
              <w:ind w:left="440"/>
              <w:spacing w:after="0"/>
              <w:rPr>
                <w:sz w:val="20"/>
                <w:szCs w:val="20"/>
                <w:color w:val="auto"/>
              </w:rPr>
            </w:pPr>
            <w:r>
              <w:rPr>
                <w:rFonts w:ascii="Arial" w:cs="Arial" w:eastAsia="Arial" w:hAnsi="Arial"/>
                <w:sz w:val="18"/>
                <w:szCs w:val="18"/>
                <w:color w:val="auto"/>
              </w:rPr>
              <w:t>shares issued and outstanding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200,000,000 shares authorized;</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26,785,431 (2021) and 26,561,504 (2020) shares issued and outstanding</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20"/>
                <w:szCs w:val="20"/>
                <w:color w:val="auto"/>
              </w:rPr>
            </w:pPr>
          </w:p>
        </w:tc>
      </w:tr>
      <w:tr>
        <w:trPr>
          <w:trHeight w:val="229"/>
        </w:trPr>
        <w:tc>
          <w:tcPr>
            <w:tcW w:w="7320" w:type="dxa"/>
            <w:vAlign w:val="bottom"/>
          </w:tcPr>
          <w:p>
            <w:pPr>
              <w:ind w:left="26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302,180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299,953</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(265,775)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(258,814)</w:t>
            </w:r>
          </w:p>
        </w:tc>
      </w:tr>
      <w:tr>
        <w:trPr>
          <w:trHeight w:val="22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41,166</w:t>
            </w:r>
          </w:p>
        </w:tc>
        <w:tc>
          <w:tcPr>
            <w:tcW w:w="120" w:type="dxa"/>
            <w:vAlign w:val="bottom"/>
            <w:tcBorders>
              <w:bottom w:val="single" w:sz="8" w:color="CCEEFF"/>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BIODESIX, INC.</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5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19"/>
                <w:szCs w:val="19"/>
                <w:color w:val="auto"/>
              </w:rPr>
            </w:pPr>
          </w:p>
        </w:tc>
        <w:tc>
          <w:tcPr>
            <w:tcW w:w="1000" w:type="dxa"/>
            <w:vAlign w:val="bottom"/>
            <w:shd w:val="clear" w:color="auto" w:fill="CCEEFF"/>
          </w:tcPr>
          <w:p>
            <w:pPr>
              <w:jc w:val="right"/>
              <w:ind w:right="83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28,866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Direct costs and expenses</w:t>
            </w:r>
          </w:p>
        </w:tc>
        <w:tc>
          <w:tcPr>
            <w:tcW w:w="180" w:type="dxa"/>
            <w:vAlign w:val="bottom"/>
            <w:shd w:val="clear" w:color="auto" w:fill="CFF0FC"/>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marketing, general and administrative</w:t>
            </w:r>
          </w:p>
        </w:tc>
        <w:tc>
          <w:tcPr>
            <w:tcW w:w="180" w:type="dxa"/>
            <w:vAlign w:val="bottom"/>
            <w:shd w:val="clear" w:color="auto" w:fill="CFF0FC"/>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11,927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20" w:type="dxa"/>
            <w:vAlign w:val="bottom"/>
            <w:shd w:val="clear" w:color="auto" w:fill="CCEEFF"/>
          </w:tcPr>
          <w:p>
            <w:pPr>
              <w:spacing w:after="0"/>
              <w:rPr>
                <w:sz w:val="19"/>
                <w:szCs w:val="19"/>
                <w:color w:val="auto"/>
              </w:rPr>
            </w:pPr>
          </w:p>
        </w:tc>
      </w:tr>
      <w:tr>
        <w:trPr>
          <w:trHeight w:val="229"/>
        </w:trPr>
        <w:tc>
          <w:tcPr>
            <w:tcW w:w="75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34,449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shd w:val="clear" w:color="auto" w:fill="CCEEFF"/>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(5,583)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(8,422)</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(1,457)</w:t>
            </w:r>
          </w:p>
        </w:tc>
      </w:tr>
      <w:tr>
        <w:trPr>
          <w:trHeight w:val="229"/>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shd w:val="clear" w:color="auto" w:fill="CFF0FC"/>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other expense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(1,378)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6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8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(6,961)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CEEFF"/>
            </w:tcBorders>
          </w:tcPr>
          <w:p>
            <w:pPr>
              <w:spacing w:after="0"/>
              <w:rPr>
                <w:sz w:val="22"/>
                <w:szCs w:val="22"/>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180" w:type="dxa"/>
            <w:vAlign w:val="bottom"/>
            <w:gridSpan w:val="2"/>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4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(37.18)</w:t>
            </w:r>
          </w:p>
        </w:tc>
      </w:tr>
      <w:tr>
        <w:trPr>
          <w:trHeight w:val="243"/>
        </w:trPr>
        <w:tc>
          <w:tcPr>
            <w:tcW w:w="75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26,604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8"/>
          <w:szCs w:val="18"/>
          <w:b w:val="1"/>
          <w:bCs w:val="1"/>
          <w:color w:val="auto"/>
        </w:rPr>
        <w:t>BIODESIX, INC.</w:t>
      </w:r>
    </w:p>
    <w:p>
      <w:pPr>
        <w:spacing w:after="0" w:line="18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Convertible Preferred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line="161" w:lineRule="exact"/>
              <w:rPr>
                <w:sz w:val="20"/>
                <w:szCs w:val="20"/>
                <w:color w:val="auto"/>
              </w:rPr>
            </w:pPr>
            <w:r>
              <w:rPr>
                <w:rFonts w:ascii="Arial" w:cs="Arial" w:eastAsia="Arial" w:hAnsi="Arial"/>
                <w:sz w:val="14"/>
                <w:szCs w:val="14"/>
                <w:b w:val="1"/>
                <w:bCs w:val="1"/>
                <w:color w:val="auto"/>
                <w:w w:val="99"/>
              </w:rPr>
              <w:t>Paid</w:t>
            </w:r>
            <w:r>
              <w:rPr>
                <w:rFonts w:ascii="MS PGothic" w:cs="MS PGothic" w:eastAsia="MS PGothic" w:hAnsi="MS PGothic"/>
                <w:sz w:val="14"/>
                <w:szCs w:val="14"/>
                <w:b w:val="1"/>
                <w:bCs w:val="1"/>
                <w:color w:val="auto"/>
                <w:w w:val="99"/>
              </w:rPr>
              <w:t>‑</w:t>
            </w:r>
            <w:r>
              <w:rPr>
                <w:rFonts w:ascii="Arial" w:cs="Arial" w:eastAsia="Arial" w:hAnsi="Arial"/>
                <w:sz w:val="14"/>
                <w:szCs w:val="14"/>
                <w:b w:val="1"/>
                <w:bCs w:val="1"/>
                <w:color w:val="auto"/>
                <w:w w:val="99"/>
              </w:rPr>
              <w:t>In</w:t>
            </w:r>
          </w:p>
        </w:tc>
        <w:tc>
          <w:tcPr>
            <w:tcW w:w="10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720" w:type="dxa"/>
            <w:vAlign w:val="bottom"/>
          </w:tcPr>
          <w:p>
            <w:pPr>
              <w:ind w:left="240"/>
              <w:spacing w:after="0" w:line="155" w:lineRule="exact"/>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20" w:type="dxa"/>
            <w:vAlign w:val="bottom"/>
            <w:gridSpan w:val="2"/>
          </w:tcPr>
          <w:p>
            <w:pPr>
              <w:jc w:val="right"/>
              <w:ind w:right="37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2020</w:t>
            </w: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4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26,562</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299,953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(258,814</w:t>
            </w:r>
          </w:p>
        </w:tc>
        <w:tc>
          <w:tcPr>
            <w:tcW w:w="140" w:type="dxa"/>
            <w:vAlign w:val="bottom"/>
            <w:tcBorders>
              <w:top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41,166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shd w:val="clear" w:color="auto" w:fill="CFF0FC"/>
          </w:tcPr>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(6,961)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(6,961)</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March 31, 2021</w:t>
            </w:r>
          </w:p>
        </w:tc>
        <w:tc>
          <w:tcPr>
            <w:tcW w:w="72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26,785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302,180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(265,775)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36,432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3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Convertible Preferred Stock</w:t>
            </w:r>
          </w:p>
        </w:tc>
        <w:tc>
          <w:tcPr>
            <w:tcW w:w="19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line="161" w:lineRule="exact"/>
              <w:rPr>
                <w:sz w:val="20"/>
                <w:szCs w:val="20"/>
                <w:color w:val="auto"/>
              </w:rPr>
            </w:pPr>
            <w:r>
              <w:rPr>
                <w:rFonts w:ascii="Arial" w:cs="Arial" w:eastAsia="Arial" w:hAnsi="Arial"/>
                <w:sz w:val="14"/>
                <w:szCs w:val="14"/>
                <w:b w:val="1"/>
                <w:bCs w:val="1"/>
                <w:color w:val="auto"/>
                <w:w w:val="99"/>
              </w:rPr>
              <w:t>Paid</w:t>
            </w:r>
            <w:r>
              <w:rPr>
                <w:rFonts w:ascii="MS PGothic" w:cs="MS PGothic" w:eastAsia="MS PGothic" w:hAnsi="MS PGothic"/>
                <w:sz w:val="14"/>
                <w:szCs w:val="14"/>
                <w:b w:val="1"/>
                <w:bCs w:val="1"/>
                <w:color w:val="auto"/>
                <w:w w:val="99"/>
              </w:rPr>
              <w:t>‑</w:t>
            </w:r>
            <w:r>
              <w:rPr>
                <w:rFonts w:ascii="Arial" w:cs="Arial" w:eastAsia="Arial" w:hAnsi="Arial"/>
                <w:sz w:val="14"/>
                <w:szCs w:val="14"/>
                <w:b w:val="1"/>
                <w:bCs w:val="1"/>
                <w:color w:val="auto"/>
                <w:w w:val="99"/>
              </w:rPr>
              <w:t>In</w:t>
            </w:r>
          </w:p>
        </w:tc>
        <w:tc>
          <w:tcPr>
            <w:tcW w:w="11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16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1000" w:type="dxa"/>
            <w:vAlign w:val="bottom"/>
            <w:gridSpan w:val="2"/>
          </w:tcPr>
          <w:p>
            <w:pPr>
              <w:jc w:val="right"/>
              <w:ind w:right="459"/>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2019</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118,766</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193,959</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2,324</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(227,464</w:t>
            </w:r>
          </w:p>
        </w:tc>
        <w:tc>
          <w:tcPr>
            <w:tcW w:w="220" w:type="dxa"/>
            <w:vAlign w:val="bottom"/>
            <w:tcBorders>
              <w:top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(225,139)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(9,705)</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(9,705)</w:t>
            </w:r>
          </w:p>
        </w:tc>
        <w:tc>
          <w:tcPr>
            <w:tcW w:w="0" w:type="dxa"/>
            <w:vAlign w:val="bottom"/>
          </w:tcPr>
          <w:p>
            <w:pPr>
              <w:spacing w:after="0"/>
              <w:rPr>
                <w:sz w:val="1"/>
                <w:szCs w:val="1"/>
                <w:color w:val="auto"/>
              </w:rPr>
            </w:pPr>
          </w:p>
        </w:tc>
      </w:tr>
      <w:tr>
        <w:trPr>
          <w:trHeight w:val="156"/>
        </w:trPr>
        <w:tc>
          <w:tcPr>
            <w:tcW w:w="312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March 31, 2020</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118,766</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193,959</w:t>
            </w:r>
          </w:p>
        </w:tc>
        <w:tc>
          <w:tcPr>
            <w:tcW w:w="2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2,335</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(237,169)</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(234,833)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380" w:type="dxa"/>
            <w:vAlign w:val="bottom"/>
          </w:tcPr>
          <w:p>
            <w:pPr>
              <w:jc w:val="center"/>
              <w:ind w:left="3790"/>
              <w:spacing w:after="0"/>
              <w:rPr>
                <w:sz w:val="20"/>
                <w:szCs w:val="20"/>
                <w:color w:val="auto"/>
              </w:rPr>
            </w:pPr>
            <w:r>
              <w:rPr>
                <w:rFonts w:ascii="Arial" w:cs="Arial" w:eastAsia="Arial" w:hAnsi="Arial"/>
                <w:sz w:val="18"/>
                <w:szCs w:val="18"/>
                <w:b w:val="1"/>
                <w:bCs w:val="1"/>
                <w:color w:val="auto"/>
              </w:rPr>
              <w:t>BIODESIX, INC.</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3"/>
        </w:trPr>
        <w:tc>
          <w:tcPr>
            <w:tcW w:w="7380" w:type="dxa"/>
            <w:vAlign w:val="bottom"/>
          </w:tcPr>
          <w:p>
            <w:pPr>
              <w:jc w:val="center"/>
              <w:ind w:left="3770"/>
              <w:spacing w:after="0"/>
              <w:rPr>
                <w:sz w:val="20"/>
                <w:szCs w:val="20"/>
                <w:color w:val="auto"/>
              </w:rPr>
            </w:pPr>
            <w:r>
              <w:rPr>
                <w:rFonts w:ascii="Arial" w:cs="Arial" w:eastAsia="Arial" w:hAnsi="Arial"/>
                <w:sz w:val="18"/>
                <w:szCs w:val="18"/>
                <w:b w:val="1"/>
                <w:bCs w:val="1"/>
                <w:color w:val="auto"/>
                <w:w w:val="88"/>
              </w:rPr>
              <w:t>Condensed Statements of Cash Flows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380" w:type="dxa"/>
            <w:vAlign w:val="bottom"/>
          </w:tcPr>
          <w:p>
            <w:pPr>
              <w:jc w:val="center"/>
              <w:ind w:left="379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7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7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79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(6,961)</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(9,705)</w:t>
            </w:r>
          </w:p>
        </w:tc>
      </w:tr>
      <w:tr>
        <w:trPr>
          <w:trHeight w:val="215"/>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cash equivalents, and restricted</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r>
      <w:tr>
        <w:trPr>
          <w:trHeight w:val="229"/>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convertible notes debt discount</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FF0FC"/>
          </w:tcPr>
          <w:p>
            <w:pPr>
              <w:spacing w:after="0"/>
              <w:rPr>
                <w:sz w:val="19"/>
                <w:szCs w:val="19"/>
                <w:color w:val="auto"/>
              </w:rPr>
            </w:pP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Loss on extinguishment of term loan</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FF0FC"/>
          </w:tcPr>
          <w:p>
            <w:pPr>
              <w:ind w:left="50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30"/>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contingent consideration</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FF0FC"/>
          </w:tcPr>
          <w:p>
            <w:pPr>
              <w:spacing w:after="0"/>
              <w:rPr>
                <w:sz w:val="19"/>
                <w:szCs w:val="19"/>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Accrued interest on notes payable and convertible notes payable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r>
      <w:tr>
        <w:trPr>
          <w:trHeight w:val="230"/>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9"/>
                <w:szCs w:val="19"/>
                <w:color w:val="auto"/>
              </w:rPr>
            </w:pPr>
          </w:p>
        </w:tc>
      </w:tr>
      <w:tr>
        <w:trPr>
          <w:trHeight w:val="229"/>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Other long-term assets and liabilities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30"/>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other accrued liabilities</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FF0FC"/>
          </w:tcPr>
          <w:p>
            <w:pPr>
              <w:spacing w:after="0"/>
              <w:rPr>
                <w:sz w:val="19"/>
                <w:szCs w:val="19"/>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(11,326)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Patent costs and intangible asset acquisition, net</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Payment to acquire Oncimmune assets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term loan and notes payable</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20" w:type="dxa"/>
            <w:vAlign w:val="bottom"/>
            <w:shd w:val="clear" w:color="auto" w:fill="CFF0FC"/>
          </w:tcPr>
          <w:p>
            <w:pPr>
              <w:spacing w:after="0"/>
              <w:rPr>
                <w:sz w:val="19"/>
                <w:szCs w:val="19"/>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Repayment of term loan and notes payable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(25,416)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3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120" w:type="dxa"/>
            <w:vAlign w:val="bottom"/>
            <w:tcBorders>
              <w:bottom w:val="single" w:sz="8" w:color="CFF0FC"/>
            </w:tcBorders>
          </w:tcPr>
          <w:p>
            <w:pPr>
              <w:spacing w:after="0"/>
              <w:rPr>
                <w:sz w:val="19"/>
                <w:szCs w:val="19"/>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(6,891)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FF0FC"/>
          </w:tcPr>
          <w:p>
            <w:pPr>
              <w:spacing w:after="0"/>
              <w:rPr>
                <w:sz w:val="19"/>
                <w:szCs w:val="19"/>
                <w:color w:val="auto"/>
              </w:rPr>
            </w:pPr>
          </w:p>
        </w:tc>
      </w:tr>
      <w:tr>
        <w:trPr>
          <w:trHeight w:val="230"/>
        </w:trPr>
        <w:tc>
          <w:tcPr>
            <w:tcW w:w="7380" w:type="dxa"/>
            <w:vAlign w:val="bottom"/>
            <w:tcBorders>
              <w:bottom w:val="single" w:sz="8" w:color="CFF0FC"/>
            </w:tcBorders>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3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FF0FC"/>
            </w:tcBorders>
          </w:tcPr>
          <w:p>
            <w:pPr>
              <w:spacing w:after="0"/>
              <w:rPr>
                <w:sz w:val="19"/>
                <w:szCs w:val="19"/>
                <w:color w:val="auto"/>
              </w:rPr>
            </w:pPr>
          </w:p>
        </w:tc>
      </w:tr>
      <w:tr>
        <w:trPr>
          <w:trHeight w:val="223"/>
        </w:trPr>
        <w:tc>
          <w:tcPr>
            <w:tcW w:w="7380" w:type="dxa"/>
            <w:vAlign w:val="bottom"/>
            <w:tcBorders>
              <w:bottom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55,415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BIODESIX,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Biodesix, Inc. (the “Company”, “Biodesix”, “we” “us”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authorized performance of the Bio-Rad SARS-CoV-2 Droplet Digital™ polymerase chain reaction (ddPCR) test to detect Coronavirus Disease 2019 (COVID-19) infection. In April 2020, the FDA authorized the Platelia SARS-CoV-2 Total Ab test to detect COVID-19 antibodies. Medical products that are granted an Emergency Use Authorization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four blood-based lung cancer tests across the lung cancer continuum of care:</w:t>
      </w:r>
    </w:p>
    <w:p>
      <w:pPr>
        <w:spacing w:after="0" w:line="117" w:lineRule="exact"/>
        <w:rPr>
          <w:sz w:val="20"/>
          <w:szCs w:val="20"/>
          <w:color w:val="auto"/>
        </w:rPr>
      </w:pPr>
    </w:p>
    <w:p>
      <w:pPr>
        <w:jc w:val="both"/>
        <w:ind w:left="74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 </w:t>
      </w:r>
      <w:r>
        <w:rPr>
          <w:rFonts w:ascii="Arial" w:cs="Arial" w:eastAsia="Arial" w:hAnsi="Arial"/>
          <w:sz w:val="18"/>
          <w:szCs w:val="18"/>
          <w:color w:val="auto"/>
        </w:rPr>
        <w:t>tests, marketed as part of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help identify the most appropriate treatment pathway. We believe we are the only company to offer two commercial blood-based tests to help physicians reclassify risk of malignancy in patients with suspicious lung nodules.</w:t>
      </w:r>
    </w:p>
    <w:p>
      <w:pPr>
        <w:spacing w:after="0" w:line="75"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GeneStrat®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Biodesix Lung Reflex</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strategy, are used following diagnosis of lung cancer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the presence of mutations in the tumor and the state of the patient’s immune system to establish the patient’s prognosis and help guide treatment decisions. The GeneStrat tumor profiling test and the VeriStrat immune profiling test have a 36-hour average turnaround time, providing physicians with timely results to facilitate treatment decisions.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Using the Bio-Rad SARS-CoV-2 ddPCR test and the Platelia SARS-CoV-2 Total Ab tests, we operate and have commercialized the Biodesix WorkSafe™ testing program. The Company offers two SARS-CoV-2 tests:</w:t>
      </w:r>
    </w:p>
    <w:p>
      <w:pPr>
        <w:spacing w:after="0" w:line="62" w:lineRule="exact"/>
        <w:rPr>
          <w:sz w:val="20"/>
          <w:szCs w:val="20"/>
          <w:color w:val="auto"/>
        </w:rPr>
      </w:pPr>
    </w:p>
    <w:p>
      <w:pPr>
        <w:jc w:val="both"/>
        <w:ind w:left="740" w:hanging="368"/>
        <w:spacing w:after="0" w:line="25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2" w:lineRule="exact"/>
        <w:rPr>
          <w:rFonts w:ascii="Arial" w:cs="Arial" w:eastAsia="Arial" w:hAnsi="Arial"/>
          <w:sz w:val="18"/>
          <w:szCs w:val="18"/>
          <w:color w:val="auto"/>
        </w:rPr>
      </w:pPr>
    </w:p>
    <w:p>
      <w:pPr>
        <w:ind w:left="740" w:hanging="368"/>
        <w:spacing w:after="0" w:line="26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 SARS-CoV-2, indicating recent or prior infection.</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tests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developing the Company's products, the Company has built or gained access to unique biorepositories, proprietary technology, and bioinformatics that it believes are important to the development of new targeted therapies, determining clinical trial eligibility and guiding treatment selection.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testing services are made available through its clinical laboratories.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The accompanying unaudited condensed financial statements have been prepared in accordance with the instructions to Form 10-Q and Rule 10-01 of Regulation S-X for interim financial information and </w:t>
      </w:r>
      <w:r>
        <w:rPr>
          <w:rFonts w:ascii="Arial" w:cs="Arial" w:eastAsia="Arial" w:hAnsi="Arial"/>
          <w:sz w:val="18"/>
          <w:szCs w:val="18"/>
          <w:color w:val="000000"/>
        </w:rPr>
        <w:t>reflect all adjustments necessary to state fairly the Company’s financial position, results of operations</w:t>
      </w:r>
      <w:r>
        <w:rPr>
          <w:rFonts w:ascii="Arial" w:cs="Arial" w:eastAsia="Arial" w:hAnsi="Arial"/>
          <w:sz w:val="18"/>
          <w:szCs w:val="18"/>
          <w:color w:val="212529"/>
        </w:rPr>
        <w:t xml:space="preserve"> </w:t>
      </w:r>
      <w:r>
        <w:rPr>
          <w:rFonts w:ascii="Arial" w:cs="Arial" w:eastAsia="Arial" w:hAnsi="Arial"/>
          <w:sz w:val="18"/>
          <w:szCs w:val="18"/>
          <w:color w:val="000000"/>
        </w:rPr>
        <w:t>and cash flows for the interim periods presented. All such adjustments are of a normal recurring nature. Results for interim periods are not indicative of the results for the entire fiscal year. The accompanying Condensed Financial Statements should be read in conjunction with the audited Financial Statements included in the Company’s Annual Report on Form 10-K for the year ended December 31, 2020.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2020 was derived from the audited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Uncertainties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the Company’s cash and cash equivalents are deposited with two major financial institutions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 Restricted cash consists of deposits related to the Company’s corporate credit cards and prior to March 31, 2021, also included a letter of credit related to an operating lease agreement. As of March 31, 2021 and December 31, 2020, the Company had $0.1 million and $0.2 million in restricted cash, respectively, which was included in ‘Other current assets’ in the accompanying balance sheets.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Several of the components for certain of the Company's sample collection kits, test reagents, and test systems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discussion of credit risk concentration of accounts receivable as of March 31, 2021 and 2020, see Note 9 – </w:t>
      </w:r>
      <w:r>
        <w:rPr>
          <w:rFonts w:ascii="Arial" w:cs="Arial" w:eastAsia="Arial" w:hAnsi="Arial"/>
          <w:sz w:val="18"/>
          <w:szCs w:val="18"/>
          <w:i w:val="1"/>
          <w:iCs w:val="1"/>
          <w:color w:val="auto"/>
        </w:rPr>
        <w:t>Revenue &amp; Accounts Receivable Credit</w:t>
      </w:r>
      <w:r>
        <w:rPr>
          <w:rFonts w:ascii="Arial" w:cs="Arial" w:eastAsia="Arial" w:hAnsi="Arial"/>
          <w:sz w:val="18"/>
          <w:szCs w:val="18"/>
          <w:color w:val="auto"/>
        </w:rPr>
        <w:t xml:space="preserve"> </w:t>
      </w:r>
      <w:r>
        <w:rPr>
          <w:rFonts w:ascii="Arial" w:cs="Arial" w:eastAsia="Arial" w:hAnsi="Arial"/>
          <w:sz w:val="18"/>
          <w:szCs w:val="18"/>
          <w:i w:val="1"/>
          <w:iCs w:val="1"/>
          <w:color w:val="auto"/>
        </w:rPr>
        <w:t>Concentration.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Inventory consists primarily of material supplies, which are consumed in the performance of testing services and charged to cost of sales. Inventory is stated at cost and reported within ‘Other current assets’ in the balance sheet and were $3.4 million and $3.2 million as of March 31,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The three levels of the hierarchy and the related inputs are as follows:</w:t>
      </w:r>
    </w:p>
    <w:p>
      <w:pPr>
        <w:spacing w:after="0" w:line="188" w:lineRule="exact"/>
        <w:rPr>
          <w:sz w:val="20"/>
          <w:szCs w:val="20"/>
          <w:color w:val="auto"/>
        </w:rPr>
      </w:pPr>
    </w:p>
    <w:p>
      <w:pPr>
        <w:ind w:left="820"/>
        <w:spacing w:after="0"/>
        <w:tabs>
          <w:tab w:leader="none" w:pos="6500" w:val="left"/>
        </w:tabs>
        <w:rPr>
          <w:sz w:val="20"/>
          <w:szCs w:val="20"/>
          <w:color w:val="auto"/>
        </w:rPr>
      </w:pPr>
      <w:r>
        <w:rPr>
          <w:rFonts w:ascii="Arial" w:cs="Arial" w:eastAsia="Arial" w:hAnsi="Arial"/>
          <w:sz w:val="18"/>
          <w:szCs w:val="18"/>
          <w:color w:val="auto"/>
        </w:rPr>
        <w:t>Level</w:t>
      </w:r>
      <w:r>
        <w:rPr>
          <w:sz w:val="20"/>
          <w:szCs w:val="20"/>
          <w:color w:val="auto"/>
        </w:rPr>
        <w:tab/>
      </w:r>
      <w:r>
        <w:rPr>
          <w:rFonts w:ascii="Arial" w:cs="Arial" w:eastAsia="Arial" w:hAnsi="Arial"/>
          <w:sz w:val="18"/>
          <w:szCs w:val="18"/>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60" w:hanging="1284"/>
        <w:spacing w:after="0"/>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spacing w:after="0" w:line="23" w:lineRule="exact"/>
        <w:rPr>
          <w:sz w:val="20"/>
          <w:szCs w:val="20"/>
          <w:color w:val="auto"/>
        </w:rPr>
      </w:pPr>
    </w:p>
    <w:p>
      <w:pPr>
        <w:ind w:left="2260" w:hanging="1284"/>
        <w:spacing w:after="0"/>
        <w:tabs>
          <w:tab w:leader="none" w:pos="2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260" w:hanging="1284"/>
        <w:spacing w:after="0"/>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for further discussion related to estimated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The Company is currently evaluating this guidance and assessing the overall impact on its financial statements.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2022 with early adoption permitted. The Company is currently evaluating this guidance and assessing the overall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borrowing instruments are recorded at their carrying values in the balance sheets, which may differ from their respective fair values. The fair values of outstanding borrowings, which are classified as Level 2, approximate their carrying values at March 31, 2021 and December 31, 2020, based on interest rates currently available for similar borrowings and were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9"/>
                <w:szCs w:val="19"/>
                <w:color w:val="auto"/>
              </w:rPr>
            </w:pPr>
          </w:p>
        </w:tc>
      </w:tr>
      <w:tr>
        <w:trPr>
          <w:trHeight w:val="243"/>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w w:val="92"/>
              </w:rPr>
              <w:t>Carrying Value</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0"/>
              </w:rPr>
              <w:t>Carrying Value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Fair Value</w:t>
            </w:r>
          </w:p>
        </w:tc>
      </w:tr>
      <w:tr>
        <w:trPr>
          <w:trHeight w:val="23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33,035</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33,035</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financial liabilities that are measured and recorded at estimated fair value on a recurring basis consist of our contingent consideration associated with our acquisition of Integrated Diagnostics, Inc. (Indi), and prior to the completion of our initial public offering in October 2020, the warrant liability, put option liability and contingent value rights granted to certain holders of our convertible preferred stock and debt instruments, which were accounted for as liabilities and remeasured through our statements of operations. The table below presents the reported fair values of contingent consideration, which is classified as Level 3 in the fair value hierarchy, as of the dates indicated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March 31, 2021</w:t>
            </w:r>
          </w:p>
        </w:tc>
        <w:tc>
          <w:tcPr>
            <w:tcW w:w="280" w:type="dxa"/>
            <w:vAlign w:val="bottom"/>
          </w:tcPr>
          <w:p>
            <w:pPr>
              <w:spacing w:after="0"/>
              <w:rPr>
                <w:sz w:val="20"/>
                <w:szCs w:val="20"/>
                <w:color w:val="auto"/>
              </w:rPr>
            </w:pP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7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30,915</w:t>
            </w: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3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contingent consideration for the three month period ending March 31, 2021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3 Rollforward</w:t>
            </w:r>
          </w:p>
        </w:tc>
        <w:tc>
          <w:tcPr>
            <w:tcW w:w="44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balances - January 1, 2021</w:t>
            </w:r>
          </w:p>
        </w:tc>
        <w:tc>
          <w:tcPr>
            <w:tcW w:w="4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in fair value</w:t>
            </w:r>
          </w:p>
        </w:tc>
        <w:tc>
          <w:tcPr>
            <w:tcW w:w="44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balances - March 31, 2021</w:t>
            </w:r>
          </w:p>
        </w:tc>
        <w:tc>
          <w:tcPr>
            <w:tcW w:w="44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420" w:type="dxa"/>
            <w:vAlign w:val="bottom"/>
            <w:vMerge w:val="restart"/>
          </w:tcPr>
          <w:p>
            <w:pPr>
              <w:jc w:val="right"/>
              <w:ind w:right="281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these financial liabilities for the three month period ending March 31, 2020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10"/>
          </w:tcPr>
          <w:p>
            <w:pPr>
              <w:jc w:val="right"/>
              <w:ind w:right="201"/>
              <w:spacing w:after="0"/>
              <w:rPr>
                <w:sz w:val="20"/>
                <w:szCs w:val="20"/>
                <w:color w:val="auto"/>
              </w:rPr>
            </w:pPr>
            <w:r>
              <w:rPr>
                <w:rFonts w:ascii="Arial" w:cs="Arial" w:eastAsia="Arial" w:hAnsi="Arial"/>
                <w:sz w:val="18"/>
                <w:szCs w:val="18"/>
                <w:b w:val="1"/>
                <w:bCs w:val="1"/>
                <w:color w:val="auto"/>
              </w:rPr>
              <w:t>For the Three Months Ended March 31, 2020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9"/>
              </w:rPr>
              <w:t>Put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Contingent</w:t>
            </w:r>
          </w:p>
        </w:tc>
        <w:tc>
          <w:tcPr>
            <w:tcW w:w="1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Warrant</w:t>
            </w:r>
          </w:p>
        </w:tc>
        <w:tc>
          <w:tcPr>
            <w:tcW w:w="2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Level 3 Rollforward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Consideration</w:t>
            </w: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Liability</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Liability</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8"/>
              </w:rPr>
              <w:t>Value Rights</w:t>
            </w:r>
          </w:p>
        </w:tc>
      </w:tr>
      <w:tr>
        <w:trPr>
          <w:trHeight w:val="223"/>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balances - January 1, 2020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Ending balances - March 31, 2020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acquisition of Indi in 2018, the Company recorded contingent consideration for amounts contingently payable to Indi's selling shareholders pursuant to the terms of the asset purchase agreement. The contingent consideration arrangement requires additional consideration to be paid by the Company to Indi upon attainment of a three-consecutive month gross margin target of $2.0 million within the seven-year period after the acquisition date. If the gross margin target is met, the Company is required to issue 2,520,108 shares of common stock. For the six months following the achievement of the gross margin target, Indi has the option to require the Company to redeem these common shares for $37.0 million in cash over eight equal quarterly installments. If Indi elects to not exercise its option, the Company has 12 months to repurchase the common stock in two equal and consecutive quarterly cash installments totaling $37.0 million.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unobservable inputs used in the measurement of fair value include the probability of successful achievement of the specified product gross margin targets, the period in which the targets are expected to be achieved, and discount rates which ranged from 12.2% to 13.5%. Significant increases or decreases in any of these inputs would result in a significantly higher or lower fair value measurement.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Contingent consideration is recorded in the balance sheets as long-term liabilities. The net change to contingent consideration during the three months ended March 31, 2021 and 2020 was an increase of $1.0 million and $1.0 million, respectively, and are recorded as operating expenses in the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Liability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put option liability was valued based on the calculated returns as a result of the various discounts included in the Company’s convertible notes payable and the related probability assessments of the various settlement scenarios. During the three months ended March 31, 2020, the Company recognized an addition to the put option liability of $2.0 million in connection with a favorable conversion rate granted to holders of issued convertible debt. The put option liability was settled upon the closing of the Company’s initial public offering in October 2020 and reclassified to additional paid-in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connection with entering into the 2018 Notes (see Note 6 – </w:t>
      </w:r>
      <w:r>
        <w:rPr>
          <w:rFonts w:ascii="Arial" w:cs="Arial" w:eastAsia="Arial" w:hAnsi="Arial"/>
          <w:sz w:val="17"/>
          <w:szCs w:val="17"/>
          <w:i w:val="1"/>
          <w:iCs w:val="1"/>
          <w:color w:val="auto"/>
        </w:rPr>
        <w:t>Debt</w:t>
      </w:r>
      <w:r>
        <w:rPr>
          <w:rFonts w:ascii="Arial" w:cs="Arial" w:eastAsia="Arial" w:hAnsi="Arial"/>
          <w:sz w:val="17"/>
          <w:szCs w:val="17"/>
          <w:color w:val="auto"/>
        </w:rPr>
        <w: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estimated fair value of the warrant on the issuance date of $0.3 million was recorded as a debt discount and as a preferred stock warrant liability. Through the effective date of the Company’s initial public offering in October 2020, the Series G warrants were remeasured to an estimate of fair value using a Black Scholes pricing model. As a result of the Company’s initial public offering, the preferred stock warrants were automatically converted to warrants to purchase 103,326 shares of common stock with a weighted average exercise price of $4.46 and were also transferred to additional paid-in capital. During the three months ended March 31, 2020, the Company recorded a decrease in the value of the warrant liability of $0.1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Value Rights</w:t>
      </w:r>
    </w:p>
    <w:p>
      <w:pPr>
        <w:spacing w:after="0" w:line="117"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w:t>
      </w:r>
      <w:r>
        <w:rPr>
          <w:rFonts w:ascii="MS PGothic" w:cs="MS PGothic" w:eastAsia="MS PGothic" w:hAnsi="MS PGothic"/>
          <w:sz w:val="17"/>
          <w:szCs w:val="17"/>
          <w:color w:val="auto"/>
        </w:rPr>
        <w:t>‑</w:t>
      </w:r>
      <w:r>
        <w:rPr>
          <w:rFonts w:ascii="Arial" w:cs="Arial" w:eastAsia="Arial" w:hAnsi="Arial"/>
          <w:sz w:val="17"/>
          <w:szCs w:val="17"/>
          <w:color w:val="auto"/>
        </w:rPr>
        <w:t xml:space="preserve">rata amount in the financing described above received a calculated number of contingent value rights (CVRs). In connection with the Series F financing, the Company issued 3,999 CVRs originally valued at $0.5 million. One CVR represents 0.00375% of the Company’s interest in the drug ficlatuzumab. The initial estimated value of the CVRs were recorded as a liability and as a reduction to the Series F proceeds. Upon receipt by the Company or a milestone, royalty, or any other type of payment from the Company’s ownership rights in the drug, the Company was required to make a cash payment to the CVR holders equal to 15% of net proceeds, as defined. In September 2020, the Company exercised its opt-out right with AVEO Oncology (AVEO) for the payment of 50% of development and regulatory costs for ficlatuzumab. As a result, the CVRs were settled effective December 2, 2020. See Note 13 –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for a discussion of the Co-Development Agreement with AVEO.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Non-Financial Assets and Liabilities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non-financial assets, which primarily consist of property and equipment, goodwill, and other intangible assets, are not required to be carried at fair value on a recurring basis and are reported at carrying value. There were no changes to the valuation methods during the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March 31, 2021</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6,292</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(6,982)</w:t>
            </w:r>
          </w:p>
        </w:tc>
        <w:tc>
          <w:tcPr>
            <w:tcW w:w="1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(6,724)</w:t>
            </w:r>
          </w:p>
        </w:tc>
      </w:tr>
      <w:tr>
        <w:trPr>
          <w:trHeight w:val="223"/>
        </w:trPr>
        <w:tc>
          <w:tcPr>
            <w:tcW w:w="7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$0.3 million and $0.2 million for the three months ended March 31, 2021 and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excluding goodwill,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1"/>
              </w:rPr>
              <w:t>December 31, 2020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5"/>
        </w:trPr>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6"/>
              </w:rPr>
              <w:t>Net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w:t>
            </w: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Patents</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1,525</w:t>
            </w:r>
          </w:p>
        </w:tc>
        <w:tc>
          <w:tcPr>
            <w:tcW w:w="50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1,474</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Purchased technology</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(5,164)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12,206</w:t>
            </w:r>
          </w:p>
        </w:tc>
        <w:tc>
          <w:tcPr>
            <w:tcW w:w="120" w:type="dxa"/>
            <w:vAlign w:val="bottom"/>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w w:val="99"/>
              </w:rPr>
              <w:t>Intangible assets not subject to amortization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r>
      <w:tr>
        <w:trPr>
          <w:trHeight w:val="223"/>
        </w:trPr>
        <w:tc>
          <w:tcPr>
            <w:tcW w:w="350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18,448</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8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Amortization expense related to definite-lived intangible assets was $0.5 million and $0.5 million for the three months ended March 31, 2021 and 2020, respectively. Future estimated amortization expense of intangible assets is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ind w:left="8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34"/>
        </w:trPr>
        <w:tc>
          <w:tcPr>
            <w:tcW w:w="59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2022</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2024</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w:t>
            </w:r>
          </w:p>
        </w:tc>
        <w:tc>
          <w:tcPr>
            <w:tcW w:w="16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March 31, 2021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related accruals</w:t>
            </w:r>
          </w:p>
        </w:tc>
        <w:tc>
          <w:tcPr>
            <w:tcW w:w="16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1,831</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Total accrued liabilities</w:t>
            </w:r>
          </w:p>
        </w:tc>
        <w:tc>
          <w:tcPr>
            <w:tcW w:w="16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7,262</w:t>
            </w:r>
          </w:p>
        </w:tc>
        <w:tc>
          <w:tcPr>
            <w:tcW w:w="28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long-term debt consists of notes payable associated with our 2021 Term Loan, 2018 Notes and Paycheck Protection Program, each of which is described in further detail below. Long-term notes payable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March 31, 2021</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2018 Notes</w:t>
            </w:r>
          </w:p>
        </w:tc>
        <w:tc>
          <w:tcPr>
            <w:tcW w:w="12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24,972</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Paycheck Protection Program</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Unamortized debt discount and issuance costs</w:t>
            </w: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r>
      <w:tr>
        <w:trPr>
          <w:trHeight w:val="223"/>
        </w:trPr>
        <w:tc>
          <w:tcPr>
            <w:tcW w:w="75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33,035</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notes payable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30,328</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2021 (Effective Date), the Company entered into a Loan and Security Agreement (the 2021 Term Loan) by and between Silicon Valley Bank, a California corporation (SVB or Lender) and the Company, as borrower, whereby subject to the terms and conditions of the 2021 Term Loan, SVB advanced to the Company an original principal amount of $30 million.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2021 Term Loan provides for an “interest-only” period from the Effective Date through February 28, 2023, with interest due and payable monthly on the first calendar day of each month, provided however, if the Company achieves a revenue milestone of at least $65 million on a trailing twelve-month basis as of the end of any calendar month ending on or prior to September 30, 2022, the interest-only period shall automatically be extended through February 28, 2024. Beginning on the first calendar day of the month following the end of the interest-only period, the 2021 Term Loan shall be payable in</w:t>
      </w:r>
    </w:p>
    <w:p>
      <w:pPr>
        <w:spacing w:after="0" w:line="1" w:lineRule="exact"/>
        <w:rPr>
          <w:sz w:val="20"/>
          <w:szCs w:val="20"/>
          <w:color w:val="auto"/>
        </w:rPr>
      </w:pPr>
    </w:p>
    <w:p>
      <w:pPr>
        <w:jc w:val="both"/>
        <w:ind w:firstLine="8"/>
        <w:spacing w:after="0" w:line="253" w:lineRule="auto"/>
        <w:tabs>
          <w:tab w:leader="none" w:pos="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consecutive equal installments of principal through March 1, 2026, plus (ii) monthly payments of accrued interest. The principal amount outstanding under the 2021 Term Loan shall accrue interest at a floating per annum rate equal to the greater of (i) 2.00% above the prime rate, or (ii) 5.25%, which interest, in each case, shall be payable monthly. Changes to the interest rate applicable to the 2021 Loan based on changes to the prime rate shall be effective on the effective date of any change to the prime rate.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final payment, due at maturity on March 1, 2026, shall include all outstanding principal and accrued and unpaid interest, lender fees and expenses, of which the majority will include a final payment of $2.4 million, and all other sums, if any, that shall have become due and payable hereunder with respect to the 2021 Term Loan. The $2.4 million final payment will be amortized as interest expense over the term of the loan. The Company has the option to prepay, prior to maturity, the total outstanding principal amount plus accrued and unpaid interest, subject to a prepayment penalty of 3% of the principal amount if paid prior to the first anniversary of the 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granted the Lender a security interest in substantially all of the Company’s assets. The 2021 Term Loan requires the Company to comply with a minimum liquidity ratio covenant (as defined) by the 2021 Term Loan of not less than 0.95 to 1.00, and has a trailing six month rolling minimum revenue requirement of not less than 70% of the Company’s projected revenue for each such quarter. In addition, the 2021 Term Loan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Failure to comply with the covenants and loan requirements may result in an event of default. 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Notes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the Company issued long-term debt of $23.0 million to Innovatus Life Sciences Lending Fund (Innovatus or Lender) (the 2018 Notes). Innovatus is also a holder of the Company’s common stock.</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issuance, the Company paid a facility fee of $0.2 million and issued a warrant to Innovatus, with an initial estimated fair value of $0.3 million, for the purchase of 613,333 shares of Series G preferred stock. The facility fee and the estimated warrant fair value were recorded as debt discount and is amortized to interest expense over the term of the 2018 Notes. The 2018 Notes bore annual interest at 10%, of which 7.5% was payable in cash, with the remaining 2.5% added to principal through December 31, 2020. Total interest added to principal was $1.7 million as of March 31, 2021 and December 31, 2020.</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19, 2021, in connection with entering into the 2021 Term Loan agreement with SVB, the Company repaid all outstanding principal, accrued and unpaid interest, and prepayment fees in the amount of $25.9 million due under the 2018 Notes and contemporaneously terminated the related Loan and Security Agreement, dated as of February 23, 2018, as amended, between Innovatus and the Company. As a result of the extinguishment of the 2018 Notes, the Company recognized a loss on debt extinguishment of $0.7 million during the three months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entered into a loan pursuant to the Paycheck Protection Program under the CARES Act, as administered by the U.S. Small Business Administration (the SBA). The loan, in the principal amount of $3.1 million (the PPP Loan), was disbursed by JPMorgan Chase Bank (JPM) pursuant to a Paycheck Protection Program Promissory Note and Agreement (the Note and Agreement).</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PPP Loan matures on the two-year anniversary of the funding date, April 2022, and bears interest at a fixed rate of 1.00% per annum. Monthly principal and interest payments, less the amount of any potential forgiveness (as discussed below), will commence in September 2021.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5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All or a portion of the PPP Loan may be forgiven by the SBA and JPM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The Company currently intends to repay the</w:t>
      </w:r>
    </w:p>
    <w:p>
      <w:pPr>
        <w:spacing w:after="0" w:line="2" w:lineRule="exact"/>
        <w:rPr>
          <w:sz w:val="20"/>
          <w:szCs w:val="20"/>
          <w:color w:val="auto"/>
        </w:rPr>
      </w:pPr>
    </w:p>
    <w:p>
      <w:pPr>
        <w:jc w:val="both"/>
        <w:ind w:firstLine="8"/>
        <w:spacing w:after="0" w:line="277" w:lineRule="auto"/>
        <w:tabs>
          <w:tab w:leader="none" w:pos="361"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loan in accordance with the underlying terms and conditions. To the extent we elect to seek forgiveness, the Company cannot assure that the PPP Loan will be forgiven, in whole or in part. If the loan is forgiven in part or in whole, and legal release is received, the Company will reduce the liability by the amount forgiven and record a gain on extinguishment in the statements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9180" w:type="dxa"/>
            <w:vAlign w:val="bottom"/>
            <w:gridSpan w:val="2"/>
          </w:tcPr>
          <w:p>
            <w:pPr>
              <w:ind w:left="4960"/>
              <w:spacing w:after="0"/>
              <w:rPr>
                <w:sz w:val="20"/>
                <w:szCs w:val="20"/>
                <w:color w:val="auto"/>
              </w:rPr>
            </w:pPr>
            <w:r>
              <w:rPr>
                <w:rFonts w:ascii="Arial" w:cs="Arial" w:eastAsia="Arial" w:hAnsi="Arial"/>
                <w:sz w:val="18"/>
                <w:szCs w:val="18"/>
                <w:b w:val="1"/>
                <w:bCs w:val="1"/>
                <w:color w:val="auto"/>
              </w:rPr>
              <w:t>BIODESIX, INC.</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9180" w:type="dxa"/>
            <w:vAlign w:val="bottom"/>
            <w:gridSpan w:val="2"/>
          </w:tcPr>
          <w:p>
            <w:pPr>
              <w:ind w:left="4040"/>
              <w:spacing w:after="0"/>
              <w:rPr>
                <w:sz w:val="20"/>
                <w:szCs w:val="20"/>
                <w:color w:val="auto"/>
              </w:rPr>
            </w:pPr>
            <w:r>
              <w:rPr>
                <w:rFonts w:ascii="Arial" w:cs="Arial" w:eastAsia="Arial" w:hAnsi="Arial"/>
                <w:sz w:val="18"/>
                <w:szCs w:val="18"/>
                <w:b w:val="1"/>
                <w:bCs w:val="1"/>
                <w:color w:val="auto"/>
              </w:rPr>
              <w:t>Notes to Condensed Financial Statements</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9180" w:type="dxa"/>
            <w:vAlign w:val="bottom"/>
            <w:gridSpan w:val="2"/>
          </w:tcPr>
          <w:p>
            <w:pPr>
              <w:spacing w:after="0"/>
              <w:rPr>
                <w:sz w:val="20"/>
                <w:szCs w:val="20"/>
                <w:color w:val="auto"/>
              </w:rPr>
            </w:pPr>
            <w:r>
              <w:rPr>
                <w:rFonts w:ascii="Arial" w:cs="Arial" w:eastAsia="Arial" w:hAnsi="Arial"/>
                <w:sz w:val="18"/>
                <w:szCs w:val="18"/>
                <w:color w:val="auto"/>
                <w:w w:val="94"/>
              </w:rPr>
              <w:t>Scheduled principal repayments (maturities) of long-term obligations as of March 31, 2021 were as follows (in thousands):</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8"/>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March 31, 2021</w:t>
            </w:r>
          </w:p>
        </w:tc>
      </w:tr>
      <w:tr>
        <w:trPr>
          <w:trHeight w:val="223"/>
        </w:trPr>
        <w:tc>
          <w:tcPr>
            <w:tcW w:w="8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120" w:type="dxa"/>
            <w:vAlign w:val="bottom"/>
            <w:shd w:val="clear" w:color="auto" w:fill="CFF0FC"/>
          </w:tcPr>
          <w:p>
            <w:pPr>
              <w:spacing w:after="0"/>
              <w:rPr>
                <w:sz w:val="19"/>
                <w:szCs w:val="19"/>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r>
        <w:trPr>
          <w:trHeight w:val="229"/>
        </w:trPr>
        <w:tc>
          <w:tcPr>
            <w:tcW w:w="89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19"/>
                <w:szCs w:val="19"/>
                <w:color w:val="auto"/>
              </w:rPr>
            </w:pPr>
          </w:p>
        </w:tc>
      </w:tr>
      <w:tr>
        <w:trPr>
          <w:trHeight w:val="229"/>
        </w:trPr>
        <w:tc>
          <w:tcPr>
            <w:tcW w:w="9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FF0FC"/>
            </w:tcBorders>
          </w:tcPr>
          <w:p>
            <w:pPr>
              <w:spacing w:after="0"/>
              <w:rPr>
                <w:sz w:val="19"/>
                <w:szCs w:val="19"/>
                <w:color w:val="auto"/>
              </w:rPr>
            </w:pPr>
          </w:p>
        </w:tc>
      </w:tr>
      <w:tr>
        <w:trPr>
          <w:trHeight w:val="223"/>
        </w:trPr>
        <w:tc>
          <w:tcPr>
            <w:tcW w:w="89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was $0.6 million and $0.1 million for the three months ended March 31,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Stock</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its initial public offering in October 2020, the Company had issued convertible preferred stock from time to time to fund its operations and to make acquisitions. The Company’s convertible preferred stock was reported as temporary equity in the Company’s balance sheet because the preferred shareholders held a majority of the Company’s Board of Directors seats and as a result could have caused certain events to occur outside of the Company’s control, with the result the Company could have been obligated to redeem the convertible preferred stock.</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Immediately prior to the Company’s initial public offering and as of March 31, 2020, the Company had issued 118,766,273 convertible preferred shares. On October 27, 2020, upon closing of the Company’s initial public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automatically converted into 0.1684664 share of common stock; and each share of Series B-1 Preferred Stock automatically converted into 0.196 shares of common stock. In the aggregate, all series of preferred stock were converted into 20,090,745 shares of common stock. Subsequent to the Company’s initial public offering, there are no longer any series of convertible preferred stock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Warrants to Purchase Convertible Preferred Stock</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issued warrants to purchase shares of convertible preferred stock in conjunction with the sale of certain of the convertible preferred shares and issuance of debt. At March 31, 2020 and through the closing of the Company’s initial public offering in October 2020, the preferred warrants were classified as liabilities with estimated fair value remeasured at each reporting date reported within in the accompanying statements of operations.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activity for convertible preferred stock warrants outstanding as of March 31, 2020 (in thousands, except weighted average exercise price):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Series E</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ind w:left="820"/>
              <w:spacing w:after="0"/>
              <w:rPr>
                <w:sz w:val="20"/>
                <w:szCs w:val="20"/>
                <w:color w:val="auto"/>
              </w:rPr>
            </w:pPr>
            <w:r>
              <w:rPr>
                <w:rFonts w:ascii="Arial" w:cs="Arial" w:eastAsia="Arial" w:hAnsi="Arial"/>
                <w:sz w:val="18"/>
                <w:szCs w:val="18"/>
                <w:b w:val="1"/>
                <w:bCs w:val="1"/>
                <w:color w:val="auto"/>
              </w:rPr>
              <w:t xml:space="preserve">Series G </w:t>
            </w:r>
            <w:r>
              <w:rPr>
                <w:rFonts w:ascii="Arial" w:cs="Arial" w:eastAsia="Arial" w:hAnsi="Arial"/>
                <w:sz w:val="15"/>
                <w:szCs w:val="15"/>
                <w:b w:val="1"/>
                <w:bCs w:val="1"/>
                <w:color w:val="auto"/>
              </w:rPr>
              <w:t>(1)</w:t>
            </w:r>
          </w:p>
        </w:tc>
      </w:tr>
      <w:tr>
        <w:trPr>
          <w:trHeight w:val="205"/>
        </w:trPr>
        <w:tc>
          <w:tcPr>
            <w:tcW w:w="58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584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price</w:t>
            </w:r>
          </w:p>
        </w:tc>
      </w:tr>
      <w:tr>
        <w:trPr>
          <w:trHeight w:val="223"/>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FF0FC"/>
              <w:bottom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March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warrants to purchase Series E convertible preferred stock were not exercised and expired during the three months ended June 2020.</w:t>
      </w:r>
    </w:p>
    <w:p>
      <w:pPr>
        <w:spacing w:after="0" w:line="225" w:lineRule="exact"/>
        <w:rPr>
          <w:sz w:val="20"/>
          <w:szCs w:val="20"/>
          <w:color w:val="auto"/>
        </w:rPr>
      </w:pPr>
    </w:p>
    <w:p>
      <w:pPr>
        <w:jc w:val="both"/>
        <w:ind w:firstLine="8"/>
        <w:spacing w:after="0" w:line="263" w:lineRule="auto"/>
        <w:tabs>
          <w:tab w:leader="none" w:pos="230" w:val="left"/>
        </w:tabs>
        <w:numPr>
          <w:ilvl w:val="0"/>
          <w:numId w:val="12"/>
        </w:numPr>
        <w:rPr>
          <w:rFonts w:ascii="Arial" w:cs="Arial" w:eastAsia="Arial" w:hAnsi="Arial"/>
          <w:sz w:val="15"/>
          <w:szCs w:val="15"/>
          <w:color w:val="auto"/>
        </w:rPr>
      </w:pPr>
      <w:r>
        <w:rPr>
          <w:rFonts w:ascii="Arial" w:cs="Arial" w:eastAsia="Arial" w:hAnsi="Arial"/>
          <w:sz w:val="18"/>
          <w:szCs w:val="18"/>
          <w:color w:val="auto"/>
        </w:rPr>
        <w:t>On October 27, 2020, all convertible preferred stock converted to common stock at the completion of our initial public offering, and as a consequence, the warrants to purchase Series G convertible preferred stock were converted to 103,326 warrants to purchase common stock, which have an expiration date of February 23, 2028.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&amp; Accounts Receivable Credit Concentration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revenue is generated from (i) diagnostic tests and (ii) assay development and testing services. 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Revenues consisted of the following (in thousands):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57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Three Months ended March 31,</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Diagnostic tests</w:t>
            </w: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27,195</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Services</w:t>
            </w:r>
          </w:p>
        </w:tc>
        <w:tc>
          <w:tcPr>
            <w:tcW w:w="1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3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28,866</w:t>
            </w:r>
          </w:p>
        </w:tc>
        <w:tc>
          <w:tcPr>
            <w:tcW w:w="3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consists of cash payments from customers received in advance of delivery. As test results are delivered, the Company recognizes the deferred revenue in ‘Revenues’ in the statements of operations. Of the $3.5 million in deferred revenue recorded at December 31, 2020, $1.2 million was recognized in revenues, and we received additional advance deposits of $0.1 million, during the three months ended March 31, 2021. The deferred revenue of $2.4 million at March 31, 2021 is expected to be recognized in revenues during 2021 as test results are delivered and services are performed.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customers in excess of 10% of total revenue, and their related revenue as a percentage of total revenue were as follows:</w:t>
      </w:r>
    </w:p>
    <w:p>
      <w:pPr>
        <w:spacing w:after="0" w:line="1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Borders>
              <w:bottom w:val="single" w:sz="8" w:color="CFF0FC"/>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CFF0FC"/>
            </w:tcBorders>
          </w:tcPr>
          <w:p>
            <w:pPr>
              <w:spacing w:after="0"/>
              <w:rPr>
                <w:sz w:val="19"/>
                <w:szCs w:val="19"/>
                <w:color w:val="auto"/>
              </w:rPr>
            </w:pPr>
          </w:p>
        </w:tc>
        <w:tc>
          <w:tcPr>
            <w:tcW w:w="25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36"/>
        </w:trPr>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 Big Ten Conference</w:t>
            </w: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58%</w:t>
            </w:r>
          </w:p>
        </w:tc>
        <w:tc>
          <w:tcPr>
            <w:tcW w:w="2680" w:type="dxa"/>
            <w:vAlign w:val="bottom"/>
            <w:gridSpan w:val="2"/>
            <w:shd w:val="clear" w:color="auto" w:fill="CFF0FC"/>
          </w:tcPr>
          <w:p>
            <w:pPr>
              <w:ind w:left="232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Pfizer, Inc.</w:t>
            </w:r>
          </w:p>
        </w:tc>
        <w:tc>
          <w:tcPr>
            <w:tcW w:w="1860" w:type="dxa"/>
            <w:vAlign w:val="bottom"/>
          </w:tcPr>
          <w:p>
            <w:pPr>
              <w:spacing w:after="0"/>
              <w:rPr>
                <w:sz w:val="21"/>
                <w:szCs w:val="21"/>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21"/>
                <w:szCs w:val="21"/>
                <w:color w:val="auto"/>
              </w:rPr>
            </w:pPr>
          </w:p>
        </w:tc>
        <w:tc>
          <w:tcPr>
            <w:tcW w:w="2680" w:type="dxa"/>
            <w:vAlign w:val="bottom"/>
            <w:gridSpan w:val="2"/>
          </w:tcPr>
          <w:p>
            <w:pPr>
              <w:ind w:left="2320"/>
              <w:spacing w:after="0"/>
              <w:rPr>
                <w:sz w:val="20"/>
                <w:szCs w:val="20"/>
                <w:color w:val="auto"/>
              </w:rPr>
            </w:pPr>
            <w:r>
              <w:rPr>
                <w:rFonts w:ascii="Arial" w:cs="Arial" w:eastAsia="Arial" w:hAnsi="Arial"/>
                <w:sz w:val="18"/>
                <w:szCs w:val="18"/>
                <w:color w:val="auto"/>
                <w:w w:val="94"/>
              </w:rPr>
              <w:t>16%</w:t>
            </w:r>
          </w:p>
        </w:tc>
      </w:tr>
      <w:tr>
        <w:trPr>
          <w:trHeight w:val="20"/>
        </w:trPr>
        <w:tc>
          <w:tcPr>
            <w:tcW w:w="562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7"/>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Percent of total revenue</w:t>
            </w:r>
          </w:p>
        </w:tc>
        <w:tc>
          <w:tcPr>
            <w:tcW w:w="18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58%</w:t>
            </w:r>
          </w:p>
        </w:tc>
        <w:tc>
          <w:tcPr>
            <w:tcW w:w="2680" w:type="dxa"/>
            <w:vAlign w:val="bottom"/>
            <w:gridSpan w:val="2"/>
            <w:shd w:val="clear" w:color="auto" w:fill="CFF0FC"/>
          </w:tcPr>
          <w:p>
            <w:pPr>
              <w:ind w:left="2320"/>
              <w:spacing w:after="0"/>
              <w:rPr>
                <w:sz w:val="20"/>
                <w:szCs w:val="20"/>
                <w:color w:val="auto"/>
              </w:rPr>
            </w:pPr>
            <w:r>
              <w:rPr>
                <w:rFonts w:ascii="Arial" w:cs="Arial" w:eastAsia="Arial" w:hAnsi="Arial"/>
                <w:sz w:val="18"/>
                <w:szCs w:val="18"/>
                <w:color w:val="auto"/>
                <w:w w:val="94"/>
              </w:rPr>
              <w:t>16%</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above table, we collect reimbursement on behalf of customers covered by Medicare, which accounted for 7% and 41% of the Company’s total revenue for the three months ended March 31, 2021 and 2020, respectively.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credit risk from its accounts receivable related to services provided to its customers. The Company does not perform evaluations of customers' financial condition and does not require collateral. The Company’s third-party payors and other customers in excess of 10% of accounts receivable, and their related accounts receivable as a percentage of total accounts receivable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As of</w:t>
            </w:r>
          </w:p>
        </w:tc>
        <w:tc>
          <w:tcPr>
            <w:tcW w:w="2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spacing w:after="0"/>
              <w:rPr>
                <w:sz w:val="19"/>
                <w:szCs w:val="19"/>
                <w:color w:val="auto"/>
              </w:rPr>
            </w:pPr>
          </w:p>
        </w:tc>
        <w:tc>
          <w:tcPr>
            <w:tcW w:w="20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March 31, 2021</w:t>
            </w: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5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The Big Ten Conference</w:t>
            </w:r>
          </w:p>
        </w:tc>
        <w:tc>
          <w:tcPr>
            <w:tcW w:w="20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66%</w:t>
            </w:r>
          </w:p>
        </w:tc>
        <w:tc>
          <w:tcPr>
            <w:tcW w:w="2680" w:type="dxa"/>
            <w:vAlign w:val="bottom"/>
            <w:gridSpan w:val="2"/>
            <w:shd w:val="clear" w:color="auto" w:fill="CFF0FC"/>
          </w:tcPr>
          <w:p>
            <w:pPr>
              <w:ind w:left="232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Centura Healthcare</w:t>
            </w: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2680" w:type="dxa"/>
            <w:vAlign w:val="bottom"/>
            <w:gridSpan w:val="2"/>
          </w:tcPr>
          <w:p>
            <w:pPr>
              <w:ind w:left="232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Purdue University</w:t>
            </w:r>
          </w:p>
        </w:tc>
        <w:tc>
          <w:tcPr>
            <w:tcW w:w="20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10%</w:t>
            </w:r>
          </w:p>
        </w:tc>
        <w:tc>
          <w:tcPr>
            <w:tcW w:w="2680" w:type="dxa"/>
            <w:vAlign w:val="bottom"/>
            <w:gridSpan w:val="2"/>
            <w:shd w:val="clear" w:color="auto" w:fill="CFF0FC"/>
          </w:tcPr>
          <w:p>
            <w:pPr>
              <w:ind w:left="2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Percent of total accounts receivable</w:t>
            </w:r>
          </w:p>
        </w:tc>
        <w:tc>
          <w:tcPr>
            <w:tcW w:w="2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83%</w:t>
            </w:r>
          </w:p>
        </w:tc>
        <w:tc>
          <w:tcPr>
            <w:tcW w:w="2680" w:type="dxa"/>
            <w:vAlign w:val="bottom"/>
            <w:gridSpan w:val="2"/>
          </w:tcPr>
          <w:p>
            <w:pPr>
              <w:ind w:left="2320"/>
              <w:spacing w:after="0"/>
              <w:rPr>
                <w:sz w:val="20"/>
                <w:szCs w:val="20"/>
                <w:color w:val="auto"/>
              </w:rPr>
            </w:pPr>
            <w:r>
              <w:rPr>
                <w:rFonts w:ascii="Arial" w:cs="Arial" w:eastAsia="Arial" w:hAnsi="Arial"/>
                <w:sz w:val="18"/>
                <w:szCs w:val="18"/>
                <w:color w:val="auto"/>
                <w:w w:val="94"/>
              </w:rPr>
              <w:t>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80" w:type="dxa"/>
            <w:vAlign w:val="bottom"/>
            <w:gridSpan w:val="2"/>
          </w:tcPr>
          <w:p>
            <w:pPr>
              <w:ind w:left="554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share-based compensation awards are issued under the 2020 Equity Incentive Plan (2020 Plan) and the predecessor 2016 Equity Incentive Plan (2016 Plan) and 2006 Equity Incentive Plan (2006 Plan). Any awards that expire or are forfeited under the 2016 Plan or 2006 Plan become available for issuance under the 2020 Plan. As of March 31, 2021, 1,112,052 shares of common stock remained available for future issuance under the 2020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Pre-tax share-based compensation expense reported in the Company’s statements of operations was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0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5"/>
                <w:szCs w:val="15"/>
                <w:b w:val="1"/>
                <w:bCs w:val="1"/>
                <w:color w:val="auto"/>
              </w:rPr>
              <w:t>(1)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jc w:val="right"/>
              <w:ind w:right="109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1,484</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FF0FC"/>
          </w:tcPr>
          <w:p>
            <w:pPr>
              <w:jc w:val="right"/>
              <w:ind w:right="109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ind w:right="12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the reversal of performance condition option expense netted against 2020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option activity during the three months ended March 31, 2021, excluding the Bonus Option Program described below, was (in thousands, except weighted average exercise price and weighted average contractual life):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Life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Forfeited/canceled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March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 March 31,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Restricted Stock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there were 79,104 restricted stock units outstanding, with a weighted average grant date fair value of $6.83 per share.</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remaining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options and RSUs was approximately $8.1 million as of March 31, 2021, and is expected to be amortized to expense over the next 4.8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2021, there were 424,145 options outstanding under the Bonus-to-Options Program (Bonus Option Program). These options are fully-vested and have a weighted average exercise price of $17.33 per share and an intrinsic value of approximately $1.3 million as of March 31, 2021. During the three months ended March 31, 2021, 265,615 options with a weighted average exercise price of $20.67 and a remaining weighted average contractual life of 9.9 years were granted, and the Company received $65,440 of proceeds upon the exercise of 14,699 options. The Company accrued $0.5 million during the three month period ended March 31, 2021 related to the estimate of the 2021 Bonus Option Program. Options granted, if any, pertaining to the performance of the Bonus Option Program are typically approved and granted in first quarter of the year following completion of the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total of 338,106 shares of our common stock have been reserved for issuance under the Employee Stock Purchase Plan (ESPP). The initial offering period began January 1, 2021 and continues through August 31, 2021. As of March 31, 2021, no shares have been issued under the ESPP.</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the Company’s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or losses of the Company. The number of common shares issuable upon assumed conversion of convertible debt was based on the Company’s estimated common stock price as of March 31, 2020, as determined by the Company’s Board of Directors with assistance from a valuation firm.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three months ended March 31, 2021 and 2020 were (in thousands,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35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(6,961)</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(9,705)</w:t>
            </w:r>
          </w:p>
        </w:tc>
      </w:tr>
      <w:tr>
        <w:trPr>
          <w:trHeight w:val="229"/>
        </w:trPr>
        <w:tc>
          <w:tcPr>
            <w:tcW w:w="69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Denominator</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shares outstanding used</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computing net loss per share, basic and diluted</w:t>
            </w:r>
          </w:p>
        </w:tc>
        <w:tc>
          <w:tcPr>
            <w:tcW w:w="13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28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0"/>
                <w:szCs w:val="20"/>
                <w:color w:val="auto"/>
              </w:rPr>
            </w:pPr>
          </w:p>
        </w:tc>
      </w:tr>
      <w:tr>
        <w:trPr>
          <w:trHeight w:val="223"/>
        </w:trPr>
        <w:tc>
          <w:tcPr>
            <w:tcW w:w="6920" w:type="dxa"/>
            <w:vAlign w:val="bottom"/>
          </w:tcPr>
          <w:p>
            <w:pPr>
              <w:ind w:left="260"/>
              <w:spacing w:after="0"/>
              <w:rPr>
                <w:sz w:val="20"/>
                <w:szCs w:val="20"/>
                <w:color w:val="auto"/>
              </w:rPr>
            </w:pPr>
            <w:r>
              <w:rPr>
                <w:rFonts w:ascii="Arial" w:cs="Arial" w:eastAsia="Arial" w:hAnsi="Arial"/>
                <w:sz w:val="18"/>
                <w:szCs w:val="18"/>
                <w:color w:val="auto"/>
              </w:rPr>
              <w:t>Net loss per share, basic and diluted</w:t>
            </w:r>
          </w:p>
        </w:tc>
        <w:tc>
          <w:tcPr>
            <w:tcW w:w="13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8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9"/>
                <w:szCs w:val="19"/>
                <w:color w:val="auto"/>
              </w:rPr>
            </w:pPr>
          </w:p>
        </w:tc>
      </w:tr>
      <w:tr>
        <w:trPr>
          <w:trHeight w:val="229"/>
        </w:trPr>
        <w:tc>
          <w:tcPr>
            <w:tcW w:w="830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119,257</w:t>
            </w:r>
          </w:p>
        </w:tc>
        <w:tc>
          <w:tcPr>
            <w:tcW w:w="120" w:type="dxa"/>
            <w:vAlign w:val="bottom"/>
          </w:tcPr>
          <w:p>
            <w:pPr>
              <w:spacing w:after="0"/>
              <w:rPr>
                <w:sz w:val="19"/>
                <w:szCs w:val="19"/>
                <w:color w:val="auto"/>
              </w:rPr>
            </w:pPr>
          </w:p>
        </w:tc>
      </w:tr>
      <w:tr>
        <w:trPr>
          <w:trHeight w:val="230"/>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19"/>
                <w:szCs w:val="19"/>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r>
      <w:tr>
        <w:trPr>
          <w:trHeight w:val="229"/>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34,431</w:t>
            </w:r>
          </w:p>
        </w:tc>
        <w:tc>
          <w:tcPr>
            <w:tcW w:w="120" w:type="dxa"/>
            <w:vAlign w:val="bottom"/>
            <w:shd w:val="clear" w:color="auto" w:fill="CCEEFF"/>
          </w:tcPr>
          <w:p>
            <w:pPr>
              <w:spacing w:after="0"/>
              <w:rPr>
                <w:sz w:val="19"/>
                <w:szCs w:val="19"/>
                <w:color w:val="auto"/>
              </w:rPr>
            </w:pPr>
          </w:p>
        </w:tc>
      </w:tr>
      <w:tr>
        <w:trPr>
          <w:trHeight w:val="223"/>
        </w:trPr>
        <w:tc>
          <w:tcPr>
            <w:tcW w:w="6920" w:type="dxa"/>
            <w:vAlign w:val="bottom"/>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8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156,807</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provision for income taxes has been recorded. There was no cash paid for income taxes during the three months ended March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Company leases facilities under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leases. Rent expense was $0.3 million and $0.6 million for the three months ended March 31, 2021 and 2020,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operating lease obligations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5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2022</w:t>
            </w: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240" w:type="dxa"/>
            <w:vAlign w:val="bottom"/>
            <w:vMerge w:val="restart"/>
          </w:tcPr>
          <w:p>
            <w:pPr>
              <w:jc w:val="right"/>
              <w:ind w:right="32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39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 small cell lung cancer (NSCLC). Under the terms of the agreement, AVEO will conduct a proof of concept (POC) clinical study of ficlatuzumab for NSCLC in which BDX004 will be used to select clinical trial subjects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2020, the Company exercised its opt-out right with AVEO for the payment of 50% of development and regulatory costs for ficlatuzumab effective December 2, 2020. The Company had $0.3 million in remaining obligations related to the AVEO agreement as of March 31, 2021. Following the effective date, the Company is entitled to a 10% royalty of net sales of ficlatuzumab and 25% of license income generated from the licensing of ficlatuzumab from AVEO.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this agreement for the three months ended March 31, 2021 and 2020 were zero and $0.6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Royalty expense under the Bio-Rad License for the three months ended March 31, 2021 and 2020 were not significant.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Share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acquisition of the assets of Oncimmune USA, the Company entered into several agreements to govern the relationship between the parties. The Company agreed to a revenue share payment related to an acquired diagnostic test of 8% of recognized revenue for non-screening tests up to an annual minimum volume and 5% thereafter, with an escalating minimum through the first four years of sales. Revenue share expenses of $0.2 million and $74,400 were incurred for the three months ended March 31,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Biodesix, Inc. is referred to throughout this Quarterly Report on Form -10-Q for the period ended March 31, 2021 (Form 10-Q) as “we”, “us”, “our” or the “Company”.</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year ended December 31, 2020 (Form 10-K) and the Condensed Financial Statements as of March 31, 2021 and 2020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in this Quarterly Report on Form 10-Q and those discussed in our other filings with the Securities and Exchange Commission (SEC), including the risks described in Item 1A “Risk Factors” of Part I of our Annual Report on Form 10-K for the year ended December 31, 2020, which was filed on March 16, 2021.</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MD&amp;A discussion is provided to supplement the Condensed Financial Statements as of March 31, 2021 and 2020 and for the three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for the three months ended March 31, 2021 and 2020 has been derived from our unaudited condensed financial statements included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AI-based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150,000 samples and data in our biobank, including tumor profiles and immune profiles, which are used for both internal and external research and development initiatives.</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commercialized six diagnostic tests which are currently available for use by physicians. Our Nodify XL2 and Nodify CDT tests, marketed as part of the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the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now have a less than 36-hour average turnaround time, down from the previous 72-hour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Then U.S. Health and Human Services Secretary Azar declared a public health emergency for COVID-19 in February 2020 which justified the authorization of emergency use of diagnostic tests for the detection and/or diagnosis of COVID-19. The Bio-Rad SARS-CoV-2 ddPCR test and the Platelia SARS-CoV-2 Total Ab</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7"/>
          <w:szCs w:val="17"/>
          <w:color w:val="auto"/>
        </w:rPr>
        <w:t>test have been granted FDA EUA pursuant to the current emergency declaration. The Bio-Rad SARS-CoV-2 ddPCR test was FDA EUA authorized on May 1, 2020, authorizing performance of the test in laboratories certified under Clinical Laboratory Improvement Amendments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tests are utilized by healthcare providers, including hospitals and nursing homes, and are also offered to businesses and educational systems to assist in their back-to-work or back-to-school strategies. We have announced multiple partnerships for COVID-19 testing, and maintain an agreement with the State of Colorado to be one of the diagnostic companies to support widespread COVID-19 testing for the State. Additionally, we have overseen and managed onsite testing and validating testing for the Big Ten Conference athletic competitions.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accredited, high-complexity clinical laboratories in Boulder, Colorado and De Soto, Kansas.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our inception, we have performed over 450,000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funded our operations to date principally from net proceeds from an initial public offering of our common stock, the sale of convertible preferred stock, revenue from diagnostic testing and services, and the incurrence of indebtedness. We had cash and cash equivalents of $55.3 million and $62.1 million as of March 31, 2021 and December 31, 2020,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jc w:val="both"/>
        <w:ind w:left="880" w:hanging="373"/>
        <w:spacing w:after="0" w:line="270"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Testing volume and customer mix. </w:t>
      </w:r>
      <w:r>
        <w:rPr>
          <w:rFonts w:ascii="Arial" w:cs="Arial" w:eastAsia="Arial" w:hAnsi="Arial"/>
          <w:sz w:val="17"/>
          <w:szCs w:val="17"/>
          <w:color w:val="auto"/>
        </w:rPr>
        <w:t>Our revenues and costs are affected by the volume of testing and mix of customers from period to period.</w:t>
      </w:r>
      <w:r>
        <w:rPr>
          <w:rFonts w:ascii="Arial" w:cs="Arial" w:eastAsia="Arial" w:hAnsi="Arial"/>
          <w:sz w:val="17"/>
          <w:szCs w:val="17"/>
          <w:b w:val="1"/>
          <w:bCs w:val="1"/>
          <w:color w:val="auto"/>
        </w:rPr>
        <w:t xml:space="preserve"> </w:t>
      </w:r>
      <w:r>
        <w:rPr>
          <w:rFonts w:ascii="Arial" w:cs="Arial" w:eastAsia="Arial" w:hAnsi="Arial"/>
          <w:sz w:val="17"/>
          <w:szCs w:val="17"/>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Our operating revenues and costs significantly increased beginning in 2020 due to the increase in demand for COVID-19 testing.</w:t>
      </w:r>
    </w:p>
    <w:p>
      <w:pPr>
        <w:spacing w:after="0" w:line="68" w:lineRule="exact"/>
        <w:rPr>
          <w:rFonts w:ascii="Arial" w:cs="Arial" w:eastAsia="Arial" w:hAnsi="Arial"/>
          <w:sz w:val="17"/>
          <w:szCs w:val="17"/>
          <w:color w:val="auto"/>
        </w:rPr>
      </w:pPr>
    </w:p>
    <w:p>
      <w:pPr>
        <w:jc w:val="both"/>
        <w:ind w:left="880" w:hanging="373"/>
        <w:spacing w:after="0" w:line="26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Reimbursement for clinical diagnostic testing. </w:t>
      </w:r>
      <w:r>
        <w:rPr>
          <w:rFonts w:ascii="Arial" w:cs="Arial" w:eastAsia="Arial" w:hAnsi="Arial"/>
          <w:sz w:val="18"/>
          <w:szCs w:val="18"/>
          <w:color w:val="auto"/>
        </w:rPr>
        <w:t>Our revenue depends on achieving broad coverage and reimbursement for our tests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payers, including both commercial and government payers. Payment from third-party payers differs depending on whether we have entered into a contract with the payers as a “participating provider” or do not have a contract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ind w:left="880"/>
        <w:spacing w:after="0" w:line="277" w:lineRule="auto"/>
        <w:rPr>
          <w:sz w:val="20"/>
          <w:szCs w:val="20"/>
          <w:color w:val="auto"/>
        </w:rPr>
      </w:pPr>
      <w:r>
        <w:rPr>
          <w:rFonts w:ascii="Arial" w:cs="Arial" w:eastAsia="Arial" w:hAnsi="Arial"/>
          <w:sz w:val="18"/>
          <w:szCs w:val="18"/>
          <w:color w:val="auto"/>
        </w:rPr>
        <w:t>and are considered a “non-participating provider.” Payers will often reimburse non-participating providers, if at all, at a lower rate than participating providers.</w:t>
      </w:r>
    </w:p>
    <w:p>
      <w:pPr>
        <w:spacing w:after="0" w:line="62" w:lineRule="exact"/>
        <w:rPr>
          <w:sz w:val="20"/>
          <w:szCs w:val="20"/>
          <w:color w:val="auto"/>
        </w:rPr>
      </w:pPr>
    </w:p>
    <w:p>
      <w:pPr>
        <w:jc w:val="both"/>
        <w:ind w:left="900"/>
        <w:spacing w:after="0" w:line="290" w:lineRule="auto"/>
        <w:rPr>
          <w:sz w:val="20"/>
          <w:szCs w:val="20"/>
          <w:color w:val="auto"/>
        </w:rPr>
      </w:pPr>
      <w:r>
        <w:rPr>
          <w:rFonts w:ascii="Arial" w:cs="Arial" w:eastAsia="Arial" w:hAnsi="Arial"/>
          <w:sz w:val="16"/>
          <w:szCs w:val="16"/>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3" w:lineRule="exact"/>
        <w:rPr>
          <w:sz w:val="20"/>
          <w:szCs w:val="20"/>
          <w:color w:val="auto"/>
        </w:rPr>
      </w:pPr>
    </w:p>
    <w:p>
      <w:pPr>
        <w:jc w:val="both"/>
        <w:ind w:left="880" w:hanging="373"/>
        <w:spacing w:after="0" w:line="273" w:lineRule="auto"/>
        <w:tabs>
          <w:tab w:leader="none" w:pos="880"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fourth quarter 2020,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67" w:lineRule="exact"/>
        <w:rPr>
          <w:rFonts w:ascii="Arial" w:cs="Arial" w:eastAsia="Arial" w:hAnsi="Arial"/>
          <w:sz w:val="17"/>
          <w:szCs w:val="17"/>
          <w:color w:val="auto"/>
        </w:rPr>
      </w:pPr>
    </w:p>
    <w:p>
      <w:pPr>
        <w:jc w:val="both"/>
        <w:ind w:left="900"/>
        <w:spacing w:after="0" w:line="279" w:lineRule="auto"/>
        <w:rPr>
          <w:rFonts w:ascii="Arial" w:cs="Arial" w:eastAsia="Arial" w:hAnsi="Arial"/>
          <w:sz w:val="17"/>
          <w:szCs w:val="17"/>
          <w:color w:val="auto"/>
        </w:rPr>
      </w:pPr>
      <w:r>
        <w:rPr>
          <w:rFonts w:ascii="Arial" w:cs="Arial" w:eastAsia="Arial" w:hAnsi="Arial"/>
          <w:sz w:val="17"/>
          <w:szCs w:val="17"/>
          <w:color w:val="auto"/>
        </w:rPr>
        <w:t>Our clinical research has resulted in approximately 90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59" w:lineRule="exact"/>
        <w:rPr>
          <w:rFonts w:ascii="Arial" w:cs="Arial" w:eastAsia="Arial" w:hAnsi="Arial"/>
          <w:sz w:val="17"/>
          <w:szCs w:val="17"/>
          <w:color w:val="auto"/>
        </w:rPr>
      </w:pPr>
    </w:p>
    <w:p>
      <w:pPr>
        <w:jc w:val="both"/>
        <w:ind w:left="840" w:hanging="373"/>
        <w:spacing w:after="0" w:line="271"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Ability to attract new biopharmaceutical customers and maintain and expand relationships with existing customers</w:t>
      </w:r>
      <w:r>
        <w:rPr>
          <w:rFonts w:ascii="Arial" w:cs="Arial" w:eastAsia="Arial" w:hAnsi="Arial"/>
          <w:sz w:val="17"/>
          <w:szCs w:val="17"/>
          <w:color w:val="auto"/>
        </w:rPr>
        <w:t>.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65" w:lineRule="exact"/>
        <w:rPr>
          <w:rFonts w:ascii="Arial" w:cs="Arial" w:eastAsia="Arial" w:hAnsi="Arial"/>
          <w:sz w:val="17"/>
          <w:szCs w:val="17"/>
          <w:color w:val="auto"/>
        </w:rPr>
      </w:pPr>
    </w:p>
    <w:p>
      <w:pPr>
        <w:jc w:val="both"/>
        <w:ind w:left="840" w:hanging="373"/>
        <w:spacing w:after="0" w:line="272"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Motivating and expanding our field sales force and customer support team</w:t>
      </w:r>
      <w:r>
        <w:rPr>
          <w:rFonts w:ascii="Arial" w:cs="Arial" w:eastAsia="Arial" w:hAnsi="Arial"/>
          <w:sz w:val="17"/>
          <w:szCs w:val="17"/>
          <w:color w:val="auto"/>
        </w:rPr>
        <w:t>. Our field sales force is the primary point of contact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setting. These representatives of the company must cover expansive geographic regions which limits their time for interaction and education of our products in the clinical setting. As a result of the successful capital raise associated with our initial public offering,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testing volumes increased over the last twelve months for our COVID-19 testing program, we hired additional project support members to assist us in managing testing capacity.</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2020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has disrupted, and we expect will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pandemic due to travel restrictions. We expect to continue to adjust our operational norms to help slow the spread of COVID-19 in the coming months, including complying with government directives and guidelines as they are modified and supplemented.</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negatively affected, and we expect will continue to negatively affect, our lung diagnostic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saw a decline in business with existing and new biopharmaceutical customers. We began to see recovery during the fourth quarter 2020 as our delivered tests exceeded first quarter 2020 delivered tests and we expect to continue to see the recovery extending through 2021. Further, our clinical studies, such as our ongoing INSIGHT and ALTITUDE studies, as well as our arrangements including contracted clinical trials with our biopharmaceutical customers, are expected to take longer to complete than what we expected before the outbreak of the COVID-19 pandemic. While our biopharmaceutical revenue for the first quarter 2021 grew in comparison to the first quarter 2020, we are continuing to experience delays in clinical trials from across the country and world due to COVID-19 restrictions through the first quarter of 2021; however, we expect further improvement in our biopharmaceutical activities during the latter half of 2021.</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Conversely, we are also experiencing a substantial increase in revenues related to an increase in the demand for our Biodesix WorkSafe testing program, our COVID-19 testing program. As expected, our costs to provide testing and services for COVID-19 testing increased for the first quarter of 2021 compared to the fourth quarter 2020 and the revenue that we generated from this expansion represented a significant portion of our revenue for this period.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acquiring herd immunity based on previous natural infection, and the availability and rapid distribution of vaccines, the evolution of variant strains that impact diagnostic test performance, or otherwise, the need for COVID-19 testing could decrease significantly and this could have an adverse effect on our results of operations and profitability. As a result, the increase in revenue due to any increase in demand for these diagnostic tests may not be indicative of our future revenue. See Part I, Item 1A “Risk Factors” of our Form 10-K for the year ended December 31, 2020 for a description of how the COVID-19 pandemic may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and Operational Highlights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grew revenue in all lines of business as compared to the first quarter 2020. We generated record revenue during the three months ended March 31, 2021 of $28.9 million, representing an increase of 466% as compared to the three months ended March 31, 2020, which was primarily driven from the entry into COVID-19 testing subsequent to the first quarter 2020. The following were significant developments affecting our business, capital structure and liquidity during the three months ended March 31, 2021:</w:t>
      </w:r>
    </w:p>
    <w:p>
      <w:pPr>
        <w:spacing w:after="0" w:line="79" w:lineRule="exact"/>
        <w:rPr>
          <w:sz w:val="20"/>
          <w:szCs w:val="20"/>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2021, we held cash and cash equivalents of $55.3 million, and successfully enhanced our financial flexibility through a new $30 million term loan while contemporaneously extinguished our 2018 Notes for $25.9 million;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Recorded COVID-19 testing revenue of $23.2 million;</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Recorded 10% revenue growth in lung diagnostic testing for the three months ended March 31, 2021 as compared to the three months ended March 31, 2020;</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Recorded 12% revenue growth in biopharmaceutical service revenue for the three months ended March 31, 2021 as compared to the three months ended March 31, 2020;</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Announced our partnership with GenScript Biotech Corporation. to conduct performance verification in our laboratory, and to commercialize their FDA EUA authorized cPass SARS-CoV-2 Neutralization Antibody test;</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Announced plans to add a blood-based 52 gene Next Generation Sequencing (NGS) test with 72-hour average turnaround time to our portfolio of molecular testing;</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Expanded our COVID-19 testing programs to include Chicago Public Schools to help safely return back to schools.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 network and out-of-network service provider depending on the test performed and the contracted status of the insurer. We provide diagnostic tests in two primary categories (i) lung diagnostics testing and (ii) COVID-19 testing.</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Services revenue is generated from the delivery of our on-market tests, pipeline tests, custom diagnostic testing, and other scientific services for a purpose as defined by any individual customer. At times we collaborate with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342" w:lineRule="auto"/>
        <w:rPr>
          <w:sz w:val="20"/>
          <w:szCs w:val="20"/>
          <w:color w:val="auto"/>
        </w:rPr>
      </w:pPr>
      <w:r>
        <w:rPr>
          <w:rFonts w:ascii="Arial" w:cs="Arial" w:eastAsia="Arial" w:hAnsi="Arial"/>
          <w:sz w:val="16"/>
          <w:szCs w:val="16"/>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purchase transaction of Integrated Diagnostics, Inc. (Indi), we recorded contingent consideration pertaining to the amounts potentially payable to Indi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a product gross margin target, the estimated timing in which the gross margin target is achieved, and discount rates. The estimated fair value could materially differ from actual values or fair values determined using different assumptions.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consists of cash and non-cash interest from our 2021 Term Loan, the 2018 Notes, Paycheck Protection Program loan, and convertible debt. Our convertible debt, along with the related accrued interest, was automatically converted to 1,848,280 shares of our common stock upon completion of our initial public offering in October 2020. Interest income, which is included in ‘Other income, net’ in the statements of operations consists of income earned on our cash and cash equivalents.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for the periods presented (in thousands, except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 costs and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marketing, general and administrative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shd w:val="clear" w:color="auto" w:fill="CFF0FC"/>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 other expense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(1,378)</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revenue from our diagnostic tests and services that we provide. Our revenues for the periods indicated were as follows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Diagnostic 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Services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28,866</w:t>
            </w:r>
          </w:p>
        </w:tc>
        <w:tc>
          <w:tcPr>
            <w:tcW w:w="2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w:t>
            </w:r>
          </w:p>
        </w:tc>
        <w:tc>
          <w:tcPr>
            <w:tcW w:w="2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was $28.9 million for the three months ended March 31, 2021 compared to $5.1 million for the three months ended March 31, 2020, an increase of $23.8 million, or 466%.</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Diagnostic test revenue increased to $27.2 million for the three months ended March 31, 2021 compared to $3.6 million for the three months ended March 31, 2020, a net increase of $23.6 million or 655%. This increase was due to $23.2 million of revenue from our two COVID-19 diagnostic tests, which were released in the second quarter of 2020, and an increase in our lung diagnostic tests of $0.4 million as health care practitioners, including pulmonologists, were increasingly diverted to pandemic-related care. However, we began to see recovery during the fourth quarter 2020, in lung diagnostic testing as our delivered tests exceeded first quarter 2020 delivered tests and we expect to continue to see the recovery extending through 2021. In addition, company sales efforts continued to be impacted by COVID-19 pandemic related restrictions.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revenue increased to $1.7 million for the three months ended March 31, 2021, compared to $1.5 million for the three months ended March 31, 2020, an increase of $0.2 million or 12%, as we scaled up our pharmaceutical collaboration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costs and expenses related to revenue were $18.2 million for the three months ended March 31, 2021 compared to $1.6 million for the three months ended March 31, 2020, an increase of $16.6 million or 1,052%. The increase in direct costs and expenses were primarily driven by costs associated with the delivery of our COVID-19 tests, which were not present during the three month period ended March 31, 2020, slightly offset by a decrease of $0.2 million associated with the delivery of our lung diagnostic tests.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were $3.3 million for the three months ended March 31, 2021 as compared to $2.9 million for the three months ended March 31, 2020, an increase of $0.4 million, or 15%. The increase in cost was due primarily to increased employee compensation and benefits costs as we expanded our research and development personnel.</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external and internal costs for the three months ended March 31, 2021 and 2020 (in thousands, except percentages).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36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Clinical trials and associated costs</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710</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external costs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Total external costs</w:t>
            </w:r>
          </w:p>
        </w:tc>
        <w:tc>
          <w:tcPr>
            <w:tcW w:w="1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Internal expenses</w:t>
            </w:r>
          </w:p>
        </w:tc>
        <w:tc>
          <w:tcPr>
            <w:tcW w:w="1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0"/>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marketing, general and administrative expenses were $11.9 million for the three months ended March 31, 2021 compared to $8.1 million for the three months ended March 31, 2020, an increase of $3.8 million, or 48%. This increase was driven primarily by increases in employee compensation and benefits of $1.6 million associated with expansion of the Company’s workforce, increased share-based compensation expense, and increases in non-employee costs, legal and other fees as a result of the transition from private to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Change in fair value of contingent consideration was approximately $1.0 million for both the three month periods ended March 31, 2021 and 2020, representing only a slight increase year-over-year. The amounts recorded for change in fair value reflect the passage of time, as well as estimates regarding the period in which targets that trigger the payment of contingent consideration will be achieved and subsequently paid.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was $0.6 million for the three months ended March 31, 2021 compared to $1.5 million for the three months ended March 31, 2020, a decrease of $0.9 million, or 55%. This decrease was due primarily to the decrease of interest expense related to convertible notes, which were converted to common stock upon the successful completion of our initial public offering in October 2020. Cash and non-cash interest expense for the three months ended March 31, 2021 and 2020 was $0.6 million and none, and $0.1 million and $1.4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19, 2021, the Company entered into a new Loan and Security Agreement (2021 Term Loan) for an original principal amount of $30 million with a maturity date of March 1, 2026. In connection with entering into the 2021 Term Loan, the Company repaid all outstanding principal and unpaid interest in the amount of $25.9 million due under the secured promissory note (2018 Notes) and contemporaneously terminated the Loan and Security Agreement, dated as of February 23, 2018, as amended. As a result of the extinguishment of the 2018 Notes, the Company recorded a loss on debt extinguishment of $0.7 million during the three month period ended March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2020, we recognized a charge for the change in estimated fair value of our warrant liability related to warrants issued in connection with our Series G preferred stock. Effective with the closing of our initial public offering in October 2020, the warrants to purchase Series G preferred stock were automatically converted to warrants to acquire common stock and the carrying value of the warrants of $1.6 million were reclassified to additional paid-in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during the three months ended March 31, 2021 and 2020 was insignificant and $0.1 million, respectively, a decrease of $0.1 million or 99%. The $0.1 million decrease is primarily attributable to a reduction in sublease income from two subleases that expired in the second and third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an emerging growth company and, as such, have yet to generate positive cash flows from operations. We have funded our operating activities primarily through financing activities, which include both debt and equity offerings. In October 2020, we completed an initial public offering, resulting in net proceeds of approximately $63.8 million after deducting offering costs, underwriting discounts and commissions. In March 2021, we completed the closing of our 2021 Term Loan for a principal amount of $30 million and extinguished our prior 2018 term loan for $25.9 million. The 2021 Term Loan contains customary affirmative covenants, including covenants regarding compliance with applicable laws and regulation, payment of taxes, insurance coverage, notice of certain events, and reporting requirements. Further, the 2021 Term Loan contains customary negative covenants limiting the ability to, among other things, incur future debt, transfer assets except for the ordinary course of business, make acquisitions, make certain restricted payments, and sell assets, subject to certain exceptions. In addition, the 2021 Term Loan requires the Company to comply with a minimum liquidity ratio covenant (as defined in the 2021 Term Loan) of not less than 0.95 to 1.00, and has a trailing six-month rolling revenue requirement of not less than 70% of the Company’s projected revenue for each such quarter set forth in the Company’s annual projections. As of March 31, 2021 the Company was not in default under the terms of the 2021 Term Loan.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held cash and cash equivalents of $55.3 million. We believe that our existing cash, cash equivalents, and cash generated from sales of our products and services will be sufficient to meet our anticipated needs for at least the next 12 months from the date of this Quarterly Report on Form 10-Q, including amounts due under our PPP loan. The Company currently intends to repay the PPP loan in accordance with the underlying terms and conditions.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Arial" w:cs="Arial" w:eastAsia="Arial" w:hAnsi="Arial"/>
                <w:sz w:val="18"/>
                <w:szCs w:val="18"/>
                <w:color w:val="auto"/>
              </w:rPr>
              <w:t>The following summarizes our cash flows for the periods indicated (in thousands):</w:t>
            </w:r>
          </w:p>
        </w:tc>
        <w:tc>
          <w:tcPr>
            <w:tcW w:w="2860" w:type="dxa"/>
            <w:vAlign w:val="bottom"/>
            <w:gridSpan w:val="4"/>
            <w:vMerge w:val="restart"/>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rPr>
                <w:sz w:val="18"/>
                <w:szCs w:val="18"/>
                <w:color w:val="auto"/>
              </w:rPr>
            </w:pPr>
          </w:p>
        </w:tc>
        <w:tc>
          <w:tcPr>
            <w:tcW w:w="2860" w:type="dxa"/>
            <w:vAlign w:val="bottom"/>
            <w:gridSpan w:val="4"/>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(11,326)</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(516)</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(6,891)</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cash flows resulted in a net decrease in cash and cash equivalents of $6.9 million during the three months ended March 31, 2021 as compared to the net increase in cash of $1.5 million for the three month period ended March 31, 2020. For the three months ended March 31, 2021, net cash used in operating activities increased by approximately $6.8 million, primarily due to a year-over-year reduction in net loss of $2.7 million and non-cash adjustments to net loss of $1.9 million, offset by an increase in cash used by net operating assets and liabilities of $11.4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ind w:right="20"/>
        <w:spacing w:after="0" w:line="342" w:lineRule="auto"/>
        <w:rPr>
          <w:sz w:val="20"/>
          <w:szCs w:val="20"/>
          <w:color w:val="auto"/>
        </w:rPr>
      </w:pPr>
      <w:r>
        <w:rPr>
          <w:rFonts w:ascii="Arial" w:cs="Arial" w:eastAsia="Arial" w:hAnsi="Arial"/>
          <w:sz w:val="16"/>
          <w:szCs w:val="16"/>
          <w:color w:val="auto"/>
        </w:rPr>
        <w:t>Net cash used in investing activities during the three months ended March 31, 2021 totaled $0.5 million, an increase of $0.1 million compared to the same period in 2020. The increase in net cash used in investing activities was primarily due to purchases of property and equipment in support of our operations.</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during the three months ended March 31, 2021 totaled $5.0 million, a decrease of $1.5 million compared to the same period in 2020. The net cash provided by financing activities for the three months ended March 31, 2021 primarily resulted from the net proceeds from our 2021 Term Loan, offset in part by the extinguishment costs and repayment of our 2018 Notes. The net cash provided by financing activities for the three months ended March 31, 2020 of $6.4 million primarily resulted from proceeds from the issuance of convertible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closing of our 2021 Term Loan and repayment of our 2018 Notes, our non-cancelable contractual obligations and commitments for borrowings and interest as presented in our Form 10-K have been modified. The following table provides an update as follows as of March 31, 2021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88"/>
              </w:rPr>
              <w:t>Payments due by period</w:t>
            </w: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10"/>
              <w:spacing w:after="0"/>
              <w:rPr>
                <w:sz w:val="20"/>
                <w:szCs w:val="20"/>
                <w:color w:val="auto"/>
              </w:rPr>
            </w:pPr>
            <w:r>
              <w:rPr>
                <w:rFonts w:ascii="Arial" w:cs="Arial" w:eastAsia="Arial" w:hAnsi="Arial"/>
                <w:sz w:val="18"/>
                <w:szCs w:val="18"/>
                <w:color w:val="auto"/>
                <w:w w:val="92"/>
              </w:rPr>
              <w:t>More</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8"/>
                <w:szCs w:val="18"/>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3"/>
              </w:rPr>
              <w:t>1 to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4 to 5</w:t>
            </w: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than</w:t>
            </w:r>
          </w:p>
        </w:tc>
      </w:tr>
      <w:tr>
        <w:trPr>
          <w:trHeight w:val="230"/>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 year</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86"/>
              </w:rPr>
              <w:t>years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years</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5 years</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15"/>
                <w:szCs w:val="15"/>
                <w:color w:val="auto"/>
              </w:rPr>
              <w:t>(1)</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32,801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380" w:hanging="372"/>
        <w:spacing w:after="0" w:line="277" w:lineRule="auto"/>
        <w:tabs>
          <w:tab w:leader="none" w:pos="38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Includes the (a) 2021 Term Loan payments of principal, interest and final payment fee of $2.4 million payment due upon loan maturity and (b) principal and interest payable under the Paycheck Protection Program loan.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other significant changes to our future contractual obligations as disclosed in our Annual Report on Form 10-K for the year ended December 31, 2020.</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purchase transaction of Integrated Diagnostics, Inc., (Indi or Seller) we recorded contingent consideration pertaining to the amounts potentially payable to Indi’s shareholder pursuant to the terms of the asset purchase agreement. The estimated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performance targets, the estimated timing in which the performance targets is achieved, and discount rates. The estimated fair value could materially differ from actual values or fair values determined using different assumptions. Under the terms of the arrangement, the amount due to the Seller upon exercise of the Seller put option is dependent upon achievement of the specified performance targets. To the extent the performance targets are achieved and the Seller exercises the put option, the Company would be required to repurchase shares of Company common stock for approximately $37.0 million, payable over eight quarters in accordance with the underlying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condensed financial statements in Part 1 of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recognize revenue upon delivery of promised diagnostic test results and testing services, in an amount that reflects the consideration which we expect to receive in exchange for our services. To determine revenue recognition for our arrangements with our customers, we perform a five-step process, which includes: (i) identifying the contract(s) with a customer; (ii) identifying the performance obligations in the contract; (iii) determining the transaction price;</w:t>
      </w:r>
    </w:p>
    <w:p>
      <w:pPr>
        <w:spacing w:after="0" w:line="2" w:lineRule="exact"/>
        <w:rPr>
          <w:sz w:val="20"/>
          <w:szCs w:val="20"/>
          <w:color w:val="auto"/>
        </w:rPr>
      </w:pPr>
    </w:p>
    <w:p>
      <w:pPr>
        <w:ind w:firstLine="8"/>
        <w:spacing w:after="0" w:line="260"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in the contract; and (v) recognizing revenue when (or as) we satisfy our performance obligations.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Diagnostic service revenues are recognized upon completion of our performance obligation to the deliver test results to our customer, either the prescribing physician or third-party to which we contracted for services to be performed. Testing services revenues are recognized upon completion of our performance obligation to deliver testing results for assay development and testing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purchase transaction with Indi, we recorded contingent consideration pertaining to the amounts potentially payable to Indi’s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product gross margin targets, the estimated timing in which achievement of the product gross margin target is expected, and discount rates. The estimated fair value could materially differ from actual values or fair values determined using different assumptions.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 option awards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Black-Scholes option-pricing model to estimate the fair value of our share-based option awards, which requires assumptions to be made related to expected term of an award, expected volatility, the risk-free rate and expected dividend yield. Following the completion of our initial public offering, our Board of Directors has determined the fair value of our common stock is based on our closing price as reported on the date of grant on the primary stock exchange on which our common stock is traded.</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our initial public offering in October 2020, the fair value of our common stock was determined by our Board of Directors in accordance with the methodologies outlined in the American Institute of Certified Public Accountants Practice Aid, Valuation of Privately-Held-Company Equity Securities Issued as Compensation Practice Aid (Practice Aid). In doing so, our Board of Directors determined the best estimate of fair value of our common stock, exercising reasonable judgment and considering numerous objective and subjective factors, by first determining the enterprise value of our business, and then allocating the value among the various classes of our equity securities to derive a per share value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The Company is currently evaluating this guidance and assessing the overall impact on its financial statements.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2022 with early adoption permitted. The Company is currently evaluating this guidance and assessing the overall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Periodically throughout the year, we have maintained balances in various operating accounts in excess of federally insured limits. Our cash and cash equivalents are funds held in checking and bank savings accounts, primarily at two U.S. financial institutions. As of March 31, 2021, a hypothetical 100 basis point increase in interest rates would not have a material impact on our investment portfolio, financial position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three months ended March 31, 2021, that have materially affected, or are reasonable likely to materially effect, our internal controls over financial reporting.</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Quarterly Report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15"/>
        <w:spacing w:after="0" w:line="263" w:lineRule="auto"/>
        <w:rPr>
          <w:sz w:val="20"/>
          <w:szCs w:val="20"/>
          <w:color w:val="auto"/>
        </w:rPr>
      </w:pPr>
      <w:r>
        <w:rPr>
          <w:rFonts w:ascii="Arial" w:cs="Arial" w:eastAsia="Arial" w:hAnsi="Arial"/>
          <w:sz w:val="18"/>
          <w:szCs w:val="18"/>
          <w:color w:val="auto"/>
        </w:rPr>
        <w:t>In addition to the information set forth elsewhere in this Form 10-Q, you should carefully consider the factors we previously disclosed in our Annual Report on Form 10-K, filed with the SEC on March 16, 2021, as of and for the year ended December 31, 2020. These risks could materially and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14"/>
                <w:szCs w:val="14"/>
                <w:color w:val="auto"/>
              </w:rPr>
            </w:pPr>
          </w:p>
        </w:tc>
        <w:tc>
          <w:tcPr>
            <w:tcW w:w="9320" w:type="dxa"/>
            <w:vAlign w:val="bottom"/>
            <w:gridSpan w:val="6"/>
            <w:vMerge w:val="restart"/>
          </w:tcPr>
          <w:p>
            <w:pPr>
              <w:ind w:left="3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Borders>
              <w:bottom w:val="single" w:sz="8" w:color="auto"/>
            </w:tcBorders>
          </w:tcPr>
          <w:p>
            <w:pPr>
              <w:spacing w:after="0"/>
              <w:rPr>
                <w:sz w:val="14"/>
                <w:szCs w:val="14"/>
                <w:color w:val="auto"/>
              </w:rPr>
            </w:pPr>
          </w:p>
        </w:tc>
        <w:tc>
          <w:tcPr>
            <w:tcW w:w="932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10240" w:type="dxa"/>
            <w:vAlign w:val="bottom"/>
            <w:gridSpan w:val="7"/>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Adopted Pursuant to Section 302 of the Sarbanes-Oxley Act of 2002.</w:t>
              </w:r>
            </w:hyperlink>
          </w:p>
        </w:tc>
        <w:tc>
          <w:tcPr>
            <w:tcW w:w="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6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4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100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Act of 2002.</w:t>
              </w:r>
            </w:hyperlink>
          </w:p>
        </w:tc>
        <w:tc>
          <w:tcPr>
            <w:tcW w:w="9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80" w:type="dxa"/>
            <w:vAlign w:val="bottom"/>
            <w:gridSpan w:val="2"/>
          </w:tcPr>
          <w:p>
            <w:pPr>
              <w:spacing w:after="0"/>
              <w:rPr>
                <w:sz w:val="20"/>
                <w:szCs w:val="20"/>
                <w:color w:val="auto"/>
              </w:rPr>
            </w:pPr>
            <w:r>
              <w:rPr>
                <w:rFonts w:ascii="Arial" w:cs="Arial" w:eastAsia="Arial" w:hAnsi="Arial"/>
                <w:sz w:val="18"/>
                <w:szCs w:val="18"/>
                <w:color w:val="auto"/>
              </w:rPr>
              <w:t>32.2*</w:t>
            </w:r>
          </w:p>
        </w:tc>
        <w:tc>
          <w:tcPr>
            <w:tcW w:w="10240" w:type="dxa"/>
            <w:vAlign w:val="bottom"/>
            <w:gridSpan w:val="7"/>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Act of 2002.</w:t>
              </w:r>
            </w:hyperlink>
          </w:p>
        </w:tc>
        <w:tc>
          <w:tcPr>
            <w:tcW w:w="908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7"/>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4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65"/>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5"/>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40" w:hanging="871"/>
        <w:spacing w:after="0"/>
        <w:tabs>
          <w:tab w:leader="none" w:pos="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5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3540" w:type="dxa"/>
            <w:vAlign w:val="bottom"/>
            <w:gridSpan w:val="2"/>
          </w:tcPr>
          <w:p>
            <w:pPr>
              <w:ind w:left="1960"/>
              <w:spacing w:after="0"/>
              <w:rPr>
                <w:sz w:val="20"/>
                <w:szCs w:val="20"/>
                <w:color w:val="auto"/>
              </w:rPr>
            </w:pPr>
            <w:r>
              <w:rPr>
                <w:rFonts w:ascii="Arial" w:cs="Arial" w:eastAsia="Arial" w:hAnsi="Arial"/>
                <w:sz w:val="18"/>
                <w:szCs w:val="18"/>
                <w:color w:val="auto"/>
              </w:rPr>
              <w:t>Biodesix, Inc.</w:t>
            </w:r>
          </w:p>
        </w:tc>
        <w:tc>
          <w:tcPr>
            <w:tcW w:w="4300" w:type="dxa"/>
            <w:vAlign w:val="bottom"/>
          </w:tcPr>
          <w:p>
            <w:pPr>
              <w:spacing w:after="0"/>
              <w:rPr>
                <w:sz w:val="20"/>
                <w:szCs w:val="20"/>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May 11, 2021</w:t>
            </w:r>
          </w:p>
        </w:tc>
        <w:tc>
          <w:tcPr>
            <w:tcW w:w="3540" w:type="dxa"/>
            <w:vAlign w:val="bottom"/>
            <w:gridSpan w:val="2"/>
          </w:tcPr>
          <w:p>
            <w:pPr>
              <w:ind w:left="1960"/>
              <w:spacing w:after="0"/>
              <w:rPr>
                <w:sz w:val="20"/>
                <w:szCs w:val="20"/>
                <w:color w:val="auto"/>
              </w:rPr>
            </w:pPr>
            <w:r>
              <w:rPr>
                <w:rFonts w:ascii="Arial" w:cs="Arial" w:eastAsia="Arial" w:hAnsi="Arial"/>
                <w:sz w:val="18"/>
                <w:szCs w:val="18"/>
                <w:color w:val="auto"/>
              </w:rPr>
              <w:t>By:</w:t>
            </w:r>
          </w:p>
        </w:tc>
        <w:tc>
          <w:tcPr>
            <w:tcW w:w="4300" w:type="dxa"/>
            <w:vAlign w:val="bottom"/>
          </w:tcPr>
          <w:p>
            <w:pPr>
              <w:jc w:val="center"/>
              <w:ind w:right="1190"/>
              <w:spacing w:after="0"/>
              <w:rPr>
                <w:sz w:val="20"/>
                <w:szCs w:val="20"/>
                <w:color w:val="auto"/>
              </w:rPr>
            </w:pPr>
            <w:r>
              <w:rPr>
                <w:rFonts w:ascii="Arial" w:cs="Arial" w:eastAsia="Arial" w:hAnsi="Arial"/>
                <w:sz w:val="18"/>
                <w:szCs w:val="18"/>
                <w:color w:val="auto"/>
                <w:w w:val="95"/>
              </w:rPr>
              <w:t>/s/ RYAN H. SIUREK</w:t>
            </w:r>
          </w:p>
        </w:tc>
      </w:tr>
      <w:tr>
        <w:trPr>
          <w:trHeight w:val="222"/>
        </w:trPr>
        <w:tc>
          <w:tcPr>
            <w:tcW w:w="3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300" w:type="dxa"/>
            <w:vAlign w:val="bottom"/>
            <w:tcBorders>
              <w:top w:val="single" w:sz="8" w:color="auto"/>
            </w:tcBorders>
          </w:tcPr>
          <w:p>
            <w:pPr>
              <w:jc w:val="center"/>
              <w:ind w:right="1210"/>
              <w:spacing w:after="0"/>
              <w:rPr>
                <w:sz w:val="20"/>
                <w:szCs w:val="20"/>
                <w:color w:val="auto"/>
              </w:rPr>
            </w:pPr>
            <w:r>
              <w:rPr>
                <w:rFonts w:ascii="Arial" w:cs="Arial" w:eastAsia="Arial" w:hAnsi="Arial"/>
                <w:sz w:val="18"/>
                <w:szCs w:val="18"/>
                <w:i w:val="1"/>
                <w:iCs w:val="1"/>
                <w:color w:val="auto"/>
                <w:w w:val="89"/>
              </w:rPr>
              <w:t>Ryan H. Siurek</w:t>
            </w:r>
          </w:p>
        </w:tc>
      </w:tr>
      <w:tr>
        <w:trPr>
          <w:trHeight w:val="230"/>
        </w:trPr>
        <w:tc>
          <w:tcPr>
            <w:tcW w:w="3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300" w:type="dxa"/>
            <w:vAlign w:val="bottom"/>
          </w:tcPr>
          <w:p>
            <w:pPr>
              <w:jc w:val="center"/>
              <w:ind w:right="1210"/>
              <w:spacing w:after="0"/>
              <w:rPr>
                <w:sz w:val="20"/>
                <w:szCs w:val="20"/>
                <w:color w:val="auto"/>
              </w:rPr>
            </w:pPr>
            <w:r>
              <w:rPr>
                <w:rFonts w:ascii="Arial" w:cs="Arial" w:eastAsia="Arial" w:hAnsi="Arial"/>
                <w:sz w:val="18"/>
                <w:szCs w:val="18"/>
                <w:i w:val="1"/>
                <w:iCs w:val="1"/>
                <w:color w:val="auto"/>
                <w:w w:val="92"/>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25" w:lineRule="exact"/>
        <w:rPr>
          <w:sz w:val="20"/>
          <w:szCs w:val="20"/>
          <w:color w:val="auto"/>
        </w:rPr>
      </w:pPr>
    </w:p>
    <w:p>
      <w:pPr>
        <w:ind w:left="1420" w:hanging="854"/>
        <w:spacing w:after="0"/>
        <w:tabs>
          <w:tab w:leader="none" w:pos="14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2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2260" w:hanging="844"/>
        <w:spacing w:after="0"/>
        <w:tabs>
          <w:tab w:leader="none" w:pos="2260" w:val="left"/>
        </w:tabs>
        <w:numPr>
          <w:ilvl w:val="1"/>
          <w:numId w:val="22"/>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229"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22"/>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22"/>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22"/>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3"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22"/>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spacing w:after="0"/>
        <w:tabs>
          <w:tab w:leader="none" w:pos="5360" w:val="left"/>
          <w:tab w:leader="none" w:pos="786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Scott Hutton</w:t>
      </w:r>
    </w:p>
    <w:p>
      <w:pPr>
        <w:spacing w:after="0" w:line="63"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25" w:lineRule="exact"/>
        <w:rPr>
          <w:sz w:val="20"/>
          <w:szCs w:val="20"/>
          <w:color w:val="auto"/>
        </w:rPr>
      </w:pPr>
    </w:p>
    <w:p>
      <w:pPr>
        <w:ind w:left="1420" w:hanging="854"/>
        <w:spacing w:after="0"/>
        <w:tabs>
          <w:tab w:leader="none" w:pos="14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2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2260" w:hanging="844"/>
        <w:spacing w:after="0"/>
        <w:tabs>
          <w:tab w:leader="none" w:pos="2260" w:val="left"/>
        </w:tabs>
        <w:numPr>
          <w:ilvl w:val="1"/>
          <w:numId w:val="23"/>
        </w:numPr>
        <w:rPr>
          <w:rFonts w:ascii="Arial" w:cs="Arial" w:eastAsia="Arial" w:hAnsi="Arial"/>
          <w:sz w:val="20"/>
          <w:szCs w:val="20"/>
          <w:color w:val="auto"/>
        </w:rPr>
      </w:pPr>
      <w:r>
        <w:rPr>
          <w:rFonts w:ascii="Arial" w:cs="Arial" w:eastAsia="Arial" w:hAnsi="Arial"/>
          <w:sz w:val="18"/>
          <w:szCs w:val="18"/>
          <w:color w:val="auto"/>
        </w:rPr>
        <w:t>[Paragraph omitted in accordance with Exchange Act Rule 13a-14(a)];</w:t>
      </w:r>
    </w:p>
    <w:p>
      <w:pPr>
        <w:spacing w:after="0" w:line="229"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23"/>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2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23"/>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3"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23"/>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spacing w:after="0"/>
        <w:tabs>
          <w:tab w:leader="none" w:pos="5360" w:val="left"/>
          <w:tab w:leader="none" w:pos="756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Robin Harper Cowie</w:t>
      </w:r>
    </w:p>
    <w:p>
      <w:pPr>
        <w:spacing w:after="0" w:line="63"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March 31,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2180" w:hanging="764"/>
        <w:spacing w:after="0"/>
        <w:tabs>
          <w:tab w:leader="none" w:pos="2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180" w:right="20" w:hanging="764"/>
        <w:spacing w:after="0" w:line="277" w:lineRule="auto"/>
        <w:tabs>
          <w:tab w:leader="none" w:pos="2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May 11, 2021</w:t>
            </w:r>
          </w:p>
        </w:tc>
        <w:tc>
          <w:tcPr>
            <w:tcW w:w="2620" w:type="dxa"/>
            <w:vAlign w:val="bottom"/>
          </w:tcPr>
          <w:p>
            <w:pPr>
              <w:ind w:left="170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Hutton</w:t>
            </w:r>
          </w:p>
        </w:tc>
      </w:tr>
      <w:tr>
        <w:trPr>
          <w:trHeight w:val="195"/>
        </w:trPr>
        <w:tc>
          <w:tcPr>
            <w:tcW w:w="3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2"/>
              </w:rPr>
              <w:t>Scott Hutton</w:t>
            </w:r>
          </w:p>
        </w:tc>
      </w:tr>
      <w:tr>
        <w:trPr>
          <w:trHeight w:val="230"/>
        </w:trPr>
        <w:tc>
          <w:tcPr>
            <w:tcW w:w="3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March 31,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2180" w:hanging="764"/>
        <w:spacing w:after="0"/>
        <w:tabs>
          <w:tab w:leader="none" w:pos="2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180" w:right="20" w:hanging="764"/>
        <w:spacing w:after="0" w:line="277" w:lineRule="auto"/>
        <w:tabs>
          <w:tab w:leader="none" w:pos="2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May 11, 2021</w:t>
            </w:r>
          </w:p>
        </w:tc>
        <w:tc>
          <w:tcPr>
            <w:tcW w:w="2620" w:type="dxa"/>
            <w:vAlign w:val="bottom"/>
          </w:tcPr>
          <w:p>
            <w:pPr>
              <w:ind w:left="170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Robin Harper Cowie</w:t>
            </w:r>
          </w:p>
        </w:tc>
      </w:tr>
      <w:tr>
        <w:trPr>
          <w:trHeight w:val="195"/>
        </w:trPr>
        <w:tc>
          <w:tcPr>
            <w:tcW w:w="3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2"/>
              </w:rPr>
              <w:t>Robin Harper Cowie</w:t>
            </w:r>
          </w:p>
        </w:tc>
      </w:tr>
      <w:tr>
        <w:trPr>
          <w:trHeight w:val="230"/>
        </w:trPr>
        <w:tc>
          <w:tcPr>
            <w:tcW w:w="3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bullet"/>
      <w:start w:val="1"/>
    </w:lvl>
  </w:abstractNum>
  <w:abstractNum w:abstractNumId="7">
    <w:nsid w:val="4E6AFB66"/>
    <w:multiLevelType w:val="hybridMultilevel"/>
    <w:lvl w:ilvl="0">
      <w:lvlJc w:val="left"/>
      <w:lvlText w:val="2"/>
      <w:numFmt w:val="bullet"/>
      <w:start w:val="1"/>
    </w:lvl>
  </w:abstractNum>
  <w:abstractNum w:abstractNumId="8">
    <w:nsid w:val="25E45D32"/>
    <w:multiLevelType w:val="hybridMultilevel"/>
    <w:lvl w:ilvl="0">
      <w:lvlJc w:val="left"/>
      <w:lvlText w:val="3"/>
      <w:numFmt w:val="bullet"/>
      <w:start w:val="1"/>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upperLetter"/>
      <w:start w:val="68"/>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Roman"/>
      <w:start w:val="4"/>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2021-05-11T16:16:03Z</dcterms:created>
  <dcterms:modified xsi:type="dcterms:W3CDTF">2021-05-11T16:16:03Z</dcterms:modified>
</cp:coreProperties>
</file>