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SECURITIES AND EXCHANGE COMMISSION</w:t>
      </w:r>
    </w:p>
    <w:p>
      <w:pPr>
        <w:ind w:left="440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SCHEDULE TO/A</w:t>
      </w:r>
    </w:p>
    <w:p>
      <w:pPr>
        <w:spacing w:after="0" w:line="34" w:lineRule="exact"/>
        <w:rPr>
          <w:sz w:val="24"/>
          <w:szCs w:val="24"/>
          <w:color w:val="auto"/>
        </w:rPr>
      </w:pPr>
    </w:p>
    <w:p>
      <w:pPr>
        <w:ind w:left="4604"/>
        <w:spacing w:after="0"/>
        <w:rPr>
          <w:sz w:val="20"/>
          <w:szCs w:val="20"/>
          <w:color w:val="auto"/>
        </w:rPr>
      </w:pPr>
      <w:r>
        <w:rPr>
          <w:rFonts w:ascii="Arial" w:cs="Arial" w:eastAsia="Arial" w:hAnsi="Arial"/>
          <w:sz w:val="22"/>
          <w:szCs w:val="22"/>
          <w:b w:val="1"/>
          <w:bCs w:val="1"/>
          <w:color w:val="auto"/>
        </w:rPr>
        <w:t>(Amendment No. 2)</w:t>
      </w:r>
    </w:p>
    <w:p>
      <w:pPr>
        <w:spacing w:after="0" w:line="182" w:lineRule="exact"/>
        <w:rPr>
          <w:sz w:val="24"/>
          <w:szCs w:val="24"/>
          <w:color w:val="auto"/>
        </w:rPr>
      </w:pPr>
    </w:p>
    <w:p>
      <w:pPr>
        <w:ind w:left="2824"/>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ind w:left="3744"/>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2503170</wp:posOffset>
            </wp:positionH>
            <wp:positionV relativeFrom="paragraph">
              <wp:posOffset>407035</wp:posOffset>
            </wp:positionV>
            <wp:extent cx="1997710"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97710"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984"/>
        <w:spacing w:after="0"/>
        <w:rPr>
          <w:sz w:val="20"/>
          <w:szCs w:val="20"/>
          <w:color w:val="auto"/>
        </w:rPr>
      </w:pPr>
      <w:r>
        <w:rPr>
          <w:rFonts w:ascii="Arial" w:cs="Arial" w:eastAsia="Arial" w:hAnsi="Arial"/>
          <w:sz w:val="40"/>
          <w:szCs w:val="40"/>
          <w:b w:val="1"/>
          <w:bCs w:val="1"/>
          <w:color w:val="auto"/>
        </w:rPr>
        <w:t>BIODESIX, INC.</w:t>
      </w:r>
    </w:p>
    <w:p>
      <w:pPr>
        <w:spacing w:after="0" w:line="35" w:lineRule="exact"/>
        <w:rPr>
          <w:sz w:val="24"/>
          <w:szCs w:val="24"/>
          <w:color w:val="auto"/>
        </w:rPr>
      </w:pPr>
    </w:p>
    <w:p>
      <w:pPr>
        <w:ind w:left="3024"/>
        <w:spacing w:after="0"/>
        <w:rPr>
          <w:sz w:val="20"/>
          <w:szCs w:val="20"/>
          <w:color w:val="auto"/>
        </w:rPr>
      </w:pPr>
      <w:r>
        <w:rPr>
          <w:rFonts w:ascii="Arial" w:cs="Arial" w:eastAsia="Arial" w:hAnsi="Arial"/>
          <w:sz w:val="18"/>
          <w:szCs w:val="18"/>
          <w:b w:val="1"/>
          <w:bCs w:val="1"/>
          <w:color w:val="auto"/>
        </w:rPr>
        <w:t>(Name of Subject Company (Issuer) and Filing Person (Offeror))</w:t>
      </w:r>
    </w:p>
    <w:p>
      <w:pPr>
        <w:spacing w:after="0" w:line="205"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Options to Purchase Common Stock, Par Value $0.001 Per Share</w:t>
      </w:r>
    </w:p>
    <w:p>
      <w:pPr>
        <w:spacing w:after="0" w:line="21" w:lineRule="exact"/>
        <w:rPr>
          <w:sz w:val="24"/>
          <w:szCs w:val="24"/>
          <w:color w:val="auto"/>
        </w:rPr>
      </w:pPr>
    </w:p>
    <w:p>
      <w:pPr>
        <w:jc w:val="center"/>
        <w:ind w:right="-984"/>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09075X108</w:t>
      </w:r>
    </w:p>
    <w:p>
      <w:pPr>
        <w:spacing w:after="0" w:line="21" w:lineRule="exact"/>
        <w:rPr>
          <w:sz w:val="24"/>
          <w:szCs w:val="24"/>
          <w:color w:val="auto"/>
        </w:rPr>
      </w:pPr>
    </w:p>
    <w:p>
      <w:pPr>
        <w:jc w:val="center"/>
        <w:ind w:right="-984"/>
        <w:spacing w:after="0"/>
        <w:rPr>
          <w:sz w:val="20"/>
          <w:szCs w:val="20"/>
          <w:color w:val="auto"/>
        </w:rPr>
      </w:pPr>
      <w:r>
        <w:rPr>
          <w:rFonts w:ascii="Arial" w:cs="Arial" w:eastAsia="Arial" w:hAnsi="Arial"/>
          <w:sz w:val="14"/>
          <w:szCs w:val="14"/>
          <w:b w:val="1"/>
          <w:bCs w:val="1"/>
          <w:color w:val="auto"/>
        </w:rPr>
        <w:t>(CUSIP Number of Class of Securities)</w:t>
      </w:r>
    </w:p>
    <w:p>
      <w:pPr>
        <w:spacing w:after="0" w:line="192"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Scott Hutton</w:t>
      </w:r>
    </w:p>
    <w:p>
      <w:pPr>
        <w:spacing w:after="0" w:line="27"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Biodesix, Inc.</w:t>
      </w:r>
    </w:p>
    <w:p>
      <w:pPr>
        <w:spacing w:after="0" w:line="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2970 Wilderness Place, Suite 100</w:t>
      </w:r>
    </w:p>
    <w:p>
      <w:pPr>
        <w:spacing w:after="0" w:line="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Boulder, Colorado 80301</w:t>
      </w:r>
    </w:p>
    <w:p>
      <w:pPr>
        <w:spacing w:after="0" w:line="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(303) 417-0500</w:t>
      </w:r>
    </w:p>
    <w:p>
      <w:pPr>
        <w:spacing w:after="0" w:line="2" w:lineRule="exact"/>
        <w:rPr>
          <w:sz w:val="24"/>
          <w:szCs w:val="24"/>
          <w:color w:val="auto"/>
        </w:rPr>
      </w:pPr>
    </w:p>
    <w:p>
      <w:pPr>
        <w:jc w:val="center"/>
        <w:ind w:right="-984"/>
        <w:spacing w:after="0"/>
        <w:rPr>
          <w:sz w:val="20"/>
          <w:szCs w:val="20"/>
          <w:color w:val="auto"/>
        </w:rPr>
      </w:pPr>
      <w:r>
        <w:rPr>
          <w:rFonts w:ascii="Arial" w:cs="Arial" w:eastAsia="Arial" w:hAnsi="Arial"/>
          <w:sz w:val="12"/>
          <w:szCs w:val="12"/>
          <w:b w:val="1"/>
          <w:bCs w:val="1"/>
          <w:color w:val="auto"/>
        </w:rPr>
        <w:t>(Name, Address and Telephone Number of Person Authorized to Receive Notices and Communications on Behalf of Filing Person)</w:t>
      </w:r>
    </w:p>
    <w:p>
      <w:pPr>
        <w:spacing w:after="0" w:line="21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Frank F. Rahmani, Esq.</w:t>
      </w:r>
    </w:p>
    <w:p>
      <w:pPr>
        <w:spacing w:after="0" w:line="27"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Samir A. Gandhi, Esq.</w:t>
      </w:r>
    </w:p>
    <w:p>
      <w:pPr>
        <w:spacing w:after="0" w:line="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Sidley Austin LLP</w:t>
      </w:r>
    </w:p>
    <w:p>
      <w:pPr>
        <w:spacing w:after="0" w:line="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555 California Street, Suite 2000</w:t>
      </w:r>
    </w:p>
    <w:p>
      <w:pPr>
        <w:spacing w:after="0" w:line="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San Francisco, California 94104</w:t>
      </w:r>
    </w:p>
    <w:p>
      <w:pPr>
        <w:spacing w:after="0" w:line="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Telephone: (415) 772-1200</w:t>
      </w:r>
    </w:p>
    <w:p>
      <w:pPr>
        <w:spacing w:after="0" w:line="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Fax: (415) 772-7400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24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31" w:lineRule="exact"/>
        <w:rPr>
          <w:sz w:val="24"/>
          <w:szCs w:val="24"/>
          <w:color w:val="auto"/>
        </w:rPr>
      </w:pPr>
    </w:p>
    <w:p>
      <w:pPr>
        <w:ind w:left="984" w:hanging="544"/>
        <w:spacing w:after="0"/>
        <w:tabs>
          <w:tab w:leader="none" w:pos="98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third party tender offer subject to Rule 14d-1.</w:t>
      </w:r>
    </w:p>
    <w:p>
      <w:pPr>
        <w:spacing w:after="0" w:line="131" w:lineRule="exact"/>
        <w:rPr>
          <w:sz w:val="24"/>
          <w:szCs w:val="24"/>
          <w:color w:val="auto"/>
        </w:rPr>
      </w:pPr>
    </w:p>
    <w:p>
      <w:pPr>
        <w:ind w:left="984" w:hanging="544"/>
        <w:spacing w:after="0"/>
        <w:tabs>
          <w:tab w:leader="none" w:pos="98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31" w:lineRule="exact"/>
        <w:rPr>
          <w:sz w:val="24"/>
          <w:szCs w:val="24"/>
          <w:color w:val="auto"/>
        </w:rPr>
      </w:pPr>
    </w:p>
    <w:p>
      <w:pPr>
        <w:ind w:left="984" w:hanging="544"/>
        <w:spacing w:after="0"/>
        <w:tabs>
          <w:tab w:leader="none" w:pos="98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130" w:lineRule="exact"/>
        <w:rPr>
          <w:rFonts w:ascii="MS PGothic" w:cs="MS PGothic" w:eastAsia="MS PGothic" w:hAnsi="MS PGothic"/>
          <w:sz w:val="18"/>
          <w:szCs w:val="18"/>
          <w:color w:val="auto"/>
        </w:rPr>
      </w:pPr>
    </w:p>
    <w:p>
      <w:pPr>
        <w:ind w:left="984" w:hanging="544"/>
        <w:spacing w:after="0"/>
        <w:tabs>
          <w:tab w:leader="none" w:pos="98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8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70" w:lineRule="exact"/>
        <w:rPr>
          <w:sz w:val="24"/>
          <w:szCs w:val="24"/>
          <w:color w:val="auto"/>
        </w:rPr>
      </w:pPr>
    </w:p>
    <w:p>
      <w:pPr>
        <w:ind w:left="4"/>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131" w:lineRule="exact"/>
        <w:rPr>
          <w:sz w:val="24"/>
          <w:szCs w:val="24"/>
          <w:color w:val="auto"/>
        </w:rPr>
      </w:pPr>
    </w:p>
    <w:p>
      <w:pPr>
        <w:ind w:left="984" w:hanging="544"/>
        <w:spacing w:after="0"/>
        <w:tabs>
          <w:tab w:leader="none" w:pos="98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130" w:lineRule="exact"/>
        <w:rPr>
          <w:rFonts w:ascii="MS PGothic" w:cs="MS PGothic" w:eastAsia="MS PGothic" w:hAnsi="MS PGothic"/>
          <w:sz w:val="18"/>
          <w:szCs w:val="18"/>
          <w:color w:val="auto"/>
        </w:rPr>
      </w:pPr>
    </w:p>
    <w:p>
      <w:pPr>
        <w:ind w:left="984" w:hanging="544"/>
        <w:spacing w:after="0"/>
        <w:tabs>
          <w:tab w:leader="none" w:pos="98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7" w:right="1440" w:bottom="1440" w:gutter="0" w:footer="0" w:header="0"/>
        </w:sectPr>
      </w:pPr>
    </w:p>
    <w:bookmarkStart w:id="1" w:name="page2"/>
    <w:bookmarkEnd w:id="1"/>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This Amendment No. 2 to the Tender Offer Statement on Schedule TO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amends and supplements the Tender Offer Statement on Schedule TO filed with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on June 23, 2023 (the “</w:t>
      </w:r>
      <w:r>
        <w:rPr>
          <w:rFonts w:ascii="Arial" w:cs="Arial" w:eastAsia="Arial" w:hAnsi="Arial"/>
          <w:sz w:val="17"/>
          <w:szCs w:val="17"/>
          <w:b w:val="1"/>
          <w:bCs w:val="1"/>
          <w:i w:val="1"/>
          <w:iCs w:val="1"/>
          <w:color w:val="auto"/>
        </w:rPr>
        <w:t>Schedule TO</w:t>
      </w:r>
      <w:r>
        <w:rPr>
          <w:rFonts w:ascii="Arial" w:cs="Arial" w:eastAsia="Arial" w:hAnsi="Arial"/>
          <w:sz w:val="17"/>
          <w:szCs w:val="17"/>
          <w:color w:val="auto"/>
        </w:rPr>
        <w:t>”), by Biodesix,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its offer to exchange eligible stock options for replacement stock options with modified terms pursuant to the Offer to Exchange Eligible Options for New Options, dated June 23, 2023 (the “</w:t>
      </w:r>
      <w:r>
        <w:rPr>
          <w:rFonts w:ascii="Arial" w:cs="Arial" w:eastAsia="Arial" w:hAnsi="Arial"/>
          <w:sz w:val="17"/>
          <w:szCs w:val="17"/>
          <w:b w:val="1"/>
          <w:bCs w:val="1"/>
          <w:i w:val="1"/>
          <w:iCs w:val="1"/>
          <w:color w:val="auto"/>
        </w:rPr>
        <w:t>Exchange Offer</w:t>
      </w:r>
      <w:r>
        <w:rPr>
          <w:rFonts w:ascii="Arial" w:cs="Arial" w:eastAsia="Arial" w:hAnsi="Arial"/>
          <w:sz w:val="17"/>
          <w:szCs w:val="17"/>
          <w:color w:val="auto"/>
        </w:rPr>
        <w:t>”).</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This Amendment is being filed solely to amend “Item 4 – Terms of the Transaction” to reflect and report the final results of the Exchange Offer under the caption “Material Terms.” Except as otherwise noted below, no changes have been made to the Schedule TO. This Amendment should be read in conjunction with the Schedule TO, Amendment No. 1 to the Schedule TO and the Exchange Offer. All capitalized terms used herein have the same meanings as given in the Exchange Offer.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Terms of the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TO is hereby amended and supplemented by adding the following information under the caption “Material Terms”: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Exchange Offer expired at 10:00 p.m., Mountain Time, on Monday, July 24, 2023. Pursuant to the Exchange Offer, 83 Eligible Holders elected to exchange Eligible Options, and the Company accepted for cancellation Eligible Options to purchase an aggregate of 757,595 shares of the Company’s common stock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representing approximately 99% of the total shares of Common Stock underlying the Eligible Options. Following the expiration of the Exchange Offer, on July 24, 2023, the Company granted New Options to purchase 156,868 shares of Common Stock, pursuant to the terms of the Exchange Offer and the Company’s 2020 Equity Incentive Plan. The exercise price per share of the New Options granted pursuant to the Exchange Offer was $1.20 per share, which was the closing price per share of Common Stock on The Nasdaq Global Select Market on the grant date of the New Options. The vesting terms of the New Options are described in detail in the Exchange Offer.</w:t>
      </w:r>
    </w:p>
    <w:p>
      <w:pPr>
        <w:sectPr>
          <w:pgSz w:w="11900" w:h="16838" w:orient="portrait"/>
          <w:cols w:equalWidth="0" w:num="1">
            <w:col w:w="11020"/>
          </w:cols>
          <w:pgMar w:left="440" w:top="490" w:right="43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71"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BIODESIX, INC.</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Scott Hutton</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26, 2023</w:t>
      </w:r>
    </w:p>
    <w:sectPr>
      <w:pgSz w:w="11900" w:h="16838" w:orient="portrait"/>
      <w:cols w:equalWidth="0" w:num="1">
        <w:col w:w="10580"/>
      </w:cols>
      <w:pgMar w:left="440" w:top="486"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2023-07-26T15:12:26Z</dcterms:created>
  <dcterms:modified xsi:type="dcterms:W3CDTF">2023-07-26T15:12:26Z</dcterms:modified>
</cp:coreProperties>
</file>