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dsx-20260805.htm"/>
      <w:bookmarkStart w:id="1" w:name="ksbdsx20260805"/>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0"/>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60" w:after="283"/>
        <w:jc w:val="center"/>
        <w:rPr>
          <w:rFonts w:ascii="Times New Roman" w:hAnsi="Times New Roman"/>
          <w:b/>
          <w:color w:val="000000"/>
          <w:sz w:val="28"/>
        </w:rPr>
      </w:pPr>
      <w:r>
        <w:rPr>
          <w:rFonts w:ascii="Times New Roman" w:hAnsi="Times New Roman"/>
          <w:b/>
          <w:color w:val="000000"/>
          <w:sz w:val="28"/>
        </w:rPr>
        <w:t>CURRENT REPORT</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Pursuant to Section 13 or 15(d)</w:t>
        <w:br/>
        <w:t>of the Securities Exchange Act of 1934</w:t>
      </w:r>
    </w:p>
    <w:p>
      <w:pPr>
        <w:pStyle w:val="TextBody"/>
        <w:bidi w:val="0"/>
        <w:spacing w:before="160" w:after="283"/>
        <w:jc w:val="center"/>
        <w:rPr>
          <w:rFonts w:ascii="Times New Roman" w:hAnsi="Times New Roman"/>
          <w:sz w:val="20"/>
        </w:rPr>
      </w:pPr>
      <w:r>
        <w:rPr>
          <w:rFonts w:ascii="Times New Roman" w:hAnsi="Times New Roman"/>
          <w:b/>
          <w:color w:val="000000"/>
          <w:sz w:val="20"/>
        </w:rPr>
        <w:t>August 5, 2026</w:t>
        <w:br/>
      </w:r>
      <w:r>
        <w:rPr>
          <w:rFonts w:ascii="Times New Roman" w:hAnsi="Times New Roman"/>
          <w:color w:val="000000"/>
          <w:sz w:val="20"/>
        </w:rPr>
        <w:t xml:space="preserve">Date of Report (Date of earliest event reported) </w:t>
      </w:r>
    </w:p>
    <w:p>
      <w:pPr>
        <w:pStyle w:val="TextBody"/>
        <w:bidi w:val="0"/>
        <w:spacing w:before="160" w:after="283"/>
        <w:jc w:val="center"/>
        <w:rPr>
          <w:rFonts w:ascii="Times New Roman" w:hAnsi="Times New Roman"/>
          <w:b/>
          <w:color w:val="000000"/>
          <w:sz w:val="44"/>
        </w:rPr>
      </w:pPr>
      <w:r>
        <w:rPr>
          <w:rFonts w:ascii="Times New Roman" w:hAnsi="Times New Roman"/>
          <w:b/>
          <w:color w:val="000000"/>
          <w:sz w:val="44"/>
        </w:rPr>
        <w:t>Biodesix,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Charter)</w:t>
      </w:r>
      <w:r>
        <w:rPr>
          <w:rFonts w:ascii="Times New Roman" w:hAnsi="Times New Roman"/>
          <w:color w:val="000000"/>
          <w:sz w:val="20"/>
        </w:rPr>
        <w:t xml:space="preserve"> </w:t>
      </w:r>
    </w:p>
    <w:p>
      <w:pPr>
        <w:pStyle w:val="TextBody"/>
        <w:bidi w:val="0"/>
        <w:jc w:val="left"/>
        <w:rPr/>
      </w:pPr>
      <w:r>
        <w:rPr/>
        <w:t> </w:t>
      </w:r>
    </w:p>
    <w:tbl>
      <w:tblPr>
        <w:tblW w:w="5088" w:type="dxa"/>
        <w:jc w:val="left"/>
        <w:tblInd w:w="0" w:type="dxa"/>
        <w:tblLayout w:type="fixed"/>
        <w:tblCellMar>
          <w:top w:w="28" w:type="dxa"/>
          <w:left w:w="28" w:type="dxa"/>
          <w:bottom w:w="28" w:type="dxa"/>
          <w:right w:w="28" w:type="dxa"/>
        </w:tblCellMar>
      </w:tblPr>
      <w:tblGrid>
        <w:gridCol w:w="2251"/>
        <w:gridCol w:w="118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001-39659</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20-3986492</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br/>
              <w:t>File Number)</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both"/>
        <w:rPr/>
      </w:pPr>
      <w:r>
        <w:rPr/>
        <w:t> </w:t>
      </w:r>
    </w:p>
    <w:tbl>
      <w:tblPr>
        <w:tblW w:w="4322" w:type="dxa"/>
        <w:jc w:val="left"/>
        <w:tblInd w:w="0" w:type="dxa"/>
        <w:tblLayout w:type="fixed"/>
        <w:tblCellMar>
          <w:top w:w="28" w:type="dxa"/>
          <w:left w:w="28" w:type="dxa"/>
          <w:bottom w:w="28" w:type="dxa"/>
          <w:right w:w="28" w:type="dxa"/>
        </w:tblCellMar>
      </w:tblPr>
      <w:tblGrid>
        <w:gridCol w:w="3286"/>
        <w:gridCol w:w="1036"/>
      </w:tblGrid>
      <w:tr>
        <w:trPr/>
        <w:tc>
          <w:tcPr>
            <w:tcW w:w="328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919 West Dillon Rd</w:t>
            </w:r>
          </w:p>
          <w:p>
            <w:pPr>
              <w:pStyle w:val="TableContents"/>
              <w:bidi w:val="0"/>
              <w:jc w:val="center"/>
              <w:rPr>
                <w:rFonts w:ascii="Times New Roman" w:hAnsi="Times New Roman"/>
                <w:b/>
                <w:color w:val="000000"/>
                <w:sz w:val="20"/>
              </w:rPr>
            </w:pPr>
            <w:r>
              <w:rPr>
                <w:rFonts w:ascii="Times New Roman" w:hAnsi="Times New Roman"/>
                <w:b/>
                <w:color w:val="000000"/>
                <w:sz w:val="20"/>
              </w:rPr>
              <w:t>Louisville, Colorado</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w:t>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80027</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(303)</w:t>
      </w:r>
      <w:r>
        <w:rPr>
          <w:rFonts w:ascii="Times New Roman" w:hAnsi="Times New Roman"/>
          <w:color w:val="000000"/>
          <w:sz w:val="20"/>
        </w:rPr>
        <w:t xml:space="preserve"> </w:t>
      </w:r>
      <w:r>
        <w:rPr>
          <w:rFonts w:ascii="Times New Roman" w:hAnsi="Times New Roman"/>
          <w:b/>
          <w:color w:val="000000"/>
          <w:sz w:val="20"/>
        </w:rPr>
        <w:t>417-0500</w:t>
      </w:r>
    </w:p>
    <w:p>
      <w:pPr>
        <w:pStyle w:val="TextBody"/>
        <w:bidi w:val="0"/>
        <w:spacing w:before="160" w:after="283"/>
        <w:jc w:val="center"/>
        <w:rPr>
          <w:rFonts w:ascii="Times New Roman" w:hAnsi="Times New Roman"/>
          <w:sz w:val="20"/>
        </w:rPr>
      </w:pPr>
      <w:r>
        <w:rPr>
          <w:rFonts w:ascii="Times New Roman" w:hAnsi="Times New Roman"/>
          <w:b/>
          <w:color w:val="000000"/>
          <w:sz w:val="20"/>
        </w:rPr>
        <w:t>Not Applicable</w:t>
        <w:br/>
      </w:r>
      <w:r>
        <w:rPr>
          <w:rFonts w:ascii="Times New Roman" w:hAnsi="Times New Roman"/>
          <w:color w:val="000000"/>
          <w:sz w:val="20"/>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7776" w:type="dxa"/>
        <w:jc w:val="left"/>
        <w:tblInd w:w="0" w:type="dxa"/>
        <w:tblLayout w:type="fixed"/>
        <w:tblCellMar>
          <w:top w:w="28" w:type="dxa"/>
          <w:left w:w="28" w:type="dxa"/>
          <w:bottom w:w="28" w:type="dxa"/>
          <w:right w:w="28" w:type="dxa"/>
        </w:tblCellMar>
      </w:tblPr>
      <w:tblGrid>
        <w:gridCol w:w="124"/>
        <w:gridCol w:w="31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 pursuant to Rule 425 under the Securities Act (17 CFR 230.425)</w:t>
            </w:r>
          </w:p>
        </w:tc>
      </w:tr>
    </w:tbl>
    <w:p>
      <w:pPr>
        <w:pStyle w:val="TextBody"/>
        <w:bidi w:val="0"/>
        <w:jc w:val="left"/>
        <w:rPr/>
      </w:pPr>
      <w:r>
        <w:rPr/>
        <w:t> </w:t>
      </w:r>
    </w:p>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jc w:val="left"/>
        <w:rPr/>
      </w:pPr>
      <w:r>
        <w:rPr/>
        <w:t> </w:t>
      </w:r>
    </w:p>
    <w:tbl>
      <w:tblPr>
        <w:tblW w:w="9546" w:type="dxa"/>
        <w:jc w:val="left"/>
        <w:tblInd w:w="0" w:type="dxa"/>
        <w:tblLayout w:type="fixed"/>
        <w:tblCellMar>
          <w:top w:w="28" w:type="dxa"/>
          <w:left w:w="28" w:type="dxa"/>
          <w:bottom w:w="28" w:type="dxa"/>
          <w:right w:w="28"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14d-2(b) under the Exchange Act (17 CFR 240.14d-2(b))</w:t>
            </w:r>
          </w:p>
        </w:tc>
      </w:tr>
    </w:tbl>
    <w:p>
      <w:pPr>
        <w:pStyle w:val="TextBody"/>
        <w:bidi w:val="0"/>
        <w:jc w:val="left"/>
        <w:rPr/>
      </w:pPr>
      <w:r>
        <w:rPr/>
        <w:t> </w:t>
      </w:r>
    </w:p>
    <w:tbl>
      <w:tblPr>
        <w:tblW w:w="9486" w:type="dxa"/>
        <w:jc w:val="left"/>
        <w:tblInd w:w="0" w:type="dxa"/>
        <w:tblLayout w:type="fixed"/>
        <w:tblCellMar>
          <w:top w:w="28" w:type="dxa"/>
          <w:left w:w="28" w:type="dxa"/>
          <w:bottom w:w="28" w:type="dxa"/>
          <w:right w:w="28"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625" w:type="dxa"/>
        <w:jc w:val="left"/>
        <w:tblInd w:w="0" w:type="dxa"/>
        <w:tblLayout w:type="fixed"/>
        <w:tblCellMar>
          <w:top w:w="28" w:type="dxa"/>
          <w:left w:w="28" w:type="dxa"/>
          <w:bottom w:w="28" w:type="dxa"/>
          <w:right w:w="28" w:type="dxa"/>
        </w:tblCellMar>
      </w:tblPr>
      <w:tblGrid>
        <w:gridCol w:w="3811"/>
        <w:gridCol w:w="146"/>
        <w:gridCol w:w="169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of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BDSX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212529"/>
          <w:sz w:val="20"/>
        </w:rPr>
      </w:pPr>
      <w:r>
        <w:rPr>
          <w:rFonts w:ascii="Times New Roman" w:hAnsi="Times New Roman"/>
          <w:b/>
          <w:color w:val="212529"/>
          <w:sz w:val="20"/>
        </w:rPr>
        <w:t>Item 2.02.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5, 2026, Biodesix, Inc. (the Company) issued a press release announcing the financial and operating results of the Company for the second quarter ended June 30, 2026. A copy of the press release is furnished as Exhibit 99.1 to this report and is incorporated herein by reference.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information contained in Item 2.02 to this Current Report on Form 8-K and Exhibit 99.1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pStyle w:val="TextBody"/>
        <w:bidi w:val="0"/>
        <w:jc w:val="both"/>
        <w:rPr>
          <w:rFonts w:ascii="Times New Roman" w:hAnsi="Times New Roman"/>
          <w:b/>
          <w:color w:val="212529"/>
          <w:sz w:val="20"/>
        </w:rPr>
      </w:pPr>
      <w:r>
        <w:rPr>
          <w:rFonts w:ascii="Times New Roman" w:hAnsi="Times New Roman"/>
          <w:b/>
          <w:color w:val="212529"/>
          <w:sz w:val="20"/>
        </w:rPr>
        <w:t>Item 9.01. Financial Statements and Exhibits.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(d) Exhibits:</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Exhibit</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bdsx-ex99_1.htm">
              <w:r>
                <w:rPr>
                  <w:rStyle w:val="InternetLink"/>
                  <w:rFonts w:ascii="Times New Roman" w:hAnsi="Times New Roman"/>
                  <w:color w:val="0000FF"/>
                  <w:sz w:val="20"/>
                  <w:u w:val="single"/>
                </w:rPr>
                <w:t>Press Release issued by Biodesix, Inc. dated August 5,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4638" w:type="dxa"/>
        <w:jc w:val="left"/>
        <w:tblInd w:w="0" w:type="dxa"/>
        <w:tblLayout w:type="fixed"/>
        <w:tblCellMar>
          <w:top w:w="28" w:type="dxa"/>
          <w:left w:w="28" w:type="dxa"/>
          <w:bottom w:w="28" w:type="dxa"/>
          <w:right w:w="28" w:type="dxa"/>
        </w:tblCellMar>
      </w:tblPr>
      <w:tblGrid>
        <w:gridCol w:w="1951"/>
        <w:gridCol w:w="631"/>
        <w:gridCol w:w="2056"/>
      </w:tblGrid>
      <w:tr>
        <w:trPr/>
        <w:tc>
          <w:tcPr>
            <w:tcW w:w="19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August 5, 2026</w:t>
            </w:r>
          </w:p>
        </w:tc>
        <w:tc>
          <w:tcPr>
            <w:tcW w:w="268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BIODESIX, INC.</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Robin Harper Cowie</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Robin Harper Cowie</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sans-serif" w:hAnsi="sans-serif"/>
          <w:b/>
          <w:color w:val="000000"/>
          <w:sz w:val="22"/>
        </w:rPr>
      </w:pPr>
      <w:bookmarkStart w:id="2" w:name="bdsx-ex99_1.htm"/>
      <w:bookmarkStart w:id="3" w:name="ksbdsxex99_1"/>
      <w:bookmarkEnd w:id="2"/>
      <w:bookmarkEnd w:id="3"/>
      <w:r>
        <w:rPr>
          <w:rFonts w:ascii="sans-serif" w:hAnsi="sans-serif"/>
          <w:b/>
          <w:color w:val="000000"/>
          <w:sz w:val="22"/>
        </w:rPr>
        <w:t>Exhibit 99.1</w:t>
      </w:r>
      <w:r>
        <w:br w:type="page"/>
      </w:r>
    </w:p>
    <w:p>
      <w:pPr>
        <w:pStyle w:val="TextBody"/>
        <w:bidi w:val="0"/>
        <w:jc w:val="center"/>
        <w:rPr/>
      </w:pPr>
      <w:r>
        <w:rPr/>
        <w:drawing>
          <wp:inline distT="0" distB="0" distL="0" distR="0">
            <wp:extent cx="17145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323850"/>
                    </a:xfrm>
                    <a:prstGeom prst="rect">
                      <a:avLst/>
                    </a:prstGeom>
                  </pic:spPr>
                </pic:pic>
              </a:graphicData>
            </a:graphic>
          </wp:inline>
        </w:drawing>
      </w:r>
    </w:p>
    <w:p>
      <w:pPr>
        <w:pStyle w:val="TextBody"/>
        <w:bidi w:val="0"/>
        <w:spacing w:before="240" w:after="240"/>
        <w:jc w:val="center"/>
        <w:rPr>
          <w:rFonts w:ascii="Times New Roman" w:hAnsi="Times New Roman"/>
          <w:b/>
          <w:color w:val="000000"/>
          <w:sz w:val="28"/>
        </w:rPr>
      </w:pPr>
      <w:r>
        <w:rPr>
          <w:rFonts w:ascii="Times New Roman" w:hAnsi="Times New Roman"/>
          <w:b/>
          <w:color w:val="000000"/>
          <w:sz w:val="28"/>
        </w:rPr>
        <w:t>Biodesix Announces Second Quarter 2026 Results and Highlights</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Delivered $26.9 million in revenue, representing 34% growth in Q2 2026;</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Achieved 82% gross margin in Q2 2026;</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Maintained FY 2026 Revenue Guidance of $108-114 million, mid-point reflects 25% growth;</w:t>
      </w:r>
    </w:p>
    <w:p>
      <w:pPr>
        <w:pStyle w:val="TextBody"/>
        <w:bidi w:val="0"/>
        <w:jc w:val="center"/>
        <w:rPr>
          <w:rFonts w:ascii="Times New Roman" w:hAnsi="Times New Roman"/>
          <w:i/>
          <w:color w:val="000000"/>
          <w:sz w:val="24"/>
        </w:rPr>
      </w:pPr>
      <w:r>
        <w:rPr>
          <w:rFonts w:ascii="Times New Roman" w:hAnsi="Times New Roman"/>
          <w:i/>
          <w:color w:val="000000"/>
          <w:sz w:val="24"/>
        </w:rPr>
        <w:t>Conference Call and Webcast Today at 4:30 p.m. ET</w:t>
      </w:r>
    </w:p>
    <w:p>
      <w:pPr>
        <w:pStyle w:val="TextBody"/>
        <w:bidi w:val="0"/>
        <w:spacing w:before="200" w:after="283"/>
        <w:jc w:val="both"/>
        <w:rPr>
          <w:rFonts w:ascii="Times New Roman" w:hAnsi="Times New Roman"/>
          <w:sz w:val="20"/>
        </w:rPr>
      </w:pPr>
      <w:r>
        <w:rPr>
          <w:rFonts w:ascii="Times New Roman" w:hAnsi="Times New Roman"/>
          <w:b/>
          <w:color w:val="000000"/>
          <w:sz w:val="22"/>
        </w:rPr>
        <w:t>LOUISVILLE, CO, August 5, 2026 –</w:t>
      </w:r>
      <w:r>
        <w:rPr>
          <w:rFonts w:ascii="Times New Roman" w:hAnsi="Times New Roman"/>
          <w:color w:val="000000"/>
          <w:sz w:val="20"/>
        </w:rPr>
        <w:t xml:space="preserve"> </w:t>
      </w:r>
      <w:r>
        <w:rPr>
          <w:rFonts w:ascii="Times New Roman" w:hAnsi="Times New Roman"/>
          <w:sz w:val="22"/>
        </w:rPr>
        <w:t>Biodesix, Inc.</w:t>
      </w:r>
      <w:r>
        <w:rPr>
          <w:rFonts w:ascii="Times New Roman" w:hAnsi="Times New Roman"/>
          <w:color w:val="000000"/>
          <w:sz w:val="20"/>
        </w:rPr>
        <w:t xml:space="preserve"> </w:t>
      </w:r>
      <w:r>
        <w:rPr>
          <w:rFonts w:ascii="Times New Roman" w:hAnsi="Times New Roman"/>
          <w:color w:val="000000"/>
          <w:sz w:val="22"/>
        </w:rPr>
        <w:t>(Nasdaq: BDSX), a leading diagnostic solutions company, today announced its financial and operating results for the second quarter ended June 30, 2026.</w:t>
      </w:r>
    </w:p>
    <w:p>
      <w:pPr>
        <w:pStyle w:val="TextBody"/>
        <w:bidi w:val="0"/>
        <w:spacing w:before="200" w:after="283"/>
        <w:jc w:val="both"/>
        <w:rPr>
          <w:color w:val="000000"/>
        </w:rPr>
      </w:pPr>
      <w:r>
        <w:rPr>
          <w:color w:val="000000"/>
        </w:rPr>
        <w:t>“</w:t>
      </w:r>
      <w:r>
        <w:rPr>
          <w:rFonts w:ascii="Times New Roman" w:hAnsi="Times New Roman"/>
          <w:color w:val="000000"/>
          <w:sz w:val="22"/>
        </w:rPr>
        <w:t>Biodesix delivered another strong quarter, highlighted by 34% revenue growth, 42% growth in Diagnostic Testing revenue, and gross margins, which increased to 82%,” said Scott Hutton, Chief Executive Officer. “Our performance reflects continued adoption of our blood-based lung diagnostics, expanding reimbursement coverage, and improving sales force productivity. Diagnostic testing volumes grew 38% year-over-year while operating expenses excluding direct costs increased only 7%, demonstrating meaningful operating leverage and a 56% improvement in Adjusted EBITDA.”</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Hutton continued, “In delivering against our mission to conquer lung cancer and other diseases, we believe our combination of clinical evidence, reimbursement strength, commercial execution, and disciplined expense management positions Biodesix to continue delivering sustainable growth while advancing toward profitability.”</w:t>
      </w:r>
    </w:p>
    <w:p>
      <w:pPr>
        <w:pStyle w:val="TextBody"/>
        <w:bidi w:val="0"/>
        <w:spacing w:before="240" w:after="240"/>
        <w:jc w:val="both"/>
        <w:rPr>
          <w:rFonts w:ascii="Times New Roman" w:hAnsi="Times New Roman"/>
          <w:sz w:val="20"/>
        </w:rPr>
      </w:pPr>
      <w:r>
        <w:rPr>
          <w:rFonts w:ascii="Times New Roman" w:hAnsi="Times New Roman"/>
          <w:b/>
          <w:color w:val="000000"/>
          <w:sz w:val="22"/>
        </w:rPr>
        <w:t>Business and Financial Highlights for the Second Quarter 2026</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Diagnostic Testing revenue was $25.4 million in the second quarter, representing 42% growth, driven by a 38% increase in test volumes to 20,900 and higher average revenue per test year-over-year. The improvement in average revenue per test was primarily attributable to expanded payer coverage and continued improvements to revenue cycle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Development Services revenue of $1.5 million in the second quarter 2026, as compared to $2.1 million in the prior year period reflecting timing of project completion and revenue recognition. The Development Services pipeline is strong and supports expectations for growth over the remainder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Total revenue of $26.9 million in the second quarter 2026, an increase of 34% over the respective prior year comparable period;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Gross margin was 82% in the second quarter, a 200-basis point improvement over the respective prior year comparable period. The Company continues to deliver strong gross margins driven by higher Diagnostic Testing volumes, improved average revenue per test, and continued optimization of laboratory workflows, resulting in a lower cost per test;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Operating expenses (excluding direct costs and expenses) of $27.4 million for the second quarter 2026, an increase of 7% over the respective prior year comparable period. The Company expects continued operating leverage as our expanded sales team gains experience, increases productivity, and delivers sustained performance;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Includes non-cash stock compensation expense of $0.8 million during the second quarter 2026, a decrease of 21% versus the respective prior year comparable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Net loss of $7.3 million for the second quarter 2026, an improvement of 37% over the respective prior year comparable period;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Adjusted EBITDA was a loss of $3.2 million in the second quarter 2026, a 56% improvement over the respective prior year comparable period;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Cash and cash equivalents of $30.0 million, an increase of 17% over the period ending March 31, 2026. Change in cash included $6.5 million of net proceeds from our at-the-market program.</w:t>
      </w:r>
      <w:r>
        <w:rPr>
          <w:color w:val="000000"/>
        </w:rPr>
        <w:t xml:space="preserve"> </w:t>
      </w:r>
      <w:r>
        <w:rPr>
          <w:rFonts w:ascii="Times New Roman" w:hAnsi="Times New Roman"/>
          <w:color w:val="000000"/>
          <w:sz w:val="22"/>
        </w:rPr>
        <w:t xml:space="preserve">We believe current cash, expected growth in revenue, and ongoing operational leverage provide sufficient liquidity to execute our growth strategy.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2026 Financial Outlook</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For full year 2026, the Company expects total revenue of $108–114 million, with the midpoint representing approximately 25% growth over 2025. Biodesix expects continued progress toward achieving and maintaining Adjusted EBITDA profitability, driven by increasing sales productivity, expanded clinical evidence supporting the Nodify Lung tests, growth in the Development Services pipeline, and demonstrated operating leverage.</w:t>
      </w:r>
    </w:p>
    <w:p>
      <w:pPr>
        <w:pStyle w:val="TextBody"/>
        <w:bidi w:val="0"/>
        <w:jc w:val="both"/>
        <w:rPr/>
      </w:pPr>
      <w:r>
        <w:rPr/>
        <w:t> </w:t>
      </w:r>
    </w:p>
    <w:tbl>
      <w:tblPr>
        <w:tblW w:w="6137" w:type="dxa"/>
        <w:jc w:val="left"/>
        <w:tblInd w:w="0" w:type="dxa"/>
        <w:tblLayout w:type="fixed"/>
        <w:tblCellMar>
          <w:top w:w="28" w:type="dxa"/>
          <w:left w:w="28" w:type="dxa"/>
          <w:bottom w:w="28" w:type="dxa"/>
          <w:right w:w="28" w:type="dxa"/>
        </w:tblCellMar>
      </w:tblPr>
      <w:tblGrid>
        <w:gridCol w:w="1546"/>
        <w:gridCol w:w="4591"/>
      </w:tblGrid>
      <w:tr>
        <w:trPr/>
        <w:tc>
          <w:tcPr>
            <w:tcW w:w="1546"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1546" w:type="dxa"/>
            <w:tcBorders>
              <w:top w:val="single" w:sz="2" w:space="0" w:color="CCCCCC"/>
              <w:left w:val="single" w:sz="2" w:space="0" w:color="CCCCCC"/>
              <w:bottom w:val="single" w:sz="2" w:space="0" w:color="CCCCCC"/>
              <w:right w:val="single" w:sz="2" w:space="0" w:color="CCCCCC"/>
            </w:tcBorders>
            <w:shd w:fill="1F3864" w:val="clear"/>
            <w:tcMar>
              <w:top w:w="58" w:type="dxa"/>
              <w:left w:w="101" w:type="dxa"/>
              <w:bottom w:w="58" w:type="dxa"/>
              <w:right w:w="101"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Metric</w:t>
            </w:r>
          </w:p>
        </w:tc>
        <w:tc>
          <w:tcPr>
            <w:tcW w:w="4591" w:type="dxa"/>
            <w:tcBorders>
              <w:top w:val="single" w:sz="2" w:space="0" w:color="CCCCCC"/>
              <w:bottom w:val="single" w:sz="2" w:space="0" w:color="CCCCCC"/>
              <w:right w:val="single" w:sz="2" w:space="0" w:color="CCCCCC"/>
            </w:tcBorders>
            <w:shd w:fill="1F3864" w:val="clear"/>
            <w:tcMar>
              <w:top w:w="58" w:type="dxa"/>
              <w:left w:w="0" w:type="dxa"/>
              <w:bottom w:w="58" w:type="dxa"/>
              <w:right w:w="101"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FY 2026 Guidance</w:t>
            </w:r>
          </w:p>
        </w:tc>
      </w:tr>
      <w:tr>
        <w:trPr/>
        <w:tc>
          <w:tcPr>
            <w:tcW w:w="1546" w:type="dxa"/>
            <w:tcBorders>
              <w:left w:val="single" w:sz="2" w:space="0" w:color="CCCCCC"/>
              <w:bottom w:val="single" w:sz="2" w:space="0" w:color="CCCCCC"/>
              <w:right w:val="single" w:sz="2" w:space="0" w:color="CCCCCC"/>
            </w:tcBorders>
            <w:shd w:fill="F5F8FC" w:val="clear"/>
            <w:tcMar>
              <w:top w:w="0" w:type="dxa"/>
              <w:left w:w="101" w:type="dxa"/>
              <w:bottom w:w="58" w:type="dxa"/>
              <w:right w:w="101"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 Revenue</w:t>
            </w:r>
          </w:p>
        </w:tc>
        <w:tc>
          <w:tcPr>
            <w:tcW w:w="4591" w:type="dxa"/>
            <w:tcBorders>
              <w:bottom w:val="single" w:sz="2" w:space="0" w:color="CCCCCC"/>
              <w:right w:val="single" w:sz="2" w:space="0" w:color="CCCCCC"/>
            </w:tcBorders>
            <w:shd w:fill="F5F8FC" w:val="clear"/>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$108-114M (mid-point is 25% growth)</w:t>
            </w:r>
          </w:p>
        </w:tc>
      </w:tr>
      <w:tr>
        <w:trPr/>
        <w:tc>
          <w:tcPr>
            <w:tcW w:w="1546" w:type="dxa"/>
            <w:tcBorders>
              <w:left w:val="single" w:sz="2" w:space="0" w:color="CCCCCC"/>
              <w:bottom w:val="single" w:sz="2" w:space="0" w:color="CCCCCC"/>
              <w:right w:val="single" w:sz="2" w:space="0" w:color="CCCCCC"/>
            </w:tcBorders>
            <w:tcMar>
              <w:top w:w="0" w:type="dxa"/>
              <w:left w:w="101" w:type="dxa"/>
              <w:bottom w:w="58" w:type="dxa"/>
              <w:right w:w="101"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Gross Margin</w:t>
            </w:r>
          </w:p>
        </w:tc>
        <w:tc>
          <w:tcPr>
            <w:tcW w:w="4591" w:type="dxa"/>
            <w:tcBorders>
              <w:bottom w:val="single" w:sz="2" w:space="0" w:color="CCCCCC"/>
              <w:right w:val="single" w:sz="2" w:space="0" w:color="CCCCCC"/>
            </w:tcBorders>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Maintain ~80%</w:t>
            </w:r>
          </w:p>
        </w:tc>
      </w:tr>
      <w:tr>
        <w:trPr/>
        <w:tc>
          <w:tcPr>
            <w:tcW w:w="1546" w:type="dxa"/>
            <w:tcBorders>
              <w:left w:val="single" w:sz="2" w:space="0" w:color="CCCCCC"/>
              <w:bottom w:val="single" w:sz="2" w:space="0" w:color="CCCCCC"/>
              <w:right w:val="single" w:sz="2" w:space="0" w:color="CCCCCC"/>
            </w:tcBorders>
            <w:shd w:fill="F5F8FC" w:val="clear"/>
            <w:tcMar>
              <w:top w:w="0" w:type="dxa"/>
              <w:left w:w="101" w:type="dxa"/>
              <w:bottom w:w="58" w:type="dxa"/>
              <w:right w:w="101"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Adj. EBITDA</w:t>
            </w:r>
            <w:r>
              <w:rPr>
                <w:rFonts w:ascii="Times New Roman" w:hAnsi="Times New Roman"/>
                <w:color w:val="000000"/>
                <w:sz w:val="22"/>
              </w:rPr>
              <w:t xml:space="preserve"> </w:t>
            </w:r>
          </w:p>
        </w:tc>
        <w:tc>
          <w:tcPr>
            <w:tcW w:w="4591" w:type="dxa"/>
            <w:tcBorders>
              <w:bottom w:val="single" w:sz="2" w:space="0" w:color="CCCCCC"/>
              <w:right w:val="single" w:sz="2" w:space="0" w:color="CCCCCC"/>
            </w:tcBorders>
            <w:shd w:fill="F5F8FC" w:val="clear"/>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Continued improvement on path to profitability</w:t>
            </w:r>
          </w:p>
        </w:tc>
      </w:tr>
    </w:tbl>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Conference call and webcast information</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Listeners can register for the webcast via this </w:t>
      </w:r>
      <w:r>
        <w:rPr>
          <w:rFonts w:ascii="Times New Roman" w:hAnsi="Times New Roman"/>
          <w:sz w:val="22"/>
        </w:rPr>
        <w:t>link</w:t>
      </w:r>
      <w:r>
        <w:rPr>
          <w:rFonts w:ascii="Times New Roman" w:hAnsi="Times New Roman"/>
          <w:color w:val="000000"/>
          <w:sz w:val="22"/>
        </w:rPr>
        <w:t xml:space="preserve">. Analysts who wish to participate in the question-and-answer session should use this </w:t>
      </w:r>
      <w:r>
        <w:rPr>
          <w:rFonts w:ascii="Times New Roman" w:hAnsi="Times New Roman"/>
          <w:sz w:val="22"/>
        </w:rPr>
        <w:t>link</w:t>
      </w:r>
      <w:r>
        <w:rPr>
          <w:rFonts w:ascii="Times New Roman" w:hAnsi="Times New Roman"/>
          <w:color w:val="000000"/>
          <w:sz w:val="22"/>
        </w:rPr>
        <w:t>. A replay of the webcast will be available via the Company’s investor website approximately two hours after the call’s conclusion. Participants are advised to join 15 minutes prior to the start time.</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For a full list of Biodesix press releases and webinars, please visit </w:t>
      </w:r>
      <w:r>
        <w:rPr>
          <w:rFonts w:ascii="Times New Roman" w:hAnsi="Times New Roman"/>
          <w:sz w:val="22"/>
        </w:rPr>
        <w:t>biodesix.com</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About Biodesix</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Biodesix is a leading diagnostic solutions company, driven to improve clinical care and outcomes for patients. </w:t>
      </w:r>
      <w:r>
        <w:rPr>
          <w:rFonts w:ascii="Times New Roman" w:hAnsi="Times New Roman"/>
          <w:b/>
          <w:color w:val="000000"/>
          <w:sz w:val="22"/>
        </w:rPr>
        <w:t>Biodesix Diagnostic Tests</w:t>
      </w:r>
      <w:r>
        <w:rPr>
          <w:rFonts w:ascii="Times New Roman" w:hAnsi="Times New Roman"/>
          <w:color w:val="000000"/>
          <w:sz w:val="22"/>
        </w:rPr>
        <w:t xml:space="preserve">, including the Nodify Lung® Nodule Risk Assessment test and the IQLung® Cancer Treatment Guidance test, support clinical decisions to expedite personalized care and improve outcomes for patients with lung disease. </w:t>
      </w:r>
      <w:r>
        <w:rPr>
          <w:rFonts w:ascii="Times New Roman" w:hAnsi="Times New Roman"/>
          <w:b/>
          <w:color w:val="000000"/>
          <w:sz w:val="22"/>
        </w:rPr>
        <w:t>Biodesix Development Services</w:t>
      </w:r>
      <w:r>
        <w:rPr>
          <w:rFonts w:ascii="Times New Roman" w:hAnsi="Times New Roman"/>
          <w:color w:val="000000"/>
          <w:sz w:val="20"/>
        </w:rPr>
        <w:t xml:space="preserve"> </w:t>
      </w:r>
      <w:r>
        <w:rPr>
          <w:rFonts w:ascii="Times New Roman" w:hAnsi="Times New Roman"/>
          <w:color w:val="000000"/>
          <w:sz w:val="22"/>
        </w:rPr>
        <w:t xml:space="preserve">enable the world’s leading biopharmaceutical, life sciences, and research institutions with scientific, technological, and operational capabilities that fuel the development of diagnostic tests, tools, and therapeutics. For more information, visit </w:t>
      </w:r>
      <w:r>
        <w:rPr>
          <w:rFonts w:ascii="Times New Roman" w:hAnsi="Times New Roman"/>
          <w:sz w:val="22"/>
        </w:rPr>
        <w:t>biodesix.com</w:t>
      </w:r>
      <w:r>
        <w:rPr>
          <w:rFonts w:ascii="Times New Roman" w:hAnsi="Times New Roman"/>
          <w:color w:val="000000"/>
          <w:sz w:val="22"/>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Trademarks: Biodesix, Biodesix Logo, Nodify Lung, and IQLung are trademarks or registered trademarks of Biodesix, Inc.</w:t>
      </w:r>
    </w:p>
    <w:p>
      <w:pPr>
        <w:pStyle w:val="TextBody"/>
        <w:bidi w:val="0"/>
        <w:spacing w:before="240" w:after="283"/>
        <w:jc w:val="left"/>
        <w:rPr>
          <w:rFonts w:ascii="Times New Roman" w:hAnsi="Times New Roman"/>
          <w:sz w:val="20"/>
        </w:rPr>
      </w:pPr>
      <w:r>
        <w:rPr>
          <w:rFonts w:ascii="Times New Roman" w:hAnsi="Times New Roman"/>
          <w:b/>
          <w:color w:val="000000"/>
          <w:sz w:val="22"/>
        </w:rPr>
        <w:t>Use of Non-GAAP Financial Measure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Biodesix reported results are presented in accordance with generally accepted accounting principles in the United States (GAAP).</w:t>
      </w:r>
    </w:p>
    <w:p>
      <w:pPr>
        <w:pStyle w:val="TextBody"/>
        <w:bidi w:val="0"/>
        <w:spacing w:before="120" w:after="283"/>
        <w:jc w:val="both"/>
        <w:rPr>
          <w:rFonts w:ascii="Times New Roman" w:hAnsi="Times New Roman"/>
          <w:sz w:val="20"/>
        </w:rPr>
      </w:pPr>
      <w:r>
        <w:rPr>
          <w:rFonts w:ascii="Times New Roman" w:hAnsi="Times New Roman"/>
          <w:color w:val="000000"/>
          <w:sz w:val="22"/>
        </w:rPr>
        <w:t>Biodesix also presents Adjusted EBITDA, a non-GAAP financial measure, in this press release. Adjusted EBITDA is a key performance measure that our management uses to assess our financial performance, for internal planning and forecasting purposes, and as an additional measure of our performance for the purposes of business decision-making, including managing expenditures. We believe that this non-GAAP financial measure is useful to investors and other interested parties in analyzing our financial performance because it provides a comparable overview of our operations across historical periods, and helps our management identify additional trends in our financial results that may not be shown solely by period-to-period comparisons of Net loss or Loss from operations. In addition, we believe that providing Adjusted EBITDA, together with a reconciliation of Net loss to Adjusted EBITDA, helps investors make comparisons between our Company and other companies that may have different capital structures, different tax rates, and/or different forms of employee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compensation. Our management recognizes that Adjusted EBITDA has inherent limitations because of the excluded items and may not be directly comparable to similarly titled metrics used by other companies.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We calculate Adjusted EBITDA as Net loss adjusted to exclude interest, income tax expense, if any, depreciation and amortization, share-based compensation expense, loss on debt extinguishments, net, change in fair value of warrant liabilities, net, other income, net, and other non-recurring items. Non-recurring items are excluded as they are not representative of our underlying operating performance. Adjusted EBITDA should be viewed as a measure of operating performance that is a supplement to, and not a substitute for Loss from operations, Net loss, and other GAAP measures.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Note Regarding Forward-Looking Statements</w:t>
      </w:r>
    </w:p>
    <w:p>
      <w:pPr>
        <w:pStyle w:val="TextBody"/>
        <w:bidi w:val="0"/>
        <w:spacing w:before="120" w:after="283"/>
        <w:jc w:val="both"/>
        <w:rPr>
          <w:rFonts w:ascii="Times New Roman" w:hAnsi="Times New Roman"/>
          <w:sz w:val="20"/>
        </w:rPr>
      </w:pPr>
      <w:r>
        <w:rPr>
          <w:rFonts w:ascii="Times New Roman" w:hAnsi="Times New Roman"/>
          <w:color w:val="000000"/>
          <w:sz w:val="22"/>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possible or assumed future results of operations, including descriptions of our revenues, profitability, outlook, and overall business strategy, the timing and assumptions regarding collection of revenues on projections, availability of funds and future capital, the anticipated impact and benefits of new clinical data, reimbursement coverage and research partnerships, the impact of enhanced U.S. tariffs, import/export restrictions or other trade barriers on the company and its operations and financial performance. Forward-looking statements are inherently subject to risks and uncertainties, some of which cannot be predicted or quantified. Other factors that could cause actual results to differ materially from those contemplated in this press release can be found in the Risk Factors section of our most recent Annual Report on Form 10-K, filed February 26, 2026, or subsequent Quarterly Reports on Form 10-Q during 2026, as applicable.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Contacts:</w:t>
      </w:r>
    </w:p>
    <w:p>
      <w:pPr>
        <w:pStyle w:val="TextBody"/>
        <w:bidi w:val="0"/>
        <w:jc w:val="left"/>
        <w:rPr>
          <w:rFonts w:ascii="Times New Roman" w:hAnsi="Times New Roman"/>
          <w:b/>
          <w:color w:val="000000"/>
          <w:sz w:val="22"/>
        </w:rPr>
      </w:pPr>
      <w:r>
        <w:rPr>
          <w:rFonts w:ascii="Times New Roman" w:hAnsi="Times New Roman"/>
          <w:b/>
          <w:color w:val="000000"/>
          <w:sz w:val="22"/>
        </w:rPr>
        <w:t>Media:</w:t>
      </w:r>
    </w:p>
    <w:p>
      <w:pPr>
        <w:pStyle w:val="TextBody"/>
        <w:bidi w:val="0"/>
        <w:jc w:val="left"/>
        <w:rPr>
          <w:rFonts w:ascii="Times New Roman" w:hAnsi="Times New Roman"/>
          <w:color w:val="000000"/>
          <w:sz w:val="22"/>
        </w:rPr>
      </w:pPr>
      <w:r>
        <w:rPr>
          <w:rFonts w:ascii="Times New Roman" w:hAnsi="Times New Roman"/>
          <w:color w:val="000000"/>
          <w:sz w:val="22"/>
        </w:rPr>
        <w:t>Natalie St. Denis</w:t>
      </w:r>
    </w:p>
    <w:p>
      <w:pPr>
        <w:pStyle w:val="TextBody"/>
        <w:bidi w:val="0"/>
        <w:jc w:val="left"/>
        <w:rPr>
          <w:rFonts w:ascii="Times New Roman" w:hAnsi="Times New Roman"/>
          <w:sz w:val="20"/>
        </w:rPr>
      </w:pPr>
      <w:r>
        <w:rPr>
          <w:rFonts w:ascii="Times New Roman" w:hAnsi="Times New Roman"/>
          <w:sz w:val="20"/>
        </w:rPr>
        <w:t>natalie.stdenis@biodesix.com</w:t>
      </w:r>
    </w:p>
    <w:p>
      <w:pPr>
        <w:pStyle w:val="TextBody"/>
        <w:bidi w:val="0"/>
        <w:jc w:val="left"/>
        <w:rPr>
          <w:rFonts w:ascii="Times New Roman" w:hAnsi="Times New Roman"/>
          <w:color w:val="000000"/>
          <w:sz w:val="22"/>
        </w:rPr>
      </w:pPr>
      <w:r>
        <w:rPr>
          <w:rFonts w:ascii="Times New Roman" w:hAnsi="Times New Roman"/>
          <w:color w:val="000000"/>
          <w:sz w:val="22"/>
        </w:rPr>
        <w:t>(720) 925-9285</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Investors:</w:t>
      </w:r>
    </w:p>
    <w:p>
      <w:pPr>
        <w:pStyle w:val="TextBody"/>
        <w:bidi w:val="0"/>
        <w:jc w:val="left"/>
        <w:rPr>
          <w:rFonts w:ascii="Times New Roman" w:hAnsi="Times New Roman"/>
          <w:color w:val="000000"/>
          <w:sz w:val="22"/>
        </w:rPr>
      </w:pPr>
      <w:r>
        <w:rPr>
          <w:rFonts w:ascii="Times New Roman" w:hAnsi="Times New Roman"/>
          <w:color w:val="000000"/>
          <w:sz w:val="22"/>
        </w:rPr>
        <w:t>Chris Brinzey</w:t>
      </w:r>
    </w:p>
    <w:p>
      <w:pPr>
        <w:pStyle w:val="TextBody"/>
        <w:bidi w:val="0"/>
        <w:jc w:val="left"/>
        <w:rPr>
          <w:rFonts w:ascii="Times New Roman" w:hAnsi="Times New Roman"/>
          <w:sz w:val="20"/>
        </w:rPr>
      </w:pPr>
      <w:r>
        <w:rPr>
          <w:rFonts w:ascii="Times New Roman" w:hAnsi="Times New Roman"/>
          <w:sz w:val="20"/>
        </w:rPr>
        <w:t>chris.brinzey@icrhealthcare.com</w:t>
      </w:r>
    </w:p>
    <w:p>
      <w:pPr>
        <w:pStyle w:val="TextBody"/>
        <w:bidi w:val="0"/>
        <w:jc w:val="left"/>
        <w:rPr>
          <w:rFonts w:ascii="Times New Roman" w:hAnsi="Times New Roman"/>
          <w:color w:val="000000"/>
          <w:sz w:val="22"/>
        </w:rPr>
      </w:pPr>
      <w:r>
        <w:rPr>
          <w:rFonts w:ascii="Times New Roman" w:hAnsi="Times New Roman"/>
          <w:color w:val="000000"/>
          <w:sz w:val="22"/>
        </w:rPr>
        <w:t>(339) 970-2843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Biodesix, Inc.</w:t>
      </w:r>
    </w:p>
    <w:p>
      <w:pPr>
        <w:pStyle w:val="TextBody"/>
        <w:bidi w:val="0"/>
        <w:jc w:val="center"/>
        <w:rPr>
          <w:rFonts w:ascii="Times New Roman" w:hAnsi="Times New Roman"/>
          <w:b/>
          <w:color w:val="000000"/>
          <w:sz w:val="22"/>
        </w:rPr>
      </w:pPr>
      <w:r>
        <w:rPr>
          <w:rFonts w:ascii="Times New Roman" w:hAnsi="Times New Roman"/>
          <w:b/>
          <w:color w:val="000000"/>
          <w:sz w:val="22"/>
        </w:rPr>
        <w:t>Condensed Balance Sheets (unaudited)</w:t>
      </w:r>
    </w:p>
    <w:p>
      <w:pPr>
        <w:pStyle w:val="TextBody"/>
        <w:bidi w:val="0"/>
        <w:jc w:val="center"/>
        <w:rPr>
          <w:rFonts w:ascii="Times New Roman" w:hAnsi="Times New Roman"/>
          <w:b/>
          <w:color w:val="000000"/>
          <w:sz w:val="22"/>
        </w:rPr>
      </w:pPr>
      <w:r>
        <w:rPr>
          <w:rFonts w:ascii="Times New Roman" w:hAnsi="Times New Roman"/>
          <w:b/>
          <w:color w:val="000000"/>
          <w:sz w:val="22"/>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67"/>
        <w:gridCol w:w="146"/>
        <w:gridCol w:w="254"/>
        <w:gridCol w:w="1017"/>
        <w:gridCol w:w="166"/>
        <w:gridCol w:w="146"/>
        <w:gridCol w:w="344"/>
        <w:gridCol w:w="1371"/>
        <w:gridCol w:w="594"/>
      </w:tblGrid>
      <w:tr>
        <w:trPr/>
        <w:tc>
          <w:tcPr>
            <w:tcW w:w="6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1"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18,987</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$117 and $62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54,958</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 (Deficit)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w:t>
              <w:noBreakHyphen/>
              <w:t>term notes payable,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72,505</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5,000,000 authorized; </w:t>
              <w:br/>
              <w:t>    0 (2026 and 2025)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$0.001 par value, 200,000,000 authorized; </w:t>
              <w:br/>
              <w:t>   10,549,890 (2026) and 8,253,053 (2025)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w:t>
              <w:noBreakHyphen/>
              <w:t>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495,289</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(497,762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Biodesix, Inc.</w:t>
      </w:r>
    </w:p>
    <w:p>
      <w:pPr>
        <w:pStyle w:val="TextBody"/>
        <w:bidi w:val="0"/>
        <w:jc w:val="center"/>
        <w:rPr>
          <w:rFonts w:ascii="Times New Roman" w:hAnsi="Times New Roman"/>
          <w:b/>
          <w:color w:val="000000"/>
          <w:sz w:val="22"/>
        </w:rPr>
      </w:pPr>
      <w:r>
        <w:rPr>
          <w:rFonts w:ascii="Times New Roman" w:hAnsi="Times New Roman"/>
          <w:b/>
          <w:color w:val="000000"/>
          <w:sz w:val="22"/>
        </w:rPr>
        <w:t>Condensed Statements of Operations (unaudited)</w:t>
      </w:r>
    </w:p>
    <w:p>
      <w:pPr>
        <w:pStyle w:val="TextBody"/>
        <w:bidi w:val="0"/>
        <w:jc w:val="center"/>
        <w:rPr>
          <w:rFonts w:ascii="Times New Roman" w:hAnsi="Times New Roman"/>
          <w:b/>
          <w:color w:val="000000"/>
          <w:sz w:val="22"/>
        </w:rPr>
      </w:pPr>
      <w:r>
        <w:rPr>
          <w:rFonts w:ascii="Times New Roman" w:hAnsi="Times New Roman"/>
          <w:b/>
          <w:color w:val="000000"/>
          <w:sz w:val="22"/>
        </w:rPr>
        <w:t>(in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85"/>
        <w:gridCol w:w="146"/>
        <w:gridCol w:w="253"/>
        <w:gridCol w:w="813"/>
        <w:gridCol w:w="199"/>
        <w:gridCol w:w="175"/>
        <w:gridCol w:w="253"/>
        <w:gridCol w:w="885"/>
        <w:gridCol w:w="166"/>
        <w:gridCol w:w="146"/>
        <w:gridCol w:w="226"/>
        <w:gridCol w:w="790"/>
        <w:gridCol w:w="177"/>
        <w:gridCol w:w="156"/>
        <w:gridCol w:w="226"/>
        <w:gridCol w:w="790"/>
        <w:gridCol w:w="419"/>
      </w:tblGrid>
      <w:tr>
        <w:trPr/>
        <w:tc>
          <w:tcPr>
            <w:tcW w:w="4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4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34,214</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1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4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w:t>
            </w:r>
          </w:p>
        </w:tc>
        <w:tc>
          <w:tcPr>
            <w:tcW w:w="41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42,859</w:t>
            </w:r>
          </w:p>
        </w:tc>
        <w:tc>
          <w:tcPr>
            <w:tcW w:w="41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32,249</w:t>
            </w:r>
          </w:p>
        </w:tc>
        <w:tc>
          <w:tcPr>
            <w:tcW w:w="1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64,005</w:t>
            </w:r>
          </w:p>
        </w:tc>
        <w:tc>
          <w:tcPr>
            <w:tcW w:w="1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56,831</w:t>
            </w:r>
          </w:p>
        </w:tc>
        <w:tc>
          <w:tcPr>
            <w:tcW w:w="4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41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1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w:t>
            </w:r>
          </w:p>
        </w:tc>
        <w:tc>
          <w:tcPr>
            <w:tcW w:w="1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4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Biodesix,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Net Loss to Adjusted EBITDA (unaudited)</w:t>
      </w:r>
    </w:p>
    <w:p>
      <w:pPr>
        <w:pStyle w:val="TextBody"/>
        <w:bidi w:val="0"/>
        <w:jc w:val="center"/>
        <w:rPr>
          <w:rFonts w:ascii="Times New Roman" w:hAnsi="Times New Roman"/>
          <w:b/>
          <w:color w:val="000000"/>
          <w:sz w:val="22"/>
        </w:rPr>
      </w:pPr>
      <w:r>
        <w:rPr>
          <w:rFonts w:ascii="Times New Roman" w:hAnsi="Times New Roman"/>
          <w:b/>
          <w:color w:val="000000"/>
          <w:sz w:val="22"/>
        </w:rPr>
        <w:t>(in thousands)</w:t>
      </w:r>
    </w:p>
    <w:p>
      <w:pPr>
        <w:pStyle w:val="TextBody"/>
        <w:bidi w:val="0"/>
        <w:jc w:val="center"/>
        <w:rPr/>
      </w:pPr>
      <w:r>
        <w:rPr/>
        <w:t> </w:t>
      </w:r>
    </w:p>
    <w:tbl>
      <w:tblPr>
        <w:tblW w:w="9405" w:type="dxa"/>
        <w:jc w:val="left"/>
        <w:tblInd w:w="0" w:type="dxa"/>
        <w:tblLayout w:type="fixed"/>
        <w:tblCellMar>
          <w:top w:w="28" w:type="dxa"/>
          <w:left w:w="28" w:type="dxa"/>
          <w:bottom w:w="28" w:type="dxa"/>
          <w:right w:w="28" w:type="dxa"/>
        </w:tblCellMar>
      </w:tblPr>
      <w:tblGrid>
        <w:gridCol w:w="3776"/>
        <w:gridCol w:w="263"/>
        <w:gridCol w:w="788"/>
        <w:gridCol w:w="207"/>
        <w:gridCol w:w="182"/>
        <w:gridCol w:w="263"/>
        <w:gridCol w:w="919"/>
        <w:gridCol w:w="166"/>
        <w:gridCol w:w="146"/>
        <w:gridCol w:w="228"/>
        <w:gridCol w:w="796"/>
        <w:gridCol w:w="179"/>
        <w:gridCol w:w="157"/>
        <w:gridCol w:w="228"/>
        <w:gridCol w:w="796"/>
        <w:gridCol w:w="311"/>
      </w:tblGrid>
      <w:tr>
        <w:trPr/>
        <w:tc>
          <w:tcPr>
            <w:tcW w:w="37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2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(7,235</w:t>
            </w:r>
          </w:p>
        </w:tc>
        <w:tc>
          <w:tcPr>
            <w:tcW w:w="1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(13,409</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2460</Words>
  <Characters>14311</Characters>
  <CharactersWithSpaces>16919</CharactersWithSpaces>
  <Paragraphs>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