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Biodesix,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09075X108</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05/12/2025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09075X108</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Perceptive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7,673,880.00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7,673,880.00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7,673,880.00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09075X108</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Joseph Edelman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7,673,880.00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7,673,880.00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7,673,880.00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09075X108</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Perceptive Credit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7,673,880.00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7,673,880.00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7,673,880.00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09075X108</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PCOF EQ AIV IV,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1,137,320.00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1,137,320.00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1,137,320.00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09075X108</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Perceptive Credit Holdings IV,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6,536,560.00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6,536,560.00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6,536,560.00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61"/>
        <w:gridCol w:w="8889"/>
        <w:gridCol w:w="155"/>
      </w:tblGrid>
      <w:tr>
        <w:trPr/>
        <w:tc>
          <w:tcPr>
            <w:tcW w:w="1161" w:type="dxa"/>
            <w:tcBorders/>
            <w:vAlign w:val="center"/>
          </w:tcPr>
          <w:p>
            <w:pPr>
              <w:pStyle w:val="TableContents"/>
              <w:bidi w:val="0"/>
              <w:spacing w:before="0" w:after="283"/>
              <w:jc w:val="left"/>
              <w:rPr/>
            </w:pPr>
            <w:r>
              <w:rPr/>
              <w:t>Item 1.</w:t>
            </w:r>
          </w:p>
        </w:tc>
        <w:tc>
          <w:tcPr>
            <w:tcW w:w="88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Name of issuer: </w:t>
            </w:r>
          </w:p>
          <w:p>
            <w:pPr>
              <w:pStyle w:val="TableContents"/>
              <w:bidi w:val="0"/>
              <w:spacing w:before="0" w:after="0"/>
              <w:jc w:val="left"/>
              <w:rPr/>
            </w:pPr>
            <w:r>
              <w:rPr/>
              <w:t>Biodesix, Inc.</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919 West Dillon Road, Louisville, CO 80027</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2.</w:t>
            </w:r>
          </w:p>
        </w:tc>
        <w:tc>
          <w:tcPr>
            <w:tcW w:w="88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with respect to shares of Common Stock, par value $0.001 par value per share (the "Common Stock") of Biodesix, Inc. (the "Issuer") are: Perceptive Advisors LLC ("Perceptive Advisors") Joseph Edelman ("Mr. Edelman") Perceptive Credit Advisors LLC ("Perceptive Credit") PCOF EQ AIV IV, LP (the "Opportunity Fund") Perceptive Credit Holdings IV, LP (the "Credit Fund")</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51 Astor Place, 10th Floor, New York, NY 10003</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jc w:val="left"/>
              <w:rPr/>
            </w:pPr>
            <w:r>
              <w:rPr/>
              <w:t xml:space="preserve">Citizenship: </w:t>
            </w:r>
          </w:p>
          <w:p>
            <w:pPr>
              <w:pStyle w:val="TableContents"/>
              <w:bidi w:val="0"/>
              <w:spacing w:before="0" w:after="0"/>
              <w:jc w:val="left"/>
              <w:rPr/>
            </w:pPr>
            <w:r>
              <w:rPr/>
              <w:t>Perceptive Advisors is a Delaware limited liability company. Mr. Edelman is a United States citizen. Perceptive Credit is a Delaware limited liability company. The Opportunity Fund is a Delaware limited partnership. The Credit Fund is a 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jc w:val="left"/>
              <w:rPr/>
            </w:pPr>
            <w:r>
              <w:rPr/>
              <w:t xml:space="preserve">CUSIP No.: </w:t>
            </w:r>
          </w:p>
          <w:p>
            <w:pPr>
              <w:pStyle w:val="TableContents"/>
              <w:bidi w:val="0"/>
              <w:spacing w:before="0" w:after="0"/>
              <w:jc w:val="left"/>
              <w:rPr/>
            </w:pPr>
            <w:r>
              <w:rPr/>
              <w:t>09075X108</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3.</w:t>
            </w:r>
          </w:p>
        </w:tc>
        <w:tc>
          <w:tcPr>
            <w:tcW w:w="888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(f)</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(g)</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(h)</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(j)</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(k)</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9044" w:type="dxa"/>
            <w:gridSpan w:val="2"/>
            <w:tcBorders/>
            <w:vAlign w:val="center"/>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4.</w:t>
            </w:r>
          </w:p>
        </w:tc>
        <w:tc>
          <w:tcPr>
            <w:tcW w:w="888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this item with respect to each Reporting Person is set forth in Rows 5 through 9 of the cover pages to this Schedule 13G. The ownership percentages reported are based on 146,563,031 shares of Common Stock outstanding as of May 7, 2025, as reported in the Issuer's Quarterly Report on Form 10-Q filed with the Securities and Exchange Commission on May 13, 2025 and give effect to the exercise of the Warrants (as defined below). The Credit Fund directly holds (i) 1,036,560 shares of Common Stock and (ii) 5,500,000 warrants to purchase shares of Common Stock (the "Warrants"), consisting of (a) 5,000,000 warrants that are currently exercisable at an exercise price of $1.0648 per share and (b) 500,000 warrants that are currently exercisable at an exercise price of $1.6254 per share. The Opportunity Fund directly holds 1,137,320 shares of Common Stock. The Warrants may not be exercised if the Reporting Persons would beneficially own more than 9.99% of the Issuer's outstanding shares of Common Stock after giving effect to such exercise. Accordingly, the Credit Fund and Opportunity Fund could currently exercise all of their Warrants. Perceptive Credit serves as the investment manager to each of the Credit Fund and Opportunity Fund and as relying advisor under Perceptive Advisors. Perceptive Credit Opportunities GP, LLC serves as the general partner of the Credit Fund. PCOF EQ AIV GP, LLC serves as the general partner of the Opportunity Fund. Mr. Edelman is the managing member of Perceptive Advisors. Each of Perceptive Advisors, Perceptive Credit and Mr. Edelman may be deemed to beneficially own the securities of the Issuer held by the Credit Fund and the Opportunity Fund.</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Perceptive Advisors: 5.1% Mr. Edelman: 5.1% Perceptive Credit: 5.1% The Opportunity Fund: 0.8% The Credit Fund: 4.3  %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Perceptive Advisors: 0 Mr. Edelman: 0 Perceptive Credit: 0 The Opportunity Fund: 0 The Credit Fund: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Perceptive Advisors: 7,673,880 Mr. Edelman: 7,673,880 Perceptive Credit: 7,673,880 The Opportunity Fund: 1,137,320 The Credit Fund: 6,536,560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Perceptive Advisors: 0 Mr. Edelman: 0 Perceptive Credit: 0 The Opportunity Fund: 0 The Credit Fund: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Perceptive Advisors: 7,673,880 Mr. Edelman: 7,673,880 Perceptive Credit: 7,673,880 The Opportunity Fund: 1,137,320 The Credit Fund: 6,536,560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5.</w:t>
            </w:r>
          </w:p>
        </w:tc>
        <w:tc>
          <w:tcPr>
            <w:tcW w:w="888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6.</w:t>
            </w:r>
          </w:p>
        </w:tc>
        <w:tc>
          <w:tcPr>
            <w:tcW w:w="888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7.</w:t>
            </w:r>
          </w:p>
        </w:tc>
        <w:tc>
          <w:tcPr>
            <w:tcW w:w="888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8.</w:t>
            </w:r>
          </w:p>
        </w:tc>
        <w:tc>
          <w:tcPr>
            <w:tcW w:w="888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9.</w:t>
            </w:r>
          </w:p>
        </w:tc>
        <w:tc>
          <w:tcPr>
            <w:tcW w:w="888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Perceptive Advisors LLC</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Joseph Edelman</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Joseph Edelman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Joseph Edelman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tbl>
      <w:tblPr>
        <w:tblW w:w="6722" w:type="dxa"/>
        <w:jc w:val="left"/>
        <w:tblInd w:w="0" w:type="dxa"/>
        <w:tblLayout w:type="fixed"/>
        <w:tblCellMar>
          <w:top w:w="28" w:type="dxa"/>
          <w:left w:w="28" w:type="dxa"/>
          <w:bottom w:w="28" w:type="dxa"/>
          <w:right w:w="28" w:type="dxa"/>
        </w:tblCellMar>
      </w:tblPr>
      <w:tblGrid>
        <w:gridCol w:w="3361"/>
        <w:gridCol w:w="3361"/>
      </w:tblGrid>
      <w:tr>
        <w:trPr/>
        <w:tc>
          <w:tcPr>
            <w:tcW w:w="3361" w:type="dxa"/>
            <w:tcBorders/>
            <w:vAlign w:val="center"/>
          </w:tcPr>
          <w:p>
            <w:pPr>
              <w:pStyle w:val="TableContents"/>
              <w:bidi w:val="0"/>
              <w:spacing w:before="0" w:after="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0"/>
                    <w:jc w:val="left"/>
                    <w:rPr/>
                  </w:pPr>
                  <w:r>
                    <w:rPr/>
                    <w:t>Perceptive Credit Advisors LLC</w:t>
                  </w:r>
                </w:p>
              </w:tc>
            </w:tr>
          </w:tbl>
          <w:p>
            <w:pPr>
              <w:pStyle w:val="TableContents"/>
              <w:bidi w:val="0"/>
              <w:spacing w:before="0" w:after="283"/>
              <w:jc w:val="left"/>
              <w:rPr/>
            </w:pPr>
            <w:r>
              <w:rPr/>
            </w:r>
          </w:p>
        </w:tc>
        <w:tc>
          <w:tcPr>
            <w:tcW w:w="33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PCOF EQ AIV IV, LP</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Perceptive Credit Holdings IV, LP</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1706</Words>
  <Characters>9011</Characters>
  <CharactersWithSpaces>10621</CharactersWithSpaces>
  <Paragraphs>350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