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3, 2025</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13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001-39659</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6" w:lineRule="exact"/>
        <w:rPr>
          <w:sz w:val="24"/>
          <w:szCs w:val="24"/>
          <w:color w:val="auto"/>
        </w:rPr>
      </w:pPr>
    </w:p>
    <w:p>
      <w:pPr>
        <w:sectPr>
          <w:pgSz w:w="11900" w:h="16838" w:orient="portrait"/>
          <w:cols w:equalWidth="0" w:num="3">
            <w:col w:w="4420" w:space="720"/>
            <w:col w:w="2840" w:space="720"/>
            <w:col w:w="2540"/>
          </w:cols>
          <w:pgMar w:left="320" w:top="14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Louisville, Colorado</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80027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147" w:lineRule="exact"/>
        <w:rPr>
          <w:sz w:val="24"/>
          <w:szCs w:val="24"/>
          <w:color w:val="auto"/>
        </w:rPr>
      </w:pPr>
    </w:p>
    <w:p>
      <w:pPr>
        <w:sectPr>
          <w:pgSz w:w="11900" w:h="16838" w:orient="portrait"/>
          <w:cols w:equalWidth="0" w:num="2">
            <w:col w:w="7320" w:space="720"/>
            <w:col w:w="3200"/>
          </w:cols>
          <w:pgMar w:left="320" w:top="1440"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417-0500</w:t>
      </w:r>
    </w:p>
    <w:p>
      <w:pPr>
        <w:spacing w:after="0" w:line="14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237"/>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250"/>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right="2860" w:firstLine="183"/>
        <w:spacing w:after="0" w:line="404" w:lineRule="auto"/>
        <w:tabs>
          <w:tab w:leader="none" w:pos="405"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$0.001 per share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BDSX</w:t>
            </w:r>
          </w:p>
        </w:tc>
        <w:tc>
          <w:tcPr>
            <w:tcW w:w="10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3, 2025, Biodesix, Inc. (the Company) issued a press release announcing the financial and operating results of the Company for the third quarter ended September 30, 2025. A copy of the press release is furnished as Exhibit 99.1 to this report and is incorporated herein by reference.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Item 2.02 to this Current Report on Form 8-K and Exhibit 99.1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115"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7"/>
          <w:szCs w:val="17"/>
          <w:b w:val="1"/>
          <w:bCs w:val="1"/>
          <w:color w:val="auto"/>
        </w:rPr>
        <w:t>Exhibit</w:t>
      </w:r>
    </w:p>
    <w:p>
      <w:pPr>
        <w:spacing w:after="0" w:line="31" w:lineRule="exact"/>
        <w:rPr>
          <w:rFonts w:ascii="Times New Roman" w:cs="Times New Roman" w:eastAsia="Times New Roman" w:hAnsi="Times New Roman"/>
          <w:sz w:val="18"/>
          <w:szCs w:val="18"/>
          <w:i w:val="1"/>
          <w:iCs w:val="1"/>
          <w:color w:val="auto"/>
        </w:rPr>
      </w:pPr>
    </w:p>
    <w:p>
      <w:pPr>
        <w:ind w:left="2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issued by Biodesix, Inc. dated November 3, 2025</w:t>
      </w:r>
    </w:p>
    <w:p>
      <w:pPr>
        <w:spacing w:after="0" w:line="22" w:lineRule="exact"/>
        <w:rPr>
          <w:rFonts w:ascii="Times New Roman" w:cs="Times New Roman" w:eastAsia="Times New Roman" w:hAnsi="Times New Roman"/>
          <w:sz w:val="18"/>
          <w:szCs w:val="18"/>
          <w:i w:val="1"/>
          <w:iCs w:val="1"/>
          <w:color w:val="auto"/>
        </w:rPr>
      </w:pPr>
    </w:p>
    <w:p>
      <w:pPr>
        <w:ind w:left="2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-156210</wp:posOffset>
            </wp:positionV>
            <wp:extent cx="2906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3, 2025</w:t>
            </w:r>
          </w:p>
        </w:tc>
        <w:tc>
          <w:tcPr>
            <w:tcW w:w="71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BIODESIX, INC.</w:t>
            </w:r>
          </w:p>
        </w:tc>
      </w:tr>
      <w:tr>
        <w:trPr>
          <w:trHeight w:val="432"/>
        </w:trPr>
        <w:tc>
          <w:tcPr>
            <w:tcW w:w="4060" w:type="dxa"/>
            <w:vAlign w:val="bottom"/>
          </w:tcPr>
          <w:p>
            <w:pPr>
              <w:spacing w:after="0"/>
              <w:rPr>
                <w:sz w:val="24"/>
                <w:szCs w:val="24"/>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4060" w:type="dxa"/>
            <w:vAlign w:val="bottom"/>
          </w:tcPr>
          <w:p>
            <w:pPr>
              <w:spacing w:after="0"/>
              <w:rPr>
                <w:sz w:val="16"/>
                <w:szCs w:val="16"/>
                <w:color w:val="auto"/>
              </w:rPr>
            </w:pPr>
          </w:p>
        </w:tc>
        <w:tc>
          <w:tcPr>
            <w:tcW w:w="296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4060" w:type="dxa"/>
            <w:vAlign w:val="bottom"/>
          </w:tcPr>
          <w:p>
            <w:pPr>
              <w:spacing w:after="0"/>
              <w:rPr>
                <w:sz w:val="20"/>
                <w:szCs w:val="20"/>
                <w:color w:val="auto"/>
              </w:rPr>
            </w:pP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40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4305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Biodesix Announces Third Quarter 2025 Results and Highlights</w:t>
      </w:r>
    </w:p>
    <w:p>
      <w:pPr>
        <w:spacing w:after="0" w:line="223" w:lineRule="exact"/>
        <w:rPr>
          <w:sz w:val="20"/>
          <w:szCs w:val="20"/>
          <w:color w:val="auto"/>
        </w:rPr>
      </w:pPr>
    </w:p>
    <w:p>
      <w:pPr>
        <w:jc w:val="center"/>
        <w:spacing w:after="0" w:line="426" w:lineRule="auto"/>
        <w:rPr>
          <w:sz w:val="20"/>
          <w:szCs w:val="20"/>
          <w:color w:val="auto"/>
        </w:rPr>
      </w:pPr>
      <w:r>
        <w:rPr>
          <w:rFonts w:ascii="Times New Roman" w:cs="Times New Roman" w:eastAsia="Times New Roman" w:hAnsi="Times New Roman"/>
          <w:sz w:val="22"/>
          <w:szCs w:val="22"/>
          <w:i w:val="1"/>
          <w:iCs w:val="1"/>
          <w:color w:val="auto"/>
        </w:rPr>
        <w:t>Q3 2025 Revenue of $21.8 million, an increase of 20% over Q3 2024; Q3 2025 gross profit margin of 81%, a 400-basis point improvement from Q3 2024; Raised FY2025 Total Revenue Guidance to $84-86 million; Conference Call and Webcast Today at 4:30 p.m. ET</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LOUISVILLE, CO, November 3, 2025 – </w:t>
      </w:r>
      <w:r>
        <w:rPr>
          <w:rFonts w:ascii="Times New Roman" w:cs="Times New Roman" w:eastAsia="Times New Roman" w:hAnsi="Times New Roman"/>
          <w:sz w:val="20"/>
          <w:szCs w:val="20"/>
          <w:color w:val="auto"/>
        </w:rPr>
        <w:t>Biodesix, Inc. (Nasdaq: BDSX), a leading diagnostic solutions company, today announced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and operating results for the third quarter ended September 30, 2025.</w:t>
      </w:r>
    </w:p>
    <w:p>
      <w:pPr>
        <w:spacing w:after="0" w:line="1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delivered a strong third quarter with revenue growing 20% to $21.8 million and continued to improve our already strong gross margins to 81%, a 400-basis point increase year-over-year,” said Scott Hutton, Chief Executive Officer. “Our strategic expansion into primary care is proving to be additive, demonstrating our ability to drive adoption in pulmonology while also partnering with them to drive upstream testing in their referral network. Additionally, our Development Services business continues to accelerate with 97% year-over-year growth and another quarter ending with a record number of dollars under contract.”</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Hutton continued, “With our growing commercial organization and with the sustained positive momentum across both business units, we are well-positioned to achieve Adjusted EBITDA positivity in the fourth quarter. We believe the combination of our proven diagnostic solutions, expanding market reach, and operational excellence positions Biodesix for sustainable long-term growth as we continue to improve outcomes for patients with lung disease. Based on how we closed the third quarter and the ongoing momentum into the fourth quarter, we are increasing our revenue guidance for 2025 to $84-86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Ended September 30, 2025 Financial Results</w:t>
      </w:r>
    </w:p>
    <w:p>
      <w:pPr>
        <w:spacing w:after="0" w:line="220"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of $21.8 million for the third quarter 2025, an increase of 20% over the prior year comparable period;</w:t>
      </w:r>
    </w:p>
    <w:p>
      <w:pPr>
        <w:spacing w:after="0" w:line="103" w:lineRule="exact"/>
        <w:rPr>
          <w:rFonts w:ascii="Times New Roman" w:cs="Times New Roman" w:eastAsia="Times New Roman" w:hAnsi="Times New Roman"/>
          <w:sz w:val="20"/>
          <w:szCs w:val="20"/>
          <w:color w:val="auto"/>
        </w:rPr>
      </w:pPr>
    </w:p>
    <w:p>
      <w:pPr>
        <w:ind w:left="1540" w:hanging="509"/>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Lung Diagnostic Testing revenue of $19.8 million for the third quarter, an increase of 16% over the prior year comparable period; driven by an increase in total tests delivered and increase in average revenue per test. In addition to the improvements from the Company’s payer coverage and revenue cycle management activities, a major Medicare Advantage plan restarted paying current claims;</w:t>
      </w:r>
    </w:p>
    <w:p>
      <w:pPr>
        <w:spacing w:after="0" w:line="67" w:lineRule="exact"/>
        <w:rPr>
          <w:rFonts w:ascii="Times New Roman" w:cs="Times New Roman" w:eastAsia="Times New Roman" w:hAnsi="Times New Roman"/>
          <w:sz w:val="20"/>
          <w:szCs w:val="20"/>
          <w:color w:val="auto"/>
        </w:rPr>
      </w:pPr>
    </w:p>
    <w:p>
      <w:pPr>
        <w:ind w:left="1540" w:right="2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Development Services revenue of $1.9 million for the third quarter, an increase of 97% over the prior year comparable period, a result of both delivering against the Company’s book of contracted business and securing new agreements;</w:t>
      </w:r>
    </w:p>
    <w:p>
      <w:pPr>
        <w:spacing w:after="0" w:line="47"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$17.7 million, or 81% for the third quarter 2025, a 400-basis point improvement over the prior year comparable period, driven by growth in Lung Diagnostic testing, improvements in average revenue per test, and optimization of testing workflows that resulted in improvements in costs per test;</w:t>
      </w:r>
    </w:p>
    <w:p>
      <w:pPr>
        <w:spacing w:after="0" w:line="66"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expenses (excluding direct costs and expenses) of $24.7 million for the third quarter 2025, an increase of 10% over the prior year comparable period;</w:t>
      </w:r>
    </w:p>
    <w:p>
      <w:pPr>
        <w:spacing w:after="0" w:line="47" w:lineRule="exact"/>
        <w:rPr>
          <w:rFonts w:ascii="Times New Roman" w:cs="Times New Roman" w:eastAsia="Times New Roman" w:hAnsi="Times New Roman"/>
          <w:sz w:val="20"/>
          <w:szCs w:val="20"/>
          <w:color w:val="auto"/>
        </w:rPr>
      </w:pPr>
    </w:p>
    <w:p>
      <w:pPr>
        <w:ind w:left="1540" w:hanging="50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Increase in operating expenses is primarily attributed to an increase in sales and marketing costs due to the planned expansion of the sales team to support Lung Diagnostic sales growth, as well as to enhance Biodesix market awareness and drive product adoption;</w:t>
      </w:r>
    </w:p>
    <w:p>
      <w:pPr>
        <w:spacing w:after="0" w:line="60" w:lineRule="exact"/>
        <w:rPr>
          <w:rFonts w:ascii="Times New Roman" w:cs="Times New Roman" w:eastAsia="Times New Roman" w:hAnsi="Times New Roman"/>
          <w:sz w:val="20"/>
          <w:szCs w:val="20"/>
          <w:color w:val="auto"/>
        </w:rPr>
      </w:pPr>
    </w:p>
    <w:p>
      <w:pPr>
        <w:ind w:left="1540" w:right="2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i w:val="1"/>
          <w:iCs w:val="1"/>
          <w:color w:val="auto"/>
        </w:rPr>
        <w:t>Includes non-cash stock compensation expense of $1.1 million during the third quarter 2025, a decrease of 30% over the prior year comparable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 w:name="page5"/>
    <w:bookmarkEnd w:id="4"/>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of $8.7 million for the third quarter 2025, an improvement of 15% over the prior year comparable period;</w:t>
      </w:r>
    </w:p>
    <w:p>
      <w:pPr>
        <w:spacing w:after="0" w:line="107"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was a loss of $4.6 million for the third quarter 2025, an improvement of 18% over the prior year comparable period;</w:t>
      </w:r>
    </w:p>
    <w:p>
      <w:pPr>
        <w:spacing w:after="0" w:line="51" w:lineRule="exact"/>
        <w:rPr>
          <w:rFonts w:ascii="Times New Roman" w:cs="Times New Roman" w:eastAsia="Times New Roman" w:hAnsi="Times New Roman"/>
          <w:sz w:val="20"/>
          <w:szCs w:val="20"/>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of $16.6 million as of September 30, 2025, a decrease of $4.1 million from the period ending June 30, 2025. Change in cash included $4.8 million in net proceeds from the Company’s at-the-market offering, partially offset by unfavorable changes in working capital, primarily driven by a $5.2 million increase in accounts receivable. The increase in accounts receivable reflects higher Lung Diagnostic Testing revenue, newly secured Development Services agreements, and the timing of cash receipts, which were collected during the fourth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Ended September 30, 2025 Business Highlights</w:t>
      </w:r>
    </w:p>
    <w:p>
      <w:pPr>
        <w:spacing w:after="0" w:line="220"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Lung Diagnostic Tests ordered in primary care increased by more than 75% during the quarter versus the third quarter of 2024;</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Reported Development Services business dollars under contract of $12.9 million, up 16% over the prior year comparable period;</w:t>
      </w:r>
    </w:p>
    <w:p>
      <w:pPr>
        <w:spacing w:after="0" w:line="11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partnership with Bio-Rad Laboratories to develop Droplet Digital™ PCR high complexity assays;</w:t>
      </w:r>
    </w:p>
    <w:p>
      <w:pPr>
        <w:spacing w:after="0" w:line="107" w:lineRule="exact"/>
        <w:rPr>
          <w:rFonts w:ascii="Times New Roman" w:cs="Times New Roman" w:eastAsia="Times New Roman" w:hAnsi="Times New Roman"/>
          <w:sz w:val="20"/>
          <w:szCs w:val="20"/>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Announced a Research and Development (R&amp;D) Corporate Workshop at the Association for Molecular Pathology (AMP) Annual Meeting to focus on the Company’s R&amp;D efforts, pipeline and partnerships to be held on November 12, 4:00 pm ET. A recording of the event will be available on the Company’s website.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Financial Outlook</w:t>
      </w:r>
    </w:p>
    <w:p>
      <w:pPr>
        <w:spacing w:after="0" w:line="112" w:lineRule="exact"/>
        <w:rPr>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increasing its 2025 revenue guidance and now expects to generate between $84 million and $86 million in total revenue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Listeners can register for the webcast via this link. Analysts who wish to participate in the question-and-answer session should use this link.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replay of the webcast will be available via the Company’s investor website approximately two hours after the call’s conclusion.</w:t>
      </w:r>
    </w:p>
    <w:p>
      <w:pPr>
        <w:spacing w:after="0"/>
        <w:rPr>
          <w:sz w:val="20"/>
          <w:szCs w:val="20"/>
          <w:color w:val="auto"/>
        </w:rPr>
      </w:pPr>
      <w:r>
        <w:rPr>
          <w:rFonts w:ascii="Times New Roman" w:cs="Times New Roman" w:eastAsia="Times New Roman" w:hAnsi="Times New Roman"/>
          <w:sz w:val="20"/>
          <w:szCs w:val="20"/>
          <w:color w:val="auto"/>
        </w:rPr>
        <w:t>Participants are advised to join 15 minutes prior to the start time.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 full list of Biodesix press releases and webinars, please visit biodesix.com.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Biodesix</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Biodesix is a leading diagnostic solutions company, driven to improve clinical care and outcomes for patients. Biodesix Diagnostic Tests, marketed as Nodify Lung® Nodule Risk Assessment and IQLung® Cancer Treatment Guidance, support clinical decisions to expedite personalized care and improve outcomes for patients with lung disease. Biodesix Development Services enable the world’s leading biopharmaceutical, life sciences, and research institutions with scientific, technological, and operational capabilities that fuel the development of diagnostic tests, tools, and therapeutics. For more information, visit biodesix.com.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Trademarks: Biodesix, Biodesix Logo, Nodify Lung, and IQLung are trademarks or registered trademarks of Biodesix,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Biodesix reported results are presented in accordance with generally accepted accounting principles in the United States (GAAP). Biodesix has provided in this press release financial information that has not been prepared in accordance with GAAP. Biodesix uses the non-GAAP financial measure, Adjusted EBITDA, internally in analyzing its financial results and believes that use of this non-GAAP financial measure is useful to investors as an additional tool to evaluate ongoing operating results and trends and in comparing Biodesix financial results with other companies in its industry, many of which present similar non-GAAP financial measures. Non-GAAP financial measures are not meant to be considered in isolation or as a substitute for comparable GAAP financial measures and should be read only in conjunction with Biodesix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20"/>
          <w:szCs w:val="20"/>
          <w:color w:val="auto"/>
        </w:rPr>
        <w:t>statements prepared in accordance with GAAP. A reconciliation of Biodesix historical non-GAAP financial measure to the most directly comparable GAAP measure has been provided in the financial statement tables included in this press release, and investors are encouraged to review the reconciliation.</w:t>
      </w:r>
    </w:p>
    <w:p>
      <w:pPr>
        <w:spacing w:after="0" w:line="1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loss to Adjusted EBITDA, helps investors make comparisons between our Company and other companies that may have different capital structures, different tax rates, and/or different forms of employee compensation.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EBITDA is used by our management team as an additional measure of our performance for purposes of business decision-making, including managing expenditures. Period-to-period comparisons of Adjusted EBITDA help our management identify additional trends in our financial results that may not be shown solely by period-to-period comparisons of Net loss or Loss from operations. Our management recognizes that Adjusted EBITDA has inherent limitations because of the excluded items and may not be directly comparable to similarly titled metrics used by other companies.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calculate Adjusted EBITDA as Net loss adjusted to exclude interest, income tax expense, if any, depreciation and amortization, share-based compensation expense, loss on debt extinguishments, net, change in fair value of warrant liabilities, net, other income, net, and other non-recurring items. Non-recurring items are excluded as they are not representative of our underlying operating performance. Adjusted EBITDA should be viewed as a measure of operating performance that is a supplement to, and not a substitute for Loss from operations, Net loss, and other GAAP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Forward-Looking Statements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This press release may contain forward-looking statements that involve substantial risks and uncertainties for purposes of the safe harbor provided by the Private Securities Litigation Reform Act of 1995. All statements contained in this press release other than statements of historical fact, are forward-looking statements. The words “believe,” “may,” “will,” “estimate,” “continue,” “anticipate,” “intend,” “plan,” “expect,” “predict,” “potential,” “opportunity,” “goals,” or “should,” and similar expressions are intended to identify forward-looking statements. Such statements are based on management’s current expectations and involve risks and uncertainties. Actual results and performance could differ materially from those projected in the forward-looking statements as a result of many factors. Biodesix has based these forward-looking statements largely on its current expectations and projections about future events and trends. These forward-looking statements are subject to a number of risks, uncertainties, and assumptions. Forward-looking statements may include information concerning the impact of backlog and the timing and assumptions regarding collection of revenues on projections, availability of funds and future capital, including under the term loan facility, the anticipated impact and benefits of new clinical data, reimbursement coverage and research partnerships, assurances that our common stock will maintain compliance with the minimum bid price requirement or other applicable listing standards of The Nasdaq Stock Market LLC and the impact of enhanced U.S. tariffs, import/export restrictions or other trade barriers on Biodesix and its operations and financial performance. Forward-looking statements are inherently subject to risks and uncertainties, some of which cannot be predicted or quantified. Other factors that could cause actual results to differ materially from those contemplated in this press release can be found in the Risk Factors section of our most recent Annual Report on Form 10-K, filed March 3, 2025, or subsequent quarterly reports on Form 10-Q during 2025, as applicable. Biodesix undertakes no obligation to revise or publicly release the results of any revision to such forward-looking statements, except as required by law. Given these risks and uncertainties, readers are cautioned not to place undue reliance on such forward-looking statements. All forward-looking statements are qualified in their entirety by this cautionary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rPr>
          <w:sz w:val="20"/>
          <w:szCs w:val="20"/>
          <w:color w:val="auto"/>
        </w:rPr>
      </w:pPr>
      <w:r>
        <w:rPr>
          <w:rFonts w:ascii="Times New Roman" w:cs="Times New Roman" w:eastAsia="Times New Roman" w:hAnsi="Times New Roman"/>
          <w:sz w:val="20"/>
          <w:szCs w:val="20"/>
          <w:color w:val="auto"/>
        </w:rPr>
        <w:t>Natalie St. Denis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natalie.stdenis@biodesix.com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(720) 925-9285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Brinzey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(339) 970-2843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8"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530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26,245</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Accounts receivable, net of allowance for credit losses of $35 and $481</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tcPr>
          <w:p>
            <w:pPr>
              <w:spacing w:after="0"/>
              <w:rPr>
                <w:sz w:val="18"/>
                <w:szCs w:val="18"/>
                <w:color w:val="auto"/>
              </w:rPr>
            </w:pPr>
          </w:p>
        </w:tc>
      </w:tr>
      <w:tr>
        <w:trPr>
          <w:trHeight w:val="209"/>
        </w:trPr>
        <w:tc>
          <w:tcPr>
            <w:tcW w:w="530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gridSpan w:val="2"/>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gridSpan w:val="3"/>
          </w:tcPr>
          <w:p>
            <w:pPr>
              <w:ind w:left="38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9,720</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20" w:type="dxa"/>
            <w:vAlign w:val="bottom"/>
            <w:shd w:val="clear" w:color="auto" w:fill="CCEEFF"/>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14,317</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r>
      <w:tr>
        <w:trPr>
          <w:trHeight w:val="210"/>
        </w:trPr>
        <w:tc>
          <w:tcPr>
            <w:tcW w:w="5300" w:type="dxa"/>
            <w:vAlign w:val="bottom"/>
            <w:tcBorders>
              <w:bottom w:val="single" w:sz="8" w:color="CFF0FC"/>
            </w:tcBorders>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9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76,368</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3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960" w:type="dxa"/>
            <w:vAlign w:val="bottom"/>
            <w:shd w:val="clear" w:color="auto" w:fill="CFF0FC"/>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0 (2025 and 2024) issued and outstanding</w:t>
            </w:r>
          </w:p>
        </w:tc>
        <w:tc>
          <w:tcPr>
            <w:tcW w:w="19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7,954,541 (2025) and 7,274,578 (2024) shares issued and outstanding</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16"/>
        </w:trPr>
        <w:tc>
          <w:tcPr>
            <w:tcW w:w="5300" w:type="dxa"/>
            <w:vAlign w:val="bottom"/>
            <w:shd w:val="clear" w:color="auto" w:fill="CFF0FC"/>
          </w:tcPr>
          <w:p>
            <w:pPr>
              <w:ind w:left="14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960" w:type="dxa"/>
            <w:vAlign w:val="bottom"/>
            <w:shd w:val="clear" w:color="auto" w:fill="CFF0FC"/>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483,366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(462,497)</w:t>
            </w:r>
          </w:p>
        </w:tc>
      </w:tr>
      <w:tr>
        <w:trPr>
          <w:trHeight w:val="20"/>
        </w:trPr>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shd w:val="clear" w:color="auto" w:fill="CCEEFF"/>
          </w:tcPr>
          <w:p>
            <w:pPr>
              <w:spacing w:after="0"/>
              <w:rPr>
                <w:sz w:val="18"/>
                <w:szCs w:val="18"/>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97,244</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5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-5691505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-5691505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-4577080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-3171190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-2331085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-942340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Statements of Operations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Diagnostic Tests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47,503</w:t>
            </w:r>
          </w:p>
        </w:tc>
        <w:tc>
          <w:tcPr>
            <w:tcW w:w="10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Development Services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50,894</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Pr>
          <w:p>
            <w:pPr>
              <w:spacing w:after="0"/>
              <w:rPr>
                <w:sz w:val="18"/>
                <w:szCs w:val="18"/>
                <w:color w:val="auto"/>
              </w:rPr>
            </w:pPr>
          </w:p>
        </w:tc>
      </w:tr>
      <w:tr>
        <w:trPr>
          <w:trHeight w:val="216"/>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60,232</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r>
      <w:tr>
        <w:trPr>
          <w:trHeight w:val="209"/>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(25,906)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(27,849)</w:t>
            </w:r>
          </w:p>
        </w:tc>
      </w:tr>
      <w:tr>
        <w:trPr>
          <w:trHeight w:val="21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(6,506)</w:t>
            </w:r>
          </w:p>
        </w:tc>
      </w:tr>
      <w:tr>
        <w:trPr>
          <w:trHeight w:val="216"/>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5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CEEFF"/>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59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(6,831)</w:t>
            </w:r>
          </w:p>
        </w:tc>
      </w:tr>
      <w:tr>
        <w:trPr>
          <w:trHeight w:val="216"/>
        </w:trPr>
        <w:tc>
          <w:tcPr>
            <w:tcW w:w="59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(8,716)</w:t>
            </w:r>
          </w:p>
        </w:tc>
        <w:tc>
          <w:tcPr>
            <w:tcW w:w="1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(10,258)</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(31,285)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(34,680)</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7"/>
                <w:szCs w:val="17"/>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20"/>
                <w:szCs w:val="20"/>
                <w:color w:val="auto"/>
              </w:rPr>
            </w:pPr>
          </w:p>
        </w:tc>
      </w:tr>
      <w:tr>
        <w:trPr>
          <w:trHeight w:val="1177"/>
        </w:trPr>
        <w:tc>
          <w:tcPr>
            <w:tcW w:w="5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-3171190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-3171190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-3171190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-3171190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-2331085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-2331085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-2331085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-1499870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-1499870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-1499870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-1216660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-1216660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Biodesix,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Net Loss to Adjusted EBITDA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76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37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(8,716)</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(34,680)</w:t>
            </w: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10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0"/>
        </w:trPr>
        <w:tc>
          <w:tcPr>
            <w:tcW w:w="374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60" w:type="dxa"/>
            <w:vAlign w:val="bottom"/>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(18,152)</w:t>
            </w: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5"/>
        </w:trPr>
        <w:tc>
          <w:tcPr>
            <w:tcW w:w="3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-942340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-942340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2025-11-03T15:13:07Z</dcterms:created>
  <dcterms:modified xsi:type="dcterms:W3CDTF">2025-11-03T15:13:07Z</dcterms:modified>
</cp:coreProperties>
</file>