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4" w:lineRule="exact"/>
        <w:rPr>
          <w:sz w:val="24"/>
          <w:szCs w:val="24"/>
          <w:color w:val="auto"/>
        </w:rPr>
      </w:pPr>
    </w:p>
    <w:p>
      <w:pPr>
        <w:ind w:left="480" w:right="740" w:hanging="459"/>
        <w:spacing w:after="0"/>
        <w:tabs>
          <w:tab w:leader="none" w:pos="480" w:val="left"/>
        </w:tabs>
        <w:numPr>
          <w:ilvl w:val="0"/>
          <w:numId w:val="2"/>
        </w:numPr>
        <w:rPr>
          <w:rFonts w:ascii="MS PGothic" w:cs="MS PGothic" w:eastAsia="MS PGothic" w:hAnsi="MS PGothic"/>
          <w:sz w:val="29"/>
          <w:szCs w:val="29"/>
          <w:color w:val="auto"/>
          <w:highlight w:val="black"/>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ectPr>
          <w:pgSz w:w="11900" w:h="16838" w:orient="portrait"/>
          <w:cols w:equalWidth="0" w:num="1">
            <w:col w:w="11240"/>
          </w:cols>
          <w:pgMar w:left="320" w:top="1249" w:right="339" w:bottom="1440" w:gutter="0" w:footer="0" w:header="0"/>
        </w:sectPr>
      </w:pPr>
    </w:p>
    <w:p>
      <w:pPr>
        <w:spacing w:after="0" w:line="5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6" w:lineRule="exact"/>
        <w:rPr>
          <w:sz w:val="24"/>
          <w:szCs w:val="24"/>
          <w:color w:val="auto"/>
        </w:rPr>
      </w:pPr>
    </w:p>
    <w:p>
      <w:pPr>
        <w:jc w:val="center"/>
        <w:ind w:left="3600"/>
        <w:spacing w:after="0"/>
        <w:rPr>
          <w:sz w:val="20"/>
          <w:szCs w:val="20"/>
          <w:color w:val="auto"/>
        </w:rPr>
      </w:pPr>
      <w:r>
        <w:rPr>
          <w:rFonts w:ascii="Times New Roman" w:cs="Times New Roman" w:eastAsia="Times New Roman" w:hAnsi="Times New Roman"/>
          <w:sz w:val="40"/>
          <w:szCs w:val="40"/>
          <w:b w:val="1"/>
          <w:bCs w:val="1"/>
          <w:color w:val="auto"/>
        </w:rPr>
        <w:t>Biodesix, Inc.</w:t>
      </w: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20-3986492</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640" w:space="300"/>
            <w:col w:w="3300"/>
          </w:cols>
          <w:pgMar w:left="320" w:top="1249" w:right="339" w:bottom="1440" w:gutter="0" w:footer="0" w:header="0"/>
          <w:type w:val="continuous"/>
        </w:sectPr>
      </w:pPr>
    </w:p>
    <w:p>
      <w:pPr>
        <w:spacing w:after="0" w:line="8" w:lineRule="exact"/>
        <w:rPr>
          <w:sz w:val="24"/>
          <w:szCs w:val="24"/>
          <w:color w:val="auto"/>
        </w:rPr>
      </w:pPr>
    </w:p>
    <w:tbl>
      <w:tblPr>
        <w:tblLayout w:type="fixed"/>
        <w:tblInd w:w="1780" w:type="dxa"/>
        <w:tblCellMar>
          <w:top w:w="0" w:type="dxa"/>
          <w:left w:w="0" w:type="dxa"/>
          <w:bottom w:w="0" w:type="dxa"/>
          <w:right w:w="0" w:type="dxa"/>
        </w:tblCellMar>
      </w:tblPr>
      <w:tr>
        <w:trPr>
          <w:trHeight w:val="229"/>
        </w:trPr>
        <w:tc>
          <w:tcPr>
            <w:tcW w:w="4220" w:type="dxa"/>
            <w:vAlign w:val="bottom"/>
          </w:tcPr>
          <w:p>
            <w:pPr>
              <w:jc w:val="center"/>
              <w:ind w:right="2079"/>
              <w:spacing w:after="0"/>
              <w:rPr>
                <w:sz w:val="20"/>
                <w:szCs w:val="20"/>
                <w:color w:val="auto"/>
              </w:rPr>
            </w:pPr>
            <w:r>
              <w:rPr>
                <w:rFonts w:ascii="Times New Roman" w:cs="Times New Roman" w:eastAsia="Times New Roman" w:hAnsi="Times New Roman"/>
                <w:sz w:val="18"/>
                <w:szCs w:val="18"/>
                <w:b w:val="1"/>
                <w:bCs w:val="1"/>
                <w:color w:val="auto"/>
                <w:w w:val="99"/>
              </w:rPr>
              <w:t>919 West Dillon Rd.,</w:t>
            </w:r>
          </w:p>
        </w:tc>
        <w:tc>
          <w:tcPr>
            <w:tcW w:w="2720" w:type="dxa"/>
            <w:vAlign w:val="bottom"/>
          </w:tcPr>
          <w:p>
            <w:pPr>
              <w:spacing w:after="0"/>
              <w:rPr>
                <w:sz w:val="19"/>
                <w:szCs w:val="19"/>
                <w:color w:val="auto"/>
              </w:rPr>
            </w:pPr>
          </w:p>
        </w:tc>
      </w:tr>
      <w:tr>
        <w:trPr>
          <w:trHeight w:val="232"/>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rPr>
              <w:t>Louisville, CO</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80027</w:t>
            </w:r>
          </w:p>
        </w:tc>
      </w:tr>
      <w:tr>
        <w:trPr>
          <w:trHeight w:val="166"/>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417-0500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4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5"/>
                <w:szCs w:val="15"/>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BDSX</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39" w:lineRule="exact"/>
        <w:rPr>
          <w:sz w:val="24"/>
          <w:szCs w:val="24"/>
          <w:color w:val="auto"/>
        </w:rPr>
      </w:pPr>
    </w:p>
    <w:p>
      <w:pPr>
        <w:ind w:right="3540"/>
        <w:spacing w:after="0" w:line="24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4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8"/>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33"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As of June 28, 2024, the aggregate market value of common stock held by non-affiliates of the Registrant was $74.0 million, based on the closing price of the common stock as reported on the NASDAQ Global Market for that date.</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24, 2025 was 145,978,410.</w:t>
      </w:r>
    </w:p>
    <w:p>
      <w:pPr>
        <w:spacing w:after="0" w:line="6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Company’s definitive Proxy Statement for its 2024 Annual Meeting of Shareholders are to be incorporated by reference into Part III, as specifically set forth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636905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6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7"/>
                <w:szCs w:val="17"/>
                <w:color w:val="auto"/>
              </w:rPr>
            </w:pPr>
          </w:p>
        </w:tc>
        <w:tc>
          <w:tcPr>
            <w:tcW w:w="8380" w:type="dxa"/>
            <w:vAlign w:val="bottom"/>
            <w:gridSpan w:val="2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260" w:type="dxa"/>
            <w:vAlign w:val="bottom"/>
            <w:gridSpan w:val="1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300" w:type="dxa"/>
            <w:vAlign w:val="bottom"/>
            <w:gridSpan w:val="1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560" w:type="dxa"/>
            <w:vAlign w:val="bottom"/>
            <w:gridSpan w:val="2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2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280" w:type="dxa"/>
            <w:vAlign w:val="bottom"/>
            <w:tcBorders>
              <w:top w:val="single" w:sz="8" w:color="0000FF"/>
            </w:tcBorders>
            <w:gridSpan w:val="21"/>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960" w:type="dxa"/>
            <w:vAlign w:val="bottom"/>
            <w:gridSpan w:val="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2"/>
          </w:tcPr>
          <w:p>
            <w:pPr>
              <w:spacing w:after="0"/>
              <w:rPr>
                <w:sz w:val="17"/>
                <w:szCs w:val="17"/>
                <w:color w:val="auto"/>
              </w:rPr>
            </w:pPr>
          </w:p>
        </w:tc>
        <w:tc>
          <w:tcPr>
            <w:tcW w:w="284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Disclosures Regarding Foreign Jurisdictions that Prevent Inspections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32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220" w:type="dxa"/>
            <w:vAlign w:val="bottom"/>
            <w:gridSpan w:val="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2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86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3100" w:type="dxa"/>
            <w:vAlign w:val="bottom"/>
            <w:tcBorders>
              <w:bottom w:val="single" w:sz="8" w:color="0000FF"/>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 and Financial Statement Schedules</w:t>
            </w:r>
          </w:p>
        </w:tc>
        <w:tc>
          <w:tcPr>
            <w:tcW w:w="6220" w:type="dxa"/>
            <w:vAlign w:val="bottom"/>
            <w:gridSpan w:val="10"/>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Form 10-K Summary</w:t>
            </w:r>
          </w:p>
        </w:tc>
        <w:tc>
          <w:tcPr>
            <w:tcW w:w="20" w:type="dxa"/>
            <w:vAlign w:val="bottom"/>
            <w:tcBorders>
              <w:bottom w:val="single" w:sz="8" w:color="0000EE"/>
            </w:tcBorders>
          </w:tcPr>
          <w:p>
            <w:pPr>
              <w:spacing w:after="0"/>
              <w:rPr>
                <w:sz w:val="17"/>
                <w:szCs w:val="17"/>
                <w:color w:val="auto"/>
              </w:rPr>
            </w:pPr>
          </w:p>
        </w:tc>
        <w:tc>
          <w:tcPr>
            <w:tcW w:w="7740" w:type="dxa"/>
            <w:vAlign w:val="bottom"/>
            <w:gridSpan w:val="1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Annual Report on Form 10-K, regarding, among other things:</w:t>
      </w:r>
    </w:p>
    <w:p>
      <w:pPr>
        <w:spacing w:after="0" w:line="72"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sustain profitability;</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among payers, providers, clinics, patients, and biopharmaceutical companies for our diagnostic tests;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growth, which could disrupt our operations;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sales and marketing personnel, and failure to increase our sales and marketing capabilities or develop broad awareness of our diagnostic tests to generate revenue growth;</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current relationships, or enter into new relationships, with biopharmaceutical companies;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 in our operating results, causing our operating results to fall below expectations or any guidance we provide;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reliability to maintain and grow our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suppliers, including courier services and single source suppliers; making us vulnerable to supply problems and price fluctuations;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epidemic, or outbreak of an infectious disease in the United States (U.S.) or worldwide;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and other similar events negatively impacting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offer high-quality support for our diagnostic tests, which may adversely affect our relationships with providers and negatively impact our reputation among patients and providers;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innovate and improve our diagnostic tests and services we offer;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other unauthorized or improper access;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information technology systems;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liabilities and limiting or halting the marketing and sale of our diagnostic tests due to product liability lawsuits;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competition from many sources, including larger companies;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issues, service interruptions or price increases by our shipping carriers;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cost-containment efforts of our customers, purchasing groups and integrated delivery networks having a material adverse effect on our sales and profitability;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litigation and other proceedings;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debt financing placing restrictions on our operating and financial flexibility;</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fund our existing operations, develop our platform, commercialize new diagnostic tests, or expand our operations;</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businesses, which could require significant management attention, disrupt our business, dilute stockholder value and adversely affect our results of operations;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insurance coverage and reimbursement status of newly approved diagnostic tests;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healthcare reform measures that could hinder or prevent the commercial success of our diagnostic tests;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anti-bribery, anti-money laundering and similar laws;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fraud and abuse laws;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 recalls;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misappropriating, or otherwise violating their intellectual property rights, the outcome of which would be uncertain;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or judgments relating to our critical accounting policies, which could cause our operating results to fall below the expectations of securities analysts and investors;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including those set forth under Item 1A. "Risk Factors".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risks are not exhaustive. Other sections of this Annual Report on Form 10-K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Annual Report on Form 10-K or to conform these statements to actual results or to changes in our expectations.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Biodesix, Inc. (“Biodesix”, “we,” “us,” “our” or the “Company”) is a leading diagnostic solutions company. Our mission at Biodesix is to transform patient care and improve outcomes through personalized diagnostics that are timely, accessible, and address immediate clinical needs. We envision a world where patient disease is conquered through the guidance of personalized diagnostics.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derive our revenue from two sources: (i) Biodesix Lung Diagnostic Testing (Lung Diagnostic Testing),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we achieved multiple milestones:</w:t>
      </w:r>
    </w:p>
    <w:p>
      <w:pPr>
        <w:spacing w:after="0" w:line="117"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on our commercial and diagnostic services strengths resulting in an estimated $71.3 million in total revenue for the year, an increase of 45% over 2023;</w:t>
      </w:r>
    </w:p>
    <w:p>
      <w:pPr>
        <w:spacing w:after="0" w:line="4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b w:val="1"/>
          <w:bCs w:val="1"/>
          <w:color w:val="auto"/>
        </w:rPr>
        <w:t xml:space="preserve">Lung Diagnostic Testing </w:t>
      </w:r>
      <w:r>
        <w:rPr>
          <w:rFonts w:ascii="Times New Roman" w:cs="Times New Roman" w:eastAsia="Times New Roman" w:hAnsi="Times New Roman"/>
          <w:sz w:val="17"/>
          <w:szCs w:val="17"/>
          <w:color w:val="auto"/>
        </w:rPr>
        <w:t>- $64.7 million of revenue, an increase of 43%, from 54,300 tests delivered, an increase of 40%;</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b w:val="1"/>
          <w:bCs w:val="1"/>
          <w:color w:val="auto"/>
        </w:rPr>
        <w:t xml:space="preserve">Development Services </w:t>
      </w:r>
      <w:r>
        <w:rPr>
          <w:rFonts w:ascii="Times New Roman" w:cs="Times New Roman" w:eastAsia="Times New Roman" w:hAnsi="Times New Roman"/>
          <w:sz w:val="17"/>
          <w:szCs w:val="17"/>
          <w:color w:val="auto"/>
        </w:rPr>
        <w:t>- $6.6 million in biopharmaceutical services revenue, an increase of 70%;</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present and publish new clinical data supporting the adoption of our tests, increased reimbursement coverage for our Lung Diagnostic tests from private payors, and launched new research partnerships, including with the Memorial Sloan Kettering Cancer Center;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the new CLARIFY study, which will collect patient outcomes and other clinical information on 4,000 patients who have received Nodify Lung® Nodule Risk Assessment testing in the clinical setting and have at least 1-2 years of follow-up.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improved our operational efficiencies increasing gross margin percentage to 78% as compared to 73% in 2023;</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our cost-disciplined approach limiting growth in full year Operating Expense, excluding Direct costs and expenses to 17% over 2023, including non-cash share-based compensation expenses, while growing revenue by 45%;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awarded the prestigious 2024 Inc. Magazine Best Workplaces – a reflection of our strong team culture and employee engagement.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Biodesix, we have built a team with deep experience in diagnostics including commercialization, reimbursement, regulatory, medical affairs, research and development, technology, and operations to provide needed products and services to address critical clinical questions and help improve patient care. We believe that establishing a new standard of care utilizing personalized diagnostics requires a deep understanding of clinical needs, scientific expertise to develop tests using the optimal technology for each clinical question, development of clinical evidence to demonstrate benefits of the testing, a scalable operational infrastructure, and an established commercial channel to drive market adoption and payer coverage.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employ multiple technologies, including genomics, proteomics, and radiomics, combined with artificial intelligence (AI), to discover, develop, and commercialize innovative diagnostic tests for physicians, biopharmaceutical, life science, and diagnostics companies to help improve patient care.</w:t>
      </w:r>
    </w:p>
    <w:p>
      <w:pPr>
        <w:spacing w:after="0" w:line="50"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Lung Diagnostic Tests - Drive increased awareness, adoption, and reimbursement coverage of our diagnostic tests by:</w:t>
      </w:r>
    </w:p>
    <w:p>
      <w:pPr>
        <w:spacing w:after="0" w:line="121" w:lineRule="exact"/>
        <w:rPr>
          <w:rFonts w:ascii="Times New Roman" w:cs="Times New Roman" w:eastAsia="Times New Roman" w:hAnsi="Times New Roman"/>
          <w:sz w:val="18"/>
          <w:szCs w:val="18"/>
          <w:b w:val="1"/>
          <w:bCs w:val="1"/>
          <w:color w:val="auto"/>
        </w:rPr>
      </w:pPr>
    </w:p>
    <w:p>
      <w:pPr>
        <w:ind w:left="1780" w:right="20" w:hanging="515"/>
        <w:spacing w:after="0" w:line="282" w:lineRule="auto"/>
        <w:tabs>
          <w:tab w:leader="none" w:pos="1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educating health care providers key opinion leaders, hospital systems, advocacy groups, patients, payers, academic research organizations, and technology assessment and guideline organizations on the clinical data and benefits of our tests;</w:t>
      </w:r>
    </w:p>
    <w:p>
      <w:pPr>
        <w:spacing w:after="0" w:line="53" w:lineRule="exact"/>
        <w:rPr>
          <w:rFonts w:ascii="Times New Roman" w:cs="Times New Roman" w:eastAsia="Times New Roman" w:hAnsi="Times New Roman"/>
          <w:sz w:val="18"/>
          <w:szCs w:val="18"/>
          <w:color w:val="auto"/>
        </w:rPr>
      </w:pPr>
    </w:p>
    <w:p>
      <w:pPr>
        <w:ind w:left="1780" w:hanging="515"/>
        <w:spacing w:after="0" w:line="282" w:lineRule="auto"/>
        <w:tabs>
          <w:tab w:leader="none" w:pos="1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the expansion and professional development of our lung-focused clinical sales force and commercial support teams;</w:t>
      </w:r>
    </w:p>
    <w:p>
      <w:pPr>
        <w:spacing w:after="0" w:line="53" w:lineRule="exact"/>
        <w:rPr>
          <w:rFonts w:ascii="Times New Roman" w:cs="Times New Roman" w:eastAsia="Times New Roman" w:hAnsi="Times New Roman"/>
          <w:sz w:val="18"/>
          <w:szCs w:val="18"/>
          <w:color w:val="auto"/>
        </w:rPr>
      </w:pPr>
    </w:p>
    <w:p>
      <w:pPr>
        <w:ind w:left="1780" w:hanging="515"/>
        <w:spacing w:after="0" w:line="282" w:lineRule="auto"/>
        <w:tabs>
          <w:tab w:leader="none" w:pos="1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our commercial reach in clinics specializing in the management of lung nodules and the diagnosis of lung disease and their referral networks;</w:t>
      </w:r>
    </w:p>
    <w:p>
      <w:pPr>
        <w:spacing w:after="0" w:line="53" w:lineRule="exact"/>
        <w:rPr>
          <w:rFonts w:ascii="Times New Roman" w:cs="Times New Roman" w:eastAsia="Times New Roman" w:hAnsi="Times New Roman"/>
          <w:sz w:val="18"/>
          <w:szCs w:val="18"/>
          <w:color w:val="auto"/>
        </w:rPr>
      </w:pPr>
    </w:p>
    <w:p>
      <w:pPr>
        <w:ind w:left="1780" w:hanging="515"/>
        <w:spacing w:after="0" w:line="282" w:lineRule="auto"/>
        <w:tabs>
          <w:tab w:leader="none" w:pos="1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clinical studies and publish additional clinical data to continue to increase market adoption and reimbursement coverage for our tests;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1780" w:hanging="515"/>
        <w:spacing w:after="0" w:line="282" w:lineRule="auto"/>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publishing health economics and outcomes research demonstrating the impact of our tests on the US healthcare system and overall costs; and</w:t>
      </w:r>
    </w:p>
    <w:p>
      <w:pPr>
        <w:spacing w:after="0" w:line="53" w:lineRule="exact"/>
        <w:rPr>
          <w:rFonts w:ascii="Times New Roman" w:cs="Times New Roman" w:eastAsia="Times New Roman" w:hAnsi="Times New Roman"/>
          <w:sz w:val="18"/>
          <w:szCs w:val="18"/>
          <w:color w:val="auto"/>
        </w:rPr>
      </w:pPr>
    </w:p>
    <w:p>
      <w:pPr>
        <w:ind w:left="1780" w:hanging="515"/>
        <w:spacing w:after="0" w:line="282" w:lineRule="auto"/>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key opinion leaders and partners to identify existing or emerging clinical needs in lung disease and to develop tests to address those questions to be provided to the market through our existing commercial channel.</w:t>
      </w:r>
    </w:p>
    <w:p>
      <w:pPr>
        <w:spacing w:after="0" w:line="49"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Diagnostic Development Services — Expand revenue-generating contracts with research institutions, biopharmaceutical clients, and life sciences customers by:</w:t>
      </w:r>
    </w:p>
    <w:p>
      <w:pPr>
        <w:spacing w:after="0" w:line="50" w:lineRule="exact"/>
        <w:rPr>
          <w:rFonts w:ascii="Times New Roman" w:cs="Times New Roman" w:eastAsia="Times New Roman" w:hAnsi="Times New Roman"/>
          <w:sz w:val="18"/>
          <w:szCs w:val="18"/>
          <w:b w:val="1"/>
          <w:bCs w:val="1"/>
          <w:color w:val="auto"/>
        </w:rPr>
      </w:pPr>
    </w:p>
    <w:p>
      <w:pPr>
        <w:ind w:left="1780" w:right="20" w:hanging="515"/>
        <w:spacing w:after="0" w:line="282" w:lineRule="auto"/>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team’s expertise and multi-omic offering to sell a comprehensive line of research, discovery, development, clinical trial testing, regulatory, reimbursement, commercialization, and logistics support services across cancer types and diseases;</w:t>
      </w:r>
    </w:p>
    <w:p>
      <w:pPr>
        <w:spacing w:after="0" w:line="53" w:lineRule="exact"/>
        <w:rPr>
          <w:rFonts w:ascii="Times New Roman" w:cs="Times New Roman" w:eastAsia="Times New Roman" w:hAnsi="Times New Roman"/>
          <w:sz w:val="18"/>
          <w:szCs w:val="18"/>
          <w:color w:val="auto"/>
        </w:rPr>
      </w:pPr>
    </w:p>
    <w:p>
      <w:pPr>
        <w:ind w:left="1780" w:hanging="515"/>
        <w:spacing w:after="0" w:line="282" w:lineRule="auto"/>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biopharmaceutical, life science, tools, and diagnostic customers and leveraging existing projects and relationships to expand sales with our current customers;</w:t>
      </w:r>
    </w:p>
    <w:p>
      <w:pPr>
        <w:spacing w:after="0" w:line="53" w:lineRule="exact"/>
        <w:rPr>
          <w:rFonts w:ascii="Times New Roman" w:cs="Times New Roman" w:eastAsia="Times New Roman" w:hAnsi="Times New Roman"/>
          <w:sz w:val="18"/>
          <w:szCs w:val="18"/>
          <w:color w:val="auto"/>
        </w:rPr>
      </w:pPr>
    </w:p>
    <w:p>
      <w:pPr>
        <w:ind w:left="1780" w:hanging="515"/>
        <w:spacing w:after="0" w:line="282" w:lineRule="auto"/>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our customers, key opinion leaders, leading academic centers, and scientific experts to stay ahead of the rapidly evolving diagnostic and therapeutic landscape and to identify unmet clinical needs; and</w:t>
      </w:r>
    </w:p>
    <w:p>
      <w:pPr>
        <w:spacing w:after="0" w:line="53" w:lineRule="exact"/>
        <w:rPr>
          <w:rFonts w:ascii="Times New Roman" w:cs="Times New Roman" w:eastAsia="Times New Roman" w:hAnsi="Times New Roman"/>
          <w:sz w:val="18"/>
          <w:szCs w:val="18"/>
          <w:color w:val="auto"/>
        </w:rPr>
      </w:pPr>
    </w:p>
    <w:p>
      <w:pPr>
        <w:ind w:left="1780" w:hanging="515"/>
        <w:spacing w:after="0" w:line="282" w:lineRule="auto"/>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strategic partnerships with biopharmaceutical companies, academic research organizations, technology providers, and other diagnostic companies.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Tests and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Biodesix Lung Diagnostic Tests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tests support clinical decisions to expedite personalized care and improve outcomes for patients with lung disease. We believe our diagnostic tests help healthcare providers meaningfully improve lung disease diagnosis, treatment, and monitoring as well as lower the overall healthcare cost by reducing the use of ineffective and unnecessary treatments and procedures. We currently offer two tests that assess the risk of cancer in lung nodules and three tests that provide treatment guidance after a lung cancer diagnosis.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is our clinical testing focus because lung cancer is the deadliest cancer in the United States with the majority of patients diagnosed with advanced disease. With the introduction of numerous treatment options, physicians need an ever-increasing amount of information in order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 We estimate that in the United States, the lung cancer continuum of care represents over 10 million annual testing opportunities and represents greater than $27 billion market opportunity annually in the US.</w:t>
      </w:r>
    </w:p>
    <w:p>
      <w:pPr>
        <w:spacing w:after="0" w:line="75" w:lineRule="exact"/>
        <w:rPr>
          <w:sz w:val="20"/>
          <w:szCs w:val="20"/>
          <w:color w:val="auto"/>
        </w:rPr>
      </w:pPr>
    </w:p>
    <w:p>
      <w:pPr>
        <w:jc w:val="both"/>
        <w:ind w:left="900" w:hanging="383"/>
        <w:spacing w:after="0" w:line="253"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Diagnosis</w:t>
      </w:r>
      <w:r>
        <w:rPr>
          <w:rFonts w:ascii="Times New Roman" w:cs="Times New Roman" w:eastAsia="Times New Roman" w:hAnsi="Times New Roman"/>
          <w:sz w:val="18"/>
          <w:szCs w:val="18"/>
          <w:color w:val="auto"/>
        </w:rPr>
        <w:t>: We estimate approximately 1.6 million new incidental lung nodules and potentially 4 million lung nodules from the adoption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screening could be identified annually in the United States. Following initial discovery of a nodule, patients are typically evaluated by a pulmonologist for risk of lung cancer before an invasive procedure is carried out to obtain a tissue sample to confirm diagnosis. This risk assessment is based on clinical factors such as the patient’s smoking history and age, and radiological features such as the size and location of the nodule, obtained from a computed tomography (CT) scan. On initial assessment, we estimate that approximately 80% of patients are identified as low to moderate risk (5-65%) where guideline recommendations for their care plan are unclear, often resulting in either overtreatment of patients with benign nodules or undertreatment in patients with cancer. An estimated 17% of patients initially scheduled for watchful waiting, or follow-up CT scans in intervals up to a year, are later diagnosed with malignant nodules, potentially delaying their diagnosis. Conversely, we estimate that 62% of biopsies and 35% of surgeries performed on lung nodules find benign disease, representing a significant overtreatment that incurs both risk and cost to the patient and their providers. We therefore believe that there is a clear clinical need for blood-based diagnostic testing to help improve the initial risk assessment of pulmonary nodules, helping direct patients to the relevant treatment pathway, and ultimately improving patient outcomes and saving costs to the system.</w:t>
      </w:r>
    </w:p>
    <w:p>
      <w:pPr>
        <w:spacing w:after="0" w:line="81" w:lineRule="exact"/>
        <w:rPr>
          <w:rFonts w:ascii="Times New Roman" w:cs="Times New Roman" w:eastAsia="Times New Roman" w:hAnsi="Times New Roman"/>
          <w:sz w:val="18"/>
          <w:szCs w:val="18"/>
          <w:color w:val="auto"/>
        </w:rPr>
      </w:pPr>
    </w:p>
    <w:p>
      <w:pPr>
        <w:jc w:val="both"/>
        <w:ind w:left="900" w:hanging="383"/>
        <w:spacing w:after="0" w:line="254"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Guidance – Early Stage</w:t>
      </w:r>
      <w:r>
        <w:rPr>
          <w:rFonts w:ascii="Times New Roman" w:cs="Times New Roman" w:eastAsia="Times New Roman" w:hAnsi="Times New Roman"/>
          <w:sz w:val="18"/>
          <w:szCs w:val="18"/>
          <w:color w:val="auto"/>
        </w:rPr>
        <w:t>: We estimate that there are over 700 thousand testing opportunities annually in the United States in early-stage lung cancer to assess a patient’s risk of recurrence following curative-intent surgery, and to detect potential target mutations for therapeutics. 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who may benefit from a less intensive treatment protocol. There have also been recent advances in the use of targeted therapies in early-stage lung disease. These therapies typically target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ind w:left="900"/>
        <w:spacing w:after="0" w:line="282" w:lineRule="auto"/>
        <w:rPr>
          <w:sz w:val="20"/>
          <w:szCs w:val="20"/>
          <w:color w:val="auto"/>
        </w:rPr>
      </w:pPr>
      <w:r>
        <w:rPr>
          <w:rFonts w:ascii="Times New Roman" w:cs="Times New Roman" w:eastAsia="Times New Roman" w:hAnsi="Times New Roman"/>
          <w:sz w:val="18"/>
          <w:szCs w:val="18"/>
          <w:color w:val="auto"/>
        </w:rPr>
        <w:t>specific genomic mutations or alterations found in some tumors. We believe there is therefore an emerging need for testing designed specifically for mutation detection in early-stage disease.</w:t>
      </w:r>
    </w:p>
    <w:p>
      <w:pPr>
        <w:spacing w:after="0" w:line="50" w:lineRule="exact"/>
        <w:rPr>
          <w:sz w:val="20"/>
          <w:szCs w:val="20"/>
          <w:color w:val="auto"/>
        </w:rPr>
      </w:pPr>
    </w:p>
    <w:p>
      <w:pPr>
        <w:jc w:val="both"/>
        <w:ind w:left="900" w:hanging="383"/>
        <w:spacing w:after="0" w:line="254"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Treatment Guidance – Advanced Stage: </w:t>
      </w:r>
      <w:r>
        <w:rPr>
          <w:rFonts w:ascii="Times New Roman" w:cs="Times New Roman" w:eastAsia="Times New Roman" w:hAnsi="Times New Roman"/>
          <w:sz w:val="18"/>
          <w:szCs w:val="18"/>
          <w:color w:val="auto"/>
        </w:rPr>
        <w:t>We estimate that there are over 3 million diagnostic testing opportunities annually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to guide advanced stage lung cancer treatment decisions. With nearly 60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Physicians are often left with a dilemma to either make treatment decisions prior to receiving critical diagnostic test results, or delay treatment initiation while waiting for the test results. Therefore, we believe there is an imminent need for a blood-based testing solution that measures tumor mutations and the patient’s immune profile, to provide physicians with more comprehensive and timely information to initiate personalized treatment as quickly as possible.</w:t>
      </w:r>
    </w:p>
    <w:p>
      <w:pPr>
        <w:spacing w:after="0" w:line="77" w:lineRule="exact"/>
        <w:rPr>
          <w:rFonts w:ascii="Times New Roman" w:cs="Times New Roman" w:eastAsia="Times New Roman" w:hAnsi="Times New Roman"/>
          <w:sz w:val="18"/>
          <w:szCs w:val="18"/>
          <w:color w:val="auto"/>
        </w:rPr>
      </w:pPr>
    </w:p>
    <w:p>
      <w:pPr>
        <w:jc w:val="both"/>
        <w:ind w:left="900" w:hanging="383"/>
        <w:spacing w:after="0" w:line="257"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18"/>
          <w:szCs w:val="18"/>
          <w:color w:val="auto"/>
        </w:rPr>
        <w:t>: We estimate that there are over 800 thousand testing opportunities in the United States for blood-based tumor genomic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immune profiling 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Diagnosis – Nodule Management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blood-based tests for patients with a pulmonary nodule, Nodify Lung Nodule Risk Assessment, assists physicians in reclassifying a patient’s risk of lung cancer by incorporating their protein biomarker results with radiographic imaging and clinical characteristics. Nodify Lung testing consists of the Nodify CDT® and Nodify XL2® proteomic tests, which can be ordered separately or together from a single blood draw to help reclassify risk of cancer to aid physicians in stratifying patients into distinct nodule management pathways with the goal of earlier diagnosis of cancer and avoidance of unnecessary invasive procedures.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Nodify CDT Test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Nodify CDT test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goal of diagnosing cancer earlier. The Nodify CDT test enhances lung nodule risk assessment to facilitate compliance with clinical treatment guidelines. The Nodify CDT test is validated for use in patients who are 40 years or older, have no history of cancer except non-melanomatous skin cancer, have nodules between 8 and 30mm, and pre-test risk of lung cancer of less than 65%.</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test measures the levels of seven circulating autoantibodies (P53, NY-ESO-1, CAGE, GBU4-5, SOX2, HuD, and MAGE A4) associated with lung cancer, combined with an algorithm to report out three potential results: High Level, Moderate Level, or No Significant Levels of Antibodies Detected (NSLAD). The seven autoantibodies have been shown to be elevated for all types of lung cancer, and from the earliest stage of the disease.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Nodify CDT test has an established average turnaround time of one business day from receipt of the blood sample, providing physicians with timely results to guide diagnostic planning. The clinical data for the test has been published in a number of peer-reviewed publications and presentations, including a clinical validation study published in late 2024 that confirmed the previously published performance of the test.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Nodify XL2 Test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Nodify XL2 test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The Nodify XL2 test is used for patients who are 40 years or older, have no history of lung cancer or other recent cancer diagnoses, have nodules between 8 and 30mm, and have a pre-test risk of lung cancer of less than or equal to 50%. A body of clinical data has been published in peer-reviewed journals and presentations and recent data from the ORACLE clinical utility study was published demonstrating a 74% reduction in unnecessary invasive procedures with the use of the test.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The Nodify XL2 test integrates peptides with clinical and radiological characteristics that are combined by an algorithm to report out three potential results: Likely Benign, Reduced Risk, or Indeterminate. Specifically, the Nodify XL2 test measures the relative abundance of two peptides (LG3BP and C163A) in circulation in the patient’s blood. The native proteins from which the peptides are derived have been associated with an inflammatory response to lung cancer. The clinical factors are patient age and smoking status, and radiological factors are nodule size, location, and edge characteristics.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both tests are ordered for the patient and Nodify CDT returns a result of High or Moderate Level indicating an increased risk of malignancy, then the Nodify XL2 test is cancelled. If Nodify CDT returns a result of NSLAD, then the Nodify XL2 test is performed and both test results are typically available within four to five business days.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Lung Cancer Treatment &amp; Monitoring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Profiling the tumor through blood-based genomic testing can help identify mutations in genes that may be driving growth of the tumor and may be targets for therapeutics. However, tumors also have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IQLung™ testing strategy consists of the VeriStrat® immune profiling test, and the GeneStrat® ddPCR and GeneStrat NGS® tumor profiling tests, which can be ordered together or separately for patients with NSCLC. Together, the tests have an established average turnaround time of three business days, providing physicians with timely results to facilitate treatment decisions.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VeriStrat Test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VeriStrat test is a blood-based proteomic test that provides a personalized view of each patient’s immune response to their cancer. Results help inform physicians whether their patient has a more aggressive cancer and can help with treatment planning. The VeriStrat test profiles the patient’s immune system by measuring eight protein features measured by MALDI-ToF mass spectrometry and interpreted by a proprietary machine learning-based algorithm to produce either a VeriStrat Good or VeriStrat Poor test result.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 patients that test as VeriStrat Poor. By using the VeriStrat test for immune profiling, physicians can help identify the patient's immune response to lung cancer to help guide treatment decisions.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GeneStrat ddPCR Test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GeneStrat test is a blood-based tumor profiling test that detects the guideline recommended, actionable mutations in lung cancer: EGFR, KRAS, BRAF, EML4-ALK, ROS-1, and RET. Physicians can order one or any combination of the gene tests, whichever they deem medically necessary for the individual patient. The presence of a mutation in one of the genes could indicate the patient is a candidate for the associated guideline-recommended targeted therapy. The GeneStrat test performance and potential clinical utility have been published in multiple peer reviewed studies.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GeneStrat NGS Test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GeneStrat NGS test is a blood-based 52-gene tumor profiling test panel that detects the guideline recommended, actionable mutations in lung cancer including five gene classes (SNV, INDELS, CNA, fusions, and exon-skipping). Specific variants of relevance to NSCLC include EGFR, KRAS, BRAF, EML4-ALK, ROS-1, RET, MET, NTRK. The GeneStrat NGS test is used for late-stage, metastatic NSCLC and physicians can order one or any combination of the IQLung tests, whichever they deem medically necessary for the individual patient. The presence of a mutation in one of the genes could indicate the patient is a candidate for the associated guideline-recommended targeted therapy. The GeneStrat NGS test performance and potential clinical utility have been published in multiple published studies.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rapid, blood-based tumor profiling with the GeneStrat ddPCR and GeneStrat NGS tests can be complementary to both targeted tissue-based testing and tissue-based broad genomic sequencing. Testing with GeneStrat ddPCR and GeneStrat NGS tests at diagnosis can help quickly identify patients who are eligible for targeted therapies. Additionally, blood-based testing upfront can help save valuable tissue for diagnostic evaluation, and broad genomic profiling for rare mutations to enroll in clinical trials.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and Competitive Advantages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Biodesix Lung Diagnostic Tests, commercial efforts are focused on the promotion of our tests to healthcare professionals actively involved in the diagnosis and treatment of lung disease. Primarily focusing on pulmonology, the commercial team, consisting of specialty sales representatives, medical affairs, marketing and customer care representatives, works to educate and inform the entire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patient care group consisting of physicians, nurses, office staff, laboratory personnel, and administration as to the appropriate use and value provided by our testing. The goal is to drive test adoption through articulating the scientific and clinical evidence behind our tests, how they impact the clinical care of a patient, and how the tests can ultimately help to improve patient outcomes.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Patients with pulmonary nodules are concentrated in the pulmonology specialty and referral networks, where additional resources such as lung cancer screening and nodule management clinics may exist to provide an increased level of care. We are also engaging large hospital systems in a “top-down” approach, with a goal of incorporating our tests into system-wide pathways and protocols.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continued growth drivers stem from our competitive advantages, including:</w:t>
      </w:r>
    </w:p>
    <w:p>
      <w:pPr>
        <w:spacing w:after="0" w:line="113" w:lineRule="exact"/>
        <w:rPr>
          <w:sz w:val="20"/>
          <w:szCs w:val="20"/>
          <w:color w:val="auto"/>
        </w:rPr>
      </w:pPr>
    </w:p>
    <w:p>
      <w:pPr>
        <w:jc w:val="both"/>
        <w:ind w:left="900" w:hanging="383"/>
        <w:spacing w:after="0" w:line="259"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demonstrated success commercializing diagnostic tests in lung disease with unprecedented turnaround times. </w:t>
      </w:r>
      <w:r>
        <w:rPr>
          <w:rFonts w:ascii="Times New Roman" w:cs="Times New Roman" w:eastAsia="Times New Roman" w:hAnsi="Times New Roman"/>
          <w:sz w:val="18"/>
          <w:szCs w:val="18"/>
          <w:color w:val="auto"/>
        </w:rPr>
        <w:t>With five diagnostic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tests launched and multiple improvements and several tests currently in development, our commercial portfolio of blood-based solutions currently addresses clinical unmet needs within diagnosis, treatment and monitoring of lung cancer. Our diagnostic tests provide rapid and actionable diagnostic information to help inform physicians on the next steps in a patient’s care plan to help diagnose lung cancer faster and expediting time to treatment.</w:t>
      </w:r>
    </w:p>
    <w:p>
      <w:pPr>
        <w:spacing w:after="0" w:line="71" w:lineRule="exact"/>
        <w:rPr>
          <w:rFonts w:ascii="Times New Roman" w:cs="Times New Roman" w:eastAsia="Times New Roman" w:hAnsi="Times New Roman"/>
          <w:sz w:val="18"/>
          <w:szCs w:val="18"/>
          <w:color w:val="auto"/>
        </w:rPr>
      </w:pPr>
    </w:p>
    <w:p>
      <w:pPr>
        <w:jc w:val="both"/>
        <w:ind w:left="900" w:hanging="383"/>
        <w:spacing w:after="0" w:line="26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broad test offering and continued development and publication of clinical data supports market adoption. </w:t>
      </w:r>
      <w:r>
        <w:rPr>
          <w:rFonts w:ascii="Times New Roman" w:cs="Times New Roman" w:eastAsia="Times New Roman" w:hAnsi="Times New Roman"/>
          <w:sz w:val="18"/>
          <w:szCs w:val="18"/>
          <w:color w:val="auto"/>
        </w:rPr>
        <w:t>We leverage a multi-omic approach to offer various technologies and testing that meet the variety of clinical testing needs for providers treating patients with lung disease. We continue to publish clinical data and health economics and outcomes research to support the ongoing adoption of our tests by physicians, healthcare systems, and payers.</w:t>
      </w:r>
    </w:p>
    <w:p>
      <w:pPr>
        <w:spacing w:after="0" w:line="68" w:lineRule="exact"/>
        <w:rPr>
          <w:rFonts w:ascii="Times New Roman" w:cs="Times New Roman" w:eastAsia="Times New Roman" w:hAnsi="Times New Roman"/>
          <w:sz w:val="18"/>
          <w:szCs w:val="18"/>
          <w:color w:val="auto"/>
        </w:rPr>
      </w:pPr>
    </w:p>
    <w:p>
      <w:pPr>
        <w:jc w:val="both"/>
        <w:ind w:left="900" w:hanging="383"/>
        <w:spacing w:after="0" w:line="259"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commercial infrastructure and lung-focused sales channel, which includes our extensive knowledge and experience in sales, marketing, reimbursement and operations, provides us with the ability to efficiently launch and scale tests and drive revenue.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built one of the only commercial teams in diagnostics focused on lung. By offering a broad menu of tests for current clinical use, and continuing to develop additional tests for lung, we can efficiently leverage the existing team and infrastructure to address more clinical needs for the same call point.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Biodesix Development Services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enable the world’s leading biopharmaceutical, life sciences, and academic research institutions with scientific, technological, and operational capabilities that fuel the development of diagnostic tests, tools, and therapeutics. We provide development services to enable therapeutic clinical trials, the validation of life sciences tools and diagnostics, and the discovery, development, and commercialization of diagnostics. Biodesix Diagnostic Services has been utilized by over 65 industry clients and academic research partners.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continuously revisit our technology strategy and roadmap to integrate new technologies into our evolving offering, which ultimately support the addition of new service and product revenue offerings. We believe that no single technology can interrogate the complexity of the human disease state to help solve all clinical questions. For that reason, we employ a multi-omic and collaborative approach to solving diagnostic challenges.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end-to-end diagnostic solutions, including translational research, initial biomarker discovery, assay design, development, and validation, testing of clinical trial samples, regulatory, reimbursement, commercialization, and logistical support services (e.g., specimen collection and collection kits). We offer our existing on-market tests, a suite of other research tests and the capability to custom design novel tests for use by our customers.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biopharmaceutical discovery, diagnostic development and testing revenue continues to grow, it is important to note that we benefit greatly from these partnerships in many ways that expand beyond revenue. We are continuously expanding our knowledge and biological understanding of multiple diseases and the rapidly evolving treatment landscape, for example, by actively partnering in consortia including with the Friends of Cancer Research.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order to continue to leverage our existing sales channel, we are developing additional tests to help address clinical unmet needs for patients with lung disease.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of Recurrence (ROR)</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surgical resection of the tumor without systemic or radiation therapy is the standard of care for stage I NSCLC patients. However, 20 to 40% of surgically treated patients will suffer a recurrence within five years after surgery. From market research with pulmonologists, thoracic surgeons, and medical oncologists, we identified a significant clinical unmet need for a blood-based test to help identify stage I NSCLC patients who are at a higher risk of recurrence and may benefit from a more aggressive surgical procedure, or from neoadjuvant or adjuvant systemic treatment. Based on this unmet diagnostic need, we discovered the Risk of Recurrence (ROR) test, which is a pre-surgery blood-based proteomic test, designed with the advanced Biodesix AI platform to predict whether a stage I NSCLC patient has a higher risk of recurrence post-surgical resection. Knowing this information early and before surgery may change the surgical plan and/or support treatment decisions such as neoadjuvant or adjuvant therapy, which have the potential to reduce tumor volume and address micro-metastatic disease as early as possible. Our ROR test was validated in an independent sample set, and we are currently working with major academic institutions across the United States to further validate the test.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Immunotherapy Treatment Guidance (PIR)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2015, the first immunotherapy-based treatment regimen was approved by the FDA for use in lung cancer. Currently, there are 9 immune checkpoint inhibitor (ICI) regimens (single agent or combinations) recommended by the NCCN guidelines for treatment of advanced NSCLC patients. For a portion of patients treated, these drugs can result in significant improvement in overall survival compared with platinum-based chemotherapy options.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combination ICI regimens see some improvement in performance over single agent ICI, but side effect profiles are worse, and costs are higher than for single agent ICI. In addition, recent data have shown that a subset of patients experience more rapid disease progression on ICI compared with chemotherapy. We utilized the advanced Biodesix AI platform to discover our Primary Immune Response (PIR) test. PIR is a blood-based proteomic test designed to profile a patient's potential to mount an immune response to their cancer and predict those patients likely to respond to ICI monotherapy treatment, ICI + chemotherapy combination treatment, or who would be highly resistant to ICI therapy. Our PIR test has been validated in multiple independent sample sets for advanced stage NSCLC patients treated with single agent ICI, and we are currently working with major academic institutions across the United States to further validate the test.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Monitoring – Progression &amp; Resistance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Blood-based monitoring with our ddPCR technology and proteomics platform may offer a feasible method to non-invasively evaluate therapeutic mechanism of action, disease progression, and the emergence of resistance mutations in patients. Our internal validation studies have shown the utility of the GeneStrat EGFR ddPCR test as an example in all three of these indications. The test can identify disease progression up to three months (median) in advance of standard imaging. Using ddPCR for longitudinal blood-based monitoring of EGFR cell-free DNA mutations is a cost-effective testing method while patients are being treated with targeted therapies. Additional utility for ddPCR and our proteomics approach exists for minimal residual disease (MRD) testing given the sensitivity and specificity of these technologies. In March 2024, we announced a Master Collaborative Research Agreement with Memorial Sloan Kettering Cancer Center, under which the teams are collaborating on a development plan for diagnostic tests aimed at improving the treatment of cancer, including MRD.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The following are our ongoing clinical studies for our diagnostic testing solutions.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ALTITUDE Clinical Utility Study (NCT04171492)</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ALTITUDE clinical utility study is designed to evaluate the performance of Nodify Lung testing (Nodify XL2 and Nodify CDT tests) in a randomized controlled study (RCT). The study is titled “A Multicenter, Randomized Controlled Trial, Prospectively Evaluating the Clinical Utility of the Nodify XL2 Proteomic Test in Incidentally Discovered Low to Moderate Risk Lung Nodules”.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the Nodify XL2 test.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CLARIFY Clinical Utility Study (NCT06728319)</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CLARIFY is a large, retrospective study assessing the performance of the Nodify CDT and Nodify XL2 tests in a real-world patient population. The study is titled “A Multicenter, Retrospective, Chart Review Study Evaluating The Impact and Utility of the Blood-Based Proteomic Integrated Classifier and Auto-Antibody Tests in the Real World.” The study's primary objective is to assess the performance of the Nodify CDT and Nodify XL2 tests both individually and serially. The study will evaluate up to 4,000 patients who have at least 1-2 years of follow-up from high-volume community and academic practices that have integrated the testing into their management of lung nodules. Further evaluation of the performance of the tests in a large, real-world population will provide deeper insights into day-to-day clinical practice and diverse and understudied patient sub-populations. It received central IRB approval in August 2024 and began enrollment in September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INSIGHT Observational Study (NCT03289780)</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INSIGHT observational study is designed to evaluate the real-world clinical utility and performance of VeriStrat, GeneStrat ddPCR, and GeneStrat NGS. The title is “Observational Study Assessing the Clinical Effectiveness of VeriStrat and Validating Immunotherapy Tests in Subjects with Non-Small Cell Lung Cancer (INSIGHT)”. On June 27, 2023, we completed enrollment of 5,000 patients with non-small cell lung cancer. Final analysis with 3-year follow-up is estimated to be completed by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source of reimbursement for our tests in the United States is from third-party payers, including government payers, such as Medicare, and commercial payers, such as insurance companies. Reimbursement for laboratory tests in the United States is determined by various payers, including private third-party payers, managed care organizations, and state and federal health care programs, such as Medicare and Medicaid. In Medicare, coverage of an item or service depends on whether it is “reasonable and necessary” under Section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1862(a)(1)(A) of the Social Security Act (SSA). For single-source laboratory tests, this determination is typically made by the Medicare Administrative Contractor (MAC) with jurisdiction over the laboratory where the test is performed. Our Louisville, Colorado laboratory is currently under the jurisdiction of Novitas Solutions, Inc. Our De Soto, Kansas laboratory is under the jurisdiction of Wisconsin Physicians Service Insurance Corporation (WPS), which participates in the MolDX program (administered by another MAC, Palmetto GBA) to set coverage policy for molecular diagnostic tests.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Medicare pays for clinical diagnostic laboratory tests (CDLTs), on the Clinical Laboratory Fee Schedule (CLFS). Section 216(a) of the Protecting Access to Medicare Act of 2014 (PAMA) added Section 1834A to the SSA, which established the current CLFS rate setting processes and coding provisions for CDLTs, and created a new subcategory of CDLTs called Advanced Diagnostic Laboratory Tests (ADLTs), with separate reporting and payment requirements.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Section 1834A and its implementing regulations, clinical laboratories that receive the majority of their Medicare revenues from payments made under the CLFS and the Physician Fee Schedule report on a triennial basis (or annually for ADLTs), private payer rates and volumes for their tests with specific billing codes based on final payments made during a set data collection period. The payment rate for a test for the ensuing three-year period (or one year for ADLTs) is set at the weighted median of the rates reported under the specific billing code for that test. Newly established codes for CDLTs are priced until the next private payer rate reporting cycle either based on the payment rate of a comparable code on the CLFS, as determined by CMS ("crosswalking") or at the median of rates submitted by the individual MACs based on statutory and regulatory factors ("gapfilling"). New ADLTs are initially priced at “actual list charge” for a nine-month period, after which they are priced based on private payer rates, with a recoupment provision if actual list charge is more than 130% of the weighted median of private payer rates reported.</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various payers in the United States also determine their own billing rules. In December 2020, Medicare revised its billing rules for clinical laboratory tests to require cancer-related protein-based Multianalyte Assays with Algorithmic Analyses to be billed directly to Medicare by the performing laboratory in most cases when performed on a specimen collected from a hospital outpatient. Molecular pathology tests and most ADLTs are also generally required to be billed directly to Medicare by the laboratory under these circumstances.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Centers for Medicare &amp; Medicaid Services (CMS) has designated three of the Biodesix tests as Advanced Diagnostic Laboratory Tests (ADLT). The designation was effective for the Nodify CDT test as of June 30, 2023, for the Nodify XL2 test as of May 17, 2019, and for the VeriStrat test as of December 21, 2018. Obtaining ADLT status is a recognition that the tests meet the stringent criteria established under the Protecting Access to Medicare Act of 2014. ADLT status is reserved for innovative tests with Medicare coverage that are offered and furnished by a single laboratory and provide new clinical diagnostic information that cannot be obtained from any other test or combination of tests.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applicable laws and regulations, as well as internal compliance policies and procedures adds complexity to the billing process. The Centers for Medicare &amp; Medicaid Services (CMS) is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 Current Procedural Terminology (CPT) codes, as defined by the American Medical Association. For some of the tests we conduct, there may not be a specific CPT or HCPCS code, in which case the test may be billed under a miscellaneous code for an unlisted molecular pathology procedure or unlisted multiple anolyte test with algorithmic analysis (MAAA)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primarily face competition from diagnostic companies, all of whom provide cancer-focused diagnostic tests to hospitals, researchers, clinicians, and biopharmaceutical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Diagnosis—Nodule Management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aware of any other company that offers two commercial blood-based tests to help physicians reclassify risk of malignancy in patients with suspicious lung nodules. We are aware of efforts by Veracyte, Inc. to develop and validate a test that may be competitive to the Nodify XL2 and/or Nodify CDT tests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Guidance and Monitoring—Non-Small Cell Lung Cancer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unaware of any other diagnostic test available, commercially or in development, that will compete with our VeriStrat immune profiling test. There is substantial interest and activity in tumor profiling through liquid biopsy. Our genomic test offerings, the GeneStrat ddPCR and GeneStrat NGS tests, face competition from academic hospital laboratories, and companies such as Guardant Health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Foundation Medicine. We believe that there are several companies and academic research institutions in the process of developing tests for monitoring patients or following treatment for recurrence or progression of lung cancer.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Biodesix Development Services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aware of a number of companies who compete with our Development Services for biopharmaceutical, life science and research partners, including in diagnostic research, clinical trial testing, and the discovery, development, and commercialization of tests. From the perspective of tumor profiling, we believe Guardant Health, Foundation Medicine, Tempus AI, and NeoGenomics are our most significant competitors. Conversely, in the immune profiling market, we believe Adaptive Biotechnologies and Personalis are our most significant competitors.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Laboratory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Throughout 2024, all aspects of the testing process, from receipt of the test requisition form through delivery of test results, were performed for the VeriStrat, GeneStrat ddPCR, and GeneStrat NGS tests in our Louisville, Colorado facility. The proprietary testing methods use semi-automated workflows that facilitate the successful delivery averaging 90% of our tests within three days, and we believe our existing workflows will continue to successfully deliver our tests within this timeframe. Our Louisville facility is a high-complexity CLIA certified clinical laboratory. The laboratory is College of American Pathology (CAP) accredited, New York State Department of Health (NYSDOH)—permitted holding necessary Laboratory Director certifications and test approvals, ISO 13485:2016 Quality Management Systems—Requirements for Regulatory Purposes for Medical Devices certified, along with all other states that require licensing: California, Maryland, Pennsylvania, and Rhode Island.</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Receipt of requisitions and testing for the Nodify CDT and Nodify XL2 tests are performed in our De Soto, Kansas clinical laboratory. Delivery of the test results is centralized to our Louisville, Colorado corporate headquarters. The proprietary testing methods use semi-automated workflows that facilitate the successful delivery averaging 90% of our tests within five days, and we believe our existing workflows will continue to successfully deliver our tests within this timeframe. Our De Soto, Kansas facility is a high-complexity CLIA certified clinical laboratory. This clinical laboratory is also CAP-accredited, NYSDOH—permitted holding necessary Laboratory Director certifications and test approvals, ISO 13485:2016 Quality Management Systems— Requirements for Regulatory Purposes for Medical Devices certified and licensed by California, Maryland, Pennsylvania, and Rhode Island.</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Personnel in both laboratory facilities are responsible for quality assurance oversight, licensing, and regulation compliance and maintenance to ensure data integrity and consistent, validated processes.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third-party suppliers to provide certain components of our diagnostic tests, including a select few (located in the United States, Europe and China), as critical single source providers of components. Bio-Rad, as described below, is the sole source supplier for our GeneStrat test. Freenome's United States operations (formerly "Oncimmune USA" or "Oncimmune") is also the sole source supplier for our Nodify CDT tests but there are known secondary suppliers for these materials.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tests until alternatives could be validated.</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materials for our VeriStrat test and Nodify XL2 test have alternative suppliers readily available, and a disruption in any single supplier would not materially impact our ability to deliver the test.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initiated the second source qualification process for the majority of these critical components, however, we may not be successful in securing second sourcing for all of them at all or on a timely basis. A disruption to this supply would negatively impact our ability to perform these tests until an alternative supplier could be validated.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invested heavily in the protection of our key assets, namely the VeriStrat and GeneStrat tests, and we acquired a patent portfolio relating to the Nodify XL2 and Nodify CDT tests in our acquisitions of Indi in June 2018, and of Oncimmune USA in October 2019 from Oncimmune Limited (Oncimmune). We own patents and patent applications as well as trade secrets relating to our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currently in development, a collection device for whole blood, our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 technology developed by Bio-Rad and which we employ in our GeneStrat test.</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patent strategy has focused on creating and acquiring protection for our VeriStrat and Nodify XL2 proteomic tests, while utilizing trade secret and some methods patent protection for our genomic test (the GeneStrat ddPCR and GeneStrat NGS tests)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Bio-Rad owns patents relating to ddPCR and to which we have a non-exclusive license to utilize for the performance of ddPCR in cancer detection testing for third parties as set forth in the Bio-Rad License Agreement.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AI platform and our approaches to using MALDI-ToF technology (DeepMALDI® techniques). Additionally, our first device patent was issued in 2019 for our internally designed blood collection device.</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our patent portfolio includes 59 issued United States patents, 79 issued foreign patents, and 22 pending applications (including 12 foreign patent applications). With regard to our product development efforts, new applications have been filed around developments relating to micro-organisms diagnostics, new analytic methodologies using Shapley values and semi-quantitative spectra analysis in MALDI, and national stage applications are now in active prosecution to protect our pipeline ROR and PIR tests.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portfolio can be broken down into five major categories:</w:t>
      </w:r>
    </w:p>
    <w:p>
      <w:pPr>
        <w:spacing w:after="0" w:line="117" w:lineRule="exact"/>
        <w:rPr>
          <w:sz w:val="20"/>
          <w:szCs w:val="20"/>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the VeriStrat and Nodify® tests and uses of these tests;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methods for developing classifiers, including using our AI platform and DeepMALDI technologies;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tests currently in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our novel blood collection device;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tests developed for our third-party partners.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patents relating to the VeriStrat test are scheduled to expire between 2026 and 2032 and are actively under review for additional protection. The patents relating to the Nodify XL2 test are scheduled to expire beginning in 2031 (excluding any patent term extension granted by the United States Patent and Trademark Office (USPTO)), and the patents relating to the Nodify CDT test are scheduled to expire in 2027.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Cooperation Treaty (PCT)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can become the basis of PCT foreign stage and United States non-provisional patent applications, if such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 As of December 31, 2024, we have no pending PCT applications.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Branding is a part of any intellectual property strategy as patent or trade secret protection and we have a number of registered and pending trademarks relating to our company and products. We have received or filed for trademark protection in the United States for our trade name (Biodesix), the Biodesix logo, the names of five of our commercial tests (namely the VeriStrat, GeneStrat ddPCR, GeneStrat NGS, Nodify XL2 and Nodify CDT tests), and a suite of research tests (ImmunoStrat® test), as well as having trademark protection for our core development and methodological platforms, such as our AI platform and DeepMALDI technologies. In all, as of December 31, 2024, we have 16 uniquely registered United States trademarks, 8 of which (including Biodesix, VeriStrat, and GeneStrat) have received foreign issuances as well, with four trademarks pending approval from the USPTO. We will continue to pursue protection in the United States and abroad for our branded assets and will continue to use branding to protect products currently in development, key Biodesix developments and non-trade secret methodologies.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rely on trade secrets, including know-how, confidential information, unpatented technologies and other proprietary information, to strengthen or enhance our competitive position, protect and maintain aspects of our business that are not amenable to, or that we do not presently consider appropriate for, patent protection, and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Clinical laboratory tests like our diagnostic tests are regulated under CLIA and state law. The FDA regulates medical devices pursuant to the FDCA, including many diagnostic test kits, such as in vitro diagnostic tests (IVDs). However, most Laboratory Developed Tests (LDTs) are not currently subject to enforcement under the FDA’s regulation (although reagents, instruments, software or components provided by third parties and used to perform LDTs may be subject to such enforcement) because the FDA has historically exercised enforcement discretion over LDTs. LDTs are a subset of IVDs that are intended for clinical use and developed, validated, and offered within a single laboratory for use only in that laboratory.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delays associated with trying to obtain pre-market clearance or approval and costs associated with complying with post-market requirements.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FDA’s authority to regulate LDTs has been contested for many years, and there have been several legislative and administrative proposals regarding LDT regulation seeking to end or limit enforcement discretion and to bring LDTs under new or existing FDA regulatory frameworks. On September 29, 2023, FDA announced a proposed final rule (Final Rule on Laboratory Developed Tests). This rule clarifies that IVDs are devices under the Federal Food, Drug, and Cosmetic Act (FD&amp;C Act) and amends FDA regulations to explicitly regulate laboratory developed tests (LDTs) as in vitro diagnostic tests in accordance with the agency’s regulatory authority over medical devices. The FDA finalized its rule on May 6, 2024 and announced that the agency will phase-out its LDT enforcement discretion policy in gradual stages over a total period of four years. LDTs that fall within targeted enforcement discretion policies may be exempt from some of these requirements.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final rule, our tests that are currently offered as LDTs could become subject to certain statutory and regulatory provisions that are applicable to medical devices, including but not limited to, medical device reporting and correction and removal reporting requirements, quality systems regulations, registration and listing requirements, and premarket review requirements. Laboratories offering “high-risk” tests that will be subject to premarket authorization application requirements or licensure under Section 351 of the Public Health Service Act, will need to ensure that the appropriate submission is received by the FDA before November 6, 2027. Laboratories offering “moderate-risk” or “low-risk” tests that will be subject to De Novo authorization or premarket notification submissions will need to ensure that the appropriate submission is received by the FDA before May 6, 2028. Other regulatory requirements will be gradually phased in beginning on May 6, 2025.</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applicable requirements under the relevant timeframes could cause us to lose the ability to perform our tests, experience disruptions to our business, or become subject to administrative or judicial enforcement actions. Legal challenges have been filed in federal district court over the agency’s authority to regulate LDTs as medical devices, and the outcome of such litigation and its impact on FDA’s plan to implement the requirements are uncertain. Congress has also considered legislation to establish a new comprehensive regulatory framework that would provide oversight over LDTs. The incoming Trump Administration may also reverse the final rule.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Laboratory Licensing Requirements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Biodesix Louisville, Colorado clinical laboratory was a CAP-accredited clinical laboratory regulated by CMS pursuant to CLIA. CMS has granted CAP deeming authority under CLIA, which allows CAP to inspect laboratories in lieu of CMS. In addition to holding a CLIA Certificate and CAP laboratory accreditation, Biodesix’s Quality Management System (QMS) holds an ISO 13485:2016 certificate. The Biodesix Louisville, Colorado clinical laboratory received approval from the NYSDOH, NYS CLEP in Soluble Tumor Markers, and Molecular and Cellular Tumor Markers and Virology as well as held state permits and licenses in California, Maryland, New York, Pennsylvania, and Rhode Island.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CLIA regulations establish standards for proficiency testing; facility administration; general laboratory systems; pre-analytic, analytic systems, post-analytic systems; personnel qualifications and responsibilities; quality control, quality assessment; and specific provisions for laboratories performing moderate to high complexity tests. Our Louisville, Colorado clinical laboratory is inspected biennially as part of its ongoing certification under CLIA certificate of accreditation by CAP.</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Biodesix De Soto, Kansas clinical laboratory is a CAP-accredited clinical laboratory regulated by CMS pursuant to CLIA. CMS has granted CAP deeming authority under CLIA, which allows CAP to inspect laboratories in lieu of CMS. The De Soto, Kansas clinical laboratory has received approval from the NYSDOH, NYS CLEP in Soluble Tumor Markers and Diagnostic Immunology as well as holding state permits and licenses in California, Maryland, Pennsylvania, and Rhode Island.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International Organization for Standardization (ISO) is an independent, non-governmental international organization that defines world-class specifications for products, services and systems, to ensure quality, safety and efficiency. ISO 13485:2016 is a harmonized, international regulatory benchmark for quality management systems that addresses most or all of the QMS requirements in markets including the United States, European Union, Australia, Japan and Canada. The ISO 13485:2016 certificate confirms that an organization operates a QMS that conforms to the standards established by ISO. On January 31, 2024, the FDA issued a final rule to harmonize and modernize its Quality System Regulation (QSR), which would supplant the existing requirements with ISO 13485:2016. The rule amends the current good manufacturing practice requirements of the QSR in 21 CFR 820. The QMSR rule emphasizes risk management activities and risk-based decision making and aims to reduce regulatory burdens on device manufacturers and importers by harmonizing domestic and international requirements. Device manufacturers and importers have one year to modify their quality systems to meet the requirements of the QMSR rule by February 2, 2026.</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our Louisville,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Louisville, Colorado and De Soto, Kansas laboratories with the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Louisville, Colorado and De Soto, Kansas laboratories are certified and adhere to the NYS CLEP, based on New York State Public Health Law, Article 5 Title 5. NYS CLEP is exempt from CLIA and establishes their own method of laboratory certification and test validation approval. To process New York State patient specimens a laboratory must submit a robust analytical and clinical validation package to demonstrate clinical utility of the test and receive approval prior to offering the test in the state of New York. All of our tests have obtained NYS CLEP approval including GeneStrat ddPCR, GeneStrat NGS, VeriStrat, Nodify XL2 and Nodify CDT tests. NYS CLEP requires semi-annual inspections to ensure the laboratory meets all general and specialty standards. Due to the pandemic, NYSDOH CLEP routine re-inspections were delayed by multiple years.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Framework for Medical Devices in the United States and Internationally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or more of our current, or future, tests will be subject to FDA authority and oversight as either an IVD or a CDx pursuant to the FDA’s authority to regulate medical devices under the FDCA.</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Medical devices are subject to extensive regulation in the United States and elsewhere, including by the FDA and its foreign counterparts. Government regulations specific to medical devices are wide ranging and govern, among other things:</w:t>
      </w:r>
    </w:p>
    <w:p>
      <w:pPr>
        <w:spacing w:after="0" w:line="54"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manufacturing assembly and release;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 including assay development and validation, clinical sample testing, clinical trial solutions, and quality and regulatory solutions;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Foreign Corrupt Practices Act of 1997 (FCPA).</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Securities and Exchange Commission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Market access, sales and marketing of medical devices in non-U.S. countries are subject to foreign regulatory requirements that vary widely from country to country. For example, in the European Economic Area (EEA), a medical device must meet the Medical Devices Directive’s (MDD)/In Vitro Medical Devices Directive’s (IVDD) Essential Requirements or, applicable on May 26, 2021, the Medical Devices Regulation’s (MDR) / applicable on May 26, 2022, In Vitro Medical Devices Regulation’s (IVDR) General Safety and Performance Requirements which apply to it, taking into account its intended purpose as defined by the data supplied by the manufacturer on the label, in the instructions for use or in promotional or sales materials or statements and as specified by the manufacturer in the clinical evaluation. Before placing a medical device on the EEA market, the manufacturer must draw up a declaration of conformity, certifying that the device complies with the MDD/IVDD/MDR/IVDR, and must then affix the CE mark. For medium and high-risk devices as well as low risk devices that are placed on the market in sterile condition, have a measuring function, or are reusable surgical instruments, the manufacturer must obtain a CE Certificate from a notified body. The notified body typically audits and examines the device’s technical documentation, including the clinical evaluation, and the quality system for the manufacture, design and final inspection of the relevant device before issuing a CE Certificate. Following the issuance of this CE Certificate, manufacturers may draw up the declaration of conformity and affix the CE mark to the devices covered by this CE Certificate.</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Manufacturers of medical devices must document in a clinical evaluation report (CER) the evaluation of the clinical data related to the device. The CER is part of the device’s technical file. The evaluation shall document that the applicable Essential Requirements/General Safety and Performance Requirements are met and document the evaluation of the undesirable side-effects and the acceptability of the benefit-risk ratio. The CER must be updated based on information from the post-market surveillance and vigilance activities related to the device. The CER shall consist,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of analyzed clinical data collected from a clinical investigation of the device, or the results of other studies on substantially equivalent devices. Reliance on “substantially equivalent” devices is very restrictive and requires,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manufacturer has full access to the technical documentation of the equivalent device on an ongoing basis and, if the “equivalent device” is not its own, that the manufacture has in place a contract with the manufacturer of the “equivalent device.”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Similar requirements apply in the UK. For access to the UK market, manufacturers must obtain a UKCA Certificate and affix a UKCA mark to their medical devices. Initially, the government stated the CE mark will be accepted in the UK until July 1, 2023. However, on July 1, 2023, the government updated their guidance for regulating medical devices stating their intention to extend recognition and acceptance of the CE marking for placing most goods on the market in Great Britain, indefinitely, if the device was placed on the EU market before January 1,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Device Classification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31, 2024, the FDA’s Center for Devices and Radiological Health (CDRH) announced that the Center intends to initiate the reclassification process for most IVD tests that are currently Class III (high risk) into Class II (moderate risk). The majority of these tests are infectious disease and companion diagnostic IVDs. Reclassification would allow manufacturers of certain types of tests to seek marketing clearance through the less burdensome premarket notification (510(k)) pathway rather than the premarket approval pathway, the most stringent type of FDA medical device review.</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Class II devices are subject to the General Controls as well as any special controls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Premarket Submission Process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Premarket Approval (PMA); or (3) de novo classification and authorization. These processes can be resource intensive, expensive, and lengthy, and require payment of significant user fees.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510(k)-clearance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therefore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 change or modification in the intended use of the device, a new clearance, authorization or approval may be required.</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 predicate device is not available, the FDA allows the submission of a direct De 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A De Novo request includes a description of the device, a discussion of the general controls and any specific controls recommended to provide reasonable assurance of the safety and effectiveness of the device, a description of the probable benefits of the device when compared to the probable risks when the device is used as intended, non-clinical data including bench performance and animal testing, technical information about the device, and clinical data (if applicable). FDA’s goal is to review a De Novo request within 150 review days after receiving the petition. As with a 510(k) submission or PMA, the length of the review can be prolonged if the FDA requests additional information from the applicant.</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Prior to approval of a PMA, the FDA may conduct inspections of any clinical trial data and clinical trial sites, as well as inspections of any manufacturing facility and processes.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w:t>
      </w:r>
    </w:p>
    <w:p>
      <w:pPr>
        <w:spacing w:after="0" w:line="1" w:lineRule="exact"/>
        <w:rPr>
          <w:sz w:val="20"/>
          <w:szCs w:val="20"/>
          <w:color w:val="auto"/>
        </w:rPr>
      </w:pPr>
    </w:p>
    <w:p>
      <w:pPr>
        <w:ind w:firstLine="8"/>
        <w:spacing w:after="0" w:line="260" w:lineRule="auto"/>
        <w:tabs>
          <w:tab w:leader="none" w:pos="2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may not meet applicable requirements; and (4) changes in FDA approval policies or adoption of new regulations may require additional data.</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condition of PMA application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510(k), De Novo or PMA processes can be expensive, lengthy and unpredictable. The FDA’s 510(k) clearance process usually takes from three to 12 months, but can last longer. The process of obtaining a PMA is much more costly and uncertain than the 510(k)-clearance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Companion Diagnostics and the Premarket Process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several of our future product candidates may include a companion diagnostic (CDx).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The use of the CDx will be stipulated in the labeling of both the CDx and the therapeutic product. The FDA may require an application for the CDx to be separate from the drug approval process, and this could potentially delay the approval of any new drug application or the CDx, or complicate the review process. CDx’s are generally regulated as Class III medical devices by the FDA and are therefore most often subject to the PMA approval process.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issued guidance in July 2016 for the co-development of CDx tests with a therapeutic product and issued another draft guidance in December 2018 specific to oncology CDx tests. The FDA finalized this draft guidance in April 2020 in “Developing and Labeling In vitro Companion Diagnostic Devices for a Specific Group of Oncology Therapeutic Products.” The guidance is meant to guide the development of CDx products, which are defined as IVDs that provide information that is essential for the safe and effective use of the therapeutic product. A CDx is often developed and approved or cleared contemporaneously with the therapeutic, and the use of the CDx is stipulated in the labeling of both the CDx and the corresponding therapeutic product. While it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Some oncology CDx tests can be developed in a way that results in labeling for a specific group of oncology therapeutic products, rather than a single therapeutic product.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Post-Market FDA Regulation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regulatory clearance, authorization or approval of a device is granted, the FDA may impose limitations on the uses and indications for which the device may be labeled and promoted, and the device remains subject to 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 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Fraud and Abuse Laws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federal fraud and abuse laws such as the federal Anti-Kickback Statute (AKS), the federal prohibition against physician self-referral (Stark Law), the Eliminating Kickbacks in Recovery Act (EKRA), and the federal False Claims Act (FCA). We are also subject to similar state and foreign fraud and abuse laws.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AKS (Social Security Act § 1128B(b))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EKRA (18 USC § 220)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third-party payers. EKRA includes a number of statutory exceptions that provide protection from EKRA liability if the applicable requirements are met.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Stark Law (Social Security Act § 1877) generally prohibits, among other things, clinical laboratories and other so-called “designated health services” entities from billing Medicare for any designated health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FCA (31 USC § 3729) imposes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per false claim or statement for penalties assessed.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the Health Insurance Portability and Accountability Act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these federal laws, there are often similar state anti-kickback and false claims laws that typically apply to arrangements involving reimbursement by a state-funded Medicaid or other health care program. Often, these laws closely follow the language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their federal law counterparts, although they do not always have the same exceptions or safe harbors. In some states, these anti-kickback laws apply with respect to all payers, including commercial payers.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Anti-Corruption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FCPA and similar international bribery laws make it unlawful for persons 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 required to make and keep books and records that accurately and fairly reflect the transactions of the company and devise and maintain an adequate system of internal accounting controls. With our international operations through our third-party partnerships, we could incur significant fines and penalties, as well as criminal 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 We successfully passed our latest FCPA compliance review in 2023 with no findings.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Data Protection Laws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Numerous federal and state laws and regulations, including HIPAA, as amended by the Health Information Technology for Economic and Clinical Health (HITECH) Act, govern the collection, dissemination, security, use and confidentiality of protected health information (PHI) and personal information. In the course of performing our business we obtain personal information, including PHI. Laws and regulations relating to privacy, data protection, and consumer protection are evolving and, in some cases, particularly with regard to newer laws, may be subject to potentially differing interpretations. Under HIPAA and HITECH, the Department of HHS issues regulations that establish uniform standards governing the conduct of certain electronic healthcare transactions and requirements for protecting the privacy and security of PHI, used or disclosed by CEs and their authorized business associates (BAs). Because we are a health care provider that electronically transmits health care information, and we also provide certain services to CEs and receive PHI from them, we are at times either a CE or a BA, as defined by HIPAA. Our subcontractors that create, receive, maintain, transmit or otherwise process PHI on our behalf are HIPAA BAs and must also comply with HIPAA, as applicable.</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HIPAA and HITECH include the privacy and security rules, breach notification requirements and electronic transaction standards. The privacy rule governs the use and disclosure of PHI, generally prohibits the use or disclosure of PHI except as permitted under the rule, and mandates certain safeguards to protect the privacy of PHI. The privacy rule also sets forth individual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HIPAA’s breach notification rule, a CE must notify individuals, the Secretary of HHS, and in some circumstances, the media of certain breaches of unsecured PHI or ePHI, and similar breach notification provisions apply to certain BAs under the HITECH Act.</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Penalties for failure to comply with a requirement of HIPAA and HITECH vary depending on the number and nature of the violations and any history of prior violations, but can be significant and include civil monetary or criminal penalties. HIPAA is enforced by the Department of Health and Human Services, Office for Civil Rights,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improper use, access to or disclosure of PHI. In addition, HIPAA mandates that the Secretary of HHS conduct periodic compliance audits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HIPAA CEs, such as us, and their BAs for compliance with the HIPAA privacy and security standards and breach notification rules. It also tasks HHS with establishing a methodology whereby harmed individuals who were the victims of breaches of unsecured PHI may receive a percentage of the civil monetary penalty paid by the violator.</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all California health care providers must abide. Colorado has enacted the Colorado Privacy Act, and Virginia has enacted the Consumer Data Protection Act, both of which also have standards that must be complied with that supplement Federal data protection requirements. State laws may be more stringent, broader in scope or offer greater individual rights with respect to PHI than HIPAA, and state laws may differ from each other in regards to personal information treatment, which may complicate compliance efforts. For instance, the California Consumer Privacy Act (CCPA) became effective on January 1, 2020 and was amended by the passage of the California Privacy Rights Act (CPRA) in November of 2020, which amendments came into force on January 1, 2023. The CCPA, among other things,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Although there are certain exemptions for PHI and clinical trial data, the CCPA’s implementation standards and enforcement practices are likely to remain uncertain for the foreseeable future and the CCPA may increase our compliance costs and potential liability. Additionally, the CPRA imposes additional data protection obligations on companies doing business in California, including additional consumer rights processes and opt outs for certain uses of sensitive data. It also creates a new California data protection agency – the California Privacy Protection Agency – 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could continue to make compliance challenging and costly.</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also be subject to laws and regulations in foreign countries covering data privacy and other protection of health and employee information that may add additional compliance burden and complexity. For example, in the EEA, the collection and use of personal data is governed by the European Union's General Data Protection Regulation (GDPR). In the United Kingdom, the GDPR has been adopted in substantially the same form, however the UK may potentially make revisions in the coming years.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and United Kingdom data protection authorities may interpret the GDPR and national laws differently and impose additional requirements, which adds to the complexity of processing personal data in or from the EEA or United Kingdom. Guidance on implementation and compliance practices is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The GDPR also has requirements around international transfers of personal data. Requirements around transfers to the United States and other jurisdictions have increased since a July 2020 decision by the Court of Justice of the European Union invalidated the Privacy Shield as a basis to transfer personal data from Europe to the United States, and added requirements for reliance on Standard Contractual Clauses. Regulatory guidance on requirements for international transfers, and other GDPR compliance matters, continues to evolve; for example, in July 2023, the European Commission completed adoption of a new adequacy decision for data flows to the United States. However, it is widely expected that the new adequacy decision will itself face scrutiny from the Court of Justice, underscoring that GDPR compliance is an ongoing endeavor.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relies on secure and continuous processing of information and the availability of our IT networks and IT resources, as well as critical IT vendors that support our technology, research and other data processing operations. While we take steps to protect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sensitive trade secrets, or other proprietary information. Any wrongful use or disclosure of PHI, other personal information, trade secrets or other proprietary information by us or our third-party service providers could subject us to regulatory fines or penalties, third-party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data security incidents or data breaches, as well as attacks on our IT systems, could result in operational disruptions or data loss or corruption that could adversely impact our business and operations, resulting in substantial investment of resources to investigate, recover and remediate and subject us to heightened regulatory scrutiny. See Item 1C. "Cybersecurity" for additional information on our cybersecurity practices.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(ACA) was enacted in the United States. The ACA made a number of substantial changes to the way healthcare is financed both by governmental and private insurers. For example, the ACA requires each medical device manufacturer to pay a sales tax equal to 2.3% of the price for which such manufacturer sells its medical devices. The medical device tax was permanently repealed at the end of 2019.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Beginning in 2017, the Trump administration sought to modify, repeal, or otherwise invalidate all, or certain provisions of, the ACA. The Trump administration issued three executive orders and other directives designed to delay the implementation of certain provisions of the ACA or otherwise circumvent some of the requirements for health insurance mandated by the ACA. For example, on December 20, 2019, President Trump signed appropriations legislation for fiscal year 2020 that repealed certain ACA-mandated fees, including the so-called “Cadillac” tax on certain high-cost employer-sponsored insurance plans, for tax years beginning after December 31, 2019; the annual fee imposed on certain health insurance providers based on market share, for calendar years beginning December 31, 2020; and the medical device excise tax on non-exempt medical devices, for sales after December 31, 2019. While Congress did not pass comprehensive legislation that would repeal all or part of the ACA, two bills affecting the implementation of certain taxes under the ACA have been signed into law. Specifically, the Tax Cuts and Jobs Act of 2017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Beginning in 2021, the Biden administration has signaled its intent to pursue policies strengthening the ACA.</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 Congressional action is taken. In 2020, the CARES Act temporarily suspended the 2% cut in Medicare payments from May 1, 2020 through December 31, 2020, and it extended the sequestration reductions through fiscal year 2030 to offset the cost of such temporary suspension. The Consolidated Appropriations Act of 2021 further extended the temporary suspension through March 31, 2021. On April 14, 2021, Congress enacted legislation that further extended the suspension through December 31, 2021. On December 10, 2021, further legislation was enacted to extend the suspension through March 31, 2022, after which a 1.0% sequestration applied for Medicare payments made between April 1, 2022 and June 30, 2022.</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American Taxpayer Relief Act of 2012 made other changes, including reduced Medicare payments to several types of providers and increased the statute of limitations period for the government to recover overpayments to providers from three to five years. If federal spending is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R&amp;D, manufacturing, and marketing activities, which may delay our ability to develop, market and sell any products we may develop. The Biden administration shifted direction from Trump administration policies by issuing orders and other documents rolling back regulations and Executive Orders from the Trump administration, and as noted, indicating that it will pursue policies strengthening the ACA.</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2020, in its enactment of the Consolidated Appropriations Act, Congress enacted the No Surprises Act. This law, which took effect January 1, 2022, bars out-of-network providers from billing patients in excess of the in-network cost sharing for services furnished with respect to a visit at certain in-network health 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exception that generally does not apply to laboratory tests, although it allows HHS to apply this exception to certain advanced tests. Regulations and subregulatory guidance were issued by HHS, the Department of Labor, and the Department of the Treasury in 2021 and 2022, with the first set of regulations was issued as an interim final rule on July 1, 2021, a second set issued as an interim final rule on September 30, 2021, and a third set issued as a final rule on August 19, 2022. These regulations and subregulatory guidance have provided additional information on the applicability of the No Surprises Act, the rules governing the independent dispute resolution process, and specific provider requirements (including the obligation to furnish a “good faith estimates” of “expected charges” to uninsured or self-pay patients), as well as areas of temporary enforcement discretion.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Regulations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potential bloodborne pathogens, hazardous materials and associated wastes. Our operations involve the generation, use, storage and disposal of hazardous materials as well as regulated medical waste, and the risk of injury, contamination or non-compliance with environmental, health and safety laws and regulations or permitting or licensing requirements cannot be eliminated. Compliance with environmental laws and regulations has not had a material effect on our capital expenditures, earning or competitive position. To date, there has not been a for cause OSHA or EPA inspection.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2005 as Elston Technologies, Inc. Our principal executive offices are located at 919 West Dillon Rd, Louisville, CO 80027, and our telephone number is (303) 417-0500. On June 20, 2006, we changed our name to Biodesix,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last day of the fiscal year ending after the fifth anniversary of the completion of our initial public offering (IPO)).</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Additionally, we are a “smaller reporting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certain risks related to our status as an emerging growth company, see “Risk Factors—General Risk Factors—We are an “emerging growth company” and a “smaller reporting company,” and the reduced disclosure requirements applicable to emerging growth companies and smaller reporting companies may make our common stock less attractive to investors.”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culture is underpinned by our cultural beliefs including an unwavering commitment to inclusion and diversity. We are committed to fostering a diverse and inclusive workplace that attracts and retains exceptional talent offering opportunities for our team members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grow and develop in their careers, supported by a competitive suite of benefits and health and wellness programs. We regularly engage our team members in monthly all-hands meetings to align and focus on the current state of affairs of our business, our partnerships, new products, clinical trials, and other pertinent information about our business. We engage our team members in programs such as peer recognition and recruitment that focuses on recognizing outstanding individual contributions to company performance, cultural fit of new team members and acknowledging the diversity of our team to ensure our team members feel valued and can do their best work. We have a national annual community service initiative, “</w:t>
      </w:r>
      <w:r>
        <w:rPr>
          <w:rFonts w:ascii="Times New Roman" w:cs="Times New Roman" w:eastAsia="Times New Roman" w:hAnsi="Times New Roman"/>
          <w:sz w:val="18"/>
          <w:szCs w:val="18"/>
          <w:i w:val="1"/>
          <w:iCs w:val="1"/>
          <w:color w:val="auto"/>
        </w:rPr>
        <w:t>Biodesix Gives Back</w:t>
      </w:r>
      <w:r>
        <w:rPr>
          <w:rFonts w:ascii="Times New Roman" w:cs="Times New Roman" w:eastAsia="Times New Roman" w:hAnsi="Times New Roman"/>
          <w:sz w:val="18"/>
          <w:szCs w:val="18"/>
          <w:color w:val="auto"/>
        </w:rPr>
        <w:t>” that allows each team member to invest ten hours of paid community service to organizations of their choosing.</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approximately 273 full-time and part-time employees, all of whom are located in the United States. The majority of our team member base is located in proximity to our corporate office and testing facilities located in Louisville, Colorado and our laboratory in De Soto, Kansas.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 diverse employee population, including cultural background, gender, ethnicity, sexual orientation and lived experiences, is critical to our success since we need to represent our patients, providers, and partners. Our employees are encouraged to leverage their personal strengths and experiences to continually innovate and contribute to the development of new ideas and process improvements that drive better experiences for our partners.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company culture emphasizes the satisfaction and well-being of our team members and a diverse, engaged workforce. We solicit the opinion and views of our team members through surveys and peer focus groups. We have an established and valued peer recognition culture. Teammates recognize other teammates publicly for their support and contributions fostering collaboration, engagement and retention. We regularly review feedback we receive on our operating principles to determine if any modifications are needed. During 2021, we updated our cultural beliefs to align with our core values that reflect our current focus on Teamwork, Innovation, Making an Impact and Excel. In 2025, we transitioned our cultural beliefs into Operating Principles to reflect a renewed focus and commitment on </w:t>
      </w:r>
      <w:r>
        <w:rPr>
          <w:rFonts w:ascii="Times New Roman" w:cs="Times New Roman" w:eastAsia="Times New Roman" w:hAnsi="Times New Roman"/>
          <w:sz w:val="18"/>
          <w:szCs w:val="18"/>
          <w:i w:val="1"/>
          <w:iCs w:val="1"/>
          <w:color w:val="auto"/>
        </w:rPr>
        <w:t>Team, Impact, and Excellence</w:t>
      </w:r>
      <w:r>
        <w:rPr>
          <w:rFonts w:ascii="Times New Roman" w:cs="Times New Roman" w:eastAsia="Times New Roman" w:hAnsi="Times New Roman"/>
          <w:sz w:val="18"/>
          <w:szCs w:val="18"/>
          <w:color w:val="auto"/>
        </w:rPr>
        <w:t>. Additionally, the Company annually celebrates our top sales performers through our President’s Club and other top company performers as nominated by fellow team members through our four (4) Performance Excellence Awards that recognize creativity and innovation, an entrepreneurial spirit, a strategic impact on the success of the Company and lastly, embodying the Biodesix cultural beliefs and goes “above and beyond” daily.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invest in our team members' career growth and provide team members with a wide range of development opportunities, including face-to-face, virtual, and self-directed learning, mentoring, coaching, and external development.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physical health, financial stability, life balance and mental health of each of our team members is vital to our success. We sponsor several cancer awareness activities in our local communities to bring engagement and awareness of health, safety and wellness to positively impact lives. We provide an Employee Assistance Program to enhance physical, financial, and mental well-being for all our team members.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Equity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main objective of our compensation program is to provide a compensation package that will attract, retain, motivate, and reward superior team members who operate in a highly competitive and technologically challenging environment. We emphasize overall Company performance and provide equity incentives for all team members to align their financial interests with the interests of shareholders. In addition, we offer an employee stock purchase plan to all employees in which participants are eligible to purchase shares at a discount to market. We think like customers and act like owners.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Biodesix seeks fairness in total compensation. We benchmark with external comparisons, internal comparisons and look at the relationship between team member roles within the organization. We also review our compensation practices, both in terms of our overall workforce and individual team members, to ensure our pay is fair and equitable. We currently have no pay disparities based on gender, race, or ethnicity.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file with, or furnish to, the SEC reports including our Annual Report on Form 10-K, Quarterly Reports on Form 10-Q, Current Reports on Form 8-K, and amendments to those reports pursuant to Section 13(a) or 15(d) of the Securities Exchange Act of 1934, as amended. These reports are available free of charge on our corporate website (www.biodesix.com) as soon as reasonably practicable after they are electronically filed with or furnished to the SEC. Copies of any materials we file with the SEC can be obtained at www.sec.gov. The information provided on our website (or any other website referred to in this report) is not part of this report and is not incorporated by reference as part of this Annual Report on Form 10-K.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This summary does not address all of the risk that we face and should be read in conjunction with the entire Risk Factors section below beginning at “Risks Related to Our Business and Industry” within this Item 1A. "Risk Factors."</w:t>
      </w:r>
    </w:p>
    <w:p>
      <w:pPr>
        <w:spacing w:after="0" w:line="68" w:lineRule="exact"/>
        <w:rPr>
          <w:sz w:val="20"/>
          <w:szCs w:val="20"/>
          <w:color w:val="auto"/>
        </w:rPr>
      </w:pPr>
    </w:p>
    <w:p>
      <w:pPr>
        <w:ind w:left="9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expect to continue to incur losses for the foreseeable future. If we achieve profitability, we may not be able to sustain it;</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our current relationships, or enter into new relationships, with biopharmaceutical companies, our revenue prospects could be reduced;</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and revenue growth are highly dependent on the demand for, and increased adoption of, our diagnostic tests, which are subject to a number of risks and uncertainty;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ensure strong product performance and reliability to maintain and grow our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third-party suppliers, including single source suppliers, making us vulnerable to supply problems and price fluctuations;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or other similar events may significantly disrupt our business, and negatively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53"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that could adversely affect our business, financial condition, results of operations and cash flows. All of the risks described below should be carefully considered together with the other information contained and incorporated by reference in this report.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losses for the foreseeable future. If we achieve profitability, we may not be able to sustain it.</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losses since our inception and expect to continue to incur losses for the foreseeable future. We reported net losses of $42.9 million and $52.1 million for the years ended December 31, 2024 and 2023, respectively. As a result of these losses, as of December 31, 2024, we had an accumulated deficit of approximately $462.5 million.</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or certifications for future enhancements to our existing diagnostic tests and services and conduct further clinical trials. In addition, we expect our general and administrative expenses to increase due to the additional costs associated with scaling our business operations and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our current and future diagnostic tests and services depends on a number of factors, including:</w:t>
      </w:r>
    </w:p>
    <w:p>
      <w:pPr>
        <w:spacing w:after="0" w:line="117" w:lineRule="exact"/>
        <w:rPr>
          <w:sz w:val="20"/>
          <w:szCs w:val="20"/>
          <w:color w:val="auto"/>
        </w:rPr>
      </w:pPr>
    </w:p>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adequate utilization of our tests by clinicians, biopharmaceutical companies and other target groups based on the potential and perceived advantages of our diagnostic tests over those of our competitors;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use of our diagnostic tests relative to those currently on the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incremental data that show the clinical benefits and cost effectiveness, and operational benefits, of our diagnostic tests;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coverage and reimbursement acceptance of our products and services;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group purchasing organizations (GPOs), seeking to obtain discounts on our diagnostic tests based on the collective bargaining power of the GPO members;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or our competitors’ diagnostic tests resulting from defects or errors;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tests relative to those of our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by the FDA or other regulatory authorities or conformity assessment bodies; and</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cleared or approved by the FDA or other regulatory authorities or conformity assessment bodies.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even if our diagnostic tests achieve widespread market acceptance, they may not maintain that market acceptance over time if competing diagnostic tests or technologies, which are more cost effective or are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disrupt our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we had approximately 273 full and part-time employees. Over the next several years, we expect to continue to significantly increase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business, financial condition, and results of operations.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inception, we have experienced multiple cycles of growth and anticipate further growth in our business operations. This future growth could put strain on our organizational, administrative and operational 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maintain the quality or expected turnaround times of our diagnostic tests and services,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 Additionally, if we are required to reduce expenses substantially to sustain our operations, we may not have the human resources to maintain growth in our business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generate future growth, we plan to continue to expand and leverage our sales and marketing infrastructure. Identifying and recruiting qualified sales and marketing personnel and training them on how to 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pacing w:after="0" w:line="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current relationships, or enter into new relationships, with biopharmaceutical companies, our revenue prospects could be reduced.</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collaborate with biopharmaceutical companies to analyze patient samples for multiple applications primarily to support clinical trials, including patient identification, companion or complementary diagnostics and retrospective testing. The revenue attributable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quarterly and annual revenue and operating results may fluctuate significantly, which makes it difficult for us to predict our future operating results.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spacing w:after="0" w:line="68"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diagnostic tests, which may vary significantly;</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manufacturing our diagnostic tests, which may vary depending on the quantity of production and the terms of our agreements with third-party suppliers and manufacturers;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tests and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pricing pressures;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 and the cost and level of investment therein;</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consolidation among our competitors or future partners;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lung cancer treatment equipment, and potential future diagnostic tests that compete with our diagnostic tests;</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diagnostic tests or any enhancements to such tests we develop or competing diagnostic tests;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or public perception, of our diagnostic tests or those of our competitors or broader industry trends;</w:t>
      </w:r>
    </w:p>
    <w:p>
      <w:pPr>
        <w:spacing w:after="0" w:line="117"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licenses, regulatory approval, conformity certification, commercialization activities, acquisitions and other strategic transactions, or other significant events relating to our diagnostic tests, which may change from time to time;</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obtaining regulatory approvals, conformity certifications or clearances for planned or future improvements or enhancements to our diagnostic tests;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in the status of regulatory approvals or applications or conformity certifications;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discounts, and incentives for our diagnostic tests;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cumulative effects of these factors has resulted in large fluctuations and unpredictability in our quarterly and annual financial results. As a result, comparing our operating results on a period-to-period basis may not be meaningful. Further, our historical results are not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need to ensure strong product performance and reliability to maintain and grow our business</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need to maintain and continuously improve the performance and reliability of our diagnostic tests to achieve our profitability 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third-party suppliers, including single source suppliers, making us vulnerable to supply problems and price fluctuations.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third-party suppliers to provide certain components of our diagnostic tests, including a select few (located in the United States, Europe and China), as critical single source providers of components. Bio-Rad, as described below, is the sole source supplier for our GeneStrat test. Freenome is also the sole source supplier for our Nodify CDT tests but there are known secondary suppliers for these materials. While we have initiated the second source qualification process for the majority of these critical components, we may not be successful in securing second sourcing for all of them at all or on a timely basis.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our suppliers are not obligated to perform services or supply diagnostic testing materials for any specific period, in any specific quantity or at any specific price, except as may be provided in a particular purchase order. We depend on our suppliers and to provide us and our customers with materials in a timely manner that meet our and their quality, quantity and cost requirements. These suppliers may encounter problems during manufacturing for a variety of reasons, any of which could delay or impede their ability to meet our demand. These suppliers may cease producing the components we purchase from them or otherwise decide to cease doing business with us. Further, we maintain limited volumes of inventory from most of our suppliers. If we inaccurately forecast demand for finished goods, we may be unable to meet customer demand which could harm our competitive position and reputation. In addition, if we fail to effectively manage our relationships, we may be required to change suppliers.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For more information regarding this license and supply agreement and the permission granted to us by Bio-Rad with respect to such tests, please see “Business—Material Agreements—Agreements with Bio-Rad” filed with our Form S-1 on October 23, 2020 and “First Amendment to the Non-Exclusive License Agreement between Bio-Rad Laboratories, Inc., and Biodesix, Inc., dated May 24, 2021” filed with our Form 10-Q on August 10, 2021.</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sufficiently reduce costs in the performance, manufacturing and production of our diagnostic tests to achieve sustainable gross margins.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partner with suppliers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and other similar events may significantly disrupt our business, and negatively impact our business, financial condition and results of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significant portion of our employee base, operating facilities and infrastructure are centralized in Louisville, Colorado and we operate a laboratory facility in De Soto, Kansas. Any of our facilities may be harmed or rendered inoperable by natural or man-made disasters, including earthquakes, wildfires, floods, nuclear disasters, riots, acts of terrorism, government shutdowns or other criminal activities, infectious disease outbreaks or pandemic events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 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diagnostic tests and services and any future diagnostic tests and services may be smaller than we estimate and may decline.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CCPA) federal (e.g., HIPAA), and the HITECH Act and laws in other jurisdictions (e.g., the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Unauthorized disclosure of sensitive or confidential patient or employee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third-party providers will be successful in preventing cyber-attacks or successfully mitigating their effects. Recent cyber-attacks purportedly originated by Russian controlled entities have exacerbated in the wake of Russia’s invasion of Ukraine and our systems may be infiltrated by foreign actors.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payer concentration, with a limited number of customers accounting for a substantial portion of our revenues.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2024 and 2023, Medicare reimbursed 39% and 43%, respectively, of our total revenue to us. For the years ended December 31, 2024 and 2023, one customer accounted for 7% and 10%, respectively, of our total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 its relationship with us or our tests are no longer reimbursable by such payer, such termination could negatively affect our revenues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materially harmed if we are unable to accurately forecast customer demand for, and utilization of, our diagnostic tests and manage our inventory.</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significant disruptions in our information technology systems, our business may be adversely affected.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68"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diagnostic tests and services;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the market price of our common stock;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we have adequate product liability insurance, but it may not prove to be adequate to cover all liabilities that we may incur. Insurance coverage is increasingly expensive and costs may continue to rise.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many sources, including larger companies, and we may be unable to compete successfully.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75"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name recognition;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deeper, or longer-term relations with healthcare professionals, customers, and third-party payers;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distribution networks;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diagnostic tests and the ability to offer rebates or bundle them to offer greater discounts or other incentives to gain a competitive advantage;</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conducting research and development, manufacturing, clinical trials, marketing and obtaining regulatory clearance or approval or certification for diagnostic tests;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 and patent litigation.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continued success depends on our ability to:</w:t>
      </w:r>
    </w:p>
    <w:p>
      <w:pPr>
        <w:spacing w:after="0" w:line="117" w:lineRule="exact"/>
        <w:rPr>
          <w:sz w:val="20"/>
          <w:szCs w:val="20"/>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penetrate the lung disease diagnostic solutions market and increase utilization of our diagnostic tests;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widen our technology lead over competitors by continuing to innovate and deliver new product enhancements on a continuous basis;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our diagnostic tests and their component parts as well as drive down the cost of service.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we attain greater commercial success, our competitors are likely to develop diagnostic tests that offer features and functionality similar to our diagnostic tests that are currently on the market. Improvements in existing competitive diagnostic tests or the introduction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of new competitive diagnostic tests may make it more difficult for us to compete for sales, particularly if those competitive diagnostic tests demonstrate better reliability, convenience or effectiveness or are offered at lower prices.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government shutdowns, civil unrest and disturbances or other service interruptions affecting delivery or warehousing services we use would adversely affect our ability to process orders for our diagnostic tests on a timely basis.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Louisville,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purchasing groups and governmental purchasing organizations could have a material adverse effect on our sales and profitability.</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an effort to reduce costs, many hospitals in the United States have become members of GPOs and Integrated Delivery Networks (IDNs). GPOs and IDNs negotiate pricing arrangements with medical device companies and distributors on behalf of their members, which may include hospitals and other providers.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Pricing and reimbursement of medical devices is not harmonized at the European level, but is the exclusive competence of the EU Member States. In Europe, pricing and reimbursement decisions are generally made by regional or centralized bodies based on an assessment of the efficacy and clinical effectiveness of the devices or broad device types or procedures. There is a general trend for EU Member States to adopt cost containment measures to control public spend on medical devices. Due to the competitive nature of product offers and prices, we may not be able to obtain new, or maintain existing, contract positions with the EU Member States.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diagnostic tests and services, even if the regulatory or legal action is unfounded or not material to our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and financial market conditions may exacerbate our business risks.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such as inflationary pressures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macroeconomic conditions, including political, military and security conflicts, may also impact the global economy and capital markets. If, due to these events,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or costs of our Co-Development and Collaboration Agreement with AVEO Oncology.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 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exercised our right to opt-out of co-development, we would equally share in any income received from licensing rights to ficlatuzumab to any third parties. In September 2020, we exercised our opt-out right for the payment of half of the development and regulatory costs for ficlatuzumab which became effective as of December 2, 2020. Following the effective date, we are entitled to a 10% royalty of net sales of ficlatuzumab and 25% of license income generated from the licensing of ficlatuzumab. Ficlatuzumab is currently being evaluated in squamous cell carcinoma of the head and neck (SCCHN), metastatic pancreatic ductal cancer (PDAC), and acute myeloid leukemia (AML).</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future payments and other obligations associated with our acquisition of Oncimmune, U.S.A., and may not realize the advantages we expect from this acquisition.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31, 2019 we completed an acquisition of Freenome's United States operations (formerly "Oncimmune USA" or "Oncimmune") including its CLIA lab in De Soto, Kansas and its incidental pulmonary nodule (IPN) malignancy test, then marketed in the United States as the EarlyCDT Lung® test. We renamed and relaunched the test on February 28, 2020 as the Nodify CDT test and the De Soto, Kansas lab is the sole United States provider of the Nodify CDT test.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 We agreed to a revenue share payment of 8% of recognized revenue for non-screening tests up to an annual minimum volume and 5% thereafter, with an escalating minimum through the first four years of sales.</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acquisition may require us to incur non-recurring and other charges, increase our near and long-term expenditures, or disrupt our management and business. We cannot be certain that, following the realization of this acquisition, we will achieve the revenue or specific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income that justifies our entry into it. This could delay our sales and marketing efforts, which would harm our business prospects, financial condition and results of operations.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programs and laboratory operations depend on our ability to attract and retain highly skilled scientists and technicians.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be able to attract or retain qualified scientists and technicians in the future due to the competition for qualified personnel among life science businesses, particularly near our headquarters in Louisville,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could lead to disparities of wealth among our employees, which could adversely impact relations among employees and our culture in general. Our anticipated headcount growth may result in a change to our corporate culture, which could harm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research and development credit may be limited.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 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now or in the future,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the Perceptive Term Loan Facility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16, 2022 (Closing Date), we entered into a credit agreement and guaranty (the Credit Agreement) with Perceptive Credit Holdings IV, LP as the lender and administrative agent (the Lender) that provides for a senior secured delayed draw term loan facility with Perceptive Advisors LLC (Perceptive), in an aggregate principal amount of up to $50.0 million (the Perceptive Term Loan Facility)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to refinance long-term debt. The Perceptive Term Loan Facility provides for an “interest-only” period during the term of the loan with principal due at the maturity date, which will be November 21, 2027.</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Perceptive Term Loan Facility may be prepaid at any time, subject to a prepayment premium equal to 2% to 10% of the aggregate outstanding principal amount being prepaid, depending on the date of prepayment. The Perceptive Term Loan Facility contains customary affirmative and negative covenants for a loan, requires us to comply with a minimum cash requirement covenant, and has a trailing twelve month net revenue requirement. Failure to comply with the covenants and loan requirements may result in an event of default.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10, 2023, the Company entered into the First Amendment with the Lender, whereby, subject to the terms and conditions of the First Amendment, the Minimum Net Revenue Covenant (as defined in the Credit Agreement) was amended to reduce the relevant threshold of each fiscal quarter commencing on the fiscal quarter ending June 30, 2023 through and including the fiscal quarter ending March 31, 2024. As consideration for the First Amendment, the Company agreed to issue to Perceptive a warrant to purchase up to 500,000 shares of the Company’s common stock which are equity classified at a per share exercise price equal to $1.6254.</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4, 2023,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with the fiscal quarter ending June 30, 2024 through and including the fiscal quarter ending December 31,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29, 2024 (the Third Amendment Effective Date), the Company entered into the Third Amendment to the Credit Agreement and Guaranty (the Third Amendment) with Perceptive as lender and administrative agent and the Company, as borrower, whereby subject to the terms and conditions of the Third Amendment, the Minimum Net Revenue Covenant (as defined in the Credit Agreement) was amended to reduce the relevant threshold as of the last day of each fiscal quarter commencing on the fiscal quarter ending March 31, 2024 through and including the fiscal quarter ending December 31, 2025.</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30, 2024 (the Fourth Amendment Effective Date), the Company entered into the Fourth Amendment to the Credit Agreement and Guaranty (the Fourth Amendment) with Perceptive, as lender and administrative agent, and the Company, as borrower, whereby subject to the terms and conditions of the Fourth Amendment, the Minimum Net Revenue Covenant (as defined in the Credit Agreement) was amended to reduce the relevant threshold as of the last day of each fiscal quarter commencing on the fiscal quarter ending June 30, 2025 through and including the fiscal quarter ending December 31, 2027.</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Perceptive Term Loan Facility contains certain covenants limiting our ability to, among other things, engage in certain corporate changes, make certain restricted payments, repay other certain indebtedness or enter into, amend or terminate any other agreements that have the impact of restricting our ability to make loan repayments.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certain customary events of default, the occurrence of which could result in the declaration that all outstanding principal and interest under the Perceptive Term Loan Facility is immediately due and payable in whole or in part, which could have a material adverse effect on our business, financial condition, and results of operations.</w:t>
      </w:r>
    </w:p>
    <w:p>
      <w:pPr>
        <w:spacing w:after="0" w:line="6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capital to fund our existing operations, develop our platform, commercialize new diagnostic tests or expand our operations.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to pursue strategic investments, to take advantage of financing opportunities or for other reasons, including to:</w:t>
      </w:r>
    </w:p>
    <w:p>
      <w:pPr>
        <w:spacing w:after="0" w:line="54" w:lineRule="exact"/>
        <w:rPr>
          <w:sz w:val="20"/>
          <w:szCs w:val="20"/>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and address competitive developments;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diagnostic tests or any other future diagnostic tests;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technologies into other types of cancer management and lung disease detection diagnostic tests;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17" w:lineRule="exact"/>
        <w:rPr>
          <w:sz w:val="20"/>
          <w:szCs w:val="20"/>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third-party payers and government payers;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offerings, including our sales and marketing efforts;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left="900" w:right="2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and reimbursement for our diagnostic tests;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diagnostic tests in research and early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diagnostic tests.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in the future make additional acquisitions or investments in complementary companies, diagnostic tests or technologies that we believe fit within our business model and can address the needs of our customers and potential customers. In the future, we may not be able to acquire and integrate other companies, diagnostic tests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and its variants could adversely affect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 pandemic, epidemic or outbreak of an infectious disease occurs in the United States or worldwide, our business may be adversely affected. Disruptions due to prior pandemics or potential disruptions due to the government imposed restrictions have included, and in the future may continue to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t>The extent to which a future pandemic or epidemic impacts our business will depend on future facts and circumstances, which are highly uncertain and cannot be predicted. While the potential economic impact brought by, and the duration of, any pandemic, epidemic or outbreak of an infectious disease may be difficult to assess or predict, it may result in, significant disruption of global financial markets and a reduction in our ability to access capital, which could adversely affect our liquidity. In addition, a recession or market correction resulting from the spread of an infectious disease, could materially affect our business. Such economic recession could have a material adverse effect on our long-term business. To the extent a pandemic adversely affects our business and financial results, it may also have the effect of heightening many of the other risks described in this “Risk Factors” section.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Governmental Regulation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CMS, an agency within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authorities or bodies in Europe may be more conservative than CMS. For example, a number of cancer drugs have been approved for reimbursement in the United States and have not been approved for reimbursement, or have been approved under restricted conditions, in certain European countries.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In Europe, pricing and reimbursement of medical devices is the exclusive competence of the European Union (EU) Member States. However, the European Commission is facilitating a voluntary corporation between the EU Member States on health technology assessments (HTA) which consists of a network of the EU Member States’ national authorities and bodies responsible for HTA and a joint action to support cooperation at scientific and technical level between the HTA bodies.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control the healthcare budget by focusing cost-cutting efforts on medicinal products, and to a lesser extent, medical devices, provided under their state-run healthcare systems. These price control efforts have impacted all 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payers, in the United States and abroad, to cap or reduce healthcare costs may cause such organizations to limit both coverage and level of reimbursement for newly cleared, authorized, certified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although it is possible that HHS’s regulatory priorities may change under the Biden administration. At the state level, legislatures are increasingly passing legislation and implementing regulations designed to control pharmaceutical and biological pricing, including price or patient reimbursement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constraints, discounts, restrictions on certain product access and marketing cost disclosure and transparency measures, which are, in some cases, designed to encourage importation from other countries and bulk purchasing.</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diagnostic tests.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Measures to reduce healthcare costs may hurt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Biodesix is dependent on reimbursement by government and commercial insurance payers when we bill directly for our lung cancer diagnostic solutions services. When we sell our lung cancer diagnostic solutions services to customers, the majority of our customers are healthcare providers who depend upon reimbursement by government and commercial insurance payers for lung cancer diagnostic solutions services. With a majority of United States patients with lung cancer covered by Medicare, the Medicare reimbursement rate is an important factor both in our revenues from direct claims submission and in a customer’s decision to use our diagnostic tests, limiting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diagnostic tests.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have been judicial challenges to certain aspects of the ACA, as well as efforts by the Trump administration and Congress to repeal, replace or alter the implementation of certain aspects of the ACA. For example, as part of the TCJA,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high-cost employer-sponsored insurance plans, the annual fee imposed on certain health insurance providers based on market share (repeal effective in 2021), and the medical device excise tax on non-exempt medical devices.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March 31, 2022, and a reduction of the cut to 1% from April 1, 2022 through June 30, 2022.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Biden administration took steps to strengthen the ACA and focus on reducing the cost of healthcare.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harm:</w:t>
      </w:r>
    </w:p>
    <w:p>
      <w:pPr>
        <w:spacing w:after="0" w:line="54"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diagnostic tests;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anti-corruption, anti-bribery, anti-money laundering and similar laws.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healthcare fraud and abuse laws.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 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under applicable United States federal and state healthcare laws and regulations include the following:</w:t>
      </w:r>
    </w:p>
    <w:p>
      <w:pPr>
        <w:spacing w:after="0" w:line="117" w:lineRule="exact"/>
        <w:rPr>
          <w:sz w:val="20"/>
          <w:szCs w:val="20"/>
          <w:color w:val="auto"/>
        </w:rPr>
      </w:pPr>
    </w:p>
    <w:p>
      <w:pPr>
        <w:jc w:val="both"/>
        <w:ind w:left="900" w:right="20" w:hanging="383"/>
        <w:spacing w:after="0" w:line="261"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71"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51" w:lineRule="exact"/>
        <w:rPr>
          <w:rFonts w:ascii="Times New Roman" w:cs="Times New Roman" w:eastAsia="Times New Roman" w:hAnsi="Times New Roman"/>
          <w:sz w:val="18"/>
          <w:szCs w:val="18"/>
          <w:color w:val="auto"/>
        </w:rPr>
      </w:pPr>
    </w:p>
    <w:p>
      <w:pPr>
        <w:jc w:val="both"/>
        <w:ind w:left="900" w:hanging="383"/>
        <w:spacing w:after="0" w:line="267"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which may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ind w:left="900" w:right="20"/>
        <w:spacing w:after="0" w:line="266" w:lineRule="auto"/>
        <w:rPr>
          <w:sz w:val="20"/>
          <w:szCs w:val="20"/>
          <w:color w:val="auto"/>
        </w:rPr>
      </w:pPr>
      <w:r>
        <w:rPr>
          <w:rFonts w:ascii="Times New Roman" w:cs="Times New Roman" w:eastAsia="Times New Roman" w:hAnsi="Times New Roman"/>
          <w:sz w:val="18"/>
          <w:szCs w:val="18"/>
          <w:color w:val="auto"/>
        </w:rPr>
        <w:t>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68" w:lineRule="exact"/>
        <w:rPr>
          <w:sz w:val="20"/>
          <w:szCs w:val="20"/>
          <w:color w:val="auto"/>
        </w:rPr>
      </w:pPr>
    </w:p>
    <w:p>
      <w:pPr>
        <w:jc w:val="both"/>
        <w:ind w:left="900" w:hanging="383"/>
        <w:spacing w:after="0" w:line="261"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71" w:lineRule="exact"/>
        <w:rPr>
          <w:rFonts w:ascii="Times New Roman" w:cs="Times New Roman" w:eastAsia="Times New Roman" w:hAnsi="Times New Roman"/>
          <w:sz w:val="18"/>
          <w:szCs w:val="18"/>
          <w:color w:val="auto"/>
        </w:rPr>
      </w:pPr>
    </w:p>
    <w:p>
      <w:pPr>
        <w:jc w:val="both"/>
        <w:ind w:left="900" w:hanging="383"/>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Manufacturers or laboratories that sell testing services to customers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our industry generally or our tests specifically could be disruptive to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payers.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 sent to a laboratory, in part, for failing to obtain premarket review of its test.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FDA’s May 6, 2024 Final Rule to end enforcement discretion is implemented or the FDA otherwise issues new rules, policies, or guidance, due to new legislation or on its own accord, or otherwise determines that our tests are not subject to enforcement discretion, our tests may become subject to FDA requirements, including pre-market review. If this were to happen, it may impact our marketing practices relating to the relevant tests, which in turn may have an adverse impact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diagnostic testing industry is subject to extensive laws and regulations, many of which have not been interpreted by the courts. Tests without FDA clearance, approval, or authorization would not be considered covered countermeasures under the Public Readiness and Emergency Preparedness Act (PREP Act), which authorizes HHS to provide limited liability immunity protection to certain individuals and entities against a claim of loss under federal and state law “caused by, arising out of, relating to, or resulting from” the manufacture, distribution, administration, or use of a covered medical countermeasure, except for claims involving willful misconduct. Consequently, any violations of applicable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Louisville, Colorado and De Soto, Kansas laboratories are both CAP-accredited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LDTs and are not currently subject to FDA enforcement, although certain components provided by third parties and used to create and/or administer the test may be. LDTs are a subset of IVDs that are intended for clinical use and developed, validated, and offered within a single laboratory for use only in that laboratory. Failure to adhere to any new FDA regulation would result in fines, product suspensions, warning letters, recalls, injunctions and other civil and criminal penalties.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FDA is phasing out its general policy of enforcement discretion and will regulate laboratory developed tests as medical devices.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currently not otherwise regulating most tests developed and performed within a single high complexity CLIA-certified laboratory. Pursuant to this enforcement discretion policy, FDA does not require laboratories that furnish LDTs to comply with the agency’s requirements for medical devices (e.g., establishment registration, device listing, quality systems regulations, premarket clearance or premarket approval, and post-market controls).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29, 2023, FDA announced a proposed rule to amend its regulations to explicitly regulate laboratory developed tests (LDTs) as in vitro diagnostic tests in accordance with the agency’s regulatory authority over medical devices. The FDA finalized its rule on May 6, 2024 and announced that the agency will phase-out its LDT enforcement discretion policy in gradual stages over a total period of four years. LDTs that fall within targeted enforcement discretion policies may be exempt from some of these requirements.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final rule, our tests that are currently offered as LDTs could become subject to certain statutory and regulatory provisions that are applicable to medical devices, including but not limited to, medical device reporting and correction and removal reporting requirements, quality systems regulations, registration and listing requirements, and premarket review requirements. Laboratories offering “high-risk tests that will be subject to premarket authorization application requirements or licensure under Section 351 of the Public Health Service Act, will need to ensure that the appropriate submission is received by the FDA before November 6, 2027. Laboratories offering “moderate-risk” or “low-risk” tests that will be subject to De Novo authorization or premarket notification submissions will need to ensure that the appropriate submission is received by the FDA before May 6, 2028. Other regulatory requirements will be gradually phased in beginning on May 6, 2025.</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challenges have been filed in federal district court over the agency’s authority to regulate LDTs as medical devices, and the outcome of such litigation and its impact on FDA’s plan to implement the requirements are uncertain. Congress has also considered legislation to establish a new comprehensive regulatory framework that would provide oversight over LDTs.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the obligations that could be imposed by the final rule do not become applicable to our tests, Congress could take action to amend the law to change the current regulatory framework for in vitro diagnostics and LDTs to require premarket review of LDTs and other regulatory requirements. New requirements, whether imposed through legislation or administratively, could result in delay or additional expense in offering our tests and tests that we may develop in the future. Moreover, 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therefore, are or may become subject to extensive regulation by the FDA in the United States. Government regulations specific to medical devices are wide ranging and govern, among other things:</w:t>
      </w:r>
    </w:p>
    <w:p>
      <w:pPr>
        <w:spacing w:after="0" w:line="54"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design, development, manufacture, and release;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premarket submission process for medical devices can be expensive, lengthy and unpredictable. The FDA can delay, limit, or deny clearance or approval of a device for many reasons, including:</w:t>
      </w:r>
    </w:p>
    <w:p>
      <w:pPr>
        <w:spacing w:after="0" w:line="54" w:lineRule="exact"/>
        <w:rPr>
          <w:sz w:val="20"/>
          <w:szCs w:val="20"/>
          <w:color w:val="auto"/>
        </w:rPr>
      </w:pPr>
    </w:p>
    <w:p>
      <w:pPr>
        <w:ind w:left="900" w:right="2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conformity assessment body that the diagnostic tests are safe or effective for their proposed intended uses;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implementation of our clinical trials or the interpretation of data from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clinical trials may be insufficient to support clearance or approval, where required;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FDA and state authorities have broad enforcement powers. Our failure to comply with applicable regulatory requirements could result in enforcement action by any such agency, which may include any of the following sanctions:</w:t>
      </w:r>
    </w:p>
    <w:p>
      <w:pPr>
        <w:spacing w:after="0" w:line="54"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it has come to our attention letters, 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our diagnostic tests;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our requests for regulatory clearance or premarket approval of new diagnostic tests or services, new intended uses, or modifications to existing diagnostic tests or services;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clearance or premarket approvals that have already been granted;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above, we believe that our current line of diagnostic tests and their components are LDTs, which are subject to state licensing requirements and federal regulation by CMS under CLIA, which may cause us to be subject to additional FDA regulations discussed above.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believe that we are currently in material compliance with applicable laws and regulations, it is possible that the FDA, or other regulatory agencies, would not agree with our determinations. If our products became become subject to premarket submission and other FDA requirements, we would need to comply with the applicable regulations or face significant civil and criminal penalties. In addition, IVDs and CDx tests are widely considered 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receive regulatory clearance or approval or certification for, and introduce new diagnostic tests or enhancements to existing diagnostic tests that will be accepted by the market in a timely manner. There is no guarantee that the FDA will grant 510(k) clearance, De Novo authorization, or PMA approval of our future diagnostic tests and failure to obtain necessary clearances or approvals for our future diagnostic tests would adversely affect our ability to grow our business.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or certification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The success of any new diagnostic test or enhancement to an existing diagnostic test will depend on a number of factors, including our ability to, among others:</w:t>
      </w:r>
    </w:p>
    <w:p>
      <w:pPr>
        <w:spacing w:after="0" w:line="54"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anticipate physician and patient needs properly;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diagnostic tests or enhancements to our existing diagnostic tests in a timely manner;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misappropriating, or violating the intellectual property rights of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diagnostic tests with data from 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or approvals or certifications for new diagnostic tests or enhancements to existing diagnostic tests;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fully with FDA and foreign regulations on marketing of new diagnostic tests or modified diagnostic tests;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diagnostic tests.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De Novo authorization, or premarket approval of new diagnostic tests. Failure to receive clearance or approval for our new diagnostic tests would have an adverse effect on our ability to expand our business.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marketed tests may require new 510(k) clearances, De Novo authorizations, or PMA approvals, or may require us to cease marketing or recall the modified tests until clearances or approvals are obtained.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Modifications to our diagnostic tests may require new regulatory approvals or clearances, including 510(k) clearances, De Novo authorizations, or premarket approvals,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submission is necessary. However, the FDA can review a manufacturer’s decision and may disagree. The FDA may also on its own 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we determine that modifications to our diagnostic tests require a new premarket submission, we may not be able to obtain the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diagnostic tests in a timely manner, which in turn would harm our future growth.</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ongoing FDA or other domestic and foreign regulatory authority or conformity assessment body requirements, or if we experience unanticipated problems with our diagnostic tests, they could be subject to restrictions or withdrawal from the market.</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medical device that we manufacture, including those for which we obtain regulatory clearance or approval or certification, and the manufacturing processes, reporting requirements, post-approval clinical data and promotional activities for such diagnostic test, will be subject to continued regulatory review, oversight, and periodic inspections by the FDA and other domestic and foreign regulatory bodies or conformity assessment bodies. In particular, we and our suppliers may be required to comply with FDA’s QSR (QSR codified at 21 C.F.R. § 820) for medical devices and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and conformity assessment bodies enforce the QSR and other regulations through periodic inspections and audits. The failure by us or one of our suppliers to comply with applicable statutes and regulations administered by the FDA and other regulatory bodies or conformity assessment bodies, or the failure to timely and adequately respond to any adverse inspectional observations or product safety issues, could result in, among other things, one or more of the following enforcement actions:</w:t>
      </w:r>
    </w:p>
    <w:p>
      <w:pPr>
        <w:spacing w:after="0" w:line="86" w:lineRule="exact"/>
        <w:rPr>
          <w:sz w:val="20"/>
          <w:szCs w:val="20"/>
          <w:color w:val="auto"/>
        </w:rPr>
      </w:pPr>
    </w:p>
    <w:p>
      <w:pPr>
        <w:ind w:left="5540" w:right="4200" w:hanging="5023"/>
        <w:spacing w:after="0" w:line="532" w:lineRule="auto"/>
        <w:tabs>
          <w:tab w:leader="none" w:pos="8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diagnostic tests;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De Novo authorization, or premarket approval of new diagnostic tests or modified versions of current diagnostic tests;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De Novo authorization, or PMA approvals that have already been granted;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revocation of EUAs that have been authorized previously;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diagnostic tests;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diagnostic test sales and profitability to suffer and may prevent us from generating revenue. Furthermore, our key component suppliers may not currently be or may not continue to be in compliance with all applicable regulatory requirements which could result in our failure to produce our diagnostic tests on a timely basis and in the required quantities, if at all.</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diagnostic tests and services may in the future be subject to product recalls that could harm our reputation, business and financial results.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 Other jurisdictions have similar recall requirements.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may make it more difficult and costly for us to obtain regulatory clearance or approval or certification of any future diagnostic tests and to manufacture, market and distribute our diagnostic tests after clearance or approval is obtained.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introduced in Congress would codify into law the term “in vitro clinical test” in order to create a new medical product category separate from medical devices that would include products currently regulated as in vitro diagnostics as well as LDTs.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diagnostic tests. For example, On September 29, 2023, FDA announced a proposed rule to amend its regulations to explicitly regulate laboratory developed tests (LDTs) as in vitro diagnostic tests in accordance with the agency’s regulatory authority over medical devices. The FDA finalized its rule on May 6, 2024 and announced that the agency will phase-out its LDT enforcement discretion policy in gradual stages over a total period of four years. LDTs that fall within targeted enforcement discretion policies may be exempt from some of these requirements.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final rule, our tests that are currently offered as LDTs could become subject to certain statutory and regulatory provisions that are applicable to medical devices, including but not limited to, medical device reporting and correction and removal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spacing w:after="0" w:line="258" w:lineRule="auto"/>
        <w:rPr>
          <w:sz w:val="20"/>
          <w:szCs w:val="20"/>
          <w:color w:val="auto"/>
        </w:rPr>
      </w:pPr>
      <w:r>
        <w:rPr>
          <w:rFonts w:ascii="Times New Roman" w:cs="Times New Roman" w:eastAsia="Times New Roman" w:hAnsi="Times New Roman"/>
          <w:sz w:val="18"/>
          <w:szCs w:val="18"/>
          <w:color w:val="auto"/>
        </w:rPr>
        <w:t>requirements, quality systems regulations, registration and listing requirements, and premarket review requirements. Laboratories offering "high-risk" tests that will be subject to premarket authorization application requirements or licensure under Section 351 of the Public Health Service Act, will need to ensure that the appropriate submission is received by the FDA before November 6, 2027. Laboratories offering “moderate-risk” or “low-risk” tests that will be subject to De Novo authorization or premarket notification submissions will need to ensure that the appropriate submission is received by the FDA before May 6, 2028. Other regulatory requirements will be gradually phased in beginning on May 6, 2025.</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challenges have been filed in federal district court over the agency’s authority to regulate LDTs as medical devices, and the outcome of such litigation and its impact on FDA’s plan to implement the requirements are uncertain. Congress has also considered legislation to establish a new comprehensive regulatory framework that would provide oversight over LDTs. The incoming Trump Administration may also reverse the final rule.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Initiating and completing clinical trials necessary to support any future PMA applications, De Novo requests,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or certification for or commercialize our diagnostic tests and services.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may be adversely affected. Furthermore, our third-party clinical trial investigators may be delayed in conducting our clinical trials for reasons outside of their control.</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notification obligations or 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 and elsewhere, are often uncertain, contradictory and in flux. As a result, implementation standards and enforcement practices are likely to remain uncertain for the foreseeable future.</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and the CCPA continue to be amended, including through a ballot initiative, adopted by voters in November 2020, known as the California Privacy Rights Act, or CPRA. The CPRA imposes additional data protection obligations on companies doing business in California, including additional consumer rights, including regarding certain uses of sensitive data. It also creates a new California data protection agency - the California Privacy Protection Agency - specifically tasked to enforce the law, which may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state and federal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 significant changes to our operations or even prevent us from providing certain offerings in jurisdictions in which we currently operate and in which we may operate in the future.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 certain healthcare providers, referred to as covered entities (CE), and the business associates (BA) with whom such covered entities contract for services. We are a CE under HIPAA when we are conducting our clinical trials. We are a CE with regard to our observational studies and clinical trials, and also a BA under HIPAA for certain other business activities, and we execute BA agreements with our clients.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HIPAA requires CEs and BAs,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HIPAA mandates that the Secretary of HHS conduct periodic compliance audits of HIPAA CEs and BAs. With regard to BAs,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BAs reputation.</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HHS is also proposing amendments to the HIPAA Privacy Rule to modernize certain data sharing provisions and enhance patient access to their information.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Complying with these various laws and regulations could cause us to incur substantial costs or require us to change our business practices, systems and compliance procedures in a manner adverse to our business.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eventually operate in a number of countries outside of the United States whose laws, including data privacy laws, may in some cases be more stringent than the requirements in the United States. For example, EU and UK data privacy laws have specific requirements relating to cross-border transfers of personal data to certain jurisdictions, including to the United States, have strict requirements relating to personal data collection, use or sharing, and have more stringent requirements relating to organizations’ privacy programs and provide stronger individual rights. Moreover, we may also be subject to evolving international privacy and data security regulations which could result in greater compliance costs and in turn lead to penalties, where such compliance programs are not implemented correctly.</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processing activities are subject to the EU General Data Protection Regulation and the UK General Data Protection Regulation (collectively, the “GDPR”) – including, those involving pseudonymised / key-coded data - as the GDPR applies extra-territorially. The GDPR imposes strict requirements on controllers and processors processing personal data, including, for example, requirements to: (i) identify a legal basis for the processing of personal data, (ii) provide robust disclosures to individuals, (iii) respond to requests from individuals to exercise their data subject rights, (iv) provide personal data breach notifications within 72 hours after discovering the breach, (v) limit the collection and retention of personal data, (vi) impose specific contractual obligations on processors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engaged to process personal data on the instructions of the controller, and (vii) apply enhanced protections to health data and other special categories of personal data.</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EU GDPR also provides that EU Member States may make their own further laws and regulations limiting the processing of personal data, including genetic, biometric or health data, which could limit our ability to use and share such personal data and cause our costs to increase and harm our financial condition.</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Failure to comply with the requirements of the GDPR may result in fines of up to €20 million (£17.5 million in the case of the UK GDPR) or up to 4% of the total worldwide annual turnover of our preceding fiscal year, whichever is higher, and other administrative penalties. GDPR compliance may require us to put in place additional mechanisms, which may result in compliance costs and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 business and financial condition. Currently, the GDPR is only applicable to us as a processor, but as we continue to expand into the European market, the GDPR will have direct applicability to us as a controller.</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GDPR also prohibits the transfer of personal data from the EEA/UK to a country outside of the EEA/UK (e.g., the United States) unless made to a country deemed to have adequate data privacy laws by the European Commission (or UK Government in case of the UK GDPR) or a data transfer mechanism has been put in place. Until recently, one such data transfer mechanism was the EU-US Privacy Shield. However, in July 2020 the Court of Justice of the European Union (CJEU) declared the Privacy Shield to be invalid. Following an executive order on trans-Atlantic data flows issued by President Biden in October 2022, the European Commission in December 2022 announced that it had initiated the process of drafting a new adequacy decision based on a modified data transfer framework that would replace the Privacy Shield, which it completed in July 2023. Though adoption of a new adequacy decision may have the effect of making data transfers to the United States easier, it is widely expected that the updated transfer framework and the adequacy decision will also be reviewed by the CJEU. The CJEU also upheld the validity of standard contractual clauses (SCCs) as a legal mechanism to transfer personal data but companies relying on SCCs will need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In turn, the findings of the CJEU will have significant implications for cross-border data flows and may lead to increased transaction, compliance, and technological costs to support international data transfers.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68" w:lineRule="exact"/>
        <w:rPr>
          <w:sz w:val="20"/>
          <w:szCs w:val="20"/>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regulations, including those laws requiring the reporting of true, complete, and accurate information to the FDA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(OIG) could result in penalties, a loss of business from third parties, and severe reputational harm.</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or new indications.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factors that may cause or lead to a delay in the commencement or completion of clinical trials may also ultimately lead to delay or denial of regulatory clearance or approval or certification.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 sponsors, principal investigators and trial sites. If we or any third-party contractor fails to comply with applicable GCPs, the clinical data generated in clinical trials may be deemed unreliable and the FDA or comparable foreign regulatory authorities or conformity assessment bodies may require us to perform additional clinical trials before clearing or approving our marketing applications. A failure to comply with these regulations may require us to repeat clinical trials, which would delay the regulatory clearance or approval or certification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or certification for our tests. In addition, we may not be able to establish or maintain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relationships with these parties on favorable terms, if at all. Each of these outcomes would harm our ability to market our tests, or to achieve sustained profitability.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product candidate claims or may result in the discovery of adverse side effects.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be certain that the results of our future clinical trials will support our future product claims or that the FDA or comparable foreign regulatory authorities or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72" w:lineRule="exact"/>
        <w:rPr>
          <w:sz w:val="20"/>
          <w:szCs w:val="20"/>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and billing requirements among payers;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the GeneStrat NGS test, the test may be billed under an unlisted molecular pathology procedure code or through the use of a combination of single gene CPT codes, depending on the payer. The Protecting Access to Medicare Act of 2014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codes to tests that are not already described by a unique CPT code. The VeriStrat, Nodify XL2, and Nodify CDT tests have test specific CPT codes, but the GeneStrat NGS test does not at this time.</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instance where a code used does not describe a specific test, the insurance claim must be examined to determine what test was provided. Additionally, in some cases the third party payer determines that the insurance claim must be examined to determine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manufacturers and suppliers must comply with environmental, health and safety laws and regulations, which can be expensive and restrict how we do, or interrupt our, business.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Environmental, health and safety laws and regulations are complex, change frequently and have tended to become more stringent. Compliance with such laws and regulations is expensive, and current or future 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may be impaired if we are unable to obtain, maintain and protect our intellectual property rights.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72" w:lineRule="exact"/>
        <w:rPr>
          <w:sz w:val="20"/>
          <w:szCs w:val="20"/>
          <w:color w:val="auto"/>
        </w:rPr>
      </w:pPr>
    </w:p>
    <w:p>
      <w:pPr>
        <w:ind w:left="90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our competitors from duplicating our diagnostic tests and products, including our Nodify XL2, Nodify CDT, GeneStrat, GeneStrat NGS and VeriStrat tests;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our competitors from gaining access to our proprietary information and technology, including our AI platform, tech platforms such as the DeepMALDI analysis and intellectual property covering technologies that allow us to develop “test algorithms”; or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gain or maintain a competitive advantage.</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or maintain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been the subject of much litigation in recent years.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 decisions that affect the scope of patentability of certain inventions or discoveries relating to biotechnology. These decisions state, among other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both"/>
        <w:spacing w:after="0" w:line="253" w:lineRule="auto"/>
        <w:rPr>
          <w:sz w:val="20"/>
          <w:szCs w:val="20"/>
          <w:color w:val="auto"/>
        </w:rPr>
      </w:pPr>
      <w:r>
        <w:rPr>
          <w:rFonts w:ascii="Times New Roman" w:cs="Times New Roman" w:eastAsia="Times New Roman" w:hAnsi="Times New Roman"/>
          <w:sz w:val="18"/>
          <w:szCs w:val="18"/>
          <w:color w:val="auto"/>
        </w:rPr>
        <w:t>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diagnostic tests or products, if such technologies or features are found to incorporate or be derived from the trade secrets or other proprietary information of the former employers.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inability to incorporate technologies or features that are important or essential to our diagnostic tests or products could have a material adverse effect on our business, financial condition and results of operations, and may prevent us from selling our rights to either of the Nodify XL2 and Nodify CDT tests, or the VeriStrat, GeneStrat, and GeneStrat NGS tests.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diagnostic tests, products and services.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and our business may be adversely affected.</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rights, which could be expensive, time consuming and unsuccessful.</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priority or inventorship of our patents and other intellectual property rights.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diagnostic tests and any other or future diagnostic tests, products or services could be found invalid or unenforceable if challenged.</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some of our patents or patent applications, including licensed patents, may be challenged, in courts or patent offices in the United States and abroad,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Additionally, if we and our licensing partners initiate or become involved in legal proceedings against a 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current or future diagnostic tests, products or services.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in relation to certain diagnostic tests, products and services and if we lose these licenses then we may be subjected to future litigation.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competitive position, business, financial conditions, results of operations and prospects.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Moreover, disputes may also arise between us and our current or future licensors regarding intellectual property rights subject to a license agreement, including those relating to:</w:t>
      </w:r>
    </w:p>
    <w:p>
      <w:pPr>
        <w:spacing w:after="0" w:line="54" w:lineRule="exact"/>
        <w:rPr>
          <w:sz w:val="20"/>
          <w:szCs w:val="20"/>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diagnostic tests, products, services, technology, and processes infringe on intellectual property rights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licensor or its licensor had the right to grant the license agreement;</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third parties are entitled to compensation or equitable relief, such as an injunction, for our use of the intellectual property rights without their authorization;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the prosecution of licensed patents and our licensors’ overall patent enforcement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milestones, or other payments due under the license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rights by our licensors and us and our collaborators;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(Bayh-Dole Act).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 government action is necessary to meet public health or safety needs; or (iii) government action is necessary to meet requirements for public use under federal regulations (also referred to as “march-in rights”). To date, none of our commercialized products are subject to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jc w:val="both"/>
        <w:spacing w:after="0" w:line="255" w:lineRule="auto"/>
        <w:rPr>
          <w:sz w:val="20"/>
          <w:szCs w:val="20"/>
          <w:color w:val="auto"/>
        </w:rPr>
      </w:pPr>
      <w:r>
        <w:rPr>
          <w:rFonts w:ascii="Times New Roman" w:cs="Times New Roman" w:eastAsia="Times New Roman" w:hAnsi="Times New Roman"/>
          <w:sz w:val="18"/>
          <w:szCs w:val="18"/>
          <w:color w:val="auto"/>
        </w:rPr>
        <w:t>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diagnostic tests, products and services for an adequate amount of time.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jc w:val="both"/>
        <w:ind w:left="900" w:hanging="383"/>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diagnostic tests or products that are similar to our Nodify XL2, Nodify CDT, GeneStrat, GeneStrat NGS or VeriStrat tests or utilize similar technology that is not covered by the claims of our patents or that incorporates certain technology in our Nodify XL2, Nodify CDT, GeneStrat, GeneStrat NGS or VeriStrat tests;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left="90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applicable issued patent or pending patent application that we own or license now or may own or license in the future;</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53"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 rights.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 and you may not be able to sell your shares at or above the price you paid for them.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90"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and customer mix for our Nodify XL2, Nodify CDT, GeneStrat ddPCR, GeneStrat NGS, and VeriStrat testing;</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diagnostic tests or enhancements to such tests by us or others in our industry;</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90"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clearance or approval or certification for, and market new and enhanced diagnostic tests on a timely basis;</w:t>
      </w:r>
    </w:p>
    <w:p>
      <w:pPr>
        <w:spacing w:after="0" w:line="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exposure of our diagnostic tests or of those of others in our industry;</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90"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and you may not realize any return on your investment in us and may lose some or all of your investment.</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develops is influenced to some extent by the research and reports that industry or financial analysts publish about us and our business. We do not control these analysts. As a small reporting company and emerging growth company, we may be slow to attract research coverage and the analysts who publish information about our common stock will have had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4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 When we are no longer eligible to take advantage of the corresponding exemptions, we expect our management and other personnel to devote more time and the Company to incur additional costs to comply with the more stringent reporting requirements applicable to companies that are not emerging growth companies.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IPO).</w:t>
      </w:r>
    </w:p>
    <w:p>
      <w:pPr>
        <w:spacing w:after="0" w:line="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officers, directors and principal stockholders each holding more than 5% of our common stock collectively control approximately 44.0% of our outstanding common stock as of December 31, 2024. As a result, these stockholders, if they act together, could control the management and affairs of our company and most matters requiring stockholder approval, including the election of directors and approval of significant corporate transactions. This concentration of ownership may have the effect of delaying or preventing a change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t>of control and might adversely affect the market price of our common stock. This concentration of ownership may not be in the best interests of our other stockholders.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as a public company requires us to incur substantial costs and requires substantial management attention.</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costs associated with corporate governance requirements that are applicable to us as a public company, including rules and regulations of the SEC, under the Sarbanes-Oxley Act, the Dodd-Frank Wall Street Reform and Consumer Protection Act of 2010, and the Securities Exchange Act of 1934, as amended (the Exchange Act), as well as the rules of NASDAQ. Compliance with these rules and regulations have significantly increased our accounting, legal and financial compliance costs and make some activities more time-consuming. These rules and regulations could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being a publicly traded company may adversely affect our business, financial condition and results of operations.</w:t>
      </w:r>
    </w:p>
    <w:p>
      <w:pPr>
        <w:spacing w:after="0" w:line="3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being a public company, 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13"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human judgment and simple errors, omissions, or mistakes;</w:t>
      </w:r>
    </w:p>
    <w:p>
      <w:pPr>
        <w:spacing w:after="0" w:line="9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action of an individual or collusion of two or more people;</w:t>
      </w:r>
    </w:p>
    <w:p>
      <w:pPr>
        <w:spacing w:after="0" w:line="7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management override of procedures; and</w:t>
      </w:r>
    </w:p>
    <w:p>
      <w:pPr>
        <w:spacing w:after="0" w:line="7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enhancements to controls and procedures may still not be adequate to assure timely and accurate financial control.</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6" w:name="page67"/>
    <w:bookmarkEnd w:id="66"/>
    <w:p>
      <w:pPr>
        <w:jc w:val="both"/>
        <w:spacing w:after="0" w:line="282" w:lineRule="auto"/>
        <w:rPr>
          <w:sz w:val="20"/>
          <w:szCs w:val="20"/>
          <w:color w:val="auto"/>
        </w:rPr>
      </w:pPr>
      <w:r>
        <w:rPr>
          <w:rFonts w:ascii="Times New Roman" w:cs="Times New Roman" w:eastAsia="Times New Roman" w:hAnsi="Times New Roman"/>
          <w:sz w:val="18"/>
          <w:szCs w:val="18"/>
          <w:color w:val="auto"/>
        </w:rPr>
        <w:t>with us for a period of three years after the date of the transaction in which the person acquired in excess of 15% of our outstanding voting stock, unless the merger or combination is approved in a prescribed manner.</w:t>
      </w:r>
    </w:p>
    <w:p>
      <w:pPr>
        <w:spacing w:after="0" w:line="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incorporation provide that we will indemnify our directors and officers to the fullest extent permitted by Section 145 of the Delaware General Corporate Law.</w:t>
      </w:r>
    </w:p>
    <w:p>
      <w:pPr>
        <w:spacing w:after="0" w:line="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permitted by the Delaware General Corporate Law, our amended and restated articles of incorporation and our indemnification agreements that we have entered into with our directors and officers provide that:</w:t>
      </w:r>
    </w:p>
    <w:p>
      <w:pPr>
        <w:spacing w:after="0" w:line="13" w:lineRule="exact"/>
        <w:rPr>
          <w:sz w:val="20"/>
          <w:szCs w:val="20"/>
          <w:color w:val="auto"/>
        </w:rPr>
      </w:pPr>
    </w:p>
    <w:p>
      <w:pPr>
        <w:jc w:val="both"/>
        <w:ind w:left="900" w:hanging="383"/>
        <w:spacing w:after="0" w:line="261"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applicable law. Such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4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76"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26"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articles of incorporation provisions to reduce our indemnification obligations to directors, officers, employees and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We may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results of operations and other factors that our board of directors may deem relevant. As a result, capital appreciation, if any, of our common stock will be the sole source of gain for the foreseeable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depends on the secure and continuous processing of information, supported by a resilient IT infrastructure and trusted critical vendors. Cybersecurity is a fundamental pillar of our risk management framework, seamlessly integrated into our decision-making at every level. Our IT department proactively identifies, evaluates, and mitigates cybersecurity risks to ensure alignment with our business objectives and operational needs. We maintain robust security policies and procedures, including comprehensive security and data privacy training for staff, stringent physical security measures, and advanced electronic data protection. Our cybersecurity program strictly adheres to HIPAA, GDPR, and SEC guidelines, incorporating strong data access controls, privacy safeguards, password protocols, encryption, and a structured incident response process with a thorough materiality assessment.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Beyond policies, our network is fortified with a multi-layered defense strategy, including firewalls and advanced cyber-threat monitoring. We employ 24/7 vulnerability scanning and extended detection and response (XDR) to continuously detect, analyze, and neutralize potential threats in real time. We recognize the importance of securing our extended digital ecosystem, including third-party service providers. To mitigate associated risks, we conduct rigorous security assessments before onboarding any third-party vendors and enforce ongoing monitoring to ensure continuous compliance with our cybersecurity standards.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further strengthen our security posture, we collaborate with top-tier external experts who conduct rigorous evaluations and stress tests of our cybersecurity infrastructure. Through audits, threat assessments, and strategic consultations, we ensure that our security measures remain at the forefront of industry best practices. Our unwavering commitment to cybersecurity safeguards the integrity, confidentiality, and availability of our critical information assets, ensuring operational resilience and trust in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Cybersecurity Risks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on Form 10-K, the Company has not experienced any cybersecurity threats or incidents that have materially affected or are reasonably likely to materially affect the Company. In the event of a cybersecurity incident, the Company is equipped with a well-defined incident response plan. This plan includes immediate actions to mitigate the impact and long-term strategies for remediation and prevention of future incidents. See "Risk Factors— 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Board Oversight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day-to-day risk management activities. Our Board of Directors, acting directly and through its committees, is responsible for the oversight of our risk management. The Nominating and Governance Committee monitors our cybersecurity risk profile, receives periodic updates from management on all matters related to cybersecurity and reports to our full Board of Directors on an annual basis or as necessary. The Nominating and Governance Committee is composed of members with diverse expertise that allows them to oversee cybersecurity risks effectively.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involved in assessing and managing material cybersecurity risks and incidents through dialogue with our Information Security Officer. Our Information Security Officer brings expertise to this role through his in-depth knowledge and experience in technology management and cybersecurity. Our Information Security Officer is continually informed about the latest developments in cybersecurity. This is crucial for the effective prevention, detection, mitigation and remediation of cybersecurity incidents, and allows him to regularly inform our Chief Executive Officer and Chief Financial Officer of any and all aspects of our business related to cybersecurity and information technology.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Executive Officer, Chief Financial Officer and Information Security Officer regularly report to the Nominating and Governance Committee to ensure effective and efficient oversight of our cybersecurity threats and material risks, and to assist in proper risk management. Significant cybersecurity matters and strategic risk management decisions will be escalated from the Nominating and Governance Committee to the Board of Directors, ensuring that there is comprehensive oversight and the full Board of Directors can provide guidance on critical cybersecurity issues.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2022, the Company entered into a lease agreement (the CVP Lease) with Centennial Valley Properties I, LLC, a Colorado limited liability company for office and laboratory space in Louisville, Colorado. In August 2022, CVP assigned the lease to CVP I Owner LLC, within the terms allowing for the assignment of the lease. The Company relocated its corporate headquarters to Louisville, Colorado in December 2023. We also lease office and laboratory space located in De Soto, Kansas, under an operating lease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that expires in October 2026. A portion of our employees are located outside of Colorado and Kansas, and others work from home. Our properties are suitable for our current business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8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Use</w:t>
            </w:r>
          </w:p>
        </w:tc>
        <w:tc>
          <w:tcPr>
            <w:tcW w:w="140" w:type="dxa"/>
            <w:vAlign w:val="bottom"/>
          </w:tcPr>
          <w:p>
            <w:pPr>
              <w:spacing w:after="0"/>
              <w:rPr>
                <w:sz w:val="20"/>
                <w:szCs w:val="20"/>
                <w:color w:val="auto"/>
              </w:rPr>
            </w:pPr>
          </w:p>
        </w:tc>
        <w:tc>
          <w:tcPr>
            <w:tcW w:w="1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Square Feet</w:t>
            </w:r>
          </w:p>
        </w:tc>
        <w:tc>
          <w:tcPr>
            <w:tcW w:w="18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Louisville, Colorado</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Office and laboratory</w:t>
            </w:r>
          </w:p>
        </w:tc>
        <w:tc>
          <w:tcPr>
            <w:tcW w:w="19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79,980</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2035</w:t>
            </w: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 Soto, Kansas</w:t>
            </w:r>
          </w:p>
        </w:tc>
        <w:tc>
          <w:tcPr>
            <w:tcW w:w="180" w:type="dxa"/>
            <w:vAlign w:val="bottom"/>
          </w:tcPr>
          <w:p>
            <w:pPr>
              <w:spacing w:after="0"/>
              <w:rPr>
                <w:sz w:val="20"/>
                <w:szCs w:val="20"/>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Office and laboratory</w:t>
            </w:r>
          </w:p>
        </w:tc>
        <w:tc>
          <w:tcPr>
            <w:tcW w:w="1940" w:type="dxa"/>
            <w:vAlign w:val="bottom"/>
          </w:tcPr>
          <w:p>
            <w:pPr>
              <w:spacing w:after="0"/>
              <w:rPr>
                <w:sz w:val="20"/>
                <w:szCs w:val="20"/>
                <w:color w:val="auto"/>
              </w:rPr>
            </w:pPr>
          </w:p>
        </w:tc>
        <w:tc>
          <w:tcPr>
            <w:tcW w:w="1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9,066</w:t>
            </w:r>
          </w:p>
        </w:tc>
        <w:tc>
          <w:tcPr>
            <w:tcW w:w="18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31, 2026</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“BDSX”. The high and low closing prices for our common stock on The NASDAQ Global Market from January 1, 2023 to December 31, 2024 were $2.12 and $1.19,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24, 2025, there were approximately 222 holders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never declared or paid dividends on our common stock and do not expect to pay dividends on our common stock for the foreseeable future. We anticipate that all of our liquidity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term loan restrict our ability to pay dividends on our common stock, and we may also enter into credit agreements or other borrowing arrangements in the future that will further restrict our ability to declare or pay dividends on our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5, 2024, we entered into the Securities Purchase Agreements, pursuant to which we sold 760,857 shares of our Series A Preferred Stock, which, subject to stockholder approval and certain beneficial ownership limitations set by each holder pursuant to the Series A Certificate of Designation, would automatically convert into 40 shares of Common Stock for each share of Series A Preferred Stock, for an aggregate of up to 30,434,280 shares of our common stock and an aggregate purchase price of $35.0 million. The Private Placement Preferred Shares were offered and sold in transactions exempt from registration under the Securities Act, in reliance on Section 4(a)(2) thereof. Each of the investors represented that it was an “accredited investor,” as defined in Regulation D, and acquired the securities for investment only and not with a view towards, or for resale in connection with, the public sale or distribution thereof. The Private Placement Preferred Shares have not been registered under the Securities Act and such securities may not be offered or sold in the United States absent registration or an exemption from registration under the Securities Act and any applicable state securities laws.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Concurrent Private Placement, the Company also entered into a Registration Rights Agreement, dated April 5, 2024 (the Registration Rights Agreement), with the Investors, which provides that the Company will register the resale of the shares of Common Stock issuable upon conversion of the Preferred Stock. Pursuant to the Registration Rights Agreement, the Company was required to prepare and file an initial registration statement with the SEC as soon as reasonably practicable, but in no event later than April 23, 2024 (the Filing Deadline), and to use reasonable best efforts to have the registration statement declared effective within 50 days after the closing of the Concurrent Private Placement, subject to the approval of the conversion of the Concurrent Private Placement Shares being received at the Company’s 2024 annual meeting of stockholders.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the proceeds from the Concurrent Private Placement for commercial expansion of sales, supporting its product pipeline, research and development and for general corporate purposes (see – Item 8. "Financial Statements and Supplementary Data").</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2024, the Company held its 2024 annual meeting of stockholders in which the Conversion Proposal and Issuance Proposal were approved by the Company's stockholders. Upon approval, each share of Series A Preferred Stock automatically converted into 40 shares of Common Stock and, on May 23, 2024, the Company issued 30,434,280 shares of Common Stock in exchange for all Series A Preferred Stock.</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 2023, the Company entered into subscription agreements (the August 2023 Subscription Agreements) with all of the members of our Board of Directors, all Section 16 officers, and additional members of the Biodesix leadership team (together, the Investors) for the issuance and sale by the Company of an aggregate of 16,975,298 shares of the Company’s common stock at a purchase price (determined in accordance with NASDAQ rules relating to the “Minimum Value” of the Company’s common stock) of $1.62 per share for an aggregate purchase price of approximately $27.5 million. The Subscription Agreements did not include any registration rights.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proceeds for the commercial expansion of sales, research and development, and for general corporate purposes (see – Item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and Supplementary Data").</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Biodesix, Inc. is referred to throughout this Annual Report on Form 10-K for the period ended December 31, 2024 (Form 10-K) as “we”, “us”, “our” or the “Company.”</w:t>
      </w:r>
    </w:p>
    <w:p>
      <w:pPr>
        <w:spacing w:after="0" w:line="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audited financial statements and related notes and other financial information included elsewhere in this Annual Report on Form 10-K.</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other parts of this report contain forward-looking statements within the meaning of Section 27A of the Securities Act of 1933, as amended, and Section 21E of the Securities Exchange Act of 1934, as amended, based upon current expectations that involve risks and uncertainties. Our actual results could differ materially from those anticipated in these forward-looking statements as a result of various factors, including those set forth in the section titled “Risk Factors” under Part I, Item 1A above. Forward-looking statements are not guarantees of future performance and are subject to risks and uncertainties that could cause actual results and events to differ from those anticipated.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we undertake no obligation to update or revise these statements in light of future developments. These statements are inherently uncertain, and investors are cautioned not to unduly rely upon these statements.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provided to supplement the audited financial statements and the related notes in Part II - Item 8 of this Annual Report on Form 10-K. We intend for this discussion to provide you with information that will assist you in understanding our financial statements, the changes in key items in those financial statements from year to year and the primary factors that accounted for those changes. Data for the years ended December 31, 2024 and 2023 has been derived from our audited financial statements included in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 leading diagnostic solutions company and our mission is to transform patient care and improve outcomes through personalized diagnostics that are timely, accessible, and address immediate clinical needs. We envision a world where patient disease is conquered through the guidance of personalized diagnostics.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Biodesix, we have built a team with deep experience in diagnostics including commercialization, reimbursement, regulatory, medical affairs, research and development, technology, and operations to provide needed products and services to address critical clinical questions and help improve patient care. We believe that establishing a new standard of care utilizing personalized diagnostics requires a deep understanding of clinical needs, scientific expertise to develop tests using the optimal technology for each clinical question, development of clinical evidence to demonstrate benefits of the testing, a scalable operational infrastructure, and an established commercial channel to drive market adoption and payer coverage.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employ multiple technologies, including genomics, proteomics, and radiomics, combined with artificial intelligence (AI), to discover, develop, and commercialize innovative diagnostic tests for physicians, biopharmaceutical, life science, and diagnostics companies to help improve patient care.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Biodesix Lung Diagnostic Tests support clinical decisions to expedite personalized care and improve outcomes for patients with lung disease. We believe our diagnostic tests help healthcare providers meaningfully improve lung disease diagnosis, treatment, and monitoring as well as lower the overall healthcare cost by reducing the use of ineffective and unnecessary treatments and procedures. We currently offer two tests that assess the risk of cancer in lung nodules and three tests that provide treatment guidance after a lung cancer diagnosis.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Diagnosis - Nodule Management</w:t>
      </w:r>
    </w:p>
    <w:p>
      <w:pPr>
        <w:spacing w:after="0" w:line="117" w:lineRule="exact"/>
        <w:rPr>
          <w:sz w:val="20"/>
          <w:szCs w:val="20"/>
          <w:color w:val="auto"/>
        </w:rPr>
      </w:pPr>
    </w:p>
    <w:p>
      <w:pPr>
        <w:jc w:val="both"/>
        <w:ind w:left="1020" w:hanging="503"/>
        <w:spacing w:after="0" w:line="255"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Nodify CDT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Nodify XL2</w:t>
      </w:r>
      <w:r>
        <w:rPr>
          <w:rFonts w:ascii="Times New Roman" w:cs="Times New Roman" w:eastAsia="Times New Roman" w:hAnsi="Times New Roman"/>
          <w:sz w:val="18"/>
          <w:szCs w:val="18"/>
          <w:color w:val="auto"/>
        </w:rPr>
        <w:t>® tests, marketed as Nodify Lung® Nodule Risk Assessment, assess a suspicious lung nodule's risk of lung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Lung Cancer Treatment &amp; Monitoring</w:t>
      </w:r>
    </w:p>
    <w:p>
      <w:pPr>
        <w:spacing w:after="0" w:line="117" w:lineRule="exact"/>
        <w:rPr>
          <w:sz w:val="20"/>
          <w:szCs w:val="20"/>
          <w:color w:val="auto"/>
        </w:rPr>
      </w:pPr>
    </w:p>
    <w:p>
      <w:pPr>
        <w:jc w:val="both"/>
        <w:ind w:left="900" w:hanging="383"/>
        <w:spacing w:after="0" w:line="254"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GeneStrat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ddPCR, GeneStrat NGS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VeriStrat</w:t>
      </w:r>
      <w:r>
        <w:rPr>
          <w:rFonts w:ascii="Times New Roman" w:cs="Times New Roman" w:eastAsia="Times New Roman" w:hAnsi="Times New Roman"/>
          <w:sz w:val="18"/>
          <w:szCs w:val="18"/>
          <w:color w:val="auto"/>
        </w:rPr>
        <w:t>® tests, marketed as part of our IQLung™ testing strategy, are used following diagnosis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Biodesix Development Services enable the world’s leading biopharmaceutical, life sciences, and research institutions with scientific, technological, and operational capabilities that fuel the development of diagnostic tests, tools, and therapeutics. We provide development services to enable therapeutic clinical trials, the validation of life sciences tools and diagnostics, and the discovery, development, and commercialization of diagnostics. Biodesix Diagnostic Services has been utilized by over 65 industry clients and academic partners.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continuously revisit our technology strategy and roadmap to integrate new technologies into our evolving offering, which ultimately support the addition of new service and product revenue offerings. We believe that no single technology can interrogate the complexity of the human disease state to help solve all clinical questions. For that reason, we employ a multi-omic approach to solving diagnostic challenges.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end-to-end diagnostic solutions, including translational research, initial biomarker discovery, assay design, development, and validation, testing of clinical trial samples, regulatory, reimbursement, commercialization, and logistical support services. We offer our existing on-market tests, a suite of other research tests and the capability to custom design novel tests for use by our customers.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biopharmaceutical discovery, diagnostic development and testing revenue continues to grow, it is important to note that we benefit greatly from these partnerships in many ways that expand beyond revenue. We are continuously expanding our knowledge and biological understanding of multiple diseases and the rapidly evolving treatment landscape.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impacted our operating performance and results of operations, including:</w:t>
      </w:r>
    </w:p>
    <w:p>
      <w:pPr>
        <w:spacing w:after="0" w:line="113" w:lineRule="exact"/>
        <w:rPr>
          <w:sz w:val="20"/>
          <w:szCs w:val="20"/>
          <w:color w:val="auto"/>
        </w:rPr>
      </w:pPr>
    </w:p>
    <w:p>
      <w:pPr>
        <w:jc w:val="both"/>
        <w:ind w:left="900" w:hanging="383"/>
        <w:spacing w:after="0" w:line="254"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Testing volume and customer mix. </w:t>
      </w:r>
      <w:r>
        <w:rPr>
          <w:rFonts w:ascii="Times New Roman" w:cs="Times New Roman" w:eastAsia="Times New Roman" w:hAnsi="Times New Roman"/>
          <w:sz w:val="18"/>
          <w:szCs w:val="18"/>
          <w:color w:val="auto"/>
        </w:rPr>
        <w:t>Our revenues and costs are affected by the volume of testing and mix of customers from period to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spacing w:after="0" w:line="80" w:lineRule="exact"/>
        <w:rPr>
          <w:rFonts w:ascii="Times New Roman" w:cs="Times New Roman" w:eastAsia="Times New Roman" w:hAnsi="Times New Roman"/>
          <w:sz w:val="18"/>
          <w:szCs w:val="18"/>
          <w:color w:val="auto"/>
        </w:rPr>
      </w:pPr>
    </w:p>
    <w:p>
      <w:pPr>
        <w:jc w:val="both"/>
        <w:ind w:left="900" w:hanging="383"/>
        <w:spacing w:after="0" w:line="257"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Reimbursement for clinical diagnostic testing. </w:t>
      </w:r>
      <w:r>
        <w:rPr>
          <w:rFonts w:ascii="Times New Roman" w:cs="Times New Roman" w:eastAsia="Times New Roman" w:hAnsi="Times New Roman"/>
          <w:sz w:val="18"/>
          <w:szCs w:val="18"/>
          <w:color w:val="auto"/>
        </w:rPr>
        <w:t>Our revenue depends on achieving broad coverage and reimbursement for our tests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payers, including both commercial and government payers. All five Biodesix blood-based lung diagnostic tests within Nodify Lung Nodule Risk Assessment testing and IQLung strategy for lung cancer patients are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78" w:lineRule="exact"/>
        <w:rPr>
          <w:rFonts w:ascii="Times New Roman" w:cs="Times New Roman" w:eastAsia="Times New Roman" w:hAnsi="Times New Roman"/>
          <w:sz w:val="18"/>
          <w:szCs w:val="18"/>
          <w:color w:val="auto"/>
        </w:rPr>
      </w:pPr>
    </w:p>
    <w:p>
      <w:pPr>
        <w:jc w:val="both"/>
        <w:ind w:left="9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2" w:name="page73"/>
    <w:bookmarkEnd w:id="72"/>
    <w:p>
      <w:pPr>
        <w:jc w:val="both"/>
        <w:ind w:left="383"/>
        <w:spacing w:after="0" w:line="282" w:lineRule="auto"/>
        <w:rPr>
          <w:sz w:val="20"/>
          <w:szCs w:val="20"/>
          <w:color w:val="auto"/>
        </w:rPr>
      </w:pPr>
      <w:r>
        <w:rPr>
          <w:rFonts w:ascii="Times New Roman" w:cs="Times New Roman" w:eastAsia="Times New Roman" w:hAnsi="Times New Roman"/>
          <w:sz w:val="18"/>
          <w:szCs w:val="18"/>
          <w:color w:val="auto"/>
        </w:rPr>
        <w:t>as expected. Additionally, retrospective reimbursement adjustments can negatively impact our revenue and cause our financial results to fluctuate.</w:t>
      </w:r>
    </w:p>
    <w:p>
      <w:pPr>
        <w:spacing w:after="0" w:line="54" w:lineRule="exact"/>
        <w:rPr>
          <w:sz w:val="20"/>
          <w:szCs w:val="20"/>
          <w:color w:val="auto"/>
        </w:rPr>
      </w:pPr>
    </w:p>
    <w:p>
      <w:pPr>
        <w:jc w:val="both"/>
        <w:ind w:left="383"/>
        <w:spacing w:after="0" w:line="258" w:lineRule="auto"/>
        <w:rPr>
          <w:sz w:val="20"/>
          <w:szCs w:val="20"/>
          <w:color w:val="auto"/>
        </w:rPr>
      </w:pPr>
      <w:r>
        <w:rPr>
          <w:rFonts w:ascii="Times New Roman" w:cs="Times New Roman" w:eastAsia="Times New Roman" w:hAnsi="Times New Roman"/>
          <w:sz w:val="18"/>
          <w:szCs w:val="18"/>
          <w:color w:val="auto"/>
        </w:rPr>
        <w:t>On July 6, 2023, the Company announced that the Centers for Medicare &amp; Medicaid Services (CMS) has designated the Nodify CDT Test as an Advanced Diagnostic Laboratory Test (ADLT) effective June 30, 2023. Obtaining ADLT status is a recognition that the Nodify CDT test meets the stringent criteria established under the Protecting Access to Medicare Act of 2014. ADLT status is reserved for innovative tests with Medicare coverage that provide new clinical diagnostic information that cannot be obtained from any other test or combination of tests. Nodify CDT joins our Nodify XL2 and VeriStrat tests with the ADLT designation.</w:t>
      </w:r>
    </w:p>
    <w:p>
      <w:pPr>
        <w:spacing w:after="0" w:line="71" w:lineRule="exact"/>
        <w:rPr>
          <w:sz w:val="20"/>
          <w:szCs w:val="20"/>
          <w:color w:val="auto"/>
        </w:rPr>
      </w:pPr>
    </w:p>
    <w:p>
      <w:pPr>
        <w:jc w:val="both"/>
        <w:ind w:left="383" w:hanging="383"/>
        <w:spacing w:after="0" w:line="259" w:lineRule="auto"/>
        <w:tabs>
          <w:tab w:leader="none" w:pos="3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 clinical studies and product innovation to support growth. </w:t>
      </w:r>
      <w:r>
        <w:rPr>
          <w:rFonts w:ascii="Times New Roman" w:cs="Times New Roman" w:eastAsia="Times New Roman" w:hAnsi="Times New Roman"/>
          <w:sz w:val="18"/>
          <w:szCs w:val="18"/>
          <w:color w:val="auto"/>
        </w:rPr>
        <w:t>A significant aspect of our business is our investment in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development, including the development of new products and our investments in clinical studies for our on-market and pipeline products. Our studies focus on generating evidence to support expanded payer coverage, commercial adoption, and regulatory approvals. Current efforts are focused primarily on clinical utility as well as understanding the economic impact of our tests in assisting with decisions related to patient management and the potential impact of our tests in reducing overall healthcare costs.</w:t>
      </w:r>
    </w:p>
    <w:p>
      <w:pPr>
        <w:spacing w:after="0" w:line="75" w:lineRule="exact"/>
        <w:rPr>
          <w:rFonts w:ascii="Times New Roman" w:cs="Times New Roman" w:eastAsia="Times New Roman" w:hAnsi="Times New Roman"/>
          <w:sz w:val="18"/>
          <w:szCs w:val="18"/>
          <w:color w:val="auto"/>
        </w:rPr>
      </w:pPr>
    </w:p>
    <w:p>
      <w:pPr>
        <w:jc w:val="both"/>
        <w:ind w:left="383"/>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INSIGHT study was designed to expand our clinical understanding of the predictive and prognostic value of the VeriStrat test. On June 27, 2023, we completed enrollment of 5,000 patients with non-small cell lung cancer. All study participants currently enrolled in the study are expected to complete study follow-up by 2026. The participant data will be monitored, and sites will be closed accordingly throughout 2025.</w:t>
      </w:r>
    </w:p>
    <w:p>
      <w:pPr>
        <w:spacing w:after="0" w:line="71" w:lineRule="exact"/>
        <w:rPr>
          <w:rFonts w:ascii="Times New Roman" w:cs="Times New Roman" w:eastAsia="Times New Roman" w:hAnsi="Times New Roman"/>
          <w:sz w:val="18"/>
          <w:szCs w:val="18"/>
          <w:color w:val="auto"/>
        </w:rPr>
      </w:pPr>
    </w:p>
    <w:p>
      <w:pPr>
        <w:jc w:val="both"/>
        <w:ind w:left="383"/>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12, 2023, we announced the prospective, real-world ORACLE study (An Observational Registry Study to Evaluate the Performance of the Nodify XL2 Test) achieved the primary endpoint of a statistically significant change in the proportion of benign lung nodules managed by Nodify XL2 experiencing invasive procedures. The ORACLE study showed patients with benign nodules managed with the Nodify XL2 test were 74% less likely to undergo an unnecessary invasive procedure compared to the control group. Additionally, the proportion of patients sent to CT surveillance with malignant nodules did not differ between the Nodify XL2 group and the control group. The ORACLE study officially closed on May 28, 2024.</w:t>
      </w:r>
    </w:p>
    <w:p>
      <w:pPr>
        <w:spacing w:after="0" w:line="79" w:lineRule="exact"/>
        <w:rPr>
          <w:rFonts w:ascii="Times New Roman" w:cs="Times New Roman" w:eastAsia="Times New Roman" w:hAnsi="Times New Roman"/>
          <w:sz w:val="18"/>
          <w:szCs w:val="18"/>
          <w:color w:val="auto"/>
        </w:rPr>
      </w:pPr>
    </w:p>
    <w:p>
      <w:pPr>
        <w:ind w:left="383"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ALTITUDE study is a randomized control study, launched during the fourth quarter 2020, seeking to further demonstrate the utility of the Nodify CDT and XL2 tests.</w:t>
      </w:r>
    </w:p>
    <w:p>
      <w:pPr>
        <w:spacing w:after="0" w:line="53" w:lineRule="exact"/>
        <w:rPr>
          <w:rFonts w:ascii="Times New Roman" w:cs="Times New Roman" w:eastAsia="Times New Roman" w:hAnsi="Times New Roman"/>
          <w:sz w:val="18"/>
          <w:szCs w:val="18"/>
          <w:color w:val="auto"/>
        </w:rPr>
      </w:pPr>
    </w:p>
    <w:p>
      <w:pPr>
        <w:jc w:val="both"/>
        <w:ind w:left="383"/>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8, 2024, at the CHEST Annual Meeting, the Company presented the experience of healthcare providers using the Nodify Lung Nodule Risk Assessment in over 35,000 patients consecutively tested in a real-world clinical setting. The Company also announced a new clinical study, CLARIFY, that will collect patient outcomes and other clinical information on a subset of the patients featured in the CHEST presentation. CLARIFY is designed to confirm performance of the Nodify CDT and Nodify XL2 tests in diverse patient subgroups through a retrospective chart review of up to 4,000 patients that were tested in a real-world clinical setting. The study's intent is to expand the extensive evidence characterizing the validation and utility of Nodify Lung testing.</w:t>
      </w:r>
    </w:p>
    <w:p>
      <w:pPr>
        <w:spacing w:after="0" w:line="79" w:lineRule="exact"/>
        <w:rPr>
          <w:rFonts w:ascii="Times New Roman" w:cs="Times New Roman" w:eastAsia="Times New Roman" w:hAnsi="Times New Roman"/>
          <w:sz w:val="18"/>
          <w:szCs w:val="18"/>
          <w:color w:val="auto"/>
        </w:rPr>
      </w:pPr>
    </w:p>
    <w:p>
      <w:pPr>
        <w:jc w:val="both"/>
        <w:ind w:left="383"/>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research has resulted in approximately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On March 25, 2024, we announced a new master collaborative research agreement (MCRA) with MSK under which the teams will collaborate on a development plan for diagnostic tests aimed at improving the treatment of cancer. Biodesix will utilize its array of genomics, proteomics, and data mining capabilities with the aim of developing and commercializing oncology biomarker assays in collaboration with MSK. Bio-Rad will provide its industry-leading digital PCR assay technology in support of this important work. We believe these studies and collaborative arrangements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79" w:lineRule="exact"/>
        <w:rPr>
          <w:rFonts w:ascii="Times New Roman" w:cs="Times New Roman" w:eastAsia="Times New Roman" w:hAnsi="Times New Roman"/>
          <w:sz w:val="18"/>
          <w:szCs w:val="18"/>
          <w:color w:val="auto"/>
        </w:rPr>
      </w:pPr>
    </w:p>
    <w:p>
      <w:pPr>
        <w:jc w:val="both"/>
        <w:ind w:left="383" w:hanging="383"/>
        <w:spacing w:after="0" w:line="255" w:lineRule="auto"/>
        <w:tabs>
          <w:tab w:leader="none" w:pos="3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Ability to attract new biopharmaceutical customers and maintain and expand relationships with existing customers. </w:t>
      </w:r>
      <w:r>
        <w:rPr>
          <w:rFonts w:ascii="Times New Roman" w:cs="Times New Roman" w:eastAsia="Times New Roman" w:hAnsi="Times New Roman"/>
          <w:sz w:val="18"/>
          <w:szCs w:val="18"/>
          <w:color w:val="auto"/>
        </w:rPr>
        <w:t>Our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w:t>
      </w:r>
    </w:p>
    <w:p>
      <w:pPr>
        <w:spacing w:after="0" w:line="189"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73" w:name="page74"/>
    <w:bookmarkEnd w:id="73"/>
    <w:p>
      <w:pPr>
        <w:ind w:left="900"/>
        <w:spacing w:after="0" w:line="282" w:lineRule="auto"/>
        <w:rPr>
          <w:sz w:val="20"/>
          <w:szCs w:val="20"/>
          <w:color w:val="auto"/>
        </w:rPr>
      </w:pPr>
      <w:r>
        <w:rPr>
          <w:rFonts w:ascii="Times New Roman" w:cs="Times New Roman" w:eastAsia="Times New Roman" w:hAnsi="Times New Roman"/>
          <w:sz w:val="18"/>
          <w:szCs w:val="18"/>
          <w:color w:val="auto"/>
        </w:rPr>
        <w:t>data, in combination with clinical outcomes or claims data, has revenue-generating potential, including for novel target identification and companion diagnostic discovery and development.</w:t>
      </w:r>
    </w:p>
    <w:p>
      <w:pPr>
        <w:spacing w:after="0" w:line="50" w:lineRule="exact"/>
        <w:rPr>
          <w:sz w:val="20"/>
          <w:szCs w:val="20"/>
          <w:color w:val="auto"/>
        </w:rPr>
      </w:pPr>
    </w:p>
    <w:p>
      <w:pPr>
        <w:jc w:val="both"/>
        <w:ind w:left="900" w:hanging="383"/>
        <w:spacing w:after="0" w:line="259"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Motivating and expanding our field sales force and customer support team. </w:t>
      </w:r>
      <w:r>
        <w:rPr>
          <w:rFonts w:ascii="Times New Roman" w:cs="Times New Roman" w:eastAsia="Times New Roman" w:hAnsi="Times New Roman"/>
          <w:sz w:val="18"/>
          <w:szCs w:val="18"/>
          <w:color w:val="auto"/>
        </w:rPr>
        <w:t>Our field sales force is the primary point of contact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each of these areas present significant opportunities for us, they also pose significant risks and challenges that we must address. See Part I, Item 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 for more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2024 Financial and Operational Highlights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were significant developments affecting our business, capital structure and liquidity during the year ended December 31, 2024 as compared to the same period in 2023 unless otherwise noted:</w:t>
      </w:r>
    </w:p>
    <w:p>
      <w:pPr>
        <w:spacing w:after="0" w:line="54" w:lineRule="exact"/>
        <w:rPr>
          <w:sz w:val="20"/>
          <w:szCs w:val="20"/>
          <w:color w:val="auto"/>
        </w:rPr>
      </w:pPr>
    </w:p>
    <w:p>
      <w:pPr>
        <w:ind w:left="620" w:right="20" w:hanging="343"/>
        <w:spacing w:after="0" w:line="282" w:lineRule="auto"/>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$20.4 million and $71.3 million for the fourth quarter and fiscal 2024, respectively, an increase of 39% and 45% over the respective prior year comparable periods;</w:t>
      </w:r>
    </w:p>
    <w:p>
      <w:pPr>
        <w:spacing w:after="0" w:line="52" w:lineRule="exact"/>
        <w:rPr>
          <w:sz w:val="20"/>
          <w:szCs w:val="20"/>
          <w:color w:val="auto"/>
        </w:rPr>
      </w:pPr>
    </w:p>
    <w:p>
      <w:pPr>
        <w:ind w:left="1540" w:hanging="514"/>
        <w:spacing w:after="0" w:line="284"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Lung Diagnostic Testing revenue of $17.2 million and $64.7 million for the fourth quarter and fiscal 2024, respectively, an increase of 34% and 43% over the respective prior year comparable periods; primarily driven by an increase in total tests delivered;</w:t>
      </w:r>
    </w:p>
    <w:p>
      <w:pPr>
        <w:spacing w:after="0" w:line="50" w:lineRule="exact"/>
        <w:rPr>
          <w:rFonts w:ascii="Times New Roman" w:cs="Times New Roman" w:eastAsia="Times New Roman" w:hAnsi="Times New Roman"/>
          <w:sz w:val="18"/>
          <w:szCs w:val="18"/>
          <w:color w:val="auto"/>
        </w:rPr>
      </w:pPr>
    </w:p>
    <w:p>
      <w:pPr>
        <w:ind w:left="1540" w:hanging="514"/>
        <w:spacing w:after="0" w:line="284"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 Services revenue of $3.2 million and $6.6 million for the fourth quarter and fiscal 2024, respectively, an increase of 72% and 70% over the respective prior year comparable periods;</w:t>
      </w:r>
    </w:p>
    <w:p>
      <w:pPr>
        <w:spacing w:after="0" w:line="52" w:lineRule="exact"/>
        <w:rPr>
          <w:rFonts w:ascii="Times New Roman" w:cs="Times New Roman" w:eastAsia="Times New Roman" w:hAnsi="Times New Roman"/>
          <w:sz w:val="18"/>
          <w:szCs w:val="18"/>
          <w:color w:val="auto"/>
        </w:rPr>
      </w:pPr>
    </w:p>
    <w:p>
      <w:pPr>
        <w:jc w:val="both"/>
        <w:ind w:left="620" w:hanging="343"/>
        <w:spacing w:after="0" w:line="266" w:lineRule="auto"/>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$16.1 million, or 79%, and $55.8 million, or 78%, for the fourth quarter and fiscal 2024, respectively, as a percentage of revenue compared to 77% and 73% in the prior year comparable periods, primarily driven by growth in Lung Diagnostic testing and optimization of testing workflows that resulted in improvements in costs per test and the ongoing expansion of our Diagnostic Services business;</w:t>
      </w:r>
    </w:p>
    <w:p>
      <w:pPr>
        <w:spacing w:after="0" w:line="67" w:lineRule="exact"/>
        <w:rPr>
          <w:rFonts w:ascii="Times New Roman" w:cs="Times New Roman" w:eastAsia="Times New Roman" w:hAnsi="Times New Roman"/>
          <w:sz w:val="18"/>
          <w:szCs w:val="18"/>
          <w:color w:val="auto"/>
        </w:rPr>
      </w:pPr>
    </w:p>
    <w:p>
      <w:pPr>
        <w:ind w:left="620" w:hanging="343"/>
        <w:spacing w:after="0" w:line="282" w:lineRule="auto"/>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(excluding direct costs and expenses) of $22.7 million and $90.2 million for the fourth quarter and fiscal 2024, an increase of 25% and 17% over the respective prior year comparable periods;</w:t>
      </w:r>
    </w:p>
    <w:p>
      <w:pPr>
        <w:spacing w:after="0" w:line="51" w:lineRule="exact"/>
        <w:rPr>
          <w:rFonts w:ascii="Times New Roman" w:cs="Times New Roman" w:eastAsia="Times New Roman" w:hAnsi="Times New Roman"/>
          <w:sz w:val="18"/>
          <w:szCs w:val="18"/>
          <w:color w:val="auto"/>
        </w:rPr>
      </w:pPr>
    </w:p>
    <w:p>
      <w:pPr>
        <w:ind w:left="1540" w:hanging="514"/>
        <w:spacing w:after="0" w:line="284"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in operating expenses is primarily attributed to an increase in sales and marketing costs to support Lung Diagnostic sales growth, as well as to enhance Biodesix awareness and drive product adoption;</w:t>
      </w:r>
    </w:p>
    <w:p>
      <w:pPr>
        <w:spacing w:after="0" w:line="50" w:lineRule="exact"/>
        <w:rPr>
          <w:rFonts w:ascii="Times New Roman" w:cs="Times New Roman" w:eastAsia="Times New Roman" w:hAnsi="Times New Roman"/>
          <w:sz w:val="18"/>
          <w:szCs w:val="18"/>
          <w:color w:val="auto"/>
        </w:rPr>
      </w:pPr>
    </w:p>
    <w:p>
      <w:pPr>
        <w:ind w:left="1540" w:hanging="514"/>
        <w:spacing w:after="0" w:line="284"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Includes non-cash stock compensation expense of $1.3 million and $6.6 million during fourth quarter and fiscal 2024, respectively, an increase of 17% and 24% over the respective prior year comparable periods;</w:t>
      </w:r>
    </w:p>
    <w:p>
      <w:pPr>
        <w:spacing w:after="0" w:line="52" w:lineRule="exact"/>
        <w:rPr>
          <w:rFonts w:ascii="Times New Roman" w:cs="Times New Roman" w:eastAsia="Times New Roman" w:hAnsi="Times New Roman"/>
          <w:sz w:val="18"/>
          <w:szCs w:val="18"/>
          <w:color w:val="auto"/>
        </w:rPr>
      </w:pPr>
    </w:p>
    <w:p>
      <w:pPr>
        <w:ind w:left="620" w:hanging="343"/>
        <w:spacing w:after="0" w:line="282" w:lineRule="auto"/>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$8.3 million and $42.9 million for the fourth quarter and fiscal 2024, respectively, an improvement of 10% and 18% over the respective prior year comparable periods;</w:t>
      </w:r>
    </w:p>
    <w:p>
      <w:pPr>
        <w:spacing w:after="0" w:line="53" w:lineRule="exact"/>
        <w:rPr>
          <w:rFonts w:ascii="Times New Roman" w:cs="Times New Roman" w:eastAsia="Times New Roman" w:hAnsi="Times New Roman"/>
          <w:sz w:val="18"/>
          <w:szCs w:val="18"/>
          <w:color w:val="auto"/>
        </w:rPr>
      </w:pPr>
    </w:p>
    <w:p>
      <w:pPr>
        <w:ind w:left="620" w:hanging="343"/>
        <w:spacing w:after="0" w:line="282" w:lineRule="auto"/>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$26.2 million as of December 31, 2024. Subsequent to quarter end, we amended our term loan facility with Perceptive Advisors to extend the availability of the $10 million Tranche C loan.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derive our revenue from two sources: (i) Biodesix Lung Diagnostic Testing (Lung Diagnostic Testing),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Lung Diagnostic Testing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Lung Diagnostic test revenue is generated from delivery of results from our diagnostic tests. In the United States, we performed tests as both an in-network and out-of-network service provider depending on the test performed and the contracted status of the insurer. 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test type, the historical amount of time until payment by a payer and historical price concessions granted to groups of customers.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Development Services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Development 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significant swings in our overall net revenue line from quarter to quarter.</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Development Services also include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allocated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develop technology and include salaries, share-based compensation and benefits, reagents and supplies used in research and development laboratory work, clinical trials infrastructure expenses, including allocated facility occupancy and information technology costs, contract services, quality and regulatory support,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5" w:name="page76"/>
    <w:bookmarkEnd w:id="75"/>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sales and marketing expenses are expensed as incurred and include costs associated with our sales organization, including our direct sales force and sales management, client services, marketing, public relations, communications and reimbursement, as well as business development personnel who are focused on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and services. These expenses, though expected to increase in dollars, are expected to decrease as a percentage of revenue in the long term, though they may fluctuate as a percentage of our revenues from period to period due to the timing and nature of these expenses.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Interest Income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December 31, 2023, interest expense consists of cash and non-cash interest from the Perceptive Term Loan Facility, contingent consideration, and changes in the fair value of our contingent consideration associated with the passage of time subsequent to the achievement of the gross margin target in the second quarter 2021. Interest income, which is included in ‘Other income, net’ in the statements of operations consists of income earned on our cash and cash equivalents.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 (in thousands, except percentages):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Pr>
          <w:p>
            <w:pPr>
              <w:spacing w:after="0"/>
              <w:rPr>
                <w:sz w:val="20"/>
                <w:szCs w:val="20"/>
                <w:color w:val="auto"/>
              </w:rPr>
            </w:pPr>
          </w:p>
        </w:tc>
        <w:tc>
          <w:tcPr>
            <w:tcW w:w="138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57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45 %</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(429 )</w:t>
            </w:r>
          </w:p>
        </w:tc>
        <w:tc>
          <w:tcPr>
            <w:tcW w:w="3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441 %</w:t>
            </w:r>
          </w:p>
        </w:tc>
      </w:tr>
      <w:tr>
        <w:trPr>
          <w:trHeight w:val="20"/>
        </w:trPr>
        <w:tc>
          <w:tcPr>
            <w:tcW w:w="5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17 %</w:t>
            </w:r>
          </w:p>
        </w:tc>
      </w:tr>
      <w:tr>
        <w:trPr>
          <w:trHeight w:val="20"/>
        </w:trPr>
        <w:tc>
          <w:tcPr>
            <w:tcW w:w="5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(34,498 )</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(41,342 )</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17 %</w:t>
            </w: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(8,258 )</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(9,536 )</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(248 )</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(248 )</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(1,274 )</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1,117 %</w:t>
            </w:r>
          </w:p>
        </w:tc>
      </w:tr>
      <w:tr>
        <w:trPr>
          <w:trHeight w:val="20"/>
        </w:trPr>
        <w:tc>
          <w:tcPr>
            <w:tcW w:w="5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(8,433 )</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(10,804 )</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5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(42,931 )</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(52,146 )</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18 %</w:t>
            </w:r>
          </w:p>
        </w:tc>
      </w:tr>
      <w:tr>
        <w:trPr>
          <w:trHeight w:val="196"/>
        </w:trPr>
        <w:tc>
          <w:tcPr>
            <w:tcW w:w="57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243"/>
        </w:trPr>
        <w:tc>
          <w:tcPr>
            <w:tcW w:w="57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-1447800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-1447800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-1447800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-1447800</wp:posOffset>
            </wp:positionV>
            <wp:extent cx="1543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-608330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-608330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-608330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-608330</wp:posOffset>
            </wp:positionV>
            <wp:extent cx="1543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-316230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-299720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-316230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-299720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-316230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-299720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-316230</wp:posOffset>
            </wp:positionV>
            <wp:extent cx="1543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-299720</wp:posOffset>
            </wp:positionV>
            <wp:extent cx="1543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ind w:left="340" w:hanging="332"/>
        <w:spacing w:after="0"/>
        <w:tabs>
          <w:tab w:leader="none" w:pos="34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Amounts represent share-based compensation expense reported in the Company’s results of operations above.</w:t>
      </w:r>
    </w:p>
    <w:p>
      <w:pPr>
        <w:spacing w:after="0" w:line="203" w:lineRule="exact"/>
        <w:rPr>
          <w:rFonts w:ascii="Times New Roman" w:cs="Times New Roman" w:eastAsia="Times New Roman" w:hAnsi="Times New Roman"/>
          <w:sz w:val="24"/>
          <w:szCs w:val="24"/>
          <w:color w:val="auto"/>
          <w:vertAlign w:val="superscript"/>
        </w:rPr>
      </w:pPr>
    </w:p>
    <w:p>
      <w:pPr>
        <w:ind w:left="554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generate revenue by providing laboratory testing of our diagnostic tests and services. Our revenues for the periods indicated were as follows (in thousands, except percentages):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09"/>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Lung Diagnostic Testing</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Development Services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r>
      <w:tr>
        <w:trPr>
          <w:trHeight w:val="20"/>
        </w:trPr>
        <w:tc>
          <w:tcPr>
            <w:tcW w:w="5660" w:type="dxa"/>
            <w:vAlign w:val="bottom"/>
            <w:shd w:val="clear" w:color="auto" w:fill="CFF0FC"/>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71,323</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49,087</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-170815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increased $22.2 million or 45% for the year ended December 31, 2024 compared to the year ended December 31, 2023.</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Lung Diagnostic Testing revenue increased $19.5 million or 43% for the year ended December 31, 2024 compared to the same period in 2023. The increase for the year ended December 31, 2024 compared to the same period in 2023 is due to an increase of $20.7 million in the Nodify Lung Nodule Risk Assessment testing strategy driven by an increase in tests delivered, partially offset by a $1.1 million decrease in the IQLung testing strategy as a result of a decrease in tests delivered as our sales efforts continue to focus on Nodify CDT and XL2 tests. The Company’s Lung Diagnostic Testing sales efforts continued to gain momentum during the year ended December 31, 2024 as the number of tests delivered reached the highest in Company history for eight consecutive quarters.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Development Services revenue increased $2.7 million or 70% for the year ended December 31, 2024 compared to the same period in 2023. The increase in revenue for the year ended December 31, 2024 was primarily a result of delivering against our expanding book of business and securing new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 costs and expenses related to revenue increased $2.6 million or 20% for the year ended December 31, 2024 compared to the year ended December 31, 2023. The increase in costs for the year ended December 31, 2024 was primarily driven by the increase in testing volume compared to the same period in 2023, partially offset by the optimization of testing workflows that resulted in improvements in costs per test.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decreased $0.4 million or 4% for the year ended December 31, 2024 compared to the 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cost was primarily a result of a decrease in external costs associated with clinical trials and data acquisition costs.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external and internal costs for the years ended December 31, 2024 and 2023 (in thousands, except percentages):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5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Clinical trials and associated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(483 )</w:t>
            </w:r>
          </w:p>
        </w:tc>
        <w:tc>
          <w:tcPr>
            <w:tcW w:w="3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r>
      <w:tr>
        <w:trPr>
          <w:trHeight w:val="216"/>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external costs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(44 )</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5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external costs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(527 )</w:t>
            </w:r>
          </w:p>
        </w:tc>
        <w:tc>
          <w:tcPr>
            <w:tcW w:w="3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5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22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(429 )</w:t>
            </w:r>
          </w:p>
        </w:tc>
        <w:tc>
          <w:tcPr>
            <w:tcW w:w="3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5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-453390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-453390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-453390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-453390</wp:posOffset>
            </wp:positionV>
            <wp:extent cx="1543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-170815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1543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marketing, general and administrative expenses increased $13.1 million or 19% for the year ended December 31, 2024 compared to the year ended December 31, 2023. The increase was driven primarily by increases in employee compensation and benefits associated with an increase in headcount and variable compensation as well as increases in non-employee costs associated with increased spending on various sales meetings and sales fulfillment during 2024 as compared to 2023. Of the $13.1 million increase, $2.6 million is associated with the increase in depreciation and amortization expense primarily related to the leasehold improvements in our new Louisville headquarters and laboratory.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expense decreased $1.3 million or 13% for the year ended December 31, 2024 compared to the year ended December 31, 2023. The interest expense for the year ended December 31, 2024 is primarily related to interest and amortization of debt issuance costs associated with the Perceptive Term Loan Facility of $7.0 million and interest associated with the contingent consideration of $1.1 million. The interest expense for the year ended December 31, 2023 is primarily related to interest and amortization of debt issuance costs associated with the Perceptive Term Loan Facility of $5.5 million and interest associated with the contingent consideration of $3.9 million. The decrease in interest expense for the year ended December 31, 2024 was primarily related to the interest associated with the declining contingent consideration balance as the remaining Milestone Payments and final exit fee payment were made.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liabilities, net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on extinguishment of liabilities increased $0.2 million or 100% for the year ended December 31, 2024, compared to the same period in 2023. On April 22, 2024, the Company obtained consent from Perceptive and prepaid the July 1, 2024 contingent consideration Milestone Payment of $8.4 million to Indi. As a result of prepaying the Milestone Payment, the Company performed a fair value analysis through April 22, 2024 and recorded a loss on early extinguishment of $0.2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 net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no change in fair value of warrant liability in the statements of operations. The Tranche C loan had a commitment date through September 30, 2024 and, as of that date, the Company did not exercise its ability to draw the Tranche C loan. Therefore, the associated Tranche C Warrants expired and are no longer exercisable. During the year ended December 31, 2023, the Company recorded a $1.3 million net loss as a change in fair value through the statement of operations due to changes in unobservable inputs. This was a result of changes in the probability of our ability to draw on Tranche B and C loans. On December 15, 2023 (the Tranche B Borrowing Date), the Company exercised its ability to draw the Tranche B loan. In connection with the Tranche B draw, the Company remeasured the Tranche B Warrants through the Tranche B Borrowing Date and recorded the change in fair value through the statement of operations, and subsequently, reclassified the fair value to additional paid-in capital.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other income, net of $0.1 million. The other income, net for the year ended December 31, 2024 was comprised of $0.8 million of interest and other income, offset by approximately $0.7 million of deferred offering costs as a result of changes in the probability of our ability to fully utilize the LPC Facility prior to the termination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as such, have yet to generate positive cash flows from operations. We have funded our operations to date principally from net proceeds from the sale of our common stock, the sale of convertible preferred stock, revenue from Lung Diagnostic Testing and Development Services, and the incurrence of indebtedness.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amended the Indi APA agreement in April 2022 in which all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 On April 22, 2024, the Company obtained consent from Perceptive and prepaid the July 1, 2024 Milestone Payment of $8.4 million to Indi. On September 30, 2024, the Company obtained consent from Perceptive and prepaid the October 1, 2024 exit fee of $6.1 million to Indi. The Company has no remaining obligations to Indi.</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21, 2022, the Company entered into a Credit Agreement and Guaranty (the Credit Agreement) with Perceptive Credit Holdings IV, LP (Perceptive) as lender and administrative agent (the Lender) for up to $50.0 million, with funding of $30.0 million and the issuance of warrants exercisable into 3,000,000 shares of the Company’s common stock occurring on November 21, 2022, and two additional contingently issuable tranches of $10.0 million each subject to certain terms and conditions, including revenue milestones. The Tranche C loan had a commitment date through September 30, 2024 and, as of that date, the Company did not exercise its ability to draw the Tranche C loan.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7, 2023, the Company entered into a limited waiver under which the Lender agreed to waive the minimum revenue requirement for the three months ended March 31, 2023 (Limited Waiver). In addition, on May 10, 2023, the Company entered into the First Amendment to the Credit Agreement (First Amendment) with Perceptive as lender and administrative agent and the Company, 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8" w:name="page79"/>
    <w:bookmarkEnd w:id="78"/>
    <w:p>
      <w:pPr>
        <w:jc w:val="both"/>
        <w:spacing w:after="0" w:line="282" w:lineRule="auto"/>
        <w:rPr>
          <w:sz w:val="20"/>
          <w:szCs w:val="20"/>
          <w:color w:val="auto"/>
        </w:rPr>
      </w:pPr>
      <w:r>
        <w:rPr>
          <w:rFonts w:ascii="Times New Roman" w:cs="Times New Roman" w:eastAsia="Times New Roman" w:hAnsi="Times New Roman"/>
          <w:sz w:val="18"/>
          <w:szCs w:val="18"/>
          <w:color w:val="auto"/>
        </w:rPr>
        <w:t>borrower, whereby subject to the terms and conditions of the First Amendment, the Minimum Net Revenue Covenant, as defined in the Credit Agreement, was modified to reduce the threshold through the twelve month period ended March 31, 2024.</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3, 2023, the Company entered into subscription agreements (the Subscription Agreements) with all of the members of our Board of Directors, all Section 16 officers, and additional members of the Biodesix leadership team for the issuance and sale by the Company of an aggregate of 16,975,298 of the Company’s common stock for an aggregate purchase price of approximately $27.5 million. During the three months ended September 30, 2023, the Company received $15.3 million in proceeds and issued 9,454,927 shares of common stock. On September 27, 2023, the Company entered into an amendment to delay final closing on one subscription agreement. The remaining $12.2 million in proceeds was received and 7,520,371 shares of common stock was issued during the three months ended December 31, 2023.</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4, 2023, the Company entered into the Second Amendment to the Credit Agreement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on the fiscal quarter ending June 30, 2024 through and including the fiscal quarter ending December 31, 2025.</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original terms of the Credit Agreement entered into on November 21, 2022, the Perceptive Term Loan Facility includes an additional Tranche B Loan, in an aggregate amount of up to $10.0 million, which is accessible by the Company so long as the Company satisfies certain customary conditions precedent, including revenue milestones. Under the terms of the Second Amendment, the conditions precedent for drawing on the Tranche B Loan were amended to (i) reduce the trailing twelve-month revenue milestone and (ii) add the receipt of aggregate cash proceeds of at least $27.5 million from an equity offering of the Company's common stock. During the three months ended December 31, 2023, the Company met the remaining conditions precedent associated with the Tranche B Loan and, on December 15, 2023, the Company exercised its ability to draw the Tranche B loan for $10.0 million (the Tranche B Loan).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29, 2024 (the Third Amendment Effective Date), the Company entered into the Third Amendment to the Credit Agreement (the Third Amendment) with Perceptive as lender and administrative agent and the Company, as borrower, whereby subject to the terms and conditions of the Third Amendment, the Minimum Net Revenue Covenant (as defined in the Credit Agreement) was amended to reduce the relevant threshold as of the last day of each fiscal quarter commencing on the fiscal quarter ending March 31, 2024 through and including the fiscal quarter ending December 31, 2025.</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9, 2024, the Company closed an underwritten offering of common stock and a concurrent private placement. Collectively, the Company raised net proceeds of approximately $51.3 million (the April 2024 Offering).</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30, 2024, the Company entered into the Fourth Amendment to the Credit Agreement (the Fourth Amendment), whereby, subject to the terms and conditions of the Fourth Amendment, the Minimum Net Revenue Covenant (as defined in the Credit Agreement) was amended to reduce the relevant threshold as of the last day of each fiscal quarter commencing on the fiscal quarter ending June 30, 2025 through and including the fiscal quarter ending December 31, 2027.</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maintained two facilities that enable equity financing on an ongoing basis at the Company’s discretion, our at-the-market (ATM) offering and our common stock purchase agreement with Lincoln Park Capital Fund, LLC (LPC). As of December 31, 2024, the Company had remaining available capacity for share issuances of up to $46.9 million under the LPC Facility, subject to the restrictions and limitations of the underlying facility. Effective February 5, 2025, the Company terminated the LPC Facility.</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5, 2024, the Company filed Supplement No. 1 to the ATM Prospectus Supplement dated December 22, 2021. To comply with volume limitations under applicable SEC rules and regulations, Supplement No. 1 reduced the aggregate offering price to up to $100,000 of shares in order to maximize the amount the Company could offer under the April 2024 Offering. Following the successful completion of the Company’s April 2024 Offering, the Company is no longer subject to volume limitations under applicable SEC rules and regulations that limit their availability as sources of funding. On August 7, 2024, the Company filed Supplement No. 2 to the ATM Prospectus Supplement dated December 22, 2021 to increase the aggregate offering price under the ATM facility up to the original $50.0 million of shares. On November 1, 2024, the Company filed a shelf registration statement on Form S-3 and entered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which became effective with the SEC on November 12, 2024.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In connection with establishing the 2024 ATM Program, the Company terminated its prior $50.0 million ATM program established in November 2021, and no additional stock can be issued thereunder. As of December 31, 2024, the Company had remaining available capacity for share issuances of up to $50.0 million under the ATM facility.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assesses liquidity in terms of its ability to generate cash to fund its operating, investing and financing activities. The Company’s cash requirements for 2024 and beyond include expenses related to sales and marketing, research and development, regulatory and other expenses as we expand our marketing efforts for our diagnostic tests and services, expand existing relationships with our customers, obtain regulatory clearances or approvals or certifications for future enhancements to our existing diagnostic tests and services and conduct further clinical trials. In addition, we expect to incur general and administrative expenses associated with scaling our business operations and testing capacity as well as the requirements of being a public company operating in a highly regulated industry. As of December 31, 2024, we maintained cash and cash equivalents of $26.2 million.</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losses since our inception and have reported net losses of $42.9 million and $52.1 million for the years ended December 31, 2024 and 2023, respectively. As a result of these losses, as of December 31, 2024, we had an accumulated deficit of approximately $462.5 million. We have funded our operations to date primarily through our two revenue sources: (i) Lung Diagnostic Testing and (ii) Development Services, the sale of convertible preferred stock, the sale of common stock, and the issuance of notes payable, including through our current Perceptive Term Loan Facility. Additionally, on February 28, 2025, the Company entered into a fifth amendment to the Perceptive Term Loan Facility, whereby, subject to the terms and conditions of the fifth amendment, the Tranche C Loan revenue milestone was eliminated and the Commitment Termination Date (as defined in the Credit Agreement) was extended, providing continued availability to the Tranche C Loan in an aggregate amount equal to $10.0 million through December 31, 2025.</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believes the prior conditions and events raising substantial doubt about its ability to continue as a going concern no longer exist following the amended debt agreement in October 2024, continued improvement in operations, as well as the amendment to extend availability to the Tranche C Loan noted above. Accordingly, its current cash and cash equivalents as of the issuance date of these financial statements will be sufficient to fund its operations at the current levels for at least the next 12 months. Management continues to monitor the Company’s liquidity position and has the flexibility to adjust spending as needed in order to preserve and extend liquidity. As of December 31, 2024, the Company was in compliance with all restrictive and financial covenants associated with its borrowings and expects to remain in compliance for more than one year from when these financial statements are issued. While the Company’s ability to execute its business objectives and achieve profitability over the long term cannot be assured, the Company's current plans and projections, existing cash and cash equivalents, and expense management activities provide liquidity for the Company to satisfy our liquidity requirements for more than one year from when these financial statements are issued.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our cash flows for the periods indicated (in thousands):</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72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7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provided by :</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(48,649 )</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(22,870 )</w:t>
            </w:r>
          </w:p>
        </w:tc>
      </w:tr>
      <w:tr>
        <w:trPr>
          <w:trHeight w:val="216"/>
        </w:trPr>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(3,440 )</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(23,062 )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52,050</w:t>
            </w:r>
          </w:p>
        </w:tc>
        <w:tc>
          <w:tcPr>
            <w:tcW w:w="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100" w:type="dxa"/>
            <w:vAlign w:val="bottom"/>
          </w:tcPr>
          <w:p>
            <w:pPr>
              <w:spacing w:after="0"/>
              <w:rPr>
                <w:sz w:val="18"/>
                <w:szCs w:val="18"/>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(39 )</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(16,803 )</w:t>
            </w:r>
          </w:p>
        </w:tc>
      </w:tr>
      <w:tr>
        <w:trPr>
          <w:trHeight w:val="20"/>
        </w:trPr>
        <w:tc>
          <w:tcPr>
            <w:tcW w:w="77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cash flows resulted in a net decrease in cash and cash equivalents and restricted cash of $39 thousand during the year ended December 31, 2024 as compared to the net decrease in cash of $16.8 million for the year ended December 31, 2023. For the year ended December 31, 2024, net cash used in operating activities totaled $48.6 million, an increase of approximately $25.8 million compared to the same period in 2023 primarily due to unfavorable changes in net working capital of $33.0 million, which includes an increase of $20.7 million in payments made for contingent consideration and an $18.3 million decrease in tenant improvement allowances received for capital expenditures and leasehold improvements related to the CVP Lease. This is partially offset by a year-over-year decrease in net loss from operations of $9.2 million.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2024 totaled $3.4 million, a decrease of $19.6 million compared to the same period in 2023. The decrease in net cash used in investing activities was primarily due to decreases in purchases of property and equipment and capital expenditures primarily for leasehold improvements related to the CVP Lease. These leasehold improvements were tenant improvements and were reimbursed from the Landlord.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2024 totaled $52.1 million, an increase of $22.9 million compared to the same period in 2023. The net cash provided by financing activities for the year ended December 31, 2024 primarily resulted from $51.3 million in net proceeds from the issuance of common stock from an underwritten offering of common stock and a concurrent private placement and $0.6 million from the issuance of common stock under the ESPP. The net cash provided by financing activities for the year ended December 31, 2023 primarily resulted from $28.0 million net proceeds from the issuance of common stock, $10.0 million net proceeds from the issuance of Tranche B under the Perceptive Term Loan Facility, and $0.7 million in proceeds from the issuance of common stock under the ESPP and exercise of stock options. These proceeds were partially offset by milestone payments to Indi of $8.6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non-cancelable contractual obligations and commitments as of December 31, 2024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460" w:type="dxa"/>
            <w:vAlign w:val="bottom"/>
            <w:tcBorders>
              <w:bottom w:val="single" w:sz="8" w:color="auto"/>
            </w:tcBorders>
            <w:gridSpan w:val="7"/>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 xml:space="preserve">Payments due by period </w:t>
            </w:r>
            <w:r>
              <w:rPr>
                <w:rFonts w:ascii="Times New Roman" w:cs="Times New Roman" w:eastAsia="Times New Roman" w:hAnsi="Times New Roman"/>
                <w:sz w:val="24"/>
                <w:szCs w:val="24"/>
                <w:b w:val="1"/>
                <w:bCs w:val="1"/>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187"/>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1 to 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4 to 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w:t>
            </w:r>
          </w:p>
        </w:tc>
      </w:tr>
      <w:tr>
        <w:trPr>
          <w:trHeight w:val="238"/>
        </w:trPr>
        <w:tc>
          <w:tcPr>
            <w:tcW w:w="5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09"/>
        </w:trPr>
        <w:tc>
          <w:tcPr>
            <w:tcW w:w="51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Borrowings and interest </w:t>
            </w:r>
            <w:r>
              <w:rPr>
                <w:rFonts w:ascii="Times New Roman" w:cs="Times New Roman" w:eastAsia="Times New Roman" w:hAnsi="Times New Roman"/>
                <w:sz w:val="24"/>
                <w:szCs w:val="24"/>
                <w:color w:val="auto"/>
                <w:vertAlign w:val="superscript"/>
              </w:rPr>
              <w:t>(2)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55,800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5,433</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50,367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23,870</w:t>
            </w:r>
          </w:p>
        </w:tc>
      </w:tr>
      <w:tr>
        <w:trPr>
          <w:trHeight w:val="21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101,286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9,771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59,251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23,870</w:t>
            </w:r>
          </w:p>
        </w:tc>
      </w:tr>
      <w:tr>
        <w:trPr>
          <w:trHeight w:val="20"/>
        </w:trPr>
        <w:tc>
          <w:tcPr>
            <w:tcW w:w="5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Royalty payments that we may owe are not included as the amount and timing of such payments is uncertain.</w:t>
      </w:r>
    </w:p>
    <w:p>
      <w:pPr>
        <w:spacing w:after="0" w:line="64" w:lineRule="exact"/>
        <w:rPr>
          <w:rFonts w:ascii="Times New Roman" w:cs="Times New Roman" w:eastAsia="Times New Roman" w:hAnsi="Times New Roman"/>
          <w:sz w:val="24"/>
          <w:szCs w:val="24"/>
          <w:color w:val="auto"/>
          <w:vertAlign w:val="superscript"/>
        </w:rPr>
      </w:pPr>
    </w:p>
    <w:p>
      <w:pPr>
        <w:ind w:left="380" w:hanging="372"/>
        <w:spacing w:after="0" w:line="206" w:lineRule="auto"/>
        <w:tabs>
          <w:tab w:leader="none" w:pos="380" w:val="left"/>
        </w:tabs>
        <w:numPr>
          <w:ilvl w:val="0"/>
          <w:numId w:val="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the Perceptive Term Loan payments of principal and interest. Interest amounts associated with the Perceptive Term Loan are variable and estimated based on the interest rate in effect at December 31,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have not entered into any 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These estimates form the basis for making judgments about the carrying values of assets and liabilities and recognized revenue and expenses that are not readily apparent from other sources. Actual results could differ from those estimates and assumptions. Our critical accounting policies are described in greater detail below and in Note 2 to our financial statements in Item 8 of this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Lung Diagnostic Tests and (ii) assay development, testing services, and licensing our technologies (Development Services).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Development Services revenue consists of various types of tests or other scientific services for a purpose as defined by any individual customer, which are often larger biopharmaceutical companies, as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Customers for these services are typically large biopharmaceutical companies where collectability is reasonably assured and therefore revenue is accrued upon completion of the performance obligations. Revenue for these services is recognized upon delivery of the completed test results, upon completion of the contractual milestone(s), or over the term of the contract.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to our financial statements in Item 8 of this Annual Report on Form 10-K.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and cash equivalents, marketable securities and our indebtedness, including our outstanding Perceptive Term Loan. As of December 31, 2024, we had $40.0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throughout the year, we have maintained balances in various operating accounts in excess of federally insured limits. Our cash and cash equivalents are funds held in checking and bank savings accounts, primarily at one U.S. financial institutions.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 hypothetical 100 basis point increase in interest rates would have an estimated $0.4 million impact per year on our financial position and results of operations, based on the current Perceptive Term Loan principal remaining outstanding through maturity.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and supplementary data are as set forth in the index to the financial statements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 as such term is defined in Exchange Act Rule 13a-15(f). Under the supervision and with the participation of our Chief Executive Officer and Chief Financial Officer, we conducted an evaluation of the effectiveness of our internal control over financial reporting as of December 31, 2024 based on the criteria established in "Internal Control – Integrated Framework" issued by the Committee of Sponsoring Organizations of the Treadway Commission (COSO), using the 2013 framework. Based on our assessment, our Chief Executive Officer and Chief Financial Officer concluded that, as of December 31, 2024, the Company's internal control over financial reporting was effective based on the criteria set forth by COSO.</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a transition period established by rules of the Securities and Exchange Commission for newly public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there were no changes that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modified, or terminated a “Rule 10b5-1 trading arrangement” or “non-Rule 10b5-1 trading arrangement,” as each term is defined in Item 408 of Regulation S-K, during the quarter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3" w:name="page84"/>
    <w:bookmarkEnd w:id="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is incorporated by reference from the information under the captions "Board and Corporate Governance Matters—Proposal One: Election of Directors" and "—Director Independence" contained in our Proxy Statement to be filed with the Securities and Exchange Commission within 120 days of the fiscal year ended December 31, 2024 in connection with the solicitation of proxies for our 2025 Annual Meeting of Stockholders (the Proxy Statement). Certain information required by this item concerning executive officers is set forth in the Proxy Statement under the caption "Executive Compensation—Compensation of Named Executive Officers" and is incorporated herein by reference.</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Item 405 of Regulation S-K calls for disclosure of any known late filing or failure by an insider to file a report required by Section 16(a) of the Exchange Act. This disclosure is contained in the section entitled "Stock Ownership—Delinquent Section 16(a) Reports" in the Proxy Statement and is incorporated herein by reference.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officers and employees, including our President and Chief Executive Officer, our Chief Financial Officer and other employees who perform financial or accounting functions. The Code of Business Conduct and Ethics sets forth the basic principles that guide the business conduct of our employees. Stockholders may request a free copy of our Code of Business Conduct and Ethics by contacting Biodesix, Inc., Attention: Chief Financial Officer, 919 West Dillon Rd, Louisville, Colorado 80027.</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there have been no waivers under our Code of Business Conduct and Ethics. We intend to disclose future amendments to certain provisions of our Code of Business Conduct and Ethics or waivers of such Codes granted to executive officers and directors on our website at http://www.biodesix.com within four business days following the date of such amendment or waiver.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Policy Relating to Insider Trading governing the purchase, sale, and disposition of the Company’s securities by directors and officers that is reasonably designed to promote compliance with U.S. insider trading laws, rules and regulations, and applicable listing standards. In addition, with regard to the Company’s trading in its own securities, it is the Company’s policy to comply with the federal securities laws and the applicable exchange listing requirements. For more information, please refer to the Policy Relating to Insider Trading filed herewith as Exhibit 19.1.</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appointed an Audit Committee, comprised of Ms. Jean Franchi, as Chairwoman, Messrs. Hany Massarany, Lawrence T. Kennedy, Jr., and Dr. Matthew Strobeck. The Board of Directors has determined that Ms. Franchi qualifies as an Audit Committee Financial Expert under the definition outlined by the Securities and Exchange Commission. In addition, each of the members of the Audit Committee qualifies as an "independent director" under the current rules of The NASDAQ Stock Market and Securities and Exchange Commission rules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"Executive Compensation" contained in the Proxy Statement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captions "Stock Ownership—Security Ownership of Certain Beneficial Owners and Management", "Executive Compensation", and "Equity Compensation Plan Information" contained in the Proxy Statement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 "Board and Corporate Governance Matters— Policies and Procedures for Related-Party Transactions" and "—Director Independence" contained in the Proxy Statement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 "Audit Matters—Principal Accountant Fees and Services" contained in the Proxy Statement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ind w:left="760" w:hanging="752"/>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a part of the report.</w:t>
      </w:r>
    </w:p>
    <w:p>
      <w:pPr>
        <w:spacing w:after="0" w:line="117" w:lineRule="exact"/>
        <w:rPr>
          <w:sz w:val="20"/>
          <w:szCs w:val="20"/>
          <w:color w:val="auto"/>
        </w:rPr>
      </w:pPr>
    </w:p>
    <w:p>
      <w:pPr>
        <w:ind w:left="1140" w:hanging="383"/>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00" w:lineRule="exact"/>
        <w:rPr>
          <w:sz w:val="20"/>
          <w:szCs w:val="20"/>
          <w:color w:val="auto"/>
        </w:rPr>
      </w:pPr>
    </w:p>
    <w:p>
      <w:pPr>
        <w:spacing w:after="0" w:line="241" w:lineRule="exact"/>
        <w:rPr>
          <w:sz w:val="20"/>
          <w:szCs w:val="20"/>
          <w:color w:val="auto"/>
        </w:rPr>
      </w:pPr>
    </w:p>
    <w:p>
      <w:pPr>
        <w:ind w:left="1140" w:hanging="383"/>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not applicable, or the required information is included in the financial statements or notes thereto.</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   See Item 15(b) below. Each management contract or compensating plan or arrangement required to be filed has been identified.</w:t>
      </w:r>
    </w:p>
    <w:p>
      <w:pPr>
        <w:spacing w:after="0" w:line="117" w:lineRule="exact"/>
        <w:rPr>
          <w:sz w:val="20"/>
          <w:szCs w:val="20"/>
          <w:color w:val="auto"/>
        </w:rPr>
      </w:pPr>
    </w:p>
    <w:p>
      <w:pPr>
        <w:ind w:left="760" w:hanging="752"/>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0" w:type="dxa"/>
            <w:vAlign w:val="bottom"/>
            <w:gridSpan w:val="13"/>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gridSpan w:val="12"/>
          </w:tcPr>
          <w:p>
            <w:pPr>
              <w:ind w:left="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Amended and Restated Certificate of Incorporation of Biodesix, Inc., dated October 30, 2020 (incorporated by reference to</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Exhibit 3.1 to the Company’s Quarterly Report on Form 10-Q filed with the SEC on December 10,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Amended and Restated Bylaws of Biodesix, Inc. (incorporated by reference to Exhibit 3.2 to the Company’s Quarterly Report</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on Form 10-Q filed with the SEC on October 12,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Certificate of Designations of Series A Non-Voting Convertible Preferred Stock (incorporated by reference to Exhibit 3.1 to</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the Company's Current Report on Form 8-K filed with the SEC on April 9, 2024).</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Specimen stock certificate evidencing shares of Common Stock (incorporated by reference to Exhibit 4.1 to the Company’s</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Registration Statement on Form S-1/A filed with the SEC on October 21,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Eleventh Amended and Restated Investor Rights Agreement, by and among Biodesix, Inc. and the investors listed on Exhibit</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 thereto, dated October 10, 2018 (incorporated by reference to Exhibit 4.2 to the Company’s Registration Statement on Form</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S-1 filed with the SEC on October 2,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Warrant held by Innovatus Life Sciences Lending Fund I, LP, to Purchase Series G Preferred Stock, dated February 23, 3018</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(incorporated by reference to Exhibit 4.3 to the Company’s Registration Statement on Form S-1 filed with the SEC on October</w:t>
              </w:r>
            </w:hyperlink>
          </w:p>
        </w:tc>
      </w:tr>
      <w:tr>
        <w:trPr>
          <w:trHeight w:val="20"/>
        </w:trPr>
        <w:tc>
          <w:tcPr>
            <w:tcW w:w="880" w:type="dxa"/>
            <w:vAlign w:val="bottom"/>
          </w:tcPr>
          <w:p>
            <w:pPr>
              <w:spacing w:after="0" w:line="20" w:lineRule="exact"/>
              <w:rPr>
                <w:sz w:val="1"/>
                <w:szCs w:val="1"/>
                <w:color w:val="auto"/>
              </w:rPr>
            </w:pPr>
          </w:p>
        </w:tc>
        <w:tc>
          <w:tcPr>
            <w:tcW w:w="1100" w:type="dxa"/>
            <w:vAlign w:val="bottom"/>
            <w:tcBorders>
              <w:right w:val="single" w:sz="8" w:color="0000EE"/>
            </w:tcBorders>
            <w:gridSpan w:val="2"/>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660" w:type="dxa"/>
            <w:vAlign w:val="bottom"/>
            <w:gridSpan w:val="3"/>
          </w:tcPr>
          <w:p>
            <w:pPr>
              <w:spacing w:after="0" w:line="196" w:lineRule="exact"/>
              <w:rPr>
                <w:rFonts w:ascii="Times New Roman" w:cs="Times New Roman" w:eastAsia="Times New Roman" w:hAnsi="Times New Roman"/>
                <w:sz w:val="18"/>
                <w:szCs w:val="18"/>
                <w:color w:val="0000FF"/>
                <w:w w:val="96"/>
              </w:rPr>
            </w:pPr>
            <w:hyperlink r:id="rId141">
              <w:r>
                <w:rPr>
                  <w:rFonts w:ascii="Times New Roman" w:cs="Times New Roman" w:eastAsia="Times New Roman" w:hAnsi="Times New Roman"/>
                  <w:sz w:val="18"/>
                  <w:szCs w:val="18"/>
                  <w:color w:val="0000FF"/>
                  <w:w w:val="96"/>
                </w:rPr>
                <w:t>2, 2020).</w:t>
              </w:r>
            </w:hyperlink>
          </w:p>
        </w:tc>
        <w:tc>
          <w:tcPr>
            <w:tcW w:w="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Description of Securities Registered under Section 12 of the Securities Exchange Act of 1934 (incorporated by reference to</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Exhibit 4.5 to the Company's Form 10-K filed with the SEC on March 16, 2021).</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Note, dated November 21, 2022, issued by the Company to Perceptive Credit Holdings IV, LP. (incorporated by</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reference to Exhibit 4.1 and Exhibit 10.1 in the Company's current report on Form 8-K filed with the SEC on November 21,</w:t>
              </w:r>
            </w:hyperlink>
          </w:p>
        </w:tc>
      </w:tr>
      <w:tr>
        <w:trPr>
          <w:trHeight w:val="20"/>
        </w:trPr>
        <w:tc>
          <w:tcPr>
            <w:tcW w:w="880" w:type="dxa"/>
            <w:vAlign w:val="bottom"/>
          </w:tcPr>
          <w:p>
            <w:pPr>
              <w:spacing w:after="0" w:line="20" w:lineRule="exact"/>
              <w:rPr>
                <w:sz w:val="1"/>
                <w:szCs w:val="1"/>
                <w:color w:val="auto"/>
              </w:rPr>
            </w:pPr>
          </w:p>
        </w:tc>
        <w:tc>
          <w:tcPr>
            <w:tcW w:w="1100" w:type="dxa"/>
            <w:vAlign w:val="bottom"/>
            <w:tcBorders>
              <w:right w:val="single" w:sz="8" w:color="0000EE"/>
            </w:tcBorders>
            <w:gridSpan w:val="2"/>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480" w:type="dxa"/>
            <w:vAlign w:val="bottom"/>
            <w:gridSpan w:val="2"/>
          </w:tcPr>
          <w:p>
            <w:pPr>
              <w:spacing w:after="0" w:line="196" w:lineRule="exact"/>
              <w:rPr>
                <w:rFonts w:ascii="Times New Roman" w:cs="Times New Roman" w:eastAsia="Times New Roman" w:hAnsi="Times New Roman"/>
                <w:sz w:val="18"/>
                <w:szCs w:val="18"/>
                <w:color w:val="0000FF"/>
                <w:w w:val="94"/>
              </w:rPr>
            </w:pPr>
            <w:hyperlink r:id="rId143">
              <w:r>
                <w:rPr>
                  <w:rFonts w:ascii="Times New Roman" w:cs="Times New Roman" w:eastAsia="Times New Roman" w:hAnsi="Times New Roman"/>
                  <w:sz w:val="18"/>
                  <w:szCs w:val="18"/>
                  <w:color w:val="0000FF"/>
                  <w:w w:val="94"/>
                </w:rPr>
                <w:t>2022).</w:t>
              </w:r>
            </w:hyperlink>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Warrant to Purchase Stock, dated November 21, 2022, issued by the Company to Perceptive Credit Holdings IV, LP.</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(incorporated by reference to Exhibit 4.2 in the Company's current report on Form 8-K filed with the SEC on November 21,</w:t>
              </w:r>
            </w:hyperlink>
          </w:p>
        </w:tc>
      </w:tr>
      <w:tr>
        <w:trPr>
          <w:trHeight w:val="20"/>
        </w:trPr>
        <w:tc>
          <w:tcPr>
            <w:tcW w:w="880" w:type="dxa"/>
            <w:vAlign w:val="bottom"/>
          </w:tcPr>
          <w:p>
            <w:pPr>
              <w:spacing w:after="0" w:line="20" w:lineRule="exact"/>
              <w:rPr>
                <w:sz w:val="1"/>
                <w:szCs w:val="1"/>
                <w:color w:val="auto"/>
              </w:rPr>
            </w:pPr>
          </w:p>
        </w:tc>
        <w:tc>
          <w:tcPr>
            <w:tcW w:w="1100" w:type="dxa"/>
            <w:vAlign w:val="bottom"/>
            <w:tcBorders>
              <w:right w:val="single" w:sz="8" w:color="0000EE"/>
            </w:tcBorders>
            <w:gridSpan w:val="2"/>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480" w:type="dxa"/>
            <w:vAlign w:val="bottom"/>
            <w:gridSpan w:val="2"/>
          </w:tcPr>
          <w:p>
            <w:pPr>
              <w:spacing w:after="0" w:line="196" w:lineRule="exact"/>
              <w:rPr>
                <w:rFonts w:ascii="Times New Roman" w:cs="Times New Roman" w:eastAsia="Times New Roman" w:hAnsi="Times New Roman"/>
                <w:sz w:val="18"/>
                <w:szCs w:val="18"/>
                <w:color w:val="0000FF"/>
                <w:w w:val="94"/>
              </w:rPr>
            </w:pPr>
            <w:hyperlink r:id="rId144">
              <w:r>
                <w:rPr>
                  <w:rFonts w:ascii="Times New Roman" w:cs="Times New Roman" w:eastAsia="Times New Roman" w:hAnsi="Times New Roman"/>
                  <w:sz w:val="18"/>
                  <w:szCs w:val="18"/>
                  <w:color w:val="0000FF"/>
                  <w:w w:val="94"/>
                </w:rPr>
                <w:t>2022).</w:t>
              </w:r>
            </w:hyperlink>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Warrant to Purchase Stock, dated May 10, 2023, issued by the Company to Perceptive Credit Holdings IV, LP (incorporated</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by reference to Exhibit 4.1 to the Company's Quarterly Report on Form 10-Q filed with the SEC on May 11, 2023).</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78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First Amendment to Warrant Certificate, dated February 28, 2025, issued by the Company to Perceptive Credit Holdings IV,</w:t>
            </w: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5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LP.</w:t>
            </w: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Biodesix, Inc. Amended and Restated 2006 Employee, Director and Consultant Stock Plan, as amended to date (incorporated</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5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by reference to Exhibit 10.1 to the Company’s Registration Statement on Form S-1/A filed with the SEC on October 9,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52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Stock Option Grant Notice under the Amended and Restated 2006 Employee, Director and Consultant Stock Plan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60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(incorporated by reference to Exhibit 10.2.1 to the Company’s Registration Statement on Form S-1/A filed with the SEC on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60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October 9,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Option Agreement under the Amended and Restated 2006 Employee, Director and Consultant Stock Plan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60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(incorporated by reference to Exhibit 10.2.2 to the Company’s Registration Statement on Form S-1/A filed with the SEC on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60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October 9,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Notice of Exercise under the Amended and Restated 2006 Employee, Director and Consultant Stock Plan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60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(incorporated by reference to Exhibit 10.2.3 to the Company’s Registration Statement on Form S-1/A filed with the SEC on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60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October 9,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260" w:type="dxa"/>
            <w:vAlign w:val="bottom"/>
            <w:tcBorders>
              <w:left w:val="single" w:sz="8" w:color="0000EE"/>
            </w:tcBorders>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Biodesix, Inc. 2016 Equity Incentive Plan, as amended to date (incorporated by reference to Exhibit 10.3 to the Company’s</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FF"/>
            </w:tcBorders>
            <w:gridSpan w:val="7"/>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60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Registration Statement on Form S-1 filed with the SEC on October 2,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EE"/>
            </w:tcBorders>
            <w:gridSpan w:val="7"/>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17"/>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Stock Option Grant Notice under the 2016 Equity Incentive Plan (incorporated by reference to Exhibit 10.4.1 to the</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6560" w:type="dxa"/>
            <w:vAlign w:val="bottom"/>
            <w:gridSpan w:val="10"/>
            <w:shd w:val="clear" w:color="auto" w:fill="0000FF"/>
          </w:tcPr>
          <w:p>
            <w:pPr>
              <w:spacing w:after="0" w:line="20" w:lineRule="exact"/>
              <w:rPr>
                <w:sz w:val="1"/>
                <w:szCs w:val="1"/>
                <w:color w:val="auto"/>
              </w:rPr>
            </w:pPr>
          </w:p>
        </w:tc>
        <w:tc>
          <w:tcPr>
            <w:tcW w:w="260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17"/>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Company’s Registration Statement on Form S-1/A filed with the SEC on October 9, 2020).</w:t>
              </w:r>
            </w:hyperlink>
          </w:p>
        </w:tc>
      </w:tr>
      <w:tr>
        <w:trPr>
          <w:trHeight w:val="560"/>
        </w:trPr>
        <w:tc>
          <w:tcPr>
            <w:tcW w:w="88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4040" w:type="dxa"/>
            <w:vAlign w:val="bottom"/>
            <w:tcBorders>
              <w:top w:val="single" w:sz="8" w:color="0000FF"/>
            </w:tcBorders>
            <w:gridSpan w:val="6"/>
          </w:tcPr>
          <w:p>
            <w:pPr>
              <w:jc w:val="right"/>
              <w:ind w:right="210"/>
              <w:spacing w:after="0"/>
              <w:rPr>
                <w:sz w:val="20"/>
                <w:szCs w:val="20"/>
                <w:color w:val="auto"/>
              </w:rPr>
            </w:pPr>
            <w:r>
              <w:rPr>
                <w:rFonts w:ascii="Times New Roman" w:cs="Times New Roman" w:eastAsia="Times New Roman" w:hAnsi="Times New Roman"/>
                <w:sz w:val="18"/>
                <w:szCs w:val="18"/>
                <w:color w:val="auto"/>
              </w:rPr>
              <w:t>84</w:t>
            </w:r>
          </w:p>
        </w:tc>
        <w:tc>
          <w:tcPr>
            <w:tcW w:w="14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10.4.2+**</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Option Agreement under the 2016 Equity Incentive Plan (incorporated by reference to Exhibit 10.4.2 to the</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Company’s Registration Statement on Form S-1/A filed with the SEC on October 9,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10.4.3+**</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Notice of Exercise under the 2016 Equity Incentive Plan (incorporated by reference to Exhibit 10.4.3 to the</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Company’s Registration Statement on Form S-1/A filed with the SEC on October 9,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Biodesix, Inc. 2020 Equity Incentive Plan (incorporated by reference to Exhibit 10.5 to the Company’s Registration Statement</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on Form S-1/A filed with the SEC on October 26,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10.5.1+**</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Forms of Stock Option Grant Notice, Option Agreement and Notice of Exercise under the 2020 Equity Incentive Plan</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(incorporated by reference to Exhibit 10.5.1 to the Company's Form 10-K filed with the SEC on March 16, 2021).</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10.5.2+**</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Forms of Restricted Stock Unit Award Grant Notice and Award Agreement under the 2020 Equity Incentive Plan</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(incorporated by reference to Exhibit 10.5.2 to the Company's Form 10-Q filed with the SEC on August 10, 2021).</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10.6+**</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Biodesix, Inc. 2020 Employee Stock Purchase Plan (incorporated by reference to Exhibit 10.6 to the Company’s Registration</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Statement on Form S-1/A filed with the SEC on October 26,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10.7.1+**</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Biodesix, Inc., First Amended Bonus-to-Options Program, adopted by the Board of Directors on October 15, 2010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(incorporated by reference to Exhibit 10.5.1 to the Company’s Registration Statement on Form S-1 filed with the SEC on</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October 2,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10.7.2+**</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Biodesix, Inc., Second Amended Bonus-to-Options Program, adopted by the Board of Directors on June 21, 2011</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(incorporated by reference to Exhibit 10.5.2 to the Company’s Registration Statement on Form S-1 filed with the SEC on</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October 2,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10.7.3+**</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Biodesix, Inc., Third Amended Bonus-to-Options Program, adopted by the Board of Directors on December 31, 2015</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(incorporated by reference to Exhibit 10.5.3 to the Company’s Registration Statement on Form S-1 filed with the SEC on</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October 2,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10.8.1+**</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Biodesix, Inc. 2021 Senior Management Bonus to Equity Plan (incorporated by reference to Exhibit 10.1 to the Company’s</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Quarterly Report on Form 10-Q filed with the SEC on August 4, 2022).</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10.8.2+**</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Amendment No. 1 to the Biodesix, Inc. 2021 Senior Management Bonus to Equity Plan (incorporated by reference to Exhibit</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Quarterly Report on Form 10-Q filed with the SEC on August 4, 2022).</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10.8.3+**</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Amendment No. 2 to the Biodesix, Inc. 2021 Senior Management Bonus to Equity Plan (incorporated by reference to Exhibit</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8.3</w:t>
              </w:r>
              <w:r>
                <w:rPr>
                  <w:rFonts w:ascii="Times New Roman" w:cs="Times New Roman" w:eastAsia="Times New Roman" w:hAnsi="Times New Roman"/>
                  <w:sz w:val="18"/>
                  <w:szCs w:val="18"/>
                  <w:color w:val="0000FF"/>
                </w:rPr>
                <w:t xml:space="preserve"> to the Company’s Annual Report on Form 10-K filed with the SEC on March 6, 2023).</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126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10.9.1+**</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Stock Option Grant Notice under the Biodesix, Inc. Bonus-To-Options Program (incorporated by reference to Exhibit</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6.1</w:t>
              </w:r>
              <w:r>
                <w:rPr>
                  <w:rFonts w:ascii="Times New Roman" w:cs="Times New Roman" w:eastAsia="Times New Roman" w:hAnsi="Times New Roman"/>
                  <w:sz w:val="18"/>
                  <w:szCs w:val="18"/>
                  <w:color w:val="0000FF"/>
                </w:rPr>
                <w:t xml:space="preserve"> to the Company’s Registration Statement on Form S-1/A filed with the SEC on October 9,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10.9.2+**</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Option Agreement under the Biodesix, Inc. Bonus-To-Options Program (incorporated by reference to Exhibit 10.6.2</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to the Company’s Registration Statement on Form S-1/A filed with the SEC on October 9,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1500" w:type="dxa"/>
            <w:vAlign w:val="bottom"/>
            <w:tcBorders>
              <w:right w:val="single" w:sz="8" w:color="0000EE"/>
            </w:tcBorders>
            <w:gridSpan w:val="3"/>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Indemnification Agreement, by and between Biodesix, Inc. and each of its directors and executive officers</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340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(incorporated by reference to Exhibit 10.7 to the Company’s Registration Statement on Form S-1/A filed with the SEC on</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340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October 14,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Executive Severance and Change in Control Agreement, dated April 23, 2024 by and among the Company and each</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340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of its executive officers (incorporated by reference to Exhibit 10.42 to the Company's Registration Statement on Form S-1 filed</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340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with the SEC on April 23, 2024).</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10.12.1†**</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Lease Assignment of De Soto Facility, dated November 1, 2019 (incorporated by reference to Exhibit 10.13 to the Company’s</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3820" w:type="dxa"/>
            <w:vAlign w:val="bottom"/>
            <w:tcBorders>
              <w:right w:val="single" w:sz="8" w:color="0000FF"/>
            </w:tcBorders>
            <w:gridSpan w:val="5"/>
            <w:shd w:val="clear" w:color="auto" w:fill="0000FF"/>
          </w:tcPr>
          <w:p>
            <w:pPr>
              <w:spacing w:after="0" w:line="20" w:lineRule="exact"/>
              <w:rPr>
                <w:sz w:val="1"/>
                <w:szCs w:val="1"/>
                <w:color w:val="auto"/>
              </w:rPr>
            </w:pPr>
          </w:p>
        </w:tc>
        <w:tc>
          <w:tcPr>
            <w:tcW w:w="340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Registration Statement on Form S-1 filed with the SEC on October 2,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3820" w:type="dxa"/>
            <w:vAlign w:val="bottom"/>
            <w:tcBorders>
              <w:right w:val="single" w:sz="8" w:color="0000EE"/>
            </w:tcBorders>
            <w:gridSpan w:val="5"/>
            <w:shd w:val="clear" w:color="auto" w:fill="0000FF"/>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10.12.2**</w:t>
            </w:r>
          </w:p>
        </w:tc>
        <w:tc>
          <w:tcPr>
            <w:tcW w:w="9260" w:type="dxa"/>
            <w:vAlign w:val="bottom"/>
            <w:gridSpan w:val="19"/>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De Soto Amendment to Commercial Lease Agreement, effective April 4, 2023, by and between Biodesix, Inc. and De Soto</w:t>
              </w:r>
            </w:hyperlink>
          </w:p>
        </w:tc>
      </w:tr>
      <w:tr>
        <w:trPr>
          <w:trHeight w:val="20"/>
        </w:trPr>
        <w:tc>
          <w:tcPr>
            <w:tcW w:w="198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7220" w:type="dxa"/>
            <w:vAlign w:val="bottom"/>
            <w:gridSpan w:val="1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Investments, LLC (incorporated by reference to Exhibit 10.2 to the Company's Quarterly Report on Form 10-Q filed with the</w:t>
              </w:r>
            </w:hyperlink>
          </w:p>
        </w:tc>
      </w:tr>
      <w:tr>
        <w:trPr>
          <w:trHeight w:val="20"/>
        </w:trPr>
        <w:tc>
          <w:tcPr>
            <w:tcW w:w="198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7340" w:type="dxa"/>
            <w:vAlign w:val="bottom"/>
            <w:gridSpan w:val="1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9"/>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SEC on May 11, 2023).</w:t>
              </w:r>
            </w:hyperlink>
          </w:p>
        </w:tc>
      </w:tr>
      <w:tr>
        <w:trPr>
          <w:trHeight w:val="560"/>
        </w:trPr>
        <w:tc>
          <w:tcPr>
            <w:tcW w:w="1980" w:type="dxa"/>
            <w:vAlign w:val="bottom"/>
          </w:tcPr>
          <w:p>
            <w:pPr>
              <w:spacing w:after="0"/>
              <w:rPr>
                <w:sz w:val="24"/>
                <w:szCs w:val="24"/>
                <w:color w:val="auto"/>
              </w:rPr>
            </w:pPr>
          </w:p>
        </w:tc>
        <w:tc>
          <w:tcPr>
            <w:tcW w:w="1700" w:type="dxa"/>
            <w:vAlign w:val="bottom"/>
            <w:tcBorders>
              <w:top w:val="single" w:sz="8" w:color="0000FF"/>
            </w:tcBorders>
            <w:gridSpan w:val="3"/>
          </w:tcPr>
          <w:p>
            <w:pPr>
              <w:spacing w:after="0"/>
              <w:rPr>
                <w:sz w:val="24"/>
                <w:szCs w:val="24"/>
                <w:color w:val="auto"/>
              </w:rPr>
            </w:pPr>
          </w:p>
        </w:tc>
        <w:tc>
          <w:tcPr>
            <w:tcW w:w="2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9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10.13.1**</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Lease agreement by and between Centennial Valley Properties I, LLC and Biodesix, Inc. dated March 11, 2022 (incorporated</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by reference to Exhibit 10.1 to the Company’s Quarterly Report on Form 10-Q filed with the SEC on May 11, 2022).</w:t>
              </w:r>
            </w:hyperlink>
          </w:p>
        </w:tc>
      </w:tr>
      <w:tr>
        <w:trPr>
          <w:trHeight w:val="20"/>
        </w:trPr>
        <w:tc>
          <w:tcPr>
            <w:tcW w:w="1980" w:type="dxa"/>
            <w:vAlign w:val="bottom"/>
            <w:tcBorders>
              <w:right w:val="single" w:sz="8" w:color="0000FF"/>
            </w:tcBorders>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10.13.2**</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First Amendment to Lease Agreement by and between Centennial Valley Properties I, LLC and Biodesix, Inc. dated March 11,</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2022 (incorporated by reference to Exhibit 10.2 to the Company’s Quarterly Report on Form 10-Q filed with the SEC on May</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740" w:type="dxa"/>
            <w:vAlign w:val="bottom"/>
            <w:gridSpan w:val="2"/>
          </w:tcPr>
          <w:p>
            <w:pPr>
              <w:spacing w:after="0" w:line="196" w:lineRule="exact"/>
              <w:rPr>
                <w:rFonts w:ascii="Times New Roman" w:cs="Times New Roman" w:eastAsia="Times New Roman" w:hAnsi="Times New Roman"/>
                <w:sz w:val="18"/>
                <w:szCs w:val="18"/>
                <w:color w:val="0000FF"/>
                <w:w w:val="95"/>
              </w:rPr>
            </w:pPr>
            <w:hyperlink r:id="rId175">
              <w:r>
                <w:rPr>
                  <w:rFonts w:ascii="Times New Roman" w:cs="Times New Roman" w:eastAsia="Times New Roman" w:hAnsi="Times New Roman"/>
                  <w:sz w:val="18"/>
                  <w:szCs w:val="18"/>
                  <w:color w:val="0000FF"/>
                  <w:w w:val="95"/>
                </w:rPr>
                <w:t>11, 2022).</w:t>
              </w:r>
            </w:hyperlink>
          </w:p>
        </w:tc>
        <w:tc>
          <w:tcPr>
            <w:tcW w:w="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Patent Assignment between Biodesix, Inc., and Integrated Diagnostics, Inc., dated June 30, 2018 (incorporated by reference to</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Exhibit 10.15 to the Company’s Registration Statement on Form S-1 filed with the SEC on October 2,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IP Assignment Agreement between Oncimmune Limited, and Biodesix, Inc., dated October 31, 2019 (incorporated by</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reference to Exhibit 10.15 to the Company’s Registration Statement on Form S-1/A filed with the SEC on October 9,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IP License Agreement between Oncimmune Limited, and Biodesix, Inc., dated October 31, 2019 (incorporated by reference to</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Exhibit 10.16 to the Company’s Registration Statement on Form S-1/A filed with the SEC on October 9,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Non-Exclusive  License  Agreement  between  Bio-Rad  Laboratories,  Inc.,  and  Biodesix,  Inc.,  dated  August  1,  2019</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(incorporated by reference to Exhibit 10.17 to the Company’s Registration Statement on Form S-1/A filed with the SEC on</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October 9,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Supply Agreement between Biodesix, Inc., and Oncimmune, dated October 31, 2019 (incorporated by reference to Exhibit</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r>
                <w:rPr>
                  <w:rFonts w:ascii="Times New Roman" w:cs="Times New Roman" w:eastAsia="Times New Roman" w:hAnsi="Times New Roman"/>
                  <w:sz w:val="18"/>
                  <w:szCs w:val="18"/>
                  <w:color w:val="0000FF"/>
                </w:rPr>
                <w:t xml:space="preserve"> to the Company’s Registration Statement on Form S-1/A filed with the SEC on October 9,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Supply Agreement between Bio-Rad Laboratories, Inc., and Biodesix, Inc., dated August 1, 2019 (incorporated by reference to</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Exhibit 10.19 to the Company’s Registration Statement on Form S-1/A filed with the SEC on October 9,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10.20†**</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Co-Development and Collaboration Agreement between AVEO Pharmaceuticals, Inc., and Biodesix, Inc., dated April 9, 2014,</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as amended October 14, 2016 (incorporated by reference to Exhibit 10.20 to the Company’s Registration Statement on Form</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S-1/A filed with the SEC on October 9,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EE"/>
            </w:tcBorders>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10.21.1†**</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Asset Purchase Agreement among Biodesix, Inc., Integrated Diagnostics, Inc., and the stockholders of Integrated Diagnostics,</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Inc., listed therein, dated June 30, 2018 (incorporated by reference to Exhibit 10.23 to the Company’s Registration Statement</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on Form S-1 filed with the SEC on October 2,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10.21.2**</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Amendment No. 2 to Asset Purchase Agreement and Plan of Reorganization (incorporated by reference to Exhibit 10.38 to the</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Company's Form 10-Q filed with the SEC on August 10, 2021).</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10.21.3**</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Amendment No. 3 to Asset Purchase Agreement and Plan of Reorganization (incorporated by reference to Exhibit 10.6 to the</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3740" w:type="dxa"/>
            <w:vAlign w:val="bottom"/>
            <w:tcBorders>
              <w:right w:val="single" w:sz="8" w:color="0000FF"/>
            </w:tcBorders>
            <w:gridSpan w:val="5"/>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Company's Form 10-Q filed with the SEC on May 11, 2022).</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Asset Purchase Agreement between Oncimmune Limited and Biodesix, Inc., dated June 27, 2019, as amended to date</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tcBorders>
              <w:right w:val="single" w:sz="8" w:color="0000FF"/>
            </w:tcBorders>
            <w:gridSpan w:val="10"/>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(incorporated by reference to Exhibit 10.24 to the Company’s Registration Statement on Form S-1 filed with the SEC on</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tcBorders>
              <w:right w:val="single" w:sz="8" w:color="0000FF"/>
            </w:tcBorders>
            <w:gridSpan w:val="10"/>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October 2, 2020).</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880" w:type="dxa"/>
            <w:vAlign w:val="bottom"/>
            <w:gridSpan w:val="8"/>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First Amendment to the Non-Exclusive License Agreement between Bio-Rad Laboratories, Inc., and Biodesix, Inc., dated May</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tcBorders>
              <w:right w:val="single" w:sz="8" w:color="0000FF"/>
            </w:tcBorders>
            <w:gridSpan w:val="10"/>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24, 2021 (incorporated by reference to Exhibit 10.37 to the Company's Form 10-Q filed with the SEC on August 10, 2021).</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tcBorders>
              <w:right w:val="single" w:sz="8" w:color="0000FF"/>
            </w:tcBorders>
            <w:gridSpan w:val="10"/>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10.24**</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Second Amendment to Supply Agreement between Bio-Rad Laboratories, Inc., and Biodesix, Inc., dated May 22, 2024</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tcBorders>
              <w:right w:val="single" w:sz="8" w:color="0000FF"/>
            </w:tcBorders>
            <w:gridSpan w:val="10"/>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(incorporated by reference to Exhibit 10.1 to the Company's Quarterly Report on Form 10-Q filed with the SEC on August 7,</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480" w:type="dxa"/>
            <w:vAlign w:val="bottom"/>
          </w:tcPr>
          <w:p>
            <w:pPr>
              <w:spacing w:after="0" w:line="196" w:lineRule="exact"/>
              <w:rPr>
                <w:rFonts w:ascii="Times New Roman" w:cs="Times New Roman" w:eastAsia="Times New Roman" w:hAnsi="Times New Roman"/>
                <w:sz w:val="18"/>
                <w:szCs w:val="18"/>
                <w:color w:val="0000FF"/>
                <w:w w:val="94"/>
              </w:rPr>
            </w:pPr>
            <w:hyperlink r:id="rId188">
              <w:r>
                <w:rPr>
                  <w:rFonts w:ascii="Times New Roman" w:cs="Times New Roman" w:eastAsia="Times New Roman" w:hAnsi="Times New Roman"/>
                  <w:sz w:val="18"/>
                  <w:szCs w:val="18"/>
                  <w:color w:val="0000FF"/>
                  <w:w w:val="94"/>
                </w:rPr>
                <w:t>2024).</w:t>
              </w:r>
            </w:hyperlink>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660" w:type="dxa"/>
            <w:vAlign w:val="bottom"/>
            <w:gridSpan w:val="1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10.25**</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Purchase Agreement, dated March 7, 2022, by and between Biodesix, Inc. and Lincoln Park Capital Fund, LLC (incorporated</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8140" w:type="dxa"/>
            <w:vAlign w:val="bottom"/>
            <w:tcBorders>
              <w:right w:val="single" w:sz="8" w:color="0000FF"/>
            </w:tcBorders>
            <w:gridSpan w:val="11"/>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by reference to Exhibit 10.1 to the Company's current report on Form 8-K filed with the SEC on March 7, 2022).</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8140" w:type="dxa"/>
            <w:vAlign w:val="bottom"/>
            <w:tcBorders>
              <w:right w:val="single" w:sz="8" w:color="0000EE"/>
            </w:tcBorders>
            <w:gridSpan w:val="11"/>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10.26**</w:t>
            </w:r>
          </w:p>
        </w:tc>
        <w:tc>
          <w:tcPr>
            <w:tcW w:w="9260" w:type="dxa"/>
            <w:vAlign w:val="bottom"/>
            <w:gridSpan w:val="15"/>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Registration Rights Agreement, dated March 7, 2022, by and between Biodesix, Inc. and Lincoln Park Capital Fund, LLC</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9160" w:type="dxa"/>
            <w:vAlign w:val="bottom"/>
            <w:tcBorders>
              <w:right w:val="single" w:sz="8" w:color="0000FF"/>
            </w:tcBorders>
            <w:gridSpan w:val="1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15"/>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(incorporated by reference to Exhibit 10.2 to the Company's current report on Form 8-K filed with the SEC on March 7, 2022).</w:t>
              </w:r>
            </w:hyperlink>
          </w:p>
        </w:tc>
      </w:tr>
      <w:tr>
        <w:trPr>
          <w:trHeight w:val="560"/>
        </w:trPr>
        <w:tc>
          <w:tcPr>
            <w:tcW w:w="1980" w:type="dxa"/>
            <w:vAlign w:val="bottom"/>
          </w:tcPr>
          <w:p>
            <w:pPr>
              <w:spacing w:after="0"/>
              <w:rPr>
                <w:sz w:val="24"/>
                <w:szCs w:val="24"/>
                <w:color w:val="auto"/>
              </w:rPr>
            </w:pPr>
          </w:p>
        </w:tc>
        <w:tc>
          <w:tcPr>
            <w:tcW w:w="3820" w:type="dxa"/>
            <w:vAlign w:val="bottom"/>
            <w:tcBorders>
              <w:top w:val="single" w:sz="8" w:color="0000FF"/>
            </w:tcBorders>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5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9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10.27**</w:t>
            </w:r>
          </w:p>
        </w:tc>
        <w:tc>
          <w:tcPr>
            <w:tcW w:w="9260" w:type="dxa"/>
            <w:vAlign w:val="bottom"/>
            <w:gridSpan w:val="20"/>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Form of Subscription Agreement with resale registration rights provision, dated April 7, 2022 (incorporated by reference to</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Exhibit 10.1 to the Company's current report on Form 8-K filed with the SEC on April 11, 2022).</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10.28**</w:t>
            </w:r>
          </w:p>
        </w:tc>
        <w:tc>
          <w:tcPr>
            <w:tcW w:w="9260" w:type="dxa"/>
            <w:vAlign w:val="bottom"/>
            <w:gridSpan w:val="20"/>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of Subscription Agreement without registration rights, entered by the three members of our Board of Directors, dated</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April 7, 2022 (incorporated by reference to Exhibit 10.2 to the Company's current report on Form 8-K filed with the SEC on</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April 11, 2022).</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10.29**</w:t>
            </w:r>
          </w:p>
        </w:tc>
        <w:tc>
          <w:tcPr>
            <w:tcW w:w="9260" w:type="dxa"/>
            <w:vAlign w:val="bottom"/>
            <w:gridSpan w:val="20"/>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Credit Agreement and Guaranty, dated as of November 16, 2022, by and among the Company and Perceptive Credit Holdings</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IV, LP. (incorporated by reference to Exhibit 10.1 to the Company's current report on Form 8-K filed with the SEC on</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November 21, 2022).</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10.30**</w:t>
            </w:r>
          </w:p>
        </w:tc>
        <w:tc>
          <w:tcPr>
            <w:tcW w:w="9260" w:type="dxa"/>
            <w:vAlign w:val="bottom"/>
            <w:gridSpan w:val="20"/>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Limited Waiver, dated April 7, 2023, by and between Biodesix, Inc. and Perceptive Credit Holdings IV, LP (incorporated by</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reference to Exhibit 10.1 to the Company's Quarterly Report on Form 10-Q filed with the SEC on May 11, 2023).</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10.31**</w:t>
            </w:r>
          </w:p>
        </w:tc>
        <w:tc>
          <w:tcPr>
            <w:tcW w:w="9260" w:type="dxa"/>
            <w:vAlign w:val="bottom"/>
            <w:gridSpan w:val="20"/>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First Amendment to Credit Agreement and Guaranty, dated May 10, 2023, by and among the Company and Perceptive Credit</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Holdings IV, LP (incorporated by reference to Exhibit 10.3 to the Company's Quarterly Report on Form 10-Q filed with the</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SEC on May 11, 2023).</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10.32**</w:t>
            </w:r>
          </w:p>
        </w:tc>
        <w:tc>
          <w:tcPr>
            <w:tcW w:w="9260" w:type="dxa"/>
            <w:vAlign w:val="bottom"/>
            <w:gridSpan w:val="20"/>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Second Amendment to Credit Agreement and Guaranty, dated August 4, 2023, by and among the Company and Perceptive</w:t>
              </w:r>
            </w:hyperlink>
          </w:p>
        </w:tc>
      </w:tr>
      <w:tr>
        <w:trPr>
          <w:trHeight w:val="20"/>
        </w:trPr>
        <w:tc>
          <w:tcPr>
            <w:tcW w:w="19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Credit Holdings IV, LP (incorporated by reference to Exhibit 10.2 to the Company's Quarterly Report on Form 10-Q filed with</w:t>
              </w:r>
            </w:hyperlink>
          </w:p>
        </w:tc>
      </w:tr>
      <w:tr>
        <w:trPr>
          <w:trHeight w:val="20"/>
        </w:trPr>
        <w:tc>
          <w:tcPr>
            <w:tcW w:w="19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the SEC on August 7, 2023).</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10.33**</w:t>
            </w:r>
          </w:p>
        </w:tc>
        <w:tc>
          <w:tcPr>
            <w:tcW w:w="9260" w:type="dxa"/>
            <w:vAlign w:val="bottom"/>
            <w:gridSpan w:val="20"/>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Limited Waiver, dated February 14, 2024, by and between Biodesix, Inc. and Perceptive Credit Holdings IV, LP (incorporated</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by reference to Exhibit 10.34 to the Company's Annual Report on Form 10-K filed with the SEC on March 1, 2023).</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10.34**</w:t>
            </w:r>
          </w:p>
        </w:tc>
        <w:tc>
          <w:tcPr>
            <w:tcW w:w="9260" w:type="dxa"/>
            <w:vAlign w:val="bottom"/>
            <w:gridSpan w:val="20"/>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Third Amendment to Credit Agreement and Guaranty, dated February 29, 2024, by and among the Company and Perceptive</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Credit Holdings IV, LP (incorporated by reference to Exhibit 10.35 to the Company's Annual Report on Form 10-K filed with</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the SEC on March 1, 2023).</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10.35**</w:t>
            </w:r>
          </w:p>
        </w:tc>
        <w:tc>
          <w:tcPr>
            <w:tcW w:w="9260" w:type="dxa"/>
            <w:vAlign w:val="bottom"/>
            <w:gridSpan w:val="20"/>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Fourth Amendment to Credit Agreement and Guaranty, dated October 30, 2024, by and between the Company and Perceptive</w:t>
              </w:r>
            </w:hyperlink>
          </w:p>
        </w:tc>
      </w:tr>
      <w:tr>
        <w:trPr>
          <w:trHeight w:val="20"/>
        </w:trPr>
        <w:tc>
          <w:tcPr>
            <w:tcW w:w="19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Credit Holdings IV, LP (incorporated by reference to Exhibit 10.1 to the Company's Quarterly Report on Form 10-Q filed with</w:t>
              </w:r>
            </w:hyperlink>
          </w:p>
        </w:tc>
      </w:tr>
      <w:tr>
        <w:trPr>
          <w:trHeight w:val="20"/>
        </w:trPr>
        <w:tc>
          <w:tcPr>
            <w:tcW w:w="19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the SEC on November 1, 2024).</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10.36*</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Fifth Amendment to Credit Agreement and Guaranty, dated February 28, 2025, by and between the Company and Perceptive</w:t>
            </w:r>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Credit Holdings IV, LP.</w:t>
            </w:r>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EE"/>
            </w:tcBorders>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10.37**</w:t>
            </w:r>
          </w:p>
        </w:tc>
        <w:tc>
          <w:tcPr>
            <w:tcW w:w="9260" w:type="dxa"/>
            <w:vAlign w:val="bottom"/>
            <w:gridSpan w:val="20"/>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Security Agreement, dated as of November 21, 2022, by and among the Company and Perceptive Credit Holdings IV, LP</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(incorporated by reference to Exhibit 10.2 to the Company's current report on Form 8-K filed with the SEC on November 21,</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480" w:type="dxa"/>
            <w:vAlign w:val="bottom"/>
          </w:tcPr>
          <w:p>
            <w:pPr>
              <w:spacing w:after="0" w:line="196" w:lineRule="exact"/>
              <w:rPr>
                <w:rFonts w:ascii="Times New Roman" w:cs="Times New Roman" w:eastAsia="Times New Roman" w:hAnsi="Times New Roman"/>
                <w:sz w:val="18"/>
                <w:szCs w:val="18"/>
                <w:color w:val="0000FF"/>
                <w:w w:val="94"/>
              </w:rPr>
            </w:pPr>
            <w:hyperlink r:id="rId201">
              <w:r>
                <w:rPr>
                  <w:rFonts w:ascii="Times New Roman" w:cs="Times New Roman" w:eastAsia="Times New Roman" w:hAnsi="Times New Roman"/>
                  <w:sz w:val="18"/>
                  <w:szCs w:val="18"/>
                  <w:color w:val="0000FF"/>
                  <w:w w:val="94"/>
                </w:rPr>
                <w:t>2022).</w:t>
              </w:r>
            </w:hyperlink>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10.38**</w:t>
            </w:r>
          </w:p>
        </w:tc>
        <w:tc>
          <w:tcPr>
            <w:tcW w:w="9260" w:type="dxa"/>
            <w:vAlign w:val="bottom"/>
            <w:gridSpan w:val="20"/>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Form of Subscription Agreement, dated November 21, 2022 (incorporated by reference to Exhibit 10.3 to the Company's</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current report on Form 8-K filed with the SEC on November 21, 2022).</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10.39**</w:t>
            </w:r>
          </w:p>
        </w:tc>
        <w:tc>
          <w:tcPr>
            <w:tcW w:w="9260" w:type="dxa"/>
            <w:vAlign w:val="bottom"/>
            <w:gridSpan w:val="20"/>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of Subscription Agreement, dated August 3, 2023 (incorporated by reference to Exhibit 10.1 to the Company's Quarterly</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Report on Form 10-Q filed with the SEC on August 7, 2023).</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10.40**</w:t>
            </w:r>
          </w:p>
        </w:tc>
        <w:tc>
          <w:tcPr>
            <w:tcW w:w="9260" w:type="dxa"/>
            <w:vAlign w:val="bottom"/>
            <w:gridSpan w:val="20"/>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Securities Purchase Agreement, dated as of April 5, 2024 between Biodesix, Inc. and certain of the Investors (incorporated by</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reference to Exhibit 10.1 to the Company's Current Report on Form 8-K filed with the SEC on April 9, 2024).</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10.41**</w:t>
            </w:r>
          </w:p>
        </w:tc>
        <w:tc>
          <w:tcPr>
            <w:tcW w:w="9260" w:type="dxa"/>
            <w:vAlign w:val="bottom"/>
            <w:gridSpan w:val="20"/>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Securities Purchase Agreement, dated as of April 5, 2024 between Biodesix, Inc. and certain members of management, certain</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of its directors and funds affiliated with those directors (incorporated by reference to Exhibit 10.2 to the Company's Current</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Report on Form 8-K filed with the SEC on April 9, 2024).</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10.42**</w:t>
            </w:r>
          </w:p>
        </w:tc>
        <w:tc>
          <w:tcPr>
            <w:tcW w:w="9260" w:type="dxa"/>
            <w:vAlign w:val="bottom"/>
            <w:gridSpan w:val="20"/>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Registration Rights Agreement, dated as of April 5, 2024 between Biodesix, Inc. and the Investors (incorporated by reference</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to Exhibit 10.3 to the Company's Current Report on Form 8-K filed with the SEC on April 9, 2024).</w:t>
              </w:r>
            </w:hyperlink>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19.1*</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Policy Relating to Insider Trading.</w:t>
            </w:r>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4200" w:type="dxa"/>
            <w:vAlign w:val="bottom"/>
            <w:tcBorders>
              <w:right w:val="single" w:sz="8" w:color="0000EE"/>
            </w:tcBorders>
            <w:gridSpan w:val="8"/>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24.1*</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of this Form 10-K).</w:t>
            </w:r>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5100" w:type="dxa"/>
            <w:vAlign w:val="bottom"/>
            <w:tcBorders>
              <w:right w:val="single" w:sz="8" w:color="0000EE"/>
            </w:tcBorders>
            <w:gridSpan w:val="10"/>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w:t>
            </w:r>
          </w:p>
        </w:tc>
      </w:tr>
      <w:tr>
        <w:trPr>
          <w:trHeight w:val="20"/>
        </w:trPr>
        <w:tc>
          <w:tcPr>
            <w:tcW w:w="1980" w:type="dxa"/>
            <w:vAlign w:val="bottom"/>
            <w:tcBorders>
              <w:right w:val="single" w:sz="8" w:color="0000EE"/>
            </w:tcBorders>
          </w:tcPr>
          <w:p>
            <w:pPr>
              <w:spacing w:after="0" w:line="20" w:lineRule="exact"/>
              <w:rPr>
                <w:sz w:val="1"/>
                <w:szCs w:val="1"/>
                <w:color w:val="auto"/>
              </w:rPr>
            </w:pPr>
          </w:p>
        </w:tc>
        <w:tc>
          <w:tcPr>
            <w:tcW w:w="5620" w:type="dxa"/>
            <w:vAlign w:val="bottom"/>
            <w:gridSpan w:val="11"/>
            <w:shd w:val="clear" w:color="auto" w:fill="0000FF"/>
          </w:tcPr>
          <w:p>
            <w:pPr>
              <w:spacing w:after="0" w:line="20" w:lineRule="exact"/>
              <w:rPr>
                <w:sz w:val="1"/>
                <w:szCs w:val="1"/>
                <w:color w:val="auto"/>
              </w:rPr>
            </w:pPr>
          </w:p>
        </w:tc>
        <w:tc>
          <w:tcPr>
            <w:tcW w:w="3480" w:type="dxa"/>
            <w:vAlign w:val="bottom"/>
            <w:gridSpan w:val="7"/>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92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 of 2002.</w:t>
            </w:r>
          </w:p>
        </w:tc>
      </w:tr>
      <w:tr>
        <w:trPr>
          <w:trHeight w:val="560"/>
        </w:trPr>
        <w:tc>
          <w:tcPr>
            <w:tcW w:w="1980" w:type="dxa"/>
            <w:vAlign w:val="bottom"/>
          </w:tcPr>
          <w:p>
            <w:pPr>
              <w:spacing w:after="0"/>
              <w:rPr>
                <w:sz w:val="24"/>
                <w:szCs w:val="24"/>
                <w:color w:val="auto"/>
              </w:rPr>
            </w:pPr>
          </w:p>
        </w:tc>
        <w:tc>
          <w:tcPr>
            <w:tcW w:w="4200" w:type="dxa"/>
            <w:vAlign w:val="bottom"/>
            <w:tcBorders>
              <w:top w:val="single" w:sz="8" w:color="0000FF"/>
            </w:tcBorders>
            <w:gridSpan w:val="8"/>
          </w:tcPr>
          <w:p>
            <w:pPr>
              <w:jc w:val="right"/>
              <w:ind w:right="46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3"/>
        </w:trPr>
        <w:tc>
          <w:tcPr>
            <w:tcW w:w="19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9" w:name="page90"/>
    <w:bookmarkEnd w:id="89"/>
    <w:tbl>
      <w:tblPr>
        <w:tblLayout w:type="fixed"/>
        <w:tblInd w:w="10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w:t>
            </w:r>
          </w:p>
        </w:tc>
      </w:tr>
      <w:tr>
        <w:trPr>
          <w:trHeight w:val="20"/>
        </w:trPr>
        <w:tc>
          <w:tcPr>
            <w:tcW w:w="188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r>
      <w:tr>
        <w:trPr>
          <w:trHeight w:val="196"/>
        </w:trPr>
        <w:tc>
          <w:tcPr>
            <w:tcW w:w="1880" w:type="dxa"/>
            <w:vAlign w:val="bottom"/>
          </w:tcPr>
          <w:p>
            <w:pPr>
              <w:spacing w:after="0"/>
              <w:rPr>
                <w:sz w:val="17"/>
                <w:szCs w:val="17"/>
                <w:color w:val="auto"/>
              </w:rPr>
            </w:pPr>
          </w:p>
        </w:tc>
        <w:tc>
          <w:tcPr>
            <w:tcW w:w="91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 of 2002.</w:t>
            </w:r>
          </w:p>
        </w:tc>
      </w:tr>
      <w:tr>
        <w:trPr>
          <w:trHeight w:val="20"/>
        </w:trPr>
        <w:tc>
          <w:tcPr>
            <w:tcW w:w="188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0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r>
      <w:tr>
        <w:trPr>
          <w:trHeight w:val="20"/>
        </w:trPr>
        <w:tc>
          <w:tcPr>
            <w:tcW w:w="188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shd w:val="clear" w:color="auto" w:fill="0000FF"/>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r>
      <w:tr>
        <w:trPr>
          <w:trHeight w:val="196"/>
        </w:trPr>
        <w:tc>
          <w:tcPr>
            <w:tcW w:w="1880" w:type="dxa"/>
            <w:vAlign w:val="bottom"/>
          </w:tcPr>
          <w:p>
            <w:pPr>
              <w:spacing w:after="0"/>
              <w:rPr>
                <w:sz w:val="17"/>
                <w:szCs w:val="17"/>
                <w:color w:val="auto"/>
              </w:rPr>
            </w:pPr>
          </w:p>
        </w:tc>
        <w:tc>
          <w:tcPr>
            <w:tcW w:w="91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88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r>
      <w:tr>
        <w:trPr>
          <w:trHeight w:val="30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r>
      <w:tr>
        <w:trPr>
          <w:trHeight w:val="20"/>
        </w:trPr>
        <w:tc>
          <w:tcPr>
            <w:tcW w:w="1880" w:type="dxa"/>
            <w:vAlign w:val="bottom"/>
            <w:tcBorders>
              <w:right w:val="single" w:sz="8" w:color="0000EE"/>
            </w:tcBorders>
          </w:tcPr>
          <w:p>
            <w:pPr>
              <w:spacing w:after="0" w:line="20" w:lineRule="exact"/>
              <w:rPr>
                <w:sz w:val="1"/>
                <w:szCs w:val="1"/>
                <w:color w:val="auto"/>
              </w:rPr>
            </w:pPr>
          </w:p>
        </w:tc>
        <w:tc>
          <w:tcPr>
            <w:tcW w:w="4960" w:type="dxa"/>
            <w:vAlign w:val="bottom"/>
            <w:tcBorders>
              <w:right w:val="single" w:sz="8" w:color="0000FF"/>
            </w:tcBorders>
            <w:gridSpan w:val="2"/>
            <w:shd w:val="clear" w:color="auto" w:fill="0000FF"/>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r>
      <w:tr>
        <w:trPr>
          <w:trHeight w:val="196"/>
        </w:trPr>
        <w:tc>
          <w:tcPr>
            <w:tcW w:w="1880" w:type="dxa"/>
            <w:vAlign w:val="bottom"/>
          </w:tcPr>
          <w:p>
            <w:pPr>
              <w:spacing w:after="0"/>
              <w:rPr>
                <w:sz w:val="17"/>
                <w:szCs w:val="17"/>
                <w:color w:val="auto"/>
              </w:rPr>
            </w:pPr>
          </w:p>
        </w:tc>
        <w:tc>
          <w:tcPr>
            <w:tcW w:w="91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88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r>
      <w:tr>
        <w:trPr>
          <w:trHeight w:val="30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160" w:type="dxa"/>
            <w:vAlign w:val="bottom"/>
            <w:gridSpan w:val="4"/>
          </w:tcPr>
          <w:p>
            <w:pPr>
              <w:spacing w:after="0"/>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Policy Relating to Recovery of Erroneously Award Compensation (incorporated by reference to Exhibit 97.1 to the Company's</w:t>
              </w:r>
            </w:hyperlink>
          </w:p>
        </w:tc>
      </w:tr>
      <w:tr>
        <w:trPr>
          <w:trHeight w:val="20"/>
        </w:trPr>
        <w:tc>
          <w:tcPr>
            <w:tcW w:w="1880" w:type="dxa"/>
            <w:vAlign w:val="bottom"/>
            <w:tcBorders>
              <w:right w:val="single" w:sz="8" w:color="0000EE"/>
            </w:tcBorders>
          </w:tcPr>
          <w:p>
            <w:pPr>
              <w:spacing w:after="0" w:line="20" w:lineRule="exact"/>
              <w:rPr>
                <w:sz w:val="1"/>
                <w:szCs w:val="1"/>
                <w:color w:val="auto"/>
              </w:rPr>
            </w:pPr>
          </w:p>
        </w:tc>
        <w:tc>
          <w:tcPr>
            <w:tcW w:w="4960" w:type="dxa"/>
            <w:vAlign w:val="bottom"/>
            <w:tcBorders>
              <w:right w:val="single" w:sz="8" w:color="0000FF"/>
            </w:tcBorders>
            <w:gridSpan w:val="2"/>
            <w:shd w:val="clear" w:color="auto" w:fill="0000FF"/>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r>
      <w:tr>
        <w:trPr>
          <w:trHeight w:val="196"/>
        </w:trPr>
        <w:tc>
          <w:tcPr>
            <w:tcW w:w="1880" w:type="dxa"/>
            <w:vAlign w:val="bottom"/>
          </w:tcPr>
          <w:p>
            <w:pPr>
              <w:spacing w:after="0"/>
              <w:rPr>
                <w:sz w:val="17"/>
                <w:szCs w:val="17"/>
                <w:color w:val="auto"/>
              </w:rPr>
            </w:pPr>
          </w:p>
        </w:tc>
        <w:tc>
          <w:tcPr>
            <w:tcW w:w="9160" w:type="dxa"/>
            <w:vAlign w:val="bottom"/>
            <w:gridSpan w:val="4"/>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Annual Report on Form 10-K filed with the SEC on March 1, 2023).</w:t>
              </w:r>
            </w:hyperlink>
          </w:p>
        </w:tc>
      </w:tr>
      <w:tr>
        <w:trPr>
          <w:trHeight w:val="20"/>
        </w:trPr>
        <w:tc>
          <w:tcPr>
            <w:tcW w:w="1880" w:type="dxa"/>
            <w:vAlign w:val="bottom"/>
            <w:tcBorders>
              <w:right w:val="single" w:sz="8" w:color="0000EE"/>
            </w:tcBorders>
          </w:tcPr>
          <w:p>
            <w:pPr>
              <w:spacing w:after="0" w:line="20" w:lineRule="exact"/>
              <w:rPr>
                <w:sz w:val="1"/>
                <w:szCs w:val="1"/>
                <w:color w:val="auto"/>
              </w:rPr>
            </w:pPr>
          </w:p>
        </w:tc>
        <w:tc>
          <w:tcPr>
            <w:tcW w:w="4960" w:type="dxa"/>
            <w:vAlign w:val="bottom"/>
            <w:tcBorders>
              <w:right w:val="single" w:sz="8" w:color="0000EE"/>
            </w:tcBorders>
            <w:gridSpan w:val="2"/>
            <w:shd w:val="clear" w:color="auto" w:fill="0000FF"/>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r>
      <w:tr>
        <w:trPr>
          <w:trHeight w:val="32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880" w:type="dxa"/>
            <w:vAlign w:val="bottom"/>
          </w:tcPr>
          <w:p>
            <w:pPr>
              <w:spacing w:after="0"/>
              <w:rPr>
                <w:sz w:val="20"/>
                <w:szCs w:val="20"/>
                <w:color w:val="auto"/>
              </w:rPr>
            </w:pPr>
          </w:p>
        </w:tc>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2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32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9030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85" w:lineRule="exact"/>
        <w:rPr>
          <w:sz w:val="20"/>
          <w:szCs w:val="20"/>
          <w:color w:val="auto"/>
        </w:rPr>
      </w:pPr>
    </w:p>
    <w:p>
      <w:pPr>
        <w:ind w:right="2160" w:firstLine="8"/>
        <w:spacing w:after="0" w:line="332" w:lineRule="auto"/>
        <w:tabs>
          <w:tab w:leader="none" w:pos="81"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Portions of this exhibit have been omitted as the Registrant has determined that the omitted information (i) is not material and (ii) would likely cause competitive harm to the Registrant if publicly disclosed. + Indicates management contract or compensatory plan.</w:t>
      </w:r>
    </w:p>
    <w:p>
      <w:pPr>
        <w:spacing w:after="0" w:line="1" w:lineRule="exact"/>
        <w:rPr>
          <w:rFonts w:ascii="Times New Roman" w:cs="Times New Roman" w:eastAsia="Times New Roman" w:hAnsi="Times New Roman"/>
          <w:sz w:val="11"/>
          <w:szCs w:val="11"/>
          <w:color w:val="auto"/>
        </w:rPr>
      </w:pPr>
    </w:p>
    <w:p>
      <w:pPr>
        <w:ind w:right="10280"/>
        <w:spacing w:after="0" w:line="36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0"/>
          <w:szCs w:val="10"/>
          <w:color w:val="auto"/>
        </w:rPr>
        <w:t>* Filed herewith. ** Previously filed.</w:t>
      </w: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Furnished herewith.</w:t>
      </w: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72" w:right="439" w:bottom="1440" w:gutter="0" w:footer="0" w:header="0"/>
        </w:sectPr>
      </w:pPr>
    </w:p>
    <w:bookmarkStart w:id="90" w:name="page91"/>
    <w:bookmarkEnd w:id="90"/>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4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Biodesix, Inc.</w:t>
            </w:r>
          </w:p>
        </w:tc>
        <w:tc>
          <w:tcPr>
            <w:tcW w:w="420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2025</w:t>
            </w:r>
          </w:p>
        </w:tc>
        <w:tc>
          <w:tcPr>
            <w:tcW w:w="34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Pr>
          <w:p>
            <w:pPr>
              <w:jc w:val="center"/>
              <w:ind w:right="932"/>
              <w:spacing w:after="0"/>
              <w:rPr>
                <w:sz w:val="20"/>
                <w:szCs w:val="20"/>
                <w:color w:val="auto"/>
              </w:rPr>
            </w:pPr>
            <w:r>
              <w:rPr>
                <w:rFonts w:ascii="Times New Roman" w:cs="Times New Roman" w:eastAsia="Times New Roman" w:hAnsi="Times New Roman"/>
                <w:sz w:val="18"/>
                <w:szCs w:val="18"/>
                <w:color w:val="auto"/>
                <w:w w:val="99"/>
              </w:rPr>
              <w:t>/s/ CHRISTOPHER C. VAZQUEZ</w:t>
            </w:r>
          </w:p>
        </w:tc>
      </w:tr>
      <w:tr>
        <w:trPr>
          <w:trHeight w:val="207"/>
        </w:trPr>
        <w:tc>
          <w:tcPr>
            <w:tcW w:w="3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tcPr>
          <w:p>
            <w:pPr>
              <w:jc w:val="center"/>
              <w:ind w:right="912"/>
              <w:spacing w:after="0"/>
              <w:rPr>
                <w:sz w:val="20"/>
                <w:szCs w:val="20"/>
                <w:color w:val="auto"/>
              </w:rPr>
            </w:pPr>
            <w:r>
              <w:rPr>
                <w:rFonts w:ascii="Times New Roman" w:cs="Times New Roman" w:eastAsia="Times New Roman" w:hAnsi="Times New Roman"/>
                <w:sz w:val="18"/>
                <w:szCs w:val="18"/>
                <w:i w:val="1"/>
                <w:iCs w:val="1"/>
                <w:color w:val="auto"/>
                <w:w w:val="99"/>
              </w:rPr>
              <w:t>Christopher C. Vazquez</w:t>
            </w:r>
          </w:p>
        </w:tc>
      </w:tr>
      <w:tr>
        <w:trPr>
          <w:trHeight w:val="198"/>
        </w:trPr>
        <w:tc>
          <w:tcPr>
            <w:tcW w:w="36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0" w:type="dxa"/>
            <w:vAlign w:val="bottom"/>
          </w:tcPr>
          <w:p>
            <w:pPr>
              <w:jc w:val="center"/>
              <w:ind w:right="932"/>
              <w:spacing w:after="0"/>
              <w:rPr>
                <w:sz w:val="20"/>
                <w:szCs w:val="20"/>
                <w:color w:val="auto"/>
              </w:rPr>
            </w:pPr>
            <w:r>
              <w:rPr>
                <w:rFonts w:ascii="Times New Roman" w:cs="Times New Roman" w:eastAsia="Times New Roman" w:hAnsi="Times New Roman"/>
                <w:sz w:val="16"/>
                <w:szCs w:val="16"/>
                <w:i w:val="1"/>
                <w:iCs w:val="1"/>
                <w:color w:val="auto"/>
              </w:rPr>
              <w:t>Chief Accounting Officer</w:t>
            </w:r>
          </w:p>
        </w:tc>
      </w:tr>
      <w:tr>
        <w:trPr>
          <w:trHeight w:val="236"/>
        </w:trPr>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0" w:type="dxa"/>
            <w:vAlign w:val="bottom"/>
          </w:tcPr>
          <w:p>
            <w:pPr>
              <w:jc w:val="center"/>
              <w:ind w:right="932"/>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spacing w:after="0" w:line="19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Scott Hutton and Robin Harper Cowie, and each of them, his or her true and lawful agent, proxy and attorney-in-fact, with full power of substitution and resubstitution, for him or her and in his or her name, place and stead, in any and all capacities, to file with the Securities and Exchange Commission this Form 10-K and any and all amendments and exhibits thereto, and all documents in connection therewith, granting unto each such attorney-in-fact and agent full power and authority to do and perform each and every act and thing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hereof.</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5" w:lineRule="exact"/>
        <w:rPr>
          <w:sz w:val="20"/>
          <w:szCs w:val="20"/>
          <w:color w:val="auto"/>
        </w:rPr>
      </w:pPr>
    </w:p>
    <w:p>
      <w:pPr>
        <w:ind w:left="1680"/>
        <w:spacing w:after="0"/>
        <w:tabs>
          <w:tab w:leader="none" w:pos="6480" w:val="left"/>
          <w:tab w:leader="none" w:pos="102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HUTTON</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Chief Executive Officer (Principal Executive Officer)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3,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Scott Hutton</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ROBIN HARPER COWIE</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3,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Robin Harper Cowie</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C. VAZQUEZ</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3,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C. Vazquez</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PATIENCE</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Chairman and 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3,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Patience</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JEAN FRANCHI</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3,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Jean Franchi</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 FAIZ KAYYEM</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3,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Jon Faiz Kayyem, Ph.D.</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LAWRENCE T. KENNEDY, JR.</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3,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Lawrence T. Kennedy, Jr.</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HANY MASSARANY</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3,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Hany Massarany</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JACK SCHULER</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3,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Jack Schuler</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STROBECK</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3,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Matthew Strobeck, Ph.D.</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WATTS</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3,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Charles Watts, M.D.</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687"/>
        </w:trPr>
        <w:tc>
          <w:tcPr>
            <w:tcW w:w="3720" w:type="dxa"/>
            <w:vAlign w:val="bottom"/>
          </w:tcPr>
          <w:p>
            <w:pPr>
              <w:spacing w:after="0"/>
              <w:rPr>
                <w:sz w:val="24"/>
                <w:szCs w:val="24"/>
                <w:color w:val="auto"/>
              </w:rPr>
            </w:pPr>
          </w:p>
        </w:tc>
        <w:tc>
          <w:tcPr>
            <w:tcW w:w="53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89</w:t>
            </w:r>
          </w:p>
        </w:tc>
        <w:tc>
          <w:tcPr>
            <w:tcW w:w="220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94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gridSpan w:val="6"/>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18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gridSpan w:val="6"/>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800" w:type="dxa"/>
            <w:vAlign w:val="bottom"/>
          </w:tcPr>
          <w:p>
            <w:pPr>
              <w:spacing w:after="0"/>
              <w:rPr>
                <w:sz w:val="24"/>
                <w:szCs w:val="24"/>
                <w:color w:val="auto"/>
              </w:rPr>
            </w:pPr>
          </w:p>
        </w:tc>
      </w:tr>
      <w:tr>
        <w:trPr>
          <w:trHeight w:val="432"/>
        </w:trPr>
        <w:tc>
          <w:tcPr>
            <w:tcW w:w="20" w:type="dxa"/>
            <w:vAlign w:val="bottom"/>
            <w:tcBorders>
              <w:bottom w:val="single" w:sz="8" w:color="0000EE"/>
            </w:tcBorders>
          </w:tcPr>
          <w:p>
            <w:pPr>
              <w:spacing w:after="0"/>
              <w:rPr>
                <w:sz w:val="24"/>
                <w:szCs w:val="24"/>
                <w:color w:val="auto"/>
              </w:rPr>
            </w:pPr>
          </w:p>
        </w:tc>
        <w:tc>
          <w:tcPr>
            <w:tcW w:w="7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(KPMG LLP, Denver, CO, Auditor Firm ID: 185)</w:t>
            </w:r>
          </w:p>
        </w:tc>
        <w:tc>
          <w:tcPr>
            <w:tcW w:w="1540" w:type="dxa"/>
            <w:vAlign w:val="bottom"/>
          </w:tcPr>
          <w:p>
            <w:pPr>
              <w:spacing w:after="0"/>
              <w:rPr>
                <w:sz w:val="24"/>
                <w:szCs w:val="24"/>
                <w:color w:val="auto"/>
              </w:rPr>
            </w:pP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F-2</w:t>
            </w:r>
          </w:p>
        </w:tc>
      </w:tr>
      <w:tr>
        <w:trPr>
          <w:trHeight w:val="318"/>
        </w:trPr>
        <w:tc>
          <w:tcPr>
            <w:tcW w:w="20" w:type="dxa"/>
            <w:vAlign w:val="bottom"/>
            <w:tcBorders>
              <w:bottom w:val="single" w:sz="8" w:color="0000EE"/>
            </w:tcBorders>
          </w:tcPr>
          <w:p>
            <w:pPr>
              <w:spacing w:after="0"/>
              <w:rPr>
                <w:sz w:val="24"/>
                <w:szCs w:val="24"/>
                <w:color w:val="auto"/>
              </w:rPr>
            </w:pPr>
          </w:p>
        </w:tc>
        <w:tc>
          <w:tcPr>
            <w:tcW w:w="3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Balance Sheets as of December 31, 2024 and 2023</w:t>
            </w:r>
          </w:p>
        </w:tc>
        <w:tc>
          <w:tcPr>
            <w:tcW w:w="20" w:type="dxa"/>
            <w:vAlign w:val="bottom"/>
            <w:tcBorders>
              <w:bottom w:val="single" w:sz="8" w:color="0000EE"/>
            </w:tcBorders>
          </w:tcPr>
          <w:p>
            <w:pPr>
              <w:spacing w:after="0"/>
              <w:rPr>
                <w:sz w:val="24"/>
                <w:szCs w:val="24"/>
                <w:color w:val="auto"/>
              </w:rPr>
            </w:pPr>
          </w:p>
        </w:tc>
        <w:tc>
          <w:tcPr>
            <w:tcW w:w="5740" w:type="dxa"/>
            <w:vAlign w:val="bottom"/>
            <w:gridSpan w:val="6"/>
          </w:tcPr>
          <w:p>
            <w:pPr>
              <w:spacing w:after="0"/>
              <w:rPr>
                <w:sz w:val="24"/>
                <w:szCs w:val="24"/>
                <w:color w:val="auto"/>
              </w:rPr>
            </w:pP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F-3</w:t>
            </w:r>
          </w:p>
        </w:tc>
      </w:tr>
      <w:tr>
        <w:trPr>
          <w:trHeight w:val="318"/>
        </w:trPr>
        <w:tc>
          <w:tcPr>
            <w:tcW w:w="20" w:type="dxa"/>
            <w:vAlign w:val="bottom"/>
            <w:tcBorders>
              <w:bottom w:val="single" w:sz="8" w:color="0000EE"/>
            </w:tcBorders>
          </w:tcPr>
          <w:p>
            <w:pPr>
              <w:spacing w:after="0"/>
              <w:rPr>
                <w:sz w:val="24"/>
                <w:szCs w:val="24"/>
                <w:color w:val="auto"/>
              </w:rPr>
            </w:pPr>
          </w:p>
        </w:tc>
        <w:tc>
          <w:tcPr>
            <w:tcW w:w="5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Statements of Operations for the Years Ended December 31, 2024 and 2023</w:t>
            </w:r>
          </w:p>
        </w:tc>
        <w:tc>
          <w:tcPr>
            <w:tcW w:w="20" w:type="dxa"/>
            <w:vAlign w:val="bottom"/>
            <w:tcBorders>
              <w:bottom w:val="single" w:sz="8" w:color="0000EE"/>
            </w:tcBorders>
          </w:tcPr>
          <w:p>
            <w:pPr>
              <w:spacing w:after="0"/>
              <w:rPr>
                <w:sz w:val="24"/>
                <w:szCs w:val="24"/>
                <w:color w:val="auto"/>
              </w:rPr>
            </w:pPr>
          </w:p>
        </w:tc>
        <w:tc>
          <w:tcPr>
            <w:tcW w:w="3920" w:type="dxa"/>
            <w:vAlign w:val="bottom"/>
            <w:gridSpan w:val="4"/>
          </w:tcPr>
          <w:p>
            <w:pPr>
              <w:spacing w:after="0"/>
              <w:rPr>
                <w:sz w:val="24"/>
                <w:szCs w:val="24"/>
                <w:color w:val="auto"/>
              </w:rPr>
            </w:pP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F-4</w:t>
            </w:r>
          </w:p>
        </w:tc>
      </w:tr>
      <w:tr>
        <w:trPr>
          <w:trHeight w:val="318"/>
        </w:trPr>
        <w:tc>
          <w:tcPr>
            <w:tcW w:w="20" w:type="dxa"/>
            <w:vAlign w:val="bottom"/>
            <w:tcBorders>
              <w:bottom w:val="single" w:sz="8" w:color="0000EE"/>
            </w:tcBorders>
          </w:tcPr>
          <w:p>
            <w:pPr>
              <w:spacing w:after="0"/>
              <w:rPr>
                <w:sz w:val="24"/>
                <w:szCs w:val="24"/>
                <w:color w:val="auto"/>
              </w:rPr>
            </w:pPr>
          </w:p>
        </w:tc>
        <w:tc>
          <w:tcPr>
            <w:tcW w:w="62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Statements of Stockholders’ Equity for the Years Ended December 31, 2024 and 2023</w:t>
            </w:r>
          </w:p>
        </w:tc>
        <w:tc>
          <w:tcPr>
            <w:tcW w:w="3200" w:type="dxa"/>
            <w:vAlign w:val="bottom"/>
            <w:gridSpan w:val="2"/>
          </w:tcPr>
          <w:p>
            <w:pPr>
              <w:spacing w:after="0"/>
              <w:rPr>
                <w:sz w:val="24"/>
                <w:szCs w:val="24"/>
                <w:color w:val="auto"/>
              </w:rPr>
            </w:pP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F-5</w:t>
            </w:r>
          </w:p>
        </w:tc>
      </w:tr>
      <w:tr>
        <w:trPr>
          <w:trHeight w:val="318"/>
        </w:trPr>
        <w:tc>
          <w:tcPr>
            <w:tcW w:w="20" w:type="dxa"/>
            <w:vAlign w:val="bottom"/>
            <w:tcBorders>
              <w:bottom w:val="single" w:sz="8" w:color="0000EE"/>
            </w:tcBorders>
          </w:tcPr>
          <w:p>
            <w:pPr>
              <w:spacing w:after="0"/>
              <w:rPr>
                <w:sz w:val="24"/>
                <w:szCs w:val="24"/>
                <w:color w:val="auto"/>
              </w:rPr>
            </w:pPr>
          </w:p>
        </w:tc>
        <w:tc>
          <w:tcPr>
            <w:tcW w:w="5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Statements of Cash Flows for the Years Ended December 31, 2024 and 2023</w:t>
            </w:r>
          </w:p>
        </w:tc>
        <w:tc>
          <w:tcPr>
            <w:tcW w:w="3880" w:type="dxa"/>
            <w:vAlign w:val="bottom"/>
            <w:gridSpan w:val="3"/>
          </w:tcPr>
          <w:p>
            <w:pPr>
              <w:spacing w:after="0"/>
              <w:rPr>
                <w:sz w:val="24"/>
                <w:szCs w:val="24"/>
                <w:color w:val="auto"/>
              </w:rPr>
            </w:pP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F-6</w:t>
            </w:r>
          </w:p>
        </w:tc>
      </w:tr>
      <w:tr>
        <w:trPr>
          <w:trHeight w:val="318"/>
        </w:trPr>
        <w:tc>
          <w:tcPr>
            <w:tcW w:w="20" w:type="dxa"/>
            <w:vAlign w:val="bottom"/>
          </w:tcPr>
          <w:p>
            <w:pPr>
              <w:spacing w:after="0"/>
              <w:rPr>
                <w:sz w:val="24"/>
                <w:szCs w:val="24"/>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F-8</w:t>
            </w:r>
          </w:p>
        </w:tc>
      </w:tr>
      <w:tr>
        <w:trPr>
          <w:trHeight w:val="885"/>
        </w:trPr>
        <w:tc>
          <w:tcPr>
            <w:tcW w:w="20" w:type="dxa"/>
            <w:vAlign w:val="bottom"/>
          </w:tcPr>
          <w:p>
            <w:pPr>
              <w:spacing w:after="0"/>
              <w:rPr>
                <w:sz w:val="24"/>
                <w:szCs w:val="24"/>
                <w:color w:val="auto"/>
              </w:rPr>
            </w:pPr>
          </w:p>
        </w:tc>
        <w:tc>
          <w:tcPr>
            <w:tcW w:w="21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4"/>
          </w:tcPr>
          <w:p>
            <w:pPr>
              <w:jc w:val="center"/>
              <w:ind w:right="3700"/>
              <w:spacing w:after="0"/>
              <w:rPr>
                <w:sz w:val="20"/>
                <w:szCs w:val="20"/>
                <w:color w:val="auto"/>
              </w:rPr>
            </w:pPr>
            <w:r>
              <w:rPr>
                <w:rFonts w:ascii="Times New Roman" w:cs="Times New Roman" w:eastAsia="Times New Roman" w:hAnsi="Times New Roman"/>
                <w:sz w:val="18"/>
                <w:szCs w:val="18"/>
                <w:color w:val="auto"/>
                <w:w w:val="87"/>
              </w:rPr>
              <w:t>F-1</w:t>
            </w:r>
          </w:p>
        </w:tc>
        <w:tc>
          <w:tcPr>
            <w:tcW w:w="180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1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balance sheets of Biodesix, Inc. (the Company) as of December 31, 2024 and 2023, the related statements of operations, stockholders’ equity, and cash flows for the years then ended, and the related notes (collectively, the financial statements). In our opinion, the financial statements present fairly, in all material respects, the financial position of the Company as of December 31, 2024 and 2023, and the results of its operations and its cash flows for the years then ended, in conformity with U.S. generally accepted accounting principles.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18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340" w:type="dxa"/>
            <w:vAlign w:val="bottom"/>
            <w:shd w:val="clear" w:color="auto" w:fill="CFF0FC"/>
          </w:tcPr>
          <w:p>
            <w:pPr>
              <w:ind w:left="5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26,245</w:t>
            </w: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26,284</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$481 and $65</w:t>
            </w:r>
          </w:p>
        </w:tc>
        <w:tc>
          <w:tcPr>
            <w:tcW w:w="1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7,679</w:t>
            </w:r>
          </w:p>
        </w:tc>
      </w:tr>
      <w:tr>
        <w:trPr>
          <w:trHeight w:val="216"/>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4,636</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5,720</w:t>
            </w:r>
          </w:p>
        </w:tc>
      </w:tr>
      <w:tr>
        <w:trPr>
          <w:trHeight w:val="209"/>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39,683</w:t>
            </w:r>
          </w:p>
        </w:tc>
      </w:tr>
      <w:tr>
        <w:trPr>
          <w:trHeight w:val="216"/>
        </w:trPr>
        <w:tc>
          <w:tcPr>
            <w:tcW w:w="734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27,867</w:t>
            </w: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7,911</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1,745</w:t>
            </w: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15,031</w:t>
            </w: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15,031</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7,260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6,859</w:t>
            </w:r>
          </w:p>
        </w:tc>
      </w:tr>
      <w:tr>
        <w:trPr>
          <w:trHeight w:val="209"/>
        </w:trPr>
        <w:tc>
          <w:tcPr>
            <w:tcW w:w="7340" w:type="dxa"/>
            <w:vAlign w:val="bottom"/>
            <w:tcBorders>
              <w:bottom w:val="single" w:sz="8" w:color="CFF0FC"/>
            </w:tcBorders>
            <w:shd w:val="clear" w:color="auto" w:fill="CFF0FC"/>
          </w:tcPr>
          <w:p>
            <w:pPr>
              <w:ind w:left="38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57,760</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59,413</w:t>
            </w: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97,244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99,096</w:t>
            </w:r>
          </w:p>
        </w:tc>
      </w:tr>
      <w:tr>
        <w:trPr>
          <w:trHeight w:val="20"/>
        </w:trPr>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7"/>
        </w:trPr>
        <w:tc>
          <w:tcPr>
            <w:tcW w:w="7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r>
      <w:tr>
        <w:trPr>
          <w:trHeight w:val="216"/>
        </w:trPr>
        <w:tc>
          <w:tcPr>
            <w:tcW w:w="734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2,929</w:t>
            </w: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10,064</w:t>
            </w: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7,710</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1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21,857</w:t>
            </w: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r>
      <w:tr>
        <w:trPr>
          <w:trHeight w:val="20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14,317</w:t>
            </w: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33,416</w:t>
            </w:r>
          </w:p>
        </w:tc>
      </w:tr>
      <w:tr>
        <w:trPr>
          <w:trHeight w:val="216"/>
        </w:trPr>
        <w:tc>
          <w:tcPr>
            <w:tcW w:w="73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7340" w:type="dxa"/>
            <w:vAlign w:val="bottom"/>
            <w:shd w:val="clear" w:color="auto" w:fill="CFF0FC"/>
          </w:tcPr>
          <w:p>
            <w:pPr>
              <w:ind w:left="20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notes payable, net of current portion</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36,408</w:t>
            </w: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35,225</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25,163</w:t>
            </w:r>
          </w:p>
        </w:tc>
      </w:tr>
      <w:tr>
        <w:trPr>
          <w:trHeight w:val="216"/>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815</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w:t>
            </w:r>
          </w:p>
        </w:tc>
      </w:tr>
      <w:tr>
        <w:trPr>
          <w:trHeight w:val="210"/>
        </w:trPr>
        <w:tc>
          <w:tcPr>
            <w:tcW w:w="7340" w:type="dxa"/>
            <w:vAlign w:val="bottom"/>
          </w:tcPr>
          <w:p>
            <w:pPr>
              <w:ind w:left="38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62,051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61,100</w:t>
            </w:r>
          </w:p>
        </w:tc>
      </w:tr>
      <w:tr>
        <w:trPr>
          <w:trHeight w:val="209"/>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76,368</w:t>
            </w: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94,516</w:t>
            </w: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198"/>
        </w:trPr>
        <w:tc>
          <w:tcPr>
            <w:tcW w:w="73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authorized;</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4"/>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 (2024 and 2023) issued and outstanding</w:t>
            </w:r>
          </w:p>
        </w:tc>
        <w:tc>
          <w:tcPr>
            <w:tcW w:w="12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authorized;</w:t>
            </w: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34"/>
        </w:trPr>
        <w:tc>
          <w:tcPr>
            <w:tcW w:w="73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145,491,569 (2024) and 96,235,883 (2023) shares issued and outstanding</w:t>
            </w: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34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1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483,228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424,050</w:t>
            </w:r>
          </w:p>
        </w:tc>
      </w:tr>
      <w:tr>
        <w:trPr>
          <w:trHeight w:val="216"/>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(462,497 )</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(419,566 )</w:t>
            </w: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20,876</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4,580</w:t>
            </w:r>
          </w:p>
        </w:tc>
      </w:tr>
      <w:tr>
        <w:trPr>
          <w:trHeight w:val="250"/>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97,244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-5057140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-3942715</wp:posOffset>
            </wp:positionV>
            <wp:extent cx="1028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-1704975</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-316865</wp:posOffset>
            </wp:positionV>
            <wp:extent cx="1028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102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1028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4600" w:type="dxa"/>
            <w:vAlign w:val="bottom"/>
            <w:gridSpan w:val="3"/>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69"/>
        </w:trPr>
        <w:tc>
          <w:tcPr>
            <w:tcW w:w="4120" w:type="dxa"/>
            <w:vAlign w:val="bottom"/>
          </w:tcPr>
          <w:p>
            <w:pPr>
              <w:spacing w:after="0"/>
              <w:rPr>
                <w:sz w:val="24"/>
                <w:szCs w:val="24"/>
                <w:color w:val="auto"/>
              </w:rPr>
            </w:pPr>
          </w:p>
        </w:tc>
        <w:tc>
          <w:tcPr>
            <w:tcW w:w="4600" w:type="dxa"/>
            <w:vAlign w:val="bottom"/>
            <w:gridSpan w:val="3"/>
          </w:tcPr>
          <w:p>
            <w:pPr>
              <w:jc w:val="right"/>
              <w:ind w:right="205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8"/>
        </w:trPr>
        <w:tc>
          <w:tcPr>
            <w:tcW w:w="4120" w:type="dxa"/>
            <w:vAlign w:val="bottom"/>
          </w:tcPr>
          <w:p>
            <w:pPr>
              <w:spacing w:after="0"/>
              <w:rPr>
                <w:sz w:val="20"/>
                <w:szCs w:val="20"/>
                <w:color w:val="auto"/>
              </w:rPr>
            </w:pPr>
          </w:p>
        </w:tc>
        <w:tc>
          <w:tcPr>
            <w:tcW w:w="4600" w:type="dxa"/>
            <w:vAlign w:val="bottom"/>
            <w:gridSpan w:val="3"/>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4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210"/>
        </w:trPr>
        <w:tc>
          <w:tcPr>
            <w:tcW w:w="4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0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600" w:type="dxa"/>
            <w:vAlign w:val="bottom"/>
            <w:gridSpan w:val="3"/>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71,323</w:t>
            </w:r>
          </w:p>
        </w:tc>
        <w:tc>
          <w:tcPr>
            <w:tcW w:w="114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49,087</w:t>
            </w: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3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15,573</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13,010</w:t>
            </w:r>
          </w:p>
        </w:tc>
      </w:tr>
      <w:tr>
        <w:trPr>
          <w:trHeight w:val="216"/>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9,559</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9,988</w:t>
            </w:r>
          </w:p>
        </w:tc>
      </w:tr>
      <w:tr>
        <w:trPr>
          <w:trHeight w:val="216"/>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3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80,451</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67,387</w:t>
            </w:r>
          </w:p>
        </w:tc>
      </w:tr>
      <w:tr>
        <w:trPr>
          <w:trHeight w:val="216"/>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r>
      <w:tr>
        <w:trPr>
          <w:trHeight w:val="209"/>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105,821</w:t>
            </w: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90,429</w:t>
            </w: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(34,498 )</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(41,342 )</w:t>
            </w:r>
          </w:p>
        </w:tc>
      </w:tr>
      <w:tr>
        <w:trPr>
          <w:trHeight w:val="21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16"/>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(8,258 )</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(9,536 )</w:t>
            </w:r>
          </w:p>
        </w:tc>
      </w:tr>
      <w:tr>
        <w:trPr>
          <w:trHeight w:val="216"/>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3480" w:type="dxa"/>
            <w:vAlign w:val="bottom"/>
            <w:shd w:val="clear" w:color="auto" w:fill="CFF0FC"/>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60" w:type="dxa"/>
            <w:vAlign w:val="bottom"/>
            <w:shd w:val="clear" w:color="auto" w:fill="CFF0FC"/>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(1,274 )</w:t>
            </w:r>
          </w:p>
        </w:tc>
      </w:tr>
      <w:tr>
        <w:trPr>
          <w:trHeight w:val="216"/>
        </w:trPr>
        <w:tc>
          <w:tcPr>
            <w:tcW w:w="4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(8,433 )</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(10,804 )</w:t>
            </w:r>
          </w:p>
        </w:tc>
      </w:tr>
      <w:tr>
        <w:trPr>
          <w:trHeight w:val="216"/>
        </w:trPr>
        <w:tc>
          <w:tcPr>
            <w:tcW w:w="4120" w:type="dxa"/>
            <w:vAlign w:val="bottom"/>
            <w:tcBorders>
              <w:bottom w:val="single" w:sz="8" w:color="CFF0FC"/>
            </w:tcBorders>
            <w:shd w:val="clear" w:color="auto" w:fill="CFF0FC"/>
          </w:tcPr>
          <w:p>
            <w:pPr>
              <w:spacing w:after="0"/>
              <w:rPr>
                <w:sz w:val="18"/>
                <w:szCs w:val="18"/>
                <w:color w:val="auto"/>
              </w:rPr>
            </w:pP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(42,931 )</w:t>
            </w:r>
          </w:p>
        </w:tc>
        <w:tc>
          <w:tcPr>
            <w:tcW w:w="11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(52,146 )</w:t>
            </w:r>
          </w:p>
        </w:tc>
      </w:tr>
      <w:tr>
        <w:trPr>
          <w:trHeight w:val="20"/>
        </w:trPr>
        <w:tc>
          <w:tcPr>
            <w:tcW w:w="4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1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600" w:type="dxa"/>
            <w:vAlign w:val="bottom"/>
            <w:gridSpan w:val="3"/>
            <w:shd w:val="clear" w:color="auto" w:fill="CFF0FC"/>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(0.33 )</w:t>
            </w:r>
          </w:p>
        </w:tc>
        <w:tc>
          <w:tcPr>
            <w:tcW w:w="1140" w:type="dxa"/>
            <w:vAlign w:val="bottom"/>
            <w:gridSpan w:val="2"/>
            <w:shd w:val="clear" w:color="auto" w:fill="CFF0FC"/>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(0.64 )</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129,670</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-1570990</wp:posOffset>
            </wp:positionV>
            <wp:extent cx="1028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-739775</wp:posOffset>
            </wp:positionV>
            <wp:extent cx="1028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-456565</wp:posOffset>
            </wp:positionV>
            <wp:extent cx="10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400" w:type="dxa"/>
            <w:vAlign w:val="bottom"/>
            <w:gridSpan w:val="6"/>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w w:val="99"/>
              </w:rPr>
              <w:t>Statements of Stockholders' Equity</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900" w:type="dxa"/>
            <w:vAlign w:val="bottom"/>
          </w:tcPr>
          <w:p>
            <w:pPr>
              <w:spacing w:after="0"/>
              <w:rPr>
                <w:sz w:val="20"/>
                <w:szCs w:val="20"/>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18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Accumulate</w:t>
            </w:r>
          </w:p>
        </w:tc>
        <w:tc>
          <w:tcPr>
            <w:tcW w:w="118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57"/>
        </w:trPr>
        <w:tc>
          <w:tcPr>
            <w:tcW w:w="4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center"/>
              <w:ind w:right="400"/>
              <w:spacing w:after="0" w:line="207" w:lineRule="exact"/>
              <w:rPr>
                <w:sz w:val="20"/>
                <w:szCs w:val="20"/>
                <w:color w:val="auto"/>
              </w:rPr>
            </w:pPr>
            <w:r>
              <w:rPr>
                <w:rFonts w:ascii="Times New Roman" w:cs="Times New Roman" w:eastAsia="Times New Roman" w:hAnsi="Times New Roman"/>
                <w:sz w:val="18"/>
                <w:szCs w:val="18"/>
                <w:b w:val="1"/>
                <w:bCs w:val="1"/>
                <w:color w:val="auto"/>
              </w:rPr>
              <w:t>Paid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In</w:t>
            </w:r>
          </w:p>
        </w:tc>
        <w:tc>
          <w:tcPr>
            <w:tcW w:w="160" w:type="dxa"/>
            <w:vAlign w:val="bottom"/>
          </w:tcPr>
          <w:p>
            <w:pPr>
              <w:spacing w:after="0"/>
              <w:rPr>
                <w:sz w:val="22"/>
                <w:szCs w:val="22"/>
                <w:color w:val="auto"/>
              </w:rPr>
            </w:pP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w:t>
            </w:r>
          </w:p>
        </w:tc>
        <w:tc>
          <w:tcPr>
            <w:tcW w:w="200" w:type="dxa"/>
            <w:vAlign w:val="bottom"/>
          </w:tcPr>
          <w:p>
            <w:pPr>
              <w:spacing w:after="0"/>
              <w:rPr>
                <w:sz w:val="22"/>
                <w:szCs w:val="22"/>
                <w:color w:val="auto"/>
              </w:rPr>
            </w:pPr>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78"/>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(367,420 )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First Amendment warrants</w:t>
            </w:r>
          </w:p>
        </w:tc>
        <w:tc>
          <w:tcPr>
            <w:tcW w:w="3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Tranche B warrants to additional paid-in capital</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3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(52,146 )</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(52,146 )</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(419,566 )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Series A preferred stock to common stock, net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3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(42,931 )</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(42,931 )</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483,228</w:t>
            </w:r>
          </w:p>
        </w:tc>
        <w:tc>
          <w:tcPr>
            <w:tcW w:w="2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(462,497 )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-1276985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-1276985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-1276985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-1276985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-170815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8"/>
        </w:trPr>
        <w:tc>
          <w:tcPr>
            <w:tcW w:w="786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69"/>
        </w:trPr>
        <w:tc>
          <w:tcPr>
            <w:tcW w:w="786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8"/>
        </w:trPr>
        <w:tc>
          <w:tcPr>
            <w:tcW w:w="7860" w:type="dxa"/>
            <w:vAlign w:val="bottom"/>
          </w:tcPr>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786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210"/>
        </w:trPr>
        <w:tc>
          <w:tcPr>
            <w:tcW w:w="78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spacing w:after="0"/>
              <w:rPr>
                <w:sz w:val="18"/>
                <w:szCs w:val="18"/>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(42,931 )</w:t>
            </w:r>
          </w:p>
        </w:tc>
        <w:tc>
          <w:tcPr>
            <w:tcW w:w="10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(52,146 )</w:t>
            </w:r>
          </w:p>
        </w:tc>
      </w:tr>
      <w:tr>
        <w:trPr>
          <w:trHeight w:val="198"/>
        </w:trPr>
        <w:tc>
          <w:tcPr>
            <w:tcW w:w="78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cash equivalents, and restricted</w:t>
            </w: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4"/>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16"/>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5,773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3,328</w:t>
            </w:r>
          </w:p>
        </w:tc>
      </w:tr>
      <w:tr>
        <w:trPr>
          <w:trHeight w:val="216"/>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(Accretion) reduction of lease right-of-use assets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2,179</w:t>
            </w:r>
          </w:p>
        </w:tc>
      </w:tr>
      <w:tr>
        <w:trPr>
          <w:trHeight w:val="216"/>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9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CEEFF"/>
          </w:tcPr>
          <w:p>
            <w:pPr>
              <w:ind w:left="38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5,373</w:t>
            </w:r>
          </w:p>
        </w:tc>
      </w:tr>
      <w:tr>
        <w:trPr>
          <w:trHeight w:val="216"/>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9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1,274</w:t>
            </w:r>
          </w:p>
        </w:tc>
      </w:tr>
      <w:tr>
        <w:trPr>
          <w:trHeight w:val="216"/>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w:t>
            </w:r>
          </w:p>
        </w:tc>
      </w:tr>
      <w:tr>
        <w:trPr>
          <w:trHeight w:val="216"/>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interest, amortization of debt issuance costs and other</w:t>
            </w:r>
          </w:p>
        </w:tc>
        <w:tc>
          <w:tcPr>
            <w:tcW w:w="9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2,462</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5,111</w:t>
            </w:r>
          </w:p>
        </w:tc>
      </w:tr>
      <w:tr>
        <w:trPr>
          <w:trHeight w:val="216"/>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 excess and obsolescence</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9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(1,811 )</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(4,718 )</w:t>
            </w:r>
          </w:p>
        </w:tc>
      </w:tr>
      <w:tr>
        <w:trPr>
          <w:trHeight w:val="216"/>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905</w:t>
            </w:r>
          </w:p>
        </w:tc>
      </w:tr>
      <w:tr>
        <w:trPr>
          <w:trHeight w:val="216"/>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9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(755 )</w:t>
            </w:r>
          </w:p>
        </w:tc>
      </w:tr>
      <w:tr>
        <w:trPr>
          <w:trHeight w:val="216"/>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(23,242 )</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(2,494 )</w:t>
            </w:r>
          </w:p>
        </w:tc>
      </w:tr>
      <w:tr>
        <w:trPr>
          <w:trHeight w:val="216"/>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Tenant improvement allowances received</w:t>
            </w:r>
          </w:p>
        </w:tc>
        <w:tc>
          <w:tcPr>
            <w:tcW w:w="9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18,323</w:t>
            </w:r>
          </w:p>
        </w:tc>
      </w:tr>
      <w:tr>
        <w:trPr>
          <w:trHeight w:val="216"/>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and long-term operating lease liabilities</w:t>
            </w: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operating activities</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(48,649 )</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(22,870 )</w:t>
            </w:r>
          </w:p>
        </w:tc>
      </w:tr>
      <w:tr>
        <w:trPr>
          <w:trHeight w:val="216"/>
        </w:trPr>
        <w:tc>
          <w:tcPr>
            <w:tcW w:w="7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(3,230 )</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(22,919 )</w:t>
            </w: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 costs and intangible asset acquisition, net</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investing activities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(3,440 )</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(23,062 )</w:t>
            </w:r>
          </w:p>
        </w:tc>
      </w:tr>
      <w:tr>
        <w:trPr>
          <w:trHeight w:val="216"/>
        </w:trPr>
        <w:tc>
          <w:tcPr>
            <w:tcW w:w="7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9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55,625</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28,126</w:t>
            </w:r>
          </w:p>
        </w:tc>
      </w:tr>
      <w:tr>
        <w:trPr>
          <w:trHeight w:val="216"/>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(8,581 )</w:t>
            </w: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term loan and notes payable</w:t>
            </w:r>
          </w:p>
        </w:tc>
        <w:tc>
          <w:tcPr>
            <w:tcW w:w="9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 of term loan and notes payable</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(833 )</w:t>
            </w:r>
          </w:p>
        </w:tc>
      </w:tr>
      <w:tr>
        <w:trPr>
          <w:trHeight w:val="216"/>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financing costs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(3,685 )</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(188 )</w:t>
            </w:r>
          </w:p>
        </w:tc>
      </w:tr>
      <w:tr>
        <w:trPr>
          <w:trHeight w:val="20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and restricted cash provided by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52,050</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29,129</w:t>
            </w: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(16,803 )</w:t>
            </w:r>
          </w:p>
        </w:tc>
      </w:tr>
      <w:tr>
        <w:trPr>
          <w:trHeight w:val="216"/>
        </w:trPr>
        <w:tc>
          <w:tcPr>
            <w:tcW w:w="786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26,371</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43,174</w:t>
            </w:r>
          </w:p>
        </w:tc>
      </w:tr>
      <w:tr>
        <w:trPr>
          <w:trHeight w:val="210"/>
        </w:trPr>
        <w:tc>
          <w:tcPr>
            <w:tcW w:w="78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end of period</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26,332</w:t>
            </w:r>
          </w:p>
        </w:tc>
        <w:tc>
          <w:tcPr>
            <w:tcW w:w="10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26,371</w:t>
            </w:r>
          </w:p>
        </w:tc>
      </w:tr>
      <w:tr>
        <w:trPr>
          <w:trHeight w:val="20"/>
        </w:trPr>
        <w:tc>
          <w:tcPr>
            <w:tcW w:w="78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-2948305</wp:posOffset>
            </wp:positionV>
            <wp:extent cx="102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-454025</wp:posOffset>
            </wp:positionV>
            <wp:extent cx="1028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1028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8"/>
        </w:trPr>
        <w:tc>
          <w:tcPr>
            <w:tcW w:w="776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69"/>
        </w:trPr>
        <w:tc>
          <w:tcPr>
            <w:tcW w:w="776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8"/>
        </w:trPr>
        <w:tc>
          <w:tcPr>
            <w:tcW w:w="7760" w:type="dxa"/>
            <w:vAlign w:val="bottom"/>
          </w:tcPr>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(Continued from the previous page)</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r>
              <w:rPr>
                <w:rFonts w:ascii="Times New Roman" w:cs="Times New Roman" w:eastAsia="Times New Roman" w:hAnsi="Times New Roman"/>
                <w:sz w:val="18"/>
                <w:szCs w:val="18"/>
                <w:color w:val="auto"/>
              </w:rPr>
              <w:t>:</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7760" w:type="dxa"/>
            <w:vAlign w:val="bottom"/>
          </w:tcPr>
          <w:p>
            <w:pPr>
              <w:spacing w:after="0"/>
              <w:rPr>
                <w:sz w:val="24"/>
                <w:szCs w:val="24"/>
                <w:color w:val="auto"/>
              </w:rPr>
            </w:pPr>
          </w:p>
        </w:tc>
        <w:tc>
          <w:tcPr>
            <w:tcW w:w="28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r>
      <w:tr>
        <w:trPr>
          <w:trHeight w:val="209"/>
        </w:trPr>
        <w:tc>
          <w:tcPr>
            <w:tcW w:w="77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included in accounts payable and other accrued liabilities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financing costs included in accounts payable and other accrued liabilities</w:t>
            </w: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Perceptive Warrants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lease liabilities</w:t>
            </w: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 obtained in exchange for lease liabilities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999</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773</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3,994</w:t>
            </w:r>
          </w:p>
        </w:tc>
      </w:tr>
      <w:tr>
        <w:trPr>
          <w:trHeight w:val="21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warrant liability to additional paid-in capital</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1,335</w:t>
            </w:r>
          </w:p>
        </w:tc>
      </w:tr>
      <w:tr>
        <w:trPr>
          <w:trHeight w:val="234"/>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&amp; equipment included in accounts payable and accrued liabilities</w:t>
            </w: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793</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BIODESIX,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Biodesix, Inc. (the “Company”, “Biodesix”, “we” “us” and “our”), formerly Elston Technologies, Inc., was incorporated in Delaware in 2005. The Company’s headquarters are in Colorado and the Company performs its blood-based diagnostic tests in its laboratory facilities which are located in Louisville, Colorado and De Soto, Kansas. The Company conducts all of its operations within a single legal entity. Biodesix is a leading diagnostic solutions company with a focus in lung disease. The Company develops diagnostic tests using a multi-omic approach to harness the strengths of different technologies that are best suited to address important clinical questions. We derive our revenue from two sources: (i) Biodesix Lung Diagnostic Testing (Lung Diagnostic Testing),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Blood-Based Lung Tests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offers five blood-based lung cancer tests across the lung cancer continuum of care:</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Diagnosis - Nodule Management</w:t>
      </w:r>
    </w:p>
    <w:p>
      <w:pPr>
        <w:spacing w:after="0" w:line="117" w:lineRule="exact"/>
        <w:rPr>
          <w:sz w:val="20"/>
          <w:szCs w:val="20"/>
          <w:color w:val="auto"/>
        </w:rPr>
      </w:pPr>
    </w:p>
    <w:p>
      <w:pPr>
        <w:jc w:val="both"/>
        <w:ind w:left="1020" w:hanging="503"/>
        <w:spacing w:after="0" w:line="255"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Nodify CDT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Nodify XL2</w:t>
      </w:r>
      <w:r>
        <w:rPr>
          <w:rFonts w:ascii="Times New Roman" w:cs="Times New Roman" w:eastAsia="Times New Roman" w:hAnsi="Times New Roman"/>
          <w:sz w:val="18"/>
          <w:szCs w:val="18"/>
          <w:color w:val="auto"/>
        </w:rPr>
        <w:t>® tests, marketed as Nodify Lung® Nodule Risk Assessment, assess a suspicious lung nodule's risk of lung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Lung Cancer Treatment &amp; Monitoring</w:t>
      </w:r>
    </w:p>
    <w:p>
      <w:pPr>
        <w:spacing w:after="0" w:line="117" w:lineRule="exact"/>
        <w:rPr>
          <w:sz w:val="20"/>
          <w:szCs w:val="20"/>
          <w:color w:val="auto"/>
        </w:rPr>
      </w:pPr>
    </w:p>
    <w:p>
      <w:pPr>
        <w:jc w:val="both"/>
        <w:ind w:left="900" w:hanging="383"/>
        <w:spacing w:after="0" w:line="254"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GeneStrat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ddPCR, GeneStrat NGS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VeriStrat</w:t>
      </w:r>
      <w:r>
        <w:rPr>
          <w:rFonts w:ascii="Times New Roman" w:cs="Times New Roman" w:eastAsia="Times New Roman" w:hAnsi="Times New Roman"/>
          <w:sz w:val="18"/>
          <w:szCs w:val="18"/>
          <w:color w:val="auto"/>
        </w:rPr>
        <w:t>® tests, marketed as part of our IQLung™ testing strategy, are used following diagnosis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developing the Company's products, we have developed or designed a regulatory strategy resulting in approvals, product development and clinical acumen, biorepositories, proprietary and patented technologies, specimen collection kit manufacturing capabilities, and bioinformatics methods that it believes are important to the development of new targeted therapies, determining clinical trial eligibility, and guiding treatment selection. The Company’s testing services are made available through its clinical laboratories.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 xml:space="preserve">The Company’s financial statements have been prepared in accordance with accounting principles generally accepted in the United States (U.S. GAAP). 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Significant items subject to such estimates include: revenue recognition; the estimation of the fair value of goodwill and other intangible assets pursuant to the Company's annual impairment analysis; fair value of stock options; income tax uncertainties, including a valuation allowance for deferred tax assets; fair value of warrant liabilities; leases, including </w:t>
      </w:r>
      <w:r>
        <w:rPr>
          <w:rFonts w:ascii="Times New Roman" w:cs="Times New Roman" w:eastAsia="Times New Roman" w:hAnsi="Times New Roman"/>
          <w:sz w:val="18"/>
          <w:szCs w:val="18"/>
          <w:color w:val="000000"/>
        </w:rPr>
        <w:t>the estimated incremental borrowing rates</w:t>
      </w:r>
      <w:r>
        <w:rPr>
          <w:rFonts w:ascii="Times New Roman" w:cs="Times New Roman" w:eastAsia="Times New Roman" w:hAnsi="Times New Roman"/>
          <w:sz w:val="18"/>
          <w:szCs w:val="18"/>
          <w:color w:val="212529"/>
        </w:rPr>
        <w:t>;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p>
      <w:pPr>
        <w:jc w:val="both"/>
        <w:spacing w:after="0" w:line="282" w:lineRule="auto"/>
        <w:rPr>
          <w:sz w:val="20"/>
          <w:szCs w:val="20"/>
          <w:color w:val="auto"/>
        </w:rPr>
      </w:pPr>
      <w:r>
        <w:rPr>
          <w:rFonts w:ascii="Times New Roman" w:cs="Times New Roman" w:eastAsia="Times New Roman" w:hAnsi="Times New Roman"/>
          <w:sz w:val="18"/>
          <w:szCs w:val="18"/>
          <w:color w:val="212529"/>
        </w:rPr>
        <w:t>about the carrying values of assets and liabilities and recognized revenue and expenses that are not readily apparent from other sources. Actual results could differ from those estimates and assumptions.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assesses liquidity in terms of its ability to generate cash to fund its operating, investing and financing activities. The Company’s cash requirements for 2024 and beyond include expenses related to sales and marketing, research and development, regulatory and other expenses as we expand our marketing efforts for our diagnostic tests and services, expand existing relationships with our customers, obtain regulatory clearances or approvals or certifications for future enhancements to our existing diagnostic tests and services and conduct further clinical trials. In addition, we expect to incur general and administrative expenses associated with scaling our business operations and testing capacity as well as the requirements of being a public company operating in a highly regulated industry. As of December 31, 2024, we maintained cash and cash equivalents of $26.2 million.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incurred losses since our inception and have reported net losses of $42.9 million and $52.1 million for the years ended December 31, 2024 and 2023, respectively. As a result of these losses, as of December 31, 2024, we had an accumulated deficit of approximately $462.5 million. We have funded our operations to date primarily through our two revenue sources: (i) Lung Diagnostic Testing and (ii) Development Services, the sale of convertible preferred stock, the sale of common stock, and the issuance of notes payable, including through our current Perceptive Term Loan Facility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Additionally, on February 28, 2025, the Company entered into a fifth amendment to the Perceptive Term Loan Facility, whereby,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terms and conditions of the fifth amendment, the Tranche C Loan revenue milestone was eliminated and the Commitment Termination Date (as defined in the Credit Agreement) was extended, providing continued availability to the Tranche C Loan in an aggregate amount equal to $10.0 million through December 31, 2025 (see Note 17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believes the prior conditions and events raising substantial doubt about its ability to continue as a going concern no longer exist following the amended debt agreement in October 2024, continued improvement in operations, as well as the amendment to extend availability to the Tranche C Loan noted above. Accordingly, its current cash and cash equivalents as of the issuance date of these financial statements will be sufficient to fund its operations at the current levels for at least the next 12 months. Management continues to monitor the Company’s liquidity position and has the flexibility to adjust spending as needed in order to preserve and extend liquidity. As of December 31, 2024, the Company was in compliance with all restrictive and financial covenants associated with its borrowings and expects to remain in compliance for more than one year from when these financial statements are issued. While the Company’s ability to execute its business objectives and achieve profitability over the long term cannot be assured, the Company's current plans and projections, existing cash and cash equivalents, and expense management activities provide liquidity for the Company to satisfy our liquidity requirements for more than one year from when these financial statements are issued.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decision-maker (CODM) in deciding how to allocate resources and assess performance. The Company's chief executive officer and chief financial officer, as a group, represents the entity's chief operating decision makers. The Company’s CODM views the Company’s operations and manages its business as a single operating segment focused on providing diagnostic testing in the clinical setting and providing services to biopharmaceutical companies.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15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additional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derive our revenue from two sources: (i) Lung Diagnostic Testing, providing lung diagnostic testing services for healthcare providers associated with our five blood-based tests and (ii) Development Services, providing diagnostic testing services to biopharmaceutical, life sciences, and diagnostic companies.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Lung Diagnostic Testing revenues consist of blood-based lung tests and are recognized in the amount expected to be received in exchange for diagnostic tests when the diagnostic tests are delivered. The Company determines the transaction price and amount to accrue related to its blood-based lung diagnostic test contracts using a portfolio approach by considering:</w:t>
      </w:r>
    </w:p>
    <w:p>
      <w:pPr>
        <w:spacing w:after="0" w:line="68"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payer and payer coverage;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history;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type;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amount of time until payment by a payer;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price concessions granted to groups of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 reimbursement contract between the payer and the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as a percentage of agreed upon rate (if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0" w:name="page101"/>
    <w:bookmarkEnd w:id="100"/>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paid per test;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developments or changes that could impact reimbursement.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Variable consideration, if any, is estimated based on an analysis of historical experience and adjusted as better estimates become available. These estimates require significant judgment by management.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also provides services to patients with whom the Company does not have contracts as defined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for these patients when contracts are established at the amount of consideration to which it expects to be entitled, or when the Company receives substantially all of the consideration subsequent to satisfaction and delivery of the performance obligations.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Development Services revenue consists of various types of tests or other scientific services for a purpose as defined by any individual customer, which are often larger biopharmaceutical companies, as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Customers for these services are typically large biopharmaceutical companies where collectability is reasonably assured and therefore revenue is accrued upon completion of the performance obligations. Revenue for these services is recognized upon delivery of the completed test results, upon completion of the contractual milestone(s), or over the term of the contract.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Development Services also include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consists of payments received for research, development, and testing services fees received prior to the completion of performance of these tests and services.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11 — </w:t>
      </w:r>
      <w:r>
        <w:rPr>
          <w:rFonts w:ascii="Times New Roman" w:cs="Times New Roman" w:eastAsia="Times New Roman" w:hAnsi="Times New Roman"/>
          <w:sz w:val="18"/>
          <w:szCs w:val="18"/>
          <w:i w:val="1"/>
          <w:iCs w:val="1"/>
          <w:color w:val="auto"/>
        </w:rPr>
        <w:t>Revenue and Accounts Receivable Credit Concentration</w:t>
      </w:r>
      <w:r>
        <w:rPr>
          <w:rFonts w:ascii="Times New Roman" w:cs="Times New Roman" w:eastAsia="Times New Roman" w:hAnsi="Times New Roman"/>
          <w:sz w:val="18"/>
          <w:szCs w:val="18"/>
          <w:color w:val="auto"/>
        </w:rPr>
        <w:t xml:space="preserve"> for additional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Costs and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components of our cost of diagnostic tests and testing services consist of cost of materials, direct labor, including bonuses, benefit and share-based compensation, depreciation of laboratory equipment, rent costs, amortization of leasehold improvements and information technology costs associated with acquiring and processing test samples, including sample accessioning, test performance, quality control analyses, charges to collect and transport samples; curation of test results for physicians; and in some cases, license or royalty fees due to third parties.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Costs associated with performing tests are expensed as the test is processed regardless of whether and when revenue is recognized with respect to that test.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b w:val="1"/>
          <w:bCs w:val="1"/>
          <w:i w:val="1"/>
          <w:iCs w:val="1"/>
          <w:color w:val="212529"/>
        </w:rPr>
        <w:t>Expenses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external and internal costs incurred to develop our technology, collect clinical samples, and conduct clinical studies to develop and support our products. External costs consist primarily of payments to clinical trial sites, sample acquisition costs and laboratory supplies purchased in connection with the Company’s discovery and preclinical activities, process development and clinical development activities, infrastructure expenses, including allocated facility occupancy and information technology costs. Internal expenses include employee-related costs, including salaries, share-based compensation, and related benefits for employees engaged in research and development functions.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 Research and development costs are expensed as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General and Administrative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expenses consist primarily of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travel, and share-based compensation, as well as marketing and educational activities and allocated overhead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1" w:name="page102"/>
    <w:bookmarkEnd w:id="101"/>
    <w:p>
      <w:pPr>
        <w:jc w:val="both"/>
        <w:spacing w:after="0" w:line="261" w:lineRule="auto"/>
        <w:rPr>
          <w:sz w:val="20"/>
          <w:szCs w:val="20"/>
          <w:color w:val="auto"/>
        </w:rPr>
      </w:pPr>
      <w:r>
        <w:rPr>
          <w:rFonts w:ascii="Times New Roman" w:cs="Times New Roman" w:eastAsia="Times New Roman" w:hAnsi="Times New Roman"/>
          <w:sz w:val="18"/>
          <w:szCs w:val="18"/>
          <w:color w:val="auto"/>
        </w:rPr>
        <w:t>Sales, marketing, general and administrative expenses also include costs for our marketing and sales organizations, and other functions including finance, legal, human resources, and information technology. These expenses consist principally of salaries, bonuses, employee benefits, travel, share-based compensation, as well as professional services fees such as consulting, audit, tax and legal fees, and general corporate costs and allocated overhead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Uncertainties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its operating results.</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credit risk concentration of accounts receivable as of December 31, 2024 and 2023, see Note 11 — </w:t>
      </w:r>
      <w:r>
        <w:rPr>
          <w:rFonts w:ascii="Times New Roman" w:cs="Times New Roman" w:eastAsia="Times New Roman" w:hAnsi="Times New Roman"/>
          <w:sz w:val="18"/>
          <w:szCs w:val="18"/>
          <w:i w:val="1"/>
          <w:iCs w:val="1"/>
          <w:color w:val="auto"/>
        </w:rPr>
        <w:t>Revenue and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Concentration</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consist of short-term, highly-liquid instruments with an original maturity of three months or less from the date of purchase.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Restricted cash consists of deposits related to the Company’s corporate credit card. As of December 31, 2024 and 2023, the Company had $0.1 million restricted cash, respectively, which was included in ‘Other current assets’ in the accompanying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stated at the amount management expects to collect from customers based on their outstanding invoices. Management reviews accounts receivable quarterly to determine if any receivable will potentially be uncollectible and to estimate the amount of allowance for credit losses necessary to reduce accounts receivable to its estimated net realizable value based on historical experience, customer creditworthiness, facts, and circumstances specific to outstanding balances, and payment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Inventory consists primarily of material supplies, which are consumed in the performance of testing services and charged to ‘Direct costs and expenses’. Inventory is stated at cost and reported within ‘Other current assets’ in the balance sheet and was $1.0 million and $1.4 million for the years ended December 31, 2024 and 2023, respectively. The Company recorded a reserve for excess inventory of an insignificant amount for the year ended December 31, 2024 and $0.1 million for 2023. During the year ended December 31, 2024, the Company recorded an insignificant amount to the statement of operations for excess and obsolete inventory and $0.2 million for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in the period realized.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to be held and used are evaluated for impairment when events or circumstances indicate the carrying value of a long-lived asset or asset group is less than the undiscounted cash flows from the use and eventual disposition over its remaining useful life. The Company assesses recoverability by comparing the sum or projected undiscounted cash flows from the use and eventual disposition of the asset or asset group to its carrying value, and records an impairment loss if the carrying value is greater than the undiscounted future cash flows. There were no impairments for the years ended December 31, 2024 and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primarily consist of intangible assets acquired as part of business combinations, external costs associated with patent applications that are probable of future economic benefits, and trademark costs. Finite-lived intangibles are stated at cost, net of accumulated amortization. The Company amortizes finite-lived intangible assets using the straight-line method over their estimated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useful lives of 10 years, based on management's estimate of the period over which their economic benefits will be realized, product life and patent life.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Trademarks are considered indefinite lived and are not amortized.</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are reviewed for impairment whenever events or changes in circumstances indicate a reduction to fair value below their carrying amounts. The Company recorded $0.2 million and an insignificant amount for impairments during the years ended December 31, 2024 and 2023, respectively, related to patents the Company is no longer pursuing.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purchase price over amounts allocated to acquired assets and liabilities assumed in business combinations. The carrying value of goodwill is evaluated for impairment at least annually or more frequently when events or circumstances occur indicate a potential for impairment. The annual impairment test is performed on the last day of our fourth quarter. Prior to performing a quantitative evaluation, an assessment of qualitative factors may be performed to determine whether it is more likely than not that the fair value of the reporting unit exceeds its carrying value. In the event the Company determines that it is more likely than not the carrying value of our single reporting unit is higher than its estimated fair value, quantitative testing is performed comparing recorded values to estimated fair values. If impairment is present, the impairment loss is measured as the excess of the recorded goodwill over its implied fair value. Through December 31, 2024, there were no accumulated impairment losses.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acts as a lessee under all its lease agreements and holds various real estate leases for its headquarters and laboratory facilities in Colorado and Kansas and other various copier leases.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elected the following practical expedients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Package of practical expedients which allows the Company to carry forward the historical lease classification;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Hindsight practical expedient which allows the Company to use hindsight in determining the lease term, in assessing purchase options, and in assessing impairment of right-of-use (ROU) assets;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lease practical expedient which allows the Company to capitalize only those leases with an initial term of twelve months or more;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practical expedient to account for lease and non-lease components (such as common area maintenance, utilities, insurance and taxes) as a single lease component for all classes of underlying assets.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determines if an arrangement is a lease at inception or upon modification of a contract. Leases are classified as either financing or operating, with classification affecting the pattern of expense recognition in the statements of operations. When determining whether a lease is a finance lease or an operating lease, ASC 842 does not specifically define criteria to determine the “major part of remaining economic life of the underlying asset” and “substantially all of the fair value of the underlying asset.” For lease classification determination, Management continues to use (i) 75% or greater to determine whether the lease term is a major part of the remaining economic life of the underlying asset and (ii) 90% or greater to determine whether the present value of the sum of lease payments is substantially all of the fair value of the underlying asset.</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Lease liabilities represent the Company's obligation to make lease payments under the lease. Operating lease ROU assets and liabilities are recognized at the lease commencement date based on the present value of lease payments over the lease term. In determining the present value of lease payments, the Company uses either the rate implicit in the lease or its incremental borrowing rate, as applicable, based on the information available at lease commencement date. The Company applies the estimated incremental borrowing rates on a lease-by-lease level based on the economic environment associated with the lease. The operating lease ROU asset also includes any lease prepayments, net of lease incentives. Certain of the Company's leases include options to extend or terminate the lease. As leases approach maturity, the Company considers various factors such as market conditions and the terms of any renewal and termination options that may exist to determine whether we will renew or terminate the lease, as such, we generally do not include renewal or termination options in our lease terms for calculating our lease liability, as the options allow us to maintain operational flexibility and we are not reasonably certain we will exercise these options at the time of the lease commencement. The Company's lease agreements do not contain any material residual value guarantees or restrictive covenants. Lease expense for lease payments of operating leases is recognized on a straight-line basis over the term of the lease. The Company uses the long-lived assets impairment guidance to determine recognition and measurement of an ROU asset impairment, if any. The Company monitors for events or changes in circumstances that require a reassessment.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 $5.0 million cash refundable deposit to secure the performance of the Company’s obligations associated with the operating lease agreement with Centennial Valley Properties I, LLC (see Note 9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of December 31, 2024 and 2023, the $5.0 million refundable deposit is reported within 'Other long-term assets' in the balance sheets.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and acts as a lessee under various finance lease agreements for laboratory equipment in Colorado and Kansas. As of December 31, 2024 and 2023, the Company had $2.2 million and $1.1 million recorded as net finance lease ROU assets within 'Other long-term assets' in the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 xml:space="preserve">Additional information and disclosures required by this standard are contained in Note 9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hierarchy and the related inputs are as follows:</w:t>
      </w:r>
    </w:p>
    <w:p>
      <w:pPr>
        <w:spacing w:after="0" w:line="117" w:lineRule="exact"/>
        <w:rPr>
          <w:sz w:val="20"/>
          <w:szCs w:val="20"/>
          <w:color w:val="auto"/>
        </w:rPr>
      </w:pPr>
    </w:p>
    <w:p>
      <w:pPr>
        <w:ind w:left="480"/>
        <w:spacing w:after="0"/>
        <w:tabs>
          <w:tab w:leader="none" w:pos="6160" w:val="left"/>
        </w:tabs>
        <w:rPr>
          <w:sz w:val="20"/>
          <w:szCs w:val="20"/>
          <w:color w:val="auto"/>
        </w:rPr>
      </w:pPr>
      <w:r>
        <w:rPr>
          <w:rFonts w:ascii="Times New Roman" w:cs="Times New Roman" w:eastAsia="Times New Roman" w:hAnsi="Times New Roman"/>
          <w:sz w:val="18"/>
          <w:szCs w:val="18"/>
          <w:color w:val="auto"/>
        </w:rPr>
        <w:t>Level</w:t>
      </w:r>
      <w:r>
        <w:rPr>
          <w:sz w:val="20"/>
          <w:szCs w:val="20"/>
          <w:color w:val="auto"/>
        </w:rPr>
        <w:tab/>
      </w:r>
      <w:r>
        <w:rPr>
          <w:rFonts w:ascii="Times New Roman" w:cs="Times New Roman" w:eastAsia="Times New Roman" w:hAnsi="Times New Roman"/>
          <w:sz w:val="18"/>
          <w:szCs w:val="18"/>
          <w:color w:val="auto"/>
        </w:rPr>
        <w:t>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1580" w:hanging="948"/>
        <w:spacing w:after="0"/>
        <w:tabs>
          <w:tab w:leader="none" w:pos="15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Unadjusted quoted prices in active markets for identical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580" w:hanging="948"/>
        <w:spacing w:after="0"/>
        <w:tabs>
          <w:tab w:leader="none" w:pos="1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Unadjusted quoted prices in active markets for similar assets and liabilities;</w:t>
      </w:r>
    </w:p>
    <w:p>
      <w:pPr>
        <w:spacing w:after="0" w:line="9"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Unadjusted quoted prices for identical or similar assets or liabilities in markets that are not active;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ind w:left="1580" w:hanging="948"/>
        <w:spacing w:after="0"/>
        <w:tabs>
          <w:tab w:leader="none" w:pos="1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Unobservable inputs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4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for further discussion related to estimated fair value measurements.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contingent consideration is assessed at each balance sheet date and changes, if any, to the fair value are recorded as ‘Interest expense’ in the statements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warrant liabilities is assessed at each balance sheet date and changes, if any, to the fair value are recorded as 'Change in fair value of warrant liability, net' in the statements of operations.</w:t>
      </w:r>
    </w:p>
    <w:p>
      <w:pPr>
        <w:spacing w:after="0" w:line="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-43815</wp:posOffset>
            </wp:positionV>
            <wp:extent cx="64135"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grants service condition and performance condition stock options. Stock options are granted with exercise prices equal to the fair market value of our common stock on the date of grant. The grant date fair value of each employee stock option is estimated on the date of grant using the Black-Scholes option-pricing model, which requires the use of assumptions, including the expected term of the option, expected volatility of our stock price, expected dividend yield, and the risk-free interest rate, among others. We estimate forfeitures and adjust these estimates to actual forfeitures as they occur. These assumptions involve inherent uncertainties including market conditions and employee behavior that are generally outside of the Company’s control. Service condition stock options are expensed based on the grant date fair value of the awards using the straight-line method over the requisite service period. Performance-condition stock options, if granted, vest based on achievement of multiple weighted performance goals, certification of performance achievement by the Compensation Committee of the Board of Directors, and continued service. For performance-condition stock options, compensation expense is updated for our expected performance level against performance goals at the end of each reporting period, which involves judgment as to achievement of certain performance metrics.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grants service-condition RSUs. The grant date fair values of these RSUs are based on the closing market price of our common stock on the grant date. We estimate forfeitures and adjust these estimates to actual forfeitures as they occur. The service-condition RSUs vest based on continued service with compensation expense recognized on a straight-line basis over the requisite service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12 —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for additional information related to share-based compensation.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which deferred income taxes are recognized based on the estimated future tax effects of differences between the financial statement and tax bases of assets and liabilities given the provisions of enacted tax laws. Deferred income tax provisions and benefits are based on changes to the assets or liabilities from year to year. In providing for deferred taxes, the Company considers tax regulations of the jurisdictions in which the Company operates, estimates of future taxable income, and available tax planning strategies. If tax regulations, operating results, or the ability to implement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04" w:name="page105"/>
    <w:bookmarkEnd w:id="104"/>
    <w:p>
      <w:pPr>
        <w:jc w:val="both"/>
        <w:spacing w:after="0" w:line="255" w:lineRule="auto"/>
        <w:rPr>
          <w:sz w:val="20"/>
          <w:szCs w:val="20"/>
          <w:color w:val="auto"/>
        </w:rPr>
      </w:pPr>
      <w:r>
        <w:rPr>
          <w:rFonts w:ascii="Times New Roman" w:cs="Times New Roman" w:eastAsia="Times New Roman" w:hAnsi="Times New Roman"/>
          <w:sz w:val="18"/>
          <w:szCs w:val="18"/>
          <w:color w:val="auto"/>
        </w:rPr>
        <w:t>tax-planning strategies vary, adjustments to the carrying value of deferred tax assets and liabilities may be required. A valuation allowance is recorded when it is more likely than not that a deferred tax asset will not be realized. The recorded valuation allowance is based on significant estimates and judgments and if the facts and circumstances change, the valuation allowance could materially change. In accounting for uncertainty in income taxes, the Company recognizes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 The Company recognizes interest and penalties accrued on any unrecognized tax benefits as a component of income tax expense.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14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additional information related to income taxes.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calculated by dividing net loss by the weighted-average number of common shares outstanding during the period, without consideration of common stock equivalents. Diluted net loss per common share is computed by dividing net loss by the weighted-average number of common share equivalents outstanding for the period, if dilutive, using the treasury stock method. Potentially dilutive securities consisting of options to purchase common stock, warrants to purchase common stock, RSUs and shares subject to purchase under our employee stock purchase plan were excluded from the calculation of diluted net loss per common share because their effect would be anti-dilutive for all periods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 Issued Accounting Standards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Improvements to Reportable Segment Disclosures</w:t>
      </w:r>
      <w:r>
        <w:rPr>
          <w:rFonts w:ascii="Times New Roman" w:cs="Times New Roman" w:eastAsia="Times New Roman" w:hAnsi="Times New Roman"/>
          <w:sz w:val="18"/>
          <w:szCs w:val="18"/>
          <w:color w:val="auto"/>
        </w:rPr>
        <w:t xml:space="preserve"> (ASC Topic 280). This ASU requires all public entities to provide additional disclosures about the entity's reportable segments and more detailed information about a reportable segment's expenses. This guidance became effective for the Company for the annual period beginning on January 1, 2024, and interim periods beginning on January 1, 2025. The Company evaluated this guidance and determined the adoption of this new standard did not have an impact on the Company's balance sheets, statements of operations, shareholders' equity or cash flows, however, the Company is required to provide additional disclosures.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15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additional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Standards being evaluated</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improves the transparency of income tax disclosures by requiring consistent categories and greater disaggregation of information in the rate reconciliation and income taxes paid by jurisdiction. This guidance will become effective for the Company for the annual period beginning on January 1, 2025, and interim periods beginning on January 1, 2026. The Company is currently evaluating this guidance and assessing the overall impact on its financial statements.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improves the transparency of a public business entity's expense disclosures by requiring more detailed information about the types of expenses (including purchases of inventory, employee compensation, depreciation, amortization, and depletion) in commonly presented expense captions (such as cost of sales, SG&amp;A, and research and development). This guidance will become effective for the Company for the annual period beginning on January 1, 2027, and interim periods beginning on January 1, 2028, with early adoption permitted. The Company is currently evaluating this guidance and assessing the overall impact on its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borrowing instruments are recorded at their carrying values in the balance sheets, which may differ from their respective fair values. The fair value of borrowings as of December 31, 2024 and 2023 is primarily associated with the Perceptive Term Loan Facility entered into with Perceptive Credit Holdings IV, LP in November 2022 and was determined using a discounted cash flow analysis, excluding the fair value of the Perceptive Warrant (as defined below) issued in conjunction with the transaction. The difference between the carrying value and fair value of outstanding borrowings as of December 31, 2024 is due to an increase in the fair value of debt as a result of improved credit markets. The carrying value of outstanding borrowings approximates the fair value as of December 31, 2023. The table below presents the carrying and fair values of outstanding borrowings, which are classified as Level 2, as of the dates indicated (in thousands):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30"/>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36,429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37,484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35,276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35,506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financial liabilities that are measured and recorded at estimated fair value on a recurring basis consist of our contingent consideration associated with our previous acquisition of Indi, the warrant liabilities granted as consideration for the Perceptive Term Loan Facility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contingent value rights granted to certain holders of our previously converted Series F Preferred Stock, which were accounted for as liabilities and remeasured through our statements of operations.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reported fair values of contingent consideration, warrant liabilities, and contingent value rights, which are classified as Level 3 in the fair value hierarchy, as of the dates indicated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gridSpan w:val="2"/>
            <w:vMerge w:val="restart"/>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16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20" w:type="dxa"/>
            <w:vAlign w:val="bottom"/>
            <w:tcBorders>
              <w:bottom w:val="single" w:sz="8" w:color="auto"/>
            </w:tcBorders>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7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4"/>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value rights</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4"/>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934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The following table presents the changes in contingent consideration and warrant liabilities for the dates indicated (in thousands):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 Rollforward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Contingent Consideration</w:t>
            </w:r>
          </w:p>
        </w:tc>
        <w:tc>
          <w:tcPr>
            <w:tcW w:w="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28,986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Changes in fair value,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jc w:val="right"/>
              <w:ind w:right="16"/>
              <w:spacing w:after="0"/>
              <w:rPr>
                <w:sz w:val="20"/>
                <w:szCs w:val="20"/>
                <w:color w:val="auto"/>
              </w:rPr>
            </w:pPr>
            <w:r>
              <w:rPr>
                <w:rFonts w:ascii="Times New Roman" w:cs="Times New Roman" w:eastAsia="Times New Roman" w:hAnsi="Times New Roman"/>
                <w:sz w:val="18"/>
                <w:szCs w:val="18"/>
                <w:color w:val="auto"/>
              </w:rPr>
              <w:t>(11,075 )</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Tranche B Warrants to additional paid-in capital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(1,335 )</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21,857</w:t>
            </w: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60" w:type="dxa"/>
            <w:vAlign w:val="bottom"/>
            <w:gridSpan w:val="5"/>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(23,242 )</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-728345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required additional consideration to be paid by the Company to such shareholders upon attainment of a three-consecutive month gross margin target of $2.0 million within the seven-year period after the acquisition date, which was achieved during the three months ended June 30, 2021. Under the terms of the original agreement, when the gross margin target was achieved, the Company was required to issue 2,520,108 shares of common stock. For the six months following the achievement of the gross margin target, Indi had the option to require the Company to redeem these common shares for $37.0 million in cash over eight equal quarterly installments. If Indi elected to not exercise its option, the Company had 12 months to repurchase the common stock in two equal and consecutive quarterly cash installments totaling $37.0 million.</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2021, the Company entered into an amendment to the original agreement in which all parties agreed to forgo the issuance of common stock and agreed that the Company would, in lieu thereof, make six quarterly installments of approximately $4.6 million each beginning in January 2022 and a final payment of approximately $9.3 million in July 2023 for a total of $37.0 million (the Milestone Payments and each individually a Milestone Payment). The aggregate amount of payments owed by the Company under this amendment was the same as if Indi had exercised the put right or the Company had exercised the call right provided for in the original agreement.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7, 2022, the Company entered into Amendment No. 3 to the Indi APA, in which the parties agreed to restructure the Milestone Payments. The Company made five quarterly installments of $2.0 million each beginning in April 2022, three quarterly installments of $3.0 million which began in July 2023, one installment of $5.0 million in April 2024, and one installment of $8.4 million in July 2024. In addition, the Company agreed to an exit fee of approximately $6.1 million to be paid in October 2024. Interest accrued on the difference between the payment schedule as agreed in the August 2021 amendment and the April 2022 amended payment schedule, at an aggregate per annum rate equal to 10%, with such interest to be payable quarterly on the following installment payment date. Our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6" w:name="page107"/>
    <w:bookmarkEnd w:id="106"/>
    <w:p>
      <w:pPr>
        <w:jc w:val="both"/>
        <w:spacing w:after="0" w:line="282" w:lineRule="auto"/>
        <w:rPr>
          <w:sz w:val="20"/>
          <w:szCs w:val="20"/>
          <w:color w:val="auto"/>
        </w:rPr>
      </w:pPr>
      <w:r>
        <w:rPr>
          <w:rFonts w:ascii="Times New Roman" w:cs="Times New Roman" w:eastAsia="Times New Roman" w:hAnsi="Times New Roman"/>
          <w:sz w:val="18"/>
          <w:szCs w:val="18"/>
          <w:color w:val="auto"/>
        </w:rPr>
        <w:t>ability to make these payments was subject to ongoing compliance under the Perceptive Term Loan Facility. On September 30, 2024, the Company obtained consent from Perceptive and prepaid the October 1, 2024 exit fee of $6.1 million to Indi.</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contingent consideration liability was accounted for at fair value and subject to certain unobservable inputs. The significant unobservable inputs used in the measurement of the fair value included the probability of successful achievement of the specified product gross margin targets, the period in which the targets were expected to be achieved, and discount rates which ranged from 11% to 16%. As a result of the achievement of the gross margin target, the only remaining significant unobservable input used in the measurement of fair value included the discount rate since all other inputs became fixed and determinable. Subsequent changes to the contingent consideration following the achievement of the gross margin target were recorded as ‘Interest expense’ in the statements of operations resulting from the passage of time and fixed payment schedule.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recorded $1.1 million and $3.9 million, respectively, in interest expense due to the passage of time and fixed payment schedule.</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230,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cash paid to settle the contingent consideration liability recognized at fair value as of the acquisition date (including measurement-period adjustments) should be reflected as a cash outflow for financing activities while the remaining portion of the amount paid should be reflected as a cash outflow from operating activities in the statements of cash flows. All 2024 Milestone Payments are classified as cash outflows from operating activities in the Company's statements of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November 21, 2022, as consideration for the Perceptive Term Loan Facility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the Company issued Perceptive a warrant to purchase up to 5,000,000 shares of the Company's common stock (the Perceptive Warrant), including Initial Warrants (as defined in Note 10 -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below) and Tranche B and C Warrants. The Initial Warrants are equity classified (see Note 10 -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while the Tranche B and C Warrants were initially classified as liabilities and recognized at fair value. On December 15, 2023 (the Tranche B Borrowing Date), the Company exercised its ability to draw the Tranche B loan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connection with the Tranche B draw, the Company remeasured the Tranche B Warrants through the Tranche B Borrowing Date and recorded the change in fair value through the statements of operations and, subsequently, reclassified the fair value to additional paid-in capital (see Note 10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fair value of the Tranche C Warrants was determined using a Black-Scholes model and subject to certain unobservable inputs. The significant unobservable inputs used in the measurement of the fair value included the risk-free rate, the volatility of common stock, and the probability of the expected borrowing. The Tranche C loan had a commitment date through September 30, 2024 and, as of that date, the Company did not exercise its ability to draw the Tranche C loan. Therefore, the associated Tranche C Warrants expired and are no longer exercisable.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no change in fair value through the statements of operations. During the year ended December 31, 2023, the Company recorded a $1.3 million loss as a change in fair value through the statement of operations due to changes in unobservable inputs. This is a result of changes in the probability of our ability to draw on Tranche B and C loans.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Value Rights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January 2016, the Company issued shares of Series F Preferred Stock (the Series F Offering) that were subsequently converted into common stock in connection with the Company's initial public offering in October 2020. In connection with the Series F Offering, investors who purchased more than their pro-rata amount in the financing received a calculated number of contingent value rights (CVRs). One CVR represents 0.00375% of the Company’s interest in the drug ficlatuzumab, which began a Phase 3 clinical trial in January 2024 (see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below). In January 2016, the Company issued 3,999 CVRs, or 15% interest in the drug ficlatuzumab, originally valued at $0.5 million. The initial estimated value of the CVRs were recorded as a liability and as a reduction to the Series F proceeds. Subsequent to recoupment of our initial co-development costs, upon receipt of a milestone, royalty, or any other type of payment from the Company’s ownership rights in the drug, the Company is required to make a cash payment to the CVR holders equal to 15% of net proceeds, as defined. During the years ended December 31, 2024 and 2023, the Company recorded no change in fair value through the statements of operations due to the probability of receiving net proceeds in excess of our initial co-development costs.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18"/>
                <w:szCs w:val="18"/>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24,713</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0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36,962</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33,479</w:t>
            </w:r>
          </w:p>
        </w:tc>
        <w:tc>
          <w:tcPr>
            <w:tcW w:w="100" w:type="dxa"/>
            <w:vAlign w:val="bottom"/>
            <w:tcBorders>
              <w:top w:val="single" w:sz="8" w:color="CCEEFF"/>
            </w:tcBorders>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(9,134 )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(5,612 )</w:t>
            </w:r>
          </w:p>
        </w:tc>
      </w:tr>
      <w:tr>
        <w:trPr>
          <w:trHeight w:val="210"/>
        </w:trPr>
        <w:tc>
          <w:tcPr>
            <w:tcW w:w="70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00" w:type="dxa"/>
            <w:vAlign w:val="bottom"/>
            <w:tcBorders>
              <w:top w:val="single" w:sz="8" w:color="CCEEFF"/>
            </w:tcBorders>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-453390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property and equipment was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8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8"/>
                <w:szCs w:val="18"/>
                <w:color w:val="auto"/>
              </w:rPr>
            </w:pPr>
          </w:p>
        </w:tc>
      </w:tr>
      <w:tr>
        <w:trPr>
          <w:trHeight w:val="249"/>
        </w:trPr>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88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21"/>
                <w:szCs w:val="21"/>
                <w:color w:val="auto"/>
              </w:rPr>
            </w:pPr>
          </w:p>
        </w:tc>
      </w:tr>
      <w:tr>
        <w:trPr>
          <w:trHeight w:val="494"/>
        </w:trPr>
        <w:tc>
          <w:tcPr>
            <w:tcW w:w="4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w:t>
            </w:r>
          </w:p>
        </w:tc>
        <w:tc>
          <w:tcPr>
            <w:tcW w:w="20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24"/>
        </w:trPr>
        <w:tc>
          <w:tcPr>
            <w:tcW w:w="5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Intangible assets, excluding goodwill, consist of the following (in thousands):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4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5"/>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60" w:type="dxa"/>
            <w:vAlign w:val="bottom"/>
          </w:tcPr>
          <w:p>
            <w:pPr>
              <w:spacing w:after="0"/>
              <w:rPr>
                <w:sz w:val="18"/>
                <w:szCs w:val="18"/>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Amortizatio</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n</w:t>
            </w:r>
          </w:p>
        </w:tc>
        <w:tc>
          <w:tcPr>
            <w:tcW w:w="160" w:type="dxa"/>
            <w:vAlign w:val="bottom"/>
          </w:tcPr>
          <w:p>
            <w:pPr>
              <w:spacing w:after="0"/>
              <w:rPr>
                <w:sz w:val="20"/>
                <w:szCs w:val="20"/>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(877 )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(752 )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Purchased technology</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(12,206 )</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(10,328 )</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00" w:type="dxa"/>
            <w:vAlign w:val="bottom"/>
            <w:shd w:val="clear" w:color="auto" w:fill="CFF0FC"/>
          </w:tcPr>
          <w:p>
            <w:pPr>
              <w:spacing w:after="0"/>
              <w:rPr>
                <w:sz w:val="18"/>
                <w:szCs w:val="18"/>
                <w:color w:val="auto"/>
              </w:rPr>
            </w:pPr>
          </w:p>
        </w:tc>
      </w:tr>
      <w:tr>
        <w:trPr>
          <w:trHeight w:val="198"/>
        </w:trPr>
        <w:tc>
          <w:tcPr>
            <w:tcW w:w="4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Intangible assets not subject to</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18,957</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(13,083 )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(11,080 )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-2322195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-2305685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-2305685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-170815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definite-lived intangible assets was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160" w:type="dxa"/>
            <w:vAlign w:val="bottom"/>
            <w:tcBorders>
              <w:bottom w:val="single" w:sz="8" w:color="auto"/>
            </w:tcBorders>
            <w:gridSpan w:val="5"/>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3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406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gridSpan w:val="3"/>
            <w:shd w:val="clear" w:color="auto" w:fill="CFF0FC"/>
          </w:tcPr>
          <w:p>
            <w:pPr>
              <w:jc w:val="center"/>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30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tcPr>
          <w:p>
            <w:pPr>
              <w:spacing w:after="0"/>
              <w:rPr>
                <w:sz w:val="18"/>
                <w:szCs w:val="18"/>
                <w:color w:val="auto"/>
              </w:rPr>
            </w:pPr>
          </w:p>
        </w:tc>
      </w:tr>
      <w:tr>
        <w:trPr>
          <w:trHeight w:val="250"/>
        </w:trPr>
        <w:tc>
          <w:tcPr>
            <w:tcW w:w="4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center"/>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628"/>
        </w:trPr>
        <w:tc>
          <w:tcPr>
            <w:tcW w:w="4340" w:type="dxa"/>
            <w:vAlign w:val="bottom"/>
          </w:tcPr>
          <w:p>
            <w:pPr>
              <w:spacing w:after="0"/>
              <w:rPr>
                <w:sz w:val="24"/>
                <w:szCs w:val="24"/>
                <w:color w:val="auto"/>
              </w:rPr>
            </w:pPr>
          </w:p>
        </w:tc>
        <w:tc>
          <w:tcPr>
            <w:tcW w:w="4060" w:type="dxa"/>
            <w:vAlign w:val="bottom"/>
            <w:gridSpan w:val="2"/>
          </w:tcPr>
          <w:p>
            <w:pPr>
              <w:jc w:val="right"/>
              <w:ind w:right="2510"/>
              <w:spacing w:after="0"/>
              <w:rPr>
                <w:sz w:val="20"/>
                <w:szCs w:val="20"/>
                <w:color w:val="auto"/>
              </w:rPr>
            </w:pPr>
            <w:r>
              <w:rPr>
                <w:rFonts w:ascii="Times New Roman" w:cs="Times New Roman" w:eastAsia="Times New Roman" w:hAnsi="Times New Roman"/>
                <w:sz w:val="18"/>
                <w:szCs w:val="18"/>
                <w:color w:val="auto"/>
              </w:rPr>
              <w:t>F-17</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3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-933450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-916305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Future estimated amortization expense of intangible assets is (in thousands):</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02"/>
        </w:trPr>
        <w:tc>
          <w:tcPr>
            <w:tcW w:w="7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60" w:type="dxa"/>
            <w:vAlign w:val="bottom"/>
          </w:tcPr>
          <w:p>
            <w:pPr>
              <w:spacing w:after="0"/>
              <w:rPr>
                <w:sz w:val="24"/>
                <w:szCs w:val="24"/>
                <w:color w:val="auto"/>
              </w:rPr>
            </w:pPr>
          </w:p>
        </w:tc>
      </w:tr>
      <w:tr>
        <w:trPr>
          <w:trHeight w:val="238"/>
        </w:trPr>
        <w:tc>
          <w:tcPr>
            <w:tcW w:w="7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1,994</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1,036</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547</w:t>
            </w:r>
          </w:p>
        </w:tc>
      </w:tr>
      <w:tr>
        <w:trPr>
          <w:trHeight w:val="250"/>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5,757</w:t>
            </w:r>
          </w:p>
        </w:tc>
      </w:tr>
      <w:tr>
        <w:trPr>
          <w:trHeight w:val="493"/>
        </w:trPr>
        <w:tc>
          <w:tcPr>
            <w:tcW w:w="75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7 – Accrued Liabilities</w:t>
            </w:r>
          </w:p>
        </w:tc>
        <w:tc>
          <w:tcPr>
            <w:tcW w:w="10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32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4"/>
        </w:trPr>
        <w:tc>
          <w:tcPr>
            <w:tcW w:w="75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660" w:type="dxa"/>
            <w:vAlign w:val="bottom"/>
            <w:tcBorders>
              <w:bottom w:val="single" w:sz="8" w:color="auto"/>
            </w:tcBorders>
          </w:tcPr>
          <w:p>
            <w:pPr>
              <w:spacing w:after="0"/>
              <w:rPr>
                <w:sz w:val="24"/>
                <w:szCs w:val="24"/>
                <w:color w:val="auto"/>
              </w:rPr>
            </w:pPr>
          </w:p>
        </w:tc>
      </w:tr>
      <w:tr>
        <w:trPr>
          <w:trHeight w:val="210"/>
        </w:trPr>
        <w:tc>
          <w:tcPr>
            <w:tcW w:w="75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8"/>
                <w:szCs w:val="18"/>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related accruals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6,770</w:t>
            </w:r>
          </w:p>
        </w:tc>
        <w:tc>
          <w:tcPr>
            <w:tcW w:w="1340" w:type="dxa"/>
            <w:vAlign w:val="bottom"/>
            <w:gridSpan w:val="3"/>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3,855</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102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983</w:t>
            </w:r>
          </w:p>
        </w:tc>
      </w:tr>
      <w:tr>
        <w:trPr>
          <w:trHeight w:val="216"/>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2,375</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2,872</w:t>
            </w:r>
          </w:p>
        </w:tc>
      </w:tr>
      <w:tr>
        <w:trPr>
          <w:trHeight w:val="20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10,064</w:t>
            </w:r>
          </w:p>
        </w:tc>
        <w:tc>
          <w:tcPr>
            <w:tcW w:w="134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7,710</w:t>
            </w:r>
          </w:p>
        </w:tc>
      </w:tr>
      <w:tr>
        <w:trPr>
          <w:trHeight w:val="20"/>
        </w:trPr>
        <w:tc>
          <w:tcPr>
            <w:tcW w:w="75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1028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long-term debt primarily consists of notes payable associated with our Perceptive Term Loan Facility which is described in further detail below. Long-term notes payable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2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18"/>
                <w:szCs w:val="18"/>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Perceptive Term Loan Facility</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debt issuance costs</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(3,597 )</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(4,802 )</w:t>
            </w:r>
          </w:p>
        </w:tc>
      </w:tr>
      <w:tr>
        <w:trPr>
          <w:trHeight w:val="210"/>
        </w:trPr>
        <w:tc>
          <w:tcPr>
            <w:tcW w:w="7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36,429</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35,276</w:t>
            </w: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notes payable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36,408</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35,225</w:t>
            </w:r>
          </w:p>
        </w:tc>
        <w:tc>
          <w:tcPr>
            <w:tcW w:w="10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-453390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Perceptive Term Loan Facility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16, 2022 (the Closing Date), the Company entered into a Credit Agreement and Guaranty (the Credit Agreement) with Perceptive Credit Holdings IV, LP as lender and administrative agent (the Lender). The Credit Agreement provides for a senior secured delayed draw term loan facility with Perceptive Advisors LLC (Perceptive) (the Perceptive Term Loan Facility). The Tranche A Loan, in an aggregate amount of up to $30.0 million (the Tranche A Loan), was funded under the Perceptive Term Loan Facility on November 21, 2022 (the Funding Date). The Company's net proceeds from the Tranche A Loan were approximately $27.9 million, after deducting debt issuance costs and expenses. In addition to the Tranche A Loan, the Perceptive Term Loan Facility included an additional Tranche B Loan, in an aggregate amount of up to $10.0 million, and an additional Tranche C Loan, in an aggregate amount of up to $10.0 million, which were accessible by the Company so long as the Company satisfied certain customary conditions precedent, including revenue milestones. On December 15, 2023, the Company exercised its ability to draw the Tranche B loan for $10.0 million. The Tranche C loan had a commitment date through September 30, 2024 and, as of that date, the Company did not exercise its ability to draw the Tranche C loan. The Perceptive Term Loan Facility has a maturity date of November 21, 2027 (the Maturity Date) and provides for an interest-only period during the term of the loan with principal due at the Maturity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Perceptive Term Loan Facility will accrue interest at an annual rate equal to the greater of (a) forward-looking one-month term SOFR as posted by CME Group Inc. and (b) 3.0% per annum, plus an applicable margin of 9.0%. As of December 31, 2024, the stated interest rate was approximately 13.3%.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and Prepayment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Maturity Date, the Company is required to pay the Lender the aggregate outstanding principal amount underlying the Perceptive Term Loan Facility and any accrued and unpaid interest thereon. Prior to the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Instruments and Warrants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consideration for the Credit Agreement, the Company has issued, on the Funding Date, the Perceptive Warrant of up to 5,000,000 shares of the Company's common stock, including the Initial Warrants which are equity classified at a per share exercise price equal to $1.0648 which is equal to the 10-day volume weighted average price (VWAP) of the Company’s common stock, on the business day immediately prior to the Closing Date of the Tranche A Loan. In connection with the Tranche B borrowing, additional warrants became exercisable into 1,000,000 shares of common stock with a per share exercise price equal to $1.0648, which is equal to the Initial Warrant exercise price and expire on December 15, 2033 (the Tranche B Warrants).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addition to the Initial and Tranche B Warrants, additional warrants would become exercisable into 1,000,000 shares of common stock concurrently with the borrowing date of the Tranche C Loan (the Tranche C Warrants). The Company accounted for the Tranche C Warrants as liabilities as the Tranche C Warrants did not meet the criteria for equity treatment (see Note 4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The Tranche C loan was not drawn by the loan commitment date and the associated Tranche C Warrants expired and are no longer exercisable.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Warranties, Covenants, and Events of Default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 minimum cash balance of $2.5 million; and (ii) as of the last day of each fiscal quarter commencing on the fiscal quarter ending March 31, 2023, meet certain minimum net revenue threshold amounts agreed to between the Company and Perceptive.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May 10, 2023, the Company entered into the First Amendment with the Lender, whereby subject to the terms and conditions of the First Amendment, the Minimum Net Revenue Covenant (as defined in the Credit Agreement) was amended to reduce the relevant threshold of each fiscal quarter commencing on the fiscal quarter ending June 30, 2023 through and including the fiscal quarter ending March 31, 2024. As consideration for the First Amendment, the Company agreed to issue to Perceptive a warrant to purchase up to 500,000 shares of the Company’s common stock (the First Amendment Warrants) which are equity classified at a per share exercise price equal to $1.6254 (see Note 10 -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4, 2023 (the Second Amendment Effective Date),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on the fiscal quarter ending June 30, 2024 through and including the fiscal quarter ending December 31,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Second Amendment, the conditions precedent for drawing on the Tranche B Loan were amended to (i) reduce the trailing twelve-month revenue milestone and (ii) add the receipt of aggregate cash proceeds of at least $27.5 million from an equity offering of the Company's common stock. During the three months ended December 31, 2023, the amended conditions precedent were met and on December 15, 2023, the Company exercised its ability to draw the Tranche B loan for $10.0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29, 2024 (the Third Amendment Effective Date), the Company entered into the Third Amendment to the Credit Agreement and Guaranty (the Third Amendment) with Perceptive as lender and administrative agent and the Company, as borrower, whereby subject to the terms and conditions of the Third Amendment, the Minimum Net Revenue Covenant (as defined in the Credit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0" w:name="page111"/>
    <w:bookmarkEnd w:id="110"/>
    <w:p>
      <w:pPr>
        <w:jc w:val="both"/>
        <w:spacing w:after="0" w:line="282" w:lineRule="auto"/>
        <w:rPr>
          <w:sz w:val="20"/>
          <w:szCs w:val="20"/>
          <w:color w:val="auto"/>
        </w:rPr>
      </w:pPr>
      <w:r>
        <w:rPr>
          <w:rFonts w:ascii="Times New Roman" w:cs="Times New Roman" w:eastAsia="Times New Roman" w:hAnsi="Times New Roman"/>
          <w:sz w:val="18"/>
          <w:szCs w:val="18"/>
          <w:color w:val="auto"/>
        </w:rPr>
        <w:t>was amended to reduce the relevant threshold as of the last day of each fiscal quarter commencing on the fiscal quarter ending March 31, 2024 through and including the fiscal quarter ending December 31, 2025.</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30, 2024 (the Fourth Amendment Effective Date), the Company entered into the Fourth Amendment to the Credit Agreement and Guaranty (the Fourth Amendment) with Perceptive, as lender and administrative agent, and the Company, as borrower, whereby subject to the terms and conditions of the Fourth Amendment, the Minimum Net Revenue Covenant (as defined in the Credit Agreement) was amended to reduce the relevant threshold as of the last day of each fiscal quarter commencing on the fiscal quarter ending June 30, 2025 through and including the fiscal quarter ending December 31, 2027.</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As of December 31, 2024, the Company was in compliance with all restrictive and financial covenants associated with its borrowings. The occurrence of an Event of Default could result in, among other things, the declaration that all outstanding principal and interest under the Perceptive Term Loan Facility are immediately due and payable in whole or in part.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Closing Date, the Initial Warrants and Additional Warrants were valued at $2.9 million and $0.1 million, respectively, using the Black-Scholes option-pricing model, estimated settlement probabilities and estimated exercise prices. As a result of the fees paid to Perceptive and the value of the Perceptive Warrant, the Company recognized a discount on the Perceptive Term Loan in the amount of $5.2 million. The First Amendment Warrants were valued at $0.7 million using the Black-Scholes option-pricing model which the recognized as a discount on the Perceptive Term Loan Facility. The Company recorded the debt discount as a reduction to the principal amount of the debt and is amortized as interest expense over the life of the debt.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Scheduled principal repayments (maturities) of long-term obligations were as follows (in thousands):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2"/>
        </w:trPr>
        <w:tc>
          <w:tcPr>
            <w:tcW w:w="8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1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8"/>
                <w:szCs w:val="18"/>
                <w:color w:val="auto"/>
              </w:rPr>
            </w:pPr>
          </w:p>
        </w:tc>
      </w:tr>
      <w:tr>
        <w:trPr>
          <w:trHeight w:val="210"/>
        </w:trPr>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40,026</w:t>
            </w:r>
          </w:p>
        </w:tc>
        <w:tc>
          <w:tcPr>
            <w:tcW w:w="100" w:type="dxa"/>
            <w:vAlign w:val="bottom"/>
          </w:tcPr>
          <w:p>
            <w:pPr>
              <w:spacing w:after="0"/>
              <w:rPr>
                <w:sz w:val="18"/>
                <w:szCs w:val="18"/>
                <w:color w:val="auto"/>
              </w:rPr>
            </w:pPr>
          </w:p>
        </w:tc>
      </w:tr>
      <w:tr>
        <w:trPr>
          <w:trHeight w:val="20"/>
        </w:trPr>
        <w:tc>
          <w:tcPr>
            <w:tcW w:w="8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acts as a lessee under all its lease agreements. In January 2024 the Company relocated its corporate headquarters and laboratory facilities to Louisville, Colorado. The Company also leases laboratory and office space in De Soto, Kansas, under a non-cancelable lease agreement for approximately 9,066 square feet that is set to expire in October 2026. The Company's De Soto lease agreement was amended on April 12, 2024 to include an additional 1,772 square feet of office space. The Company also holds various copier and equipment leases under non-cancelable lease agreements that expire within the next five years.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Centennial Valley Properties I, LLC Lease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11, 2022, the Company entered into a Lease Agreement (the Lease) with Centennial Valley Properties I, LLC and subsequently assigned to CVP I Owner LLC, a Colorado limited liability company (the Landlord) for office and laboratory space in Louisville, Colorado (the Leased Premises). The initial term of the Lease is twelve years (the Initial Term) from the commencement date, which was April 1, 2023 (the Commencement Date). The Company has two renewal options to extend the term of the Lease for an additional seven- or ten-year terms for each renewal.</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Lease, the Company is leasing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Company's obligation to pay base rent shall be abated, commencing as of the Commencement Date and ending on March 31, 2024 (the Abated Rent Period). Further, the Company's obligation to pay base rent with respect to a portion of the area of the Lease Premises equal to 19,980 square feet shall be abated (the Partial Abated Rent), commencing as of April 1, 2024 and ending on March 31, 2025 (the Partial Abated Rent Period). Pursuant to a work letter entered by the parties in connection with the Lease, the Landlord contributed an aggregate of $18.8 million toward the cost of construction and improvements for the Leased Premises and the Company exercised its option for an additional tenant improvement allowance of $2.0 million (the Extra Allowance Amount). The Company will repay the Extra Allowance Amount actually funded by the Landlord in equal monthly payments with an interest rate of 6% per year over the Initial Term excluding any part of the Abated Rent Period or Partial Abated Rent Period, which shall start to accrue on the date that the Landlord first disburses the Extra Allowance Amount. The Company made an accounting policy election to reduce the right-of-use asset and lease liability at lease commencement because the Lease specifies a maximum level of reimbursement for tenant improvements which are probable of being incurred and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1" w:name="page112"/>
    <w:bookmarkEnd w:id="111"/>
    <w:p>
      <w:pPr>
        <w:jc w:val="both"/>
        <w:spacing w:after="0" w:line="266" w:lineRule="auto"/>
        <w:rPr>
          <w:sz w:val="20"/>
          <w:szCs w:val="20"/>
          <w:color w:val="auto"/>
        </w:rPr>
      </w:pPr>
      <w:r>
        <w:rPr>
          <w:rFonts w:ascii="Times New Roman" w:cs="Times New Roman" w:eastAsia="Times New Roman" w:hAnsi="Times New Roman"/>
          <w:sz w:val="18"/>
          <w:szCs w:val="18"/>
          <w:color w:val="auto"/>
        </w:rPr>
        <w:t>within the Company's control. Due to the tenant improvement allowances at the accounting lease commencement date and rent abatement periods described above, the Company expects the lease liability to accrete to approximately $25.1 million by March 2025. The Company utilized the total $20.8 million in tenant improvement allowances for capital expenditures for leasehold improvements throughout the year ended December 31, 2023.</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Lease includes various covenants, indemnities, defaults, termination rights, and other provisions customary for lease transactions of this nature. During the three months ended September 30, 2022, a $5.0 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The $5.0 million refundable deposit is included within 'Other long-term assets' in the balance sheet as of December 31, 2024 and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expense for all operating leases was $2.3 million and $4.3 million for the year ended December 31, 2024 and 2023, respectively. As of December 31, 2024, the weighted-average remaining lease term and discount rate associated with our operating leases were 10 years and 11.40%, respectively.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associated with our operating leases were as follows (in thousands):</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2"/>
        </w:trPr>
        <w:tc>
          <w:tcPr>
            <w:tcW w:w="9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9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23,870</w:t>
            </w:r>
          </w:p>
        </w:tc>
        <w:tc>
          <w:tcPr>
            <w:tcW w:w="100" w:type="dxa"/>
            <w:vAlign w:val="bottom"/>
          </w:tcPr>
          <w:p>
            <w:pPr>
              <w:spacing w:after="0"/>
              <w:rPr>
                <w:sz w:val="18"/>
                <w:szCs w:val="18"/>
                <w:color w:val="auto"/>
              </w:rPr>
            </w:pPr>
          </w:p>
        </w:tc>
      </w:tr>
      <w:tr>
        <w:trPr>
          <w:trHeight w:val="209"/>
        </w:trPr>
        <w:tc>
          <w:tcPr>
            <w:tcW w:w="9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44,079</w:t>
            </w:r>
          </w:p>
        </w:tc>
        <w:tc>
          <w:tcPr>
            <w:tcW w:w="100" w:type="dxa"/>
            <w:vAlign w:val="bottom"/>
            <w:shd w:val="clear" w:color="auto" w:fill="CCEEFF"/>
          </w:tcPr>
          <w:p>
            <w:pPr>
              <w:spacing w:after="0"/>
              <w:rPr>
                <w:sz w:val="18"/>
                <w:szCs w:val="18"/>
                <w:color w:val="auto"/>
              </w:rPr>
            </w:pP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2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(18,532 )</w:t>
            </w:r>
          </w:p>
        </w:tc>
      </w:tr>
      <w:tr>
        <w:trPr>
          <w:trHeight w:val="249"/>
        </w:trPr>
        <w:tc>
          <w:tcPr>
            <w:tcW w:w="9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Restated Certificate of Incorporation authorizes the Company to issue up to 200,000,000 shares of common stock with a par value of $0.001 per share. The holder of each share of common stock is entitled to one vote per share. The common shareholders are entitled to dividends whenever funds and assets are legally available and when and if declared by the Board of Directors. The Company is currently subject to restrictions on the payment of dividends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no dividends have been declared as of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Restated Certificate of Incorporation authorizes the Company to issue up to 5,000,000 shares of preferred stock with a par value of $0.001 per share. As of December 31, 2024 and 2023, no shares of preferred stock were issued or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 Programs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two facilities that enable equity financing on an ongoing basis at the Company’s discretion, our at-the-market (ATM) offering and our common stock purchase agreement with Lincoln Park Capital Fund, LLC (Lincoln Park).</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2021, the Company entered into a sales agreement with a financial institution, pursuant to which the Company may issue and sell, from time to time, shares of its common stock having an aggregate offering price of up to $50.0 million (the ATM Shares), subject to terms and conditions. The ATM Shares will be offered and sold by the Company pursuant to its previously filed and currently effective registration statement on Form S-3, and sales of common stock,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7, 2022 (the LPC Effective Date), the Company entered into a purchase agreement with Lincoln Park Capital Fund, LLC (the Purchase Agreement), pursuant to which Lincoln Park has committed to purchase up to $50.0 million of the Company's common stock (the LPC Facility). Under the terms and subject to the conditions of the Purchase Agreement, the Company has the right, but not the obligation, to sell to Lincoln Park, and Lincoln Park is obligated to purchase up to $50.0 million of the Company’s common stock. Such sales of common stock by the Company, if any, will be subject to certain limitations, and may occur from time to time, at the Company’s sole discretion, over the 36-month period commencing on the LPC Effective Date. The Purchase Agreement may be terminated by the Company at any time, at its sole discretion, without any cost or penalty, by giving one business day notice to Lincoln Park to terminate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2" w:name="page113"/>
    <w:bookmarkEnd w:id="112"/>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Agreement. Lincoln Park has covenanted not to cause or engage in any manner whatsoever, any direct or indirect short selling or hedging of the common stock.</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the LPC Effective Date, the Company issued 184,275 shares of common stock to Lincoln Park as a commitment fee (the Initial Commitment Shares) for which the Company did not receive consideration and, upon the available amount being reduced to an amount equal to or less than $20.0 million, the Company will be required to issue 61,425 shares (the Additional Commitment Shares and together with the Initial Commitment Shares, collectively, the Commitment Shares). The Initial Commitment Shares issued were valued at $0.6 million and, together with due diligence expenses and legal fees of $0.1 million, reflect deferred offering costs of $0.7 million, were included on the balance sheet in 'Other long-term assets'. The deferred offering costs were charged against 'Additional paid-in capital' based upon proceeds from the sale of common stock under the Purchase Agreement. During the years ended December 31, 2024 and 2023, there were no deferred offering costs charged against 'Additional paid-in capital'. During the year ended December 31, 2024, the Company expensed $0.7 million of deferred offering costs to 'Other (expense) income, net' in the statements of operations as a result of changes in the probability of our ability to fully utilize the LPC Facility prior to the termination date. As of December 31, 2024, zero deferred offering costs remain. As of December 31, 2024, the Company had remaining available capacity for share issuances of up to $46.9 million under the LPC facility, subject to the restrictions and limitations of the underlying facilities. Effective February 5, 2025, the Company terminated the LPC Facility.</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2024, the Company raised approximately $0.6 million ($0.6 million after deducting underwriting discounts and commissions and offering expenses payable), in gross proceeds from the sale of 313,928 common shares at a weighted average price per share of $1.99 under the ATM facility. On April 5, 2024, the Company filed Supplement No. 1 to the ATM Prospectus Supplement dated December 22, 2021. To comply with volume limitations under applicable SEC rules and regulations, Supplement No. 1 reduced the aggregate offering price to up to $100,000 of shares in order to maximize the amount the Company could offer under the April 2024 Offering (defined below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Following the successful completion of the Company’s April 2024 Offering, the Company is no longer subject to volume limitations under applicable SEC rules and regulations that limit their availability as sources of funding. On August 7, 2024, the Company filed Supplement No. 2 to the ATM Prospectus Supplement dated December 22, 2021 to increase the aggregate offering price under the ATM facility up to $50.0 million of shares. On November 1, 2024, the Company filed a shelf registration statement on Form S-3 and entered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which became effective with the SEC on November 12, 2024.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In connection with establishing the 2024 ATM Program, the Company terminated its prior $50.0 million ATM program established in November 2021, and no additional stock can be issued thereunder. As of December 31, 2024, the Company had remaining available capacity for share issuances of up to $50.0 million under the ATM facility.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2024 Offering Summary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9, 2024, the Company closed an underwritten offering of common stock and a concurrent private placement which are described in further detail below. Collectively, the Company raised net proceeds of approximately $51.3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9, 2024, the Company closed an underwritten offering (the Offering) of 17,391,832 shares of its common stock (the Common Stock). The Common Stock was issued and sold pursuant to an underwriting agreement (the Underwriting Agreement), dated April 5, 2024, by and between the Company and TD Securities (USA) LLC, William Blair &amp; Company, L.L.C., and Canaccord Genuity LLC as representatives of the underwriters (the Underwriters), at a price to the public of $1.15 per share. The Company received net proceeds of approximately $18.2 million from the Offering after deducting underwriting discounts and commissions and estimated offering expenses payable by the Company.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other obligations of the parties and termination provisions. The Underwriting Agreement also includes lock up restrictions that will be in effect during the period ending 90 days subsequent to April 5, 2024. The representations, warranties, and agreements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Offering was made pursuant to the Company’s effective Registration Statement on Form S-3 (File No. 333-261095) previously filed with the SEC on November 29, 2021 and a prospectus supplement, dated April 5, 2024 relating to the Offering</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Concurrent Private Placement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5, 2024, the Company entered into securities purchase agreements (the Securities Purchase Agreements) with various investors, including certain members of management, certain of its directors and funds affiliated with those directors (the Investors) for the issuance and sale by the Company of an aggregate of 760,857 shares of Series A Non-Voting Convertible Preferred Stock, par value $0.001 per share (the Series A Preferred Stock) in an offering (the Concurrent Private Placement). The Preferred Stock was issued to the Investors pursuant to an exemption from the registration requirements of the Securities Act of 1933, as amended (the Securities Act) afforded by Section 4(a)(2) of the Securities Act. Pursuant to the terms of the Securities Purchase Agreements, the Company agreed to submit to its stockholders the approval of the (i) conversion of the Preferred Stock into shares of Common Stock in accordance with Nasdaq Stock Market Rules (the Conversion Proposal) and (ii) the issuance of Series A Preferred Stock to certain members of management, certain of its directors and funds affiliated with those directors (the Issuance Proposal) at its 2024 annual meeting of stockholders. The Securities Purchase Agreements include customary representations, warranties and covenants by the parties to the agreement.</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Securities Purchase Agreements, the Investors purchased the Preferred Stock at a purchase price of $46.00 per share for an aggregate purchase price of approximately $35.0 million, net of fees of approximately $1.9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Concurrent Private Placement, the Company also entered into a Registration Rights Agreement, dated April 5, 2024 (the Registration Rights Agreement), with the Investors, which provides that the Company will register the resale of the shares of Common Stock issuable upon conversion of the Preferred Stock. Pursuant to the Registration Rights Agreement, the Company was required to prepare and file an initial registration statement with the SEC as soon as reasonably practicable, but in no event later than April 23, 2024 (the Filing Deadline), and to use reasonable best efforts to have the registration statement declared effective within 50 days after the closing of the Concurrent Private Placement, subject to the approval of the conversion of the Private Placement Shares being received at the Company’s 2024 annual meeting of stockholders.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8, 2024, the Company filed a Certificate of Designations of Preferences, Rights and Limitations of the Series A Non-Voting Convertible Preferred Stock with the Secretary of State of the State of Delaware (the Certificate of Designations) in connection with the Concurrent Private Placement. The Certificate of Designations provided for the issuance of up to 760,857 shares of the Series A Preferred Stock.</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stockholder approval of the Conversion Proposal, each share of Series A Preferred Stock automatically converted into 40 shares of Common Stock, subject to certain limitations, including that a holder of Series A Preferred Stock was prohibited from converting shares of Series A Preferred Stock into shares of Common Stock if, as a result of such conversion, such holder, together with its affiliates, would beneficially own more than a specified percentage (established by the holder between 0% and 19.9%) of the total number of shares of Common Stock issued and outstanding immediately after giving effect to such conversion.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2024, the Company held its 2024 annual meeting of stockholders in which the Conversion Proposal and Issuance Proposal were approved by the Company's stockholders. Upon approval, each share of Series A Preferred Stock automatically converted into 40 shares of Common Stock and, on May 23, 2024, the Company issued 30,434,280 shares of Common Stock in exchange for all Series A Preferred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2018, the Company issued warrants to purchase shares of convertible preferred stock in conjunction with the sale of certain convertible preferred shares and issuance of debt.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Through the effective date of the Company’s initial public offering (IPO) in October 2020, the Series G warrants were remeasured to an estimate of fair value using a Black-Scholes pricing model. As a result of the Company’s IPO, the preferred stock warrants were automatically converted to warrants to purchase 103,326 shares of common stock with a weighted average exercise price of $4.46 and were also transferred to additional paid-in capital. All common stock warrants remain outstanding as of December 31, 2024.</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November 21, 2022, as consideration for the Perceptive Term Loan Facility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issued the Perceptive Warrant to purchase up to 5,000,000 shares of the Company's common stock, including the Initial Warrants. The per share exercise price for the Initial Warrants is equal to $1.0648, which is equal to the lower of (A) the 10-day VWAP of the Company’s common stock on the business day immediately prior to the Closing Date of the Tranche A Loan or (B) the public offering price per share of common stock of $1.15. The Initial Warrants are equity classified and were immediately exercisable upon issuance and expire on November 21, 2032. The Initial Warrants were valued at $2.9 million using the Black-Scholes option-pricing model assuming an expected term of 10 years, a volatility of 81.3%, a dividend yield of 0% and a risk-free interest rate of 3.67%. All Initial Warrants remain outstanding as of December 31, 2024.</w:t>
      </w:r>
    </w:p>
    <w:p>
      <w:pPr>
        <w:spacing w:after="0" w:line="7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On May 10, 2023, as consideration for the First Amendment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agreed to issue to Perceptive a warrant to purchase up to 500,000 shares of the Company’s common stock (the First Amendment Warrants) at a per share exercise price equal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4" w:name="page115"/>
    <w:bookmarkEnd w:id="114"/>
    <w:p>
      <w:pPr>
        <w:jc w:val="both"/>
        <w:spacing w:after="0" w:line="261" w:lineRule="auto"/>
        <w:rPr>
          <w:sz w:val="20"/>
          <w:szCs w:val="20"/>
          <w:color w:val="auto"/>
        </w:rPr>
      </w:pPr>
      <w:r>
        <w:rPr>
          <w:rFonts w:ascii="Times New Roman" w:cs="Times New Roman" w:eastAsia="Times New Roman" w:hAnsi="Times New Roman"/>
          <w:sz w:val="18"/>
          <w:szCs w:val="18"/>
          <w:color w:val="auto"/>
        </w:rPr>
        <w:t>to $1.6254, which is equal to the 10-day VWAP of the Company’s common stock ending on the business day immediately prior to the First Amendment Effective Date. The First Amendment Warrants are equity classified and immediately exercisable upon issuance and expire on May 10, 2033. The First Amendment Warrants were valued at $0.7 million using the Black-Scholes option-pricing model assuming an expected term of 10 years, a volatility of 78.7%, a dividend yield of 0% and a risk-free interest rate of 3.49%. All First Amendment Warrants remain outstanding as of December 31, 2024.</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December 15, 2023 (the Tranche B Borrowing Date), the Company exercised its ability to draw the Tranche B loan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connection with the Tranche B draw, the Company remeasured the Tranche B Warrants through the Tranche B Borrowing Date and recorded the change in fair value through the statements of operations and, subsequently, reclassified the fair value to additional paid-in capital. The Tranche B Warrants are now equity classified and immediately exercisable upon issuance and expire on December 15, 2033. The Tranche B Warrants were valued at $1.3 million using the Black-Scholes option-pricing model assuming an expected term of 10 years, a volatility of 76.2%, a dividend yield of 0% and a risk-free interest rate of 3.91%. All Tranche B Warrants remain outstanding as of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Revenue and Accounts Receivable Credit Concentration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derive our revenue from two sources: (i) Lung Diagnostic Testing, providing lung diagnostic testing services for healthcare providers associated with our five blood-based tests and (ii) Development Services, providing diagnostic testing services to biopharmaceutical, life sciences, and diagnostic companies.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Lung Diagnostic Testing revenues consist of blood-based lung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test type,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Development 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Revenue for these services is recognized upon delivery of the completed test results, upon completion of the contractual milestone(s), or over the term of contract. In addition, Development Services also include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Revenues consisted of the following (in thousands):</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24"/>
        </w:trPr>
        <w:tc>
          <w:tcPr>
            <w:tcW w:w="7560" w:type="dxa"/>
            <w:vAlign w:val="bottom"/>
          </w:tcPr>
          <w:p>
            <w:pPr>
              <w:spacing w:after="0"/>
              <w:rPr>
                <w:sz w:val="24"/>
                <w:szCs w:val="24"/>
                <w:color w:val="auto"/>
              </w:rPr>
            </w:pPr>
          </w:p>
        </w:tc>
        <w:tc>
          <w:tcPr>
            <w:tcW w:w="29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r>
      <w:tr>
        <w:trPr>
          <w:trHeight w:val="210"/>
        </w:trPr>
        <w:tc>
          <w:tcPr>
            <w:tcW w:w="75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8"/>
                <w:szCs w:val="18"/>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Lung Diagnostic Testing</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64,708</w:t>
            </w:r>
          </w:p>
        </w:tc>
        <w:tc>
          <w:tcPr>
            <w:tcW w:w="124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45,192</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Services</w:t>
            </w: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6,615</w:t>
            </w: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3,895</w:t>
            </w:r>
          </w:p>
        </w:tc>
      </w:tr>
      <w:tr>
        <w:trPr>
          <w:trHeight w:val="250"/>
        </w:trPr>
        <w:tc>
          <w:tcPr>
            <w:tcW w:w="7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71,323</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49,087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1028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1028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revenue consists of cash payments from customers received in advance of delivery. As test results are delivered, the Company recognizes the deferred revenue in 'Revenues' in the statements of operations. The Company had $0.3 million in ‘Deferred revenue’ recorded in the balance sheet as of December 31, 2023 and $1.3 million was added throughout 2024 to ‘Deferred revenue’ for up-front cash payments received while $0.9 million was recognized in 'Revenues' during the year ended December 31, 2024. The ‘Deferred revenue’ of $0.7 million recorded in the balance sheet as of December 31, 2024 is expected to be recognized in revenues over the next twelve months as test results are delivered and services are performed. As of December 31, 2024 and 2023, the Company had $0.2 million and $0.3 million in non-current deferred revenue, respectively, recorded within ‘Other long-term liabilities’ in the balance sheets which represent amounts to be recognized in excess of twelve months from the respective balance sheet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customers in excess of 10% of total revenue and their related revenue as a percentage of total revenue were as follows: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7400" w:type="dxa"/>
            <w:vAlign w:val="bottom"/>
          </w:tcPr>
          <w:p>
            <w:pPr>
              <w:spacing w:after="0"/>
              <w:rPr>
                <w:sz w:val="24"/>
                <w:szCs w:val="24"/>
                <w:color w:val="auto"/>
              </w:rPr>
            </w:pPr>
          </w:p>
        </w:tc>
        <w:tc>
          <w:tcPr>
            <w:tcW w:w="384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740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Healthcare</w:t>
            </w: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above table, we collect reimbursement on behalf of customers covered by Medicare, which accounted for 39% and 43% of the Company’s total revenue for the years ended December 31, 2024 and 2023, respectively.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credit risk from its accounts receivable related to services provided to its customers. The Company’s third-party payors and other customers in excess of 10% of accounts receivable, and their related accounts receivable as a percentage of total accounts receivable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2060" w:type="dxa"/>
            <w:vAlign w:val="bottom"/>
            <w:tcBorders>
              <w:bottom w:val="single" w:sz="8" w:color="auto"/>
            </w:tcBorders>
            <w:gridSpan w:val="3"/>
          </w:tcPr>
          <w:p>
            <w:pPr>
              <w:ind w:left="1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7400" w:type="dxa"/>
            <w:vAlign w:val="bottom"/>
          </w:tcPr>
          <w:p>
            <w:pPr>
              <w:spacing w:after="0"/>
              <w:rPr>
                <w:sz w:val="18"/>
                <w:szCs w:val="18"/>
                <w:color w:val="auto"/>
              </w:rPr>
            </w:pPr>
          </w:p>
        </w:tc>
        <w:tc>
          <w:tcPr>
            <w:tcW w:w="1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18"/>
                <w:szCs w:val="18"/>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Daiichi Sankyo</w:t>
            </w: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Share 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2016 and 2006 Equity Incentive Plans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2006 Equity Incentive Plan (2006 Plan), the Company was authorized to grant incentive stock options, non-statutory stock options, stock appreciation rights, restricted stock awards and RSUs. No additional awards may be granted under the 2006 Plan.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2016, the Company adopted the 2016 Equity Incentive Plan (2016 Plan) as a successor to and continuation of the prior 2006 Plan. The 2016 Plan provided for the grant of incentive stock options, non-statutory stock options, stock appreciation rights, restricted stock awards, RSUs, and other stock awards to directors, employees, and consultants. Awards granted under the 2016 Plan or the 2006 Plan that were unallocated, expired or otherwise terminated, or were forfeited, cancelled, or repurchased by the Company, became available for future issuance under the 2016 Plan. In addition, shares subject to an award were withheld to satisfy a participant’s tax withholding obligations, or were reacquired by the Company as consideration for the exercise or purchase price of a stock award also became available for future issuance under the 2016 Incentive Plan. No additional awards may be granted under the 2016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upon the closing of our IPO, the Company’s Board of Directors approved the 2020 Equity Incentive Plan (2020 Plan), which replaced the 2016 Plan. The 2020 Plan provides for the grant of incentive stock options, non-statutory stock options, stock appreciation rights, restricted stock awards, RSUs, performance awards and other stock awards. Officers, directors, employees, consultants, agents, and independent contractors who provide services to the Company may receive awards. The terms of all awards are governed by an agreement between the Company and the recipients, as administered and approved by the Compensation Committee of the Board of Directors). Any awards that expire or are forfeited under the 2016 Plan or 2006 Plan become available for issuance under the 2020 Plan.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shares originally reserved for issuance under the 2020 Plan was 1,893,395. The 2020 Plan includes an annual increase on the first day of each calendar year, beginning with the calendar year ending December 31, 2022, and continuing until, and including, the calendar year ending December 31, 2030. The annual increase will be equal to the lesser of (i) 4% of the number of shares of our common stock issued and outstanding as of December 31st of the immediately preceding calendar year and (ii) such lesser amount determined by the Board of Directors.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an equity award granted under the 2020 Plan (other than any substitute award) or granted under any other equity plan maintained by us under which awards are outstanding as of the effective date of the 2020 Plan (the Prior Plans) expires or otherwise terminates without having been exercised or paid in full, or is settled in cash, the shares subject to such award will become available for future grant under the 2020 Plan. In addition, to the extent shares subject to an award are withheld to satisfy a participant’s tax withholding obligation upon the exercise or settlement of such award (other than any substitute award) or to pay the exercise price of a stock option granted under the 2020 Plan or a prior plan, such shares will become available for future grant under the 2020 Plan. The total number of shares available for grant under all plans as of December 31, 2024 was 662,106.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with our IPO in October 2020, the Company’s Board of Directors and its stockholders approved the Company’s Employee Stock Purchase Plan (the ESPP). The number of shares originally reserved for issuance under the ESPP was 338,106. The maximum number of shares of our common stock available under the ESPP will automatically increase on the first trading day of each calendar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6" w:name="page117"/>
    <w:bookmarkEnd w:id="1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year by an amount equal to the lesser of (i) 1% of the shares of our common stock issued and outstanding on December 31st of the immediately preceding calendar year, (ii) 338,106 shares of our common stock or (iii) an amount determined by our Board of Directors.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No employee may participate in an offering period if the employee owns 5% or more of the total combined voting power or value of the Company’s stock. The ESPP provides for successive six-month offering periods beginning on September 1st and March 1st of each year. During the year ended December 31, 2024, 471,843 shares were issued under the ESPP leaving 175,275 shares remaining for future issuance.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Awards Granted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granted incentive stock options, non-statutory stock options, performance-based stock options, and RSUs.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Incentive stock options, which may only be issued to employees, are granted at an exercise price per share equal to the closing market price of the Company’s common stock on the grant date, and vest over time as determined by the Compensation Committee, provided that the term of the options may not exceed ten years from the date of grant. Accelerated vesting may occur in the event of an optionee's death, disability, or other events.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Non-statutory stock options, which may be issued to employees, non-employees and directors, are granted at an exercise price per share equal to the closing market price of the Company’s common stock on the grant date, and vest over time as determined by the Compensation Committee, provided that the term of the options may not exceed ten years from the date of grant. Accelerated vesting may occur in the event of an optionee's death, disability, or other events.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Performance-based stock options are typically granted on an annual basis and consist of a performance-based and service-based component. The performance targets and vesting conditions for performance-condition options are based on achievement of recognized revenue targets. Performance-based options vest in three equal annual installments beginning one year after the grant date, pending certification of performance achievement by the Compensation Committee and continued service. The fair value of performance-condition awards is based on the closing market price of the Company’s common stock on the grant date. There are no performance-based stock options outstanding as of December 31, 2024.</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RSUs and the related terms and conditions are awarded at the discretion of the Compensation Committee. RSU holders have a contractual right to receive a share of common stock when vested. RSUs vest over time as determined by the Compensation Committee. RSU agreements may provide for accelerated vesting in the event of a stock unit holder's death, disability, or retirement or other events.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Committee may grant other stock awards that are based on or related to shares of our common stock, such as awards of shares of common stock granted as bonus and not subject to any vesting conditions, deferred stock units, stock purchase rights, and shares of our common stock issued in lieu of our obligations to pay cash under any compensatory plan or arrangement.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Bonus-To-Options Program</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has a Bonus-to-Options Program (the Bonus Option Program) which is separate from previously described plans and was initially adopted by the Board of Directors in 2008, and subsequently amended and restated in 2010, 2011, 2015, and 2022. For fiscal year 2024, the Bonus Option Program is subject to the shares reserved under the 2020 Plan. The Bonus Option Program, which is limited to participation of the Chief Executive Officer, direct reports to the Chief Executive Officer and Vice Presidents of the Company, allows participants who so elect to convert a portion of their annual cash bonus into fully vested, non-qualified stock options to purchase shares of common stock (Bonus Options). The exercise price for the options under the Bonus Option Program equals the closing market price of the Company's common stock on the grant date, as disclosed below under “</w:t>
      </w:r>
      <w:r>
        <w:rPr>
          <w:rFonts w:ascii="Times New Roman" w:cs="Times New Roman" w:eastAsia="Times New Roman" w:hAnsi="Times New Roman"/>
          <w:sz w:val="18"/>
          <w:szCs w:val="18"/>
          <w:i w:val="1"/>
          <w:iCs w:val="1"/>
          <w:color w:val="auto"/>
        </w:rPr>
        <w:t>Fair Value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Bonus Options issued must be exercised within a ten-year term.</w:t>
      </w:r>
    </w:p>
    <w:p>
      <w:pPr>
        <w:spacing w:after="0" w:line="8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recorded the following activity related to the Bonus Option Program during the year ended December 31, 2024 (in thousands, excepted weighted average exercise price and weighted average contractual life):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40" w:type="dxa"/>
            <w:vAlign w:val="bottom"/>
          </w:tcPr>
          <w:p>
            <w:pPr>
              <w:spacing w:after="0"/>
              <w:rPr>
                <w:sz w:val="18"/>
                <w:szCs w:val="18"/>
                <w:color w:val="auto"/>
              </w:rPr>
            </w:pPr>
          </w:p>
        </w:tc>
        <w:tc>
          <w:tcPr>
            <w:tcW w:w="16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40" w:type="dxa"/>
            <w:vAlign w:val="bottom"/>
          </w:tcPr>
          <w:p>
            <w:pPr>
              <w:spacing w:after="0"/>
              <w:rPr>
                <w:sz w:val="20"/>
                <w:szCs w:val="20"/>
                <w:color w:val="auto"/>
              </w:rPr>
            </w:pPr>
          </w:p>
        </w:tc>
        <w:tc>
          <w:tcPr>
            <w:tcW w:w="16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4040" w:type="dxa"/>
            <w:vAlign w:val="bottom"/>
            <w:gridSpan w:val="2"/>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January 1, 2024</w:t>
            </w:r>
          </w:p>
        </w:tc>
        <w:tc>
          <w:tcPr>
            <w:tcW w:w="1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1,050</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390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December 31, 2024</w:t>
            </w:r>
          </w:p>
        </w:tc>
        <w:tc>
          <w:tcPr>
            <w:tcW w:w="1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1,364</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3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Exercisable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December 31, 2024</w:t>
            </w:r>
          </w:p>
        </w:tc>
        <w:tc>
          <w:tcPr>
            <w:tcW w:w="14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1,364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2.04</w:t>
            </w:r>
          </w:p>
        </w:tc>
        <w:tc>
          <w:tcPr>
            <w:tcW w:w="240" w:type="dxa"/>
            <w:vAlign w:val="bottom"/>
          </w:tcPr>
          <w:p>
            <w:pPr>
              <w:spacing w:after="0"/>
              <w:rPr>
                <w:sz w:val="17"/>
                <w:szCs w:val="17"/>
                <w:color w:val="auto"/>
              </w:rPr>
            </w:pPr>
          </w:p>
        </w:tc>
        <w:tc>
          <w:tcPr>
            <w:tcW w:w="1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280" w:type="dxa"/>
            <w:vAlign w:val="bottom"/>
            <w:gridSpan w:val="2"/>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7"/>
                <w:szCs w:val="17"/>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F-26</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-1096645</wp:posOffset>
            </wp:positionV>
            <wp:extent cx="768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-1079500</wp:posOffset>
            </wp:positionV>
            <wp:extent cx="768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-1096645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-1079500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-1096645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-1079500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7" w:name="page118"/>
    <w:bookmarkEnd w:id="117"/>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recorded $0.8 million and $0.4 million during the years ended December 31, 2024 and 2023, respectively, associated with the estimate of options to be delivered to eligible participants under the Bonus Option Program and which were granted in the first quarter of 2025 and 2024, respectively, by the Compensation Committee of the Board of Directors. In determining the amount of share-based compensation to recognize under the Bonus Option Program, the Company estimates the bonus attainment for the year and determines the expected number of options to be delivered to eligible participants. A Black-Scholes option pricing model is used to determine the estimated fair value of the expected number of options to be delivered to eligible participants. The key elements in determining the estimated fair value include assumptions for volatility, the risk-free interest rate, expected dividends and strike price, utilizing the measurement date closing stock price until the grants are authorized. Beginning with fiscal year 2025, the Company terminated the Bonus Option Program.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reported in the Company’s statements of operations was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0" w:type="dxa"/>
            <w:vAlign w:val="bottom"/>
            <w:tcBorders>
              <w:bottom w:val="single" w:sz="8" w:color="auto"/>
            </w:tcBorders>
          </w:tcPr>
          <w:p>
            <w:pPr>
              <w:spacing w:after="0"/>
              <w:rPr>
                <w:sz w:val="20"/>
                <w:szCs w:val="20"/>
                <w:color w:val="auto"/>
              </w:rPr>
            </w:pPr>
          </w:p>
        </w:tc>
      </w:tr>
      <w:tr>
        <w:trPr>
          <w:trHeight w:val="209"/>
        </w:trPr>
        <w:tc>
          <w:tcPr>
            <w:tcW w:w="5900" w:type="dxa"/>
            <w:vAlign w:val="bottom"/>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5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1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6,223</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4,989</w:t>
            </w:r>
          </w:p>
        </w:tc>
      </w:tr>
      <w:tr>
        <w:trPr>
          <w:trHeight w:val="209"/>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6,638</w:t>
            </w:r>
          </w:p>
        </w:tc>
        <w:tc>
          <w:tcPr>
            <w:tcW w:w="11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5,373</w:t>
            </w:r>
          </w:p>
        </w:tc>
      </w:tr>
      <w:tr>
        <w:trPr>
          <w:trHeight w:val="20"/>
        </w:trPr>
        <w:tc>
          <w:tcPr>
            <w:tcW w:w="59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-170815</wp:posOffset>
            </wp:positionV>
            <wp:extent cx="1543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unrecognized remaining share-based compensation expense for options and RSUs was approximately $5.7 million as of December 31, 2024 and is expected to be amortized to expense over the next 2.1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option activity during the year ended December 31, 2024, excluding the Bonus Option Program described above, was (in thousands, except weighted average exercise price and weighted average contractual life):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040" w:type="dxa"/>
            <w:vAlign w:val="bottom"/>
          </w:tcPr>
          <w:p>
            <w:pPr>
              <w:spacing w:after="0"/>
              <w:rPr>
                <w:sz w:val="18"/>
                <w:szCs w:val="18"/>
                <w:color w:val="auto"/>
              </w:rPr>
            </w:pPr>
          </w:p>
        </w:tc>
        <w:tc>
          <w:tcPr>
            <w:tcW w:w="12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c>
          <w:tcPr>
            <w:tcW w:w="1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040" w:type="dxa"/>
            <w:vAlign w:val="bottom"/>
          </w:tcPr>
          <w:p>
            <w:pPr>
              <w:spacing w:after="0"/>
              <w:rPr>
                <w:sz w:val="20"/>
                <w:szCs w:val="20"/>
                <w:color w:val="auto"/>
              </w:rPr>
            </w:pPr>
          </w:p>
        </w:tc>
        <w:tc>
          <w:tcPr>
            <w:tcW w:w="12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0" w:type="dxa"/>
            <w:vAlign w:val="bottom"/>
          </w:tcPr>
          <w:p>
            <w:pPr>
              <w:spacing w:after="0"/>
              <w:rPr>
                <w:sz w:val="20"/>
                <w:szCs w:val="20"/>
                <w:color w:val="auto"/>
              </w:rPr>
            </w:pPr>
          </w:p>
        </w:tc>
        <w:tc>
          <w:tcPr>
            <w:tcW w:w="1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January 1, 2024</w:t>
            </w:r>
          </w:p>
        </w:tc>
        <w:tc>
          <w:tcPr>
            <w:tcW w:w="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8"/>
              </w:rPr>
              <w:t>2,041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3.36</w:t>
            </w:r>
          </w:p>
        </w:tc>
        <w:tc>
          <w:tcPr>
            <w:tcW w:w="1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964</w:t>
            </w:r>
          </w:p>
        </w:tc>
      </w:tr>
      <w:tr>
        <w:trPr>
          <w:trHeight w:val="216"/>
        </w:trPr>
        <w:tc>
          <w:tcPr>
            <w:tcW w:w="5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2,412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04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December 31, 2024</w:t>
            </w:r>
          </w:p>
        </w:tc>
        <w:tc>
          <w:tcPr>
            <w:tcW w:w="12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8"/>
              </w:rPr>
              <w:t>4,163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719</w:t>
            </w:r>
          </w:p>
        </w:tc>
      </w:tr>
      <w:tr>
        <w:trPr>
          <w:trHeight w:val="197"/>
        </w:trPr>
        <w:tc>
          <w:tcPr>
            <w:tcW w:w="53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Exercisable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December 31, 2024</w:t>
            </w:r>
          </w:p>
        </w:tc>
        <w:tc>
          <w:tcPr>
            <w:tcW w:w="56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8"/>
              </w:rPr>
              <w:t>1,864</w:t>
            </w: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3.35</w:t>
            </w:r>
          </w:p>
        </w:tc>
        <w:tc>
          <w:tcPr>
            <w:tcW w:w="190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616</w:t>
            </w:r>
          </w:p>
        </w:tc>
      </w:tr>
      <w:tr>
        <w:trPr>
          <w:trHeight w:val="20"/>
        </w:trPr>
        <w:tc>
          <w:tcPr>
            <w:tcW w:w="40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-187960</wp:posOffset>
            </wp:positionV>
            <wp:extent cx="1111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-170815</wp:posOffset>
            </wp:positionV>
            <wp:extent cx="1111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-187960</wp:posOffset>
            </wp:positionV>
            <wp:extent cx="768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-170815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1111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1111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the Bonus Options and stock options to purchase common stock granted during the years ended December 31, 2024 and 2023 was $1.14 and $1.24,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grant date fair value of stock options was calculated using the Black-Scholes option-pricing model, based on the following assumptions:</w:t>
      </w:r>
    </w:p>
    <w:p>
      <w:pPr>
        <w:spacing w:after="0" w:line="115" w:lineRule="exact"/>
        <w:rPr>
          <w:sz w:val="20"/>
          <w:szCs w:val="20"/>
          <w:color w:val="auto"/>
        </w:rPr>
      </w:pPr>
    </w:p>
    <w:p>
      <w:pPr>
        <w:ind w:left="900" w:right="20" w:hanging="383"/>
        <w:spacing w:after="0" w:line="284"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represents the period that the options granted are expected to be outstanding using the simplified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mid-point between the vesting date and the end of the contractual term).</w:t>
      </w:r>
    </w:p>
    <w:p>
      <w:pPr>
        <w:spacing w:after="0" w:line="50" w:lineRule="exact"/>
        <w:rPr>
          <w:rFonts w:ascii="Times New Roman" w:cs="Times New Roman" w:eastAsia="Times New Roman" w:hAnsi="Times New Roman"/>
          <w:sz w:val="18"/>
          <w:szCs w:val="18"/>
          <w:color w:val="auto"/>
        </w:rPr>
      </w:pPr>
    </w:p>
    <w:p>
      <w:pPr>
        <w:ind w:left="900" w:right="20" w:hanging="383"/>
        <w:spacing w:after="0" w:line="284"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Company uses an average historical stock price of selected comparable companies over the expected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as the Company does not have sufficient trading history for its common stock.</w:t>
      </w:r>
    </w:p>
    <w:p>
      <w:pPr>
        <w:spacing w:after="0" w:line="50" w:lineRule="exact"/>
        <w:rPr>
          <w:rFonts w:ascii="Times New Roman" w:cs="Times New Roman" w:eastAsia="Times New Roman" w:hAnsi="Times New Roman"/>
          <w:sz w:val="18"/>
          <w:szCs w:val="18"/>
          <w:color w:val="auto"/>
        </w:rPr>
      </w:pPr>
    </w:p>
    <w:p>
      <w:pPr>
        <w:ind w:left="900" w:right="20" w:hanging="383"/>
        <w:spacing w:after="0" w:line="284"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Company uses the risk-free interest rate over the expected term of the options based on the constant maturity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U.S. Treasury securities with similar maturities as of the date of the grant.</w:t>
      </w:r>
    </w:p>
    <w:p>
      <w:pPr>
        <w:spacing w:after="0" w:line="50" w:lineRule="exact"/>
        <w:rPr>
          <w:rFonts w:ascii="Times New Roman" w:cs="Times New Roman" w:eastAsia="Times New Roman" w:hAnsi="Times New Roman"/>
          <w:sz w:val="18"/>
          <w:szCs w:val="18"/>
          <w:color w:val="auto"/>
        </w:rPr>
      </w:pPr>
    </w:p>
    <w:p>
      <w:pPr>
        <w:jc w:val="both"/>
        <w:ind w:left="900" w:right="20" w:hanging="383"/>
        <w:spacing w:after="0" w:line="267"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is currently subject to restrictions on the payment of dividends (see Note 8 -</w:t>
      </w:r>
      <w:r>
        <w:rPr>
          <w:rFonts w:ascii="Times New Roman" w:cs="Times New Roman" w:eastAsia="Times New Roman" w:hAnsi="Times New Roman"/>
          <w:sz w:val="18"/>
          <w:szCs w:val="18"/>
          <w:i w:val="1"/>
          <w:iCs w:val="1"/>
          <w:color w:val="auto"/>
        </w:rPr>
        <w:t xml:space="preserve"> Debt</w:t>
      </w:r>
      <w:r>
        <w:rPr>
          <w:rFonts w:ascii="Times New Roman" w:cs="Times New Roman" w:eastAsia="Times New Roman" w:hAnsi="Times New Roman"/>
          <w:sz w:val="18"/>
          <w:szCs w:val="18"/>
          <w:color w:val="auto"/>
        </w:rPr>
        <w:t>) and no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declared as of December 31, 2024 and 2023. The Company has not paid and does not anticipate paying any dividends in the near future. Therefore, the expected dividend yield was zero.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The fair value of each option grant was estimated on the grant date with the following weighted average assumptions for the years indicated:</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term (in years)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27"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rate</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dividend yield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6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264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2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5.85</w:t>
            </w:r>
          </w:p>
        </w:tc>
        <w:tc>
          <w:tcPr>
            <w:tcW w:w="2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5.39</w:t>
            </w:r>
          </w:p>
        </w:tc>
      </w:tr>
      <w:tr>
        <w:trPr>
          <w:trHeight w:val="243"/>
        </w:trPr>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80.1 %</w:t>
            </w:r>
          </w:p>
        </w:tc>
      </w:tr>
      <w:tr>
        <w:trPr>
          <w:trHeight w:val="243"/>
        </w:trPr>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3.98 %</w:t>
            </w:r>
          </w:p>
        </w:tc>
      </w:tr>
      <w:tr>
        <w:trPr>
          <w:trHeight w:val="243"/>
        </w:trPr>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-616585</wp:posOffset>
            </wp:positionV>
            <wp:extent cx="71323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-307975</wp:posOffset>
            </wp:positionV>
            <wp:extent cx="71323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5020" w:space="720"/>
            <w:col w:w="5500"/>
          </w:cols>
          <w:pgMar w:left="320" w:top="109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Restricted stock unit activity during the year ended December 31, 2024 was (in thousands, except weighted average grant date fair value per share):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Grant Date Fair Value Per</w:t>
            </w:r>
          </w:p>
        </w:tc>
      </w:tr>
      <w:tr>
        <w:trPr>
          <w:trHeight w:val="238"/>
        </w:trPr>
        <w:tc>
          <w:tcPr>
            <w:tcW w:w="5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0"/>
                <w:szCs w:val="20"/>
                <w:color w:val="auto"/>
              </w:rPr>
            </w:pPr>
          </w:p>
        </w:tc>
      </w:tr>
      <w:tr>
        <w:trPr>
          <w:trHeight w:val="209"/>
        </w:trPr>
        <w:tc>
          <w:tcPr>
            <w:tcW w:w="7860" w:type="dxa"/>
            <w:vAlign w:val="bottom"/>
            <w:gridSpan w:val="3"/>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January 1, 2024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20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Released</w:t>
            </w:r>
          </w:p>
        </w:tc>
        <w:tc>
          <w:tcPr>
            <w:tcW w:w="20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(613 )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8"/>
                <w:szCs w:val="18"/>
                <w:color w:val="auto"/>
              </w:rPr>
            </w:pPr>
          </w:p>
        </w:tc>
      </w:tr>
      <w:tr>
        <w:trPr>
          <w:trHeight w:val="249"/>
        </w:trPr>
        <w:tc>
          <w:tcPr>
            <w:tcW w:w="5860" w:type="dxa"/>
            <w:vAlign w:val="bottom"/>
            <w:tcBorders>
              <w:bottom w:val="single" w:sz="8" w:color="CCEEFF"/>
            </w:tcBorders>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December 31, 2024</w:t>
            </w:r>
          </w:p>
        </w:tc>
        <w:tc>
          <w:tcPr>
            <w:tcW w:w="200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Net Loss per Common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excludes dilution and is computed by dividing net loss attributable to the common stockholders by the weighted-average shares outstanding during the period. Diluted net loss per common share reflects the potential dilution that could occur if securities or other contracts to issue common stock were exercised, resulting in the issuance of shares of common stock that would then share in the earnings or losses of the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as of the dates indicated were (in thousands,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1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(42,931 )</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(52,146 )</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 used</w:t>
            </w:r>
          </w:p>
        </w:tc>
        <w:tc>
          <w:tcPr>
            <w:tcW w:w="1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129,670</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computing net loss per share, basic and diluted</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(0.33 )</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(0.64 )</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-170815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potentially dilutive securities as of December 31, 2024 and 2023 primarily represent the shares subject to future issuance under stock options awards, warrants, RSUs, and shares subject to purchase under our ESPP, the terms of which are described in further detail in Note 12 – </w:t>
      </w:r>
      <w:r>
        <w:rPr>
          <w:rFonts w:ascii="Times New Roman" w:cs="Times New Roman" w:eastAsia="Times New Roman" w:hAnsi="Times New Roman"/>
          <w:sz w:val="18"/>
          <w:szCs w:val="18"/>
          <w:i w:val="1"/>
          <w:iCs w:val="1"/>
          <w:color w:val="auto"/>
        </w:rPr>
        <w:t>Share Based Compensation</w:t>
      </w:r>
      <w:r>
        <w:rPr>
          <w:rFonts w:ascii="Times New Roman" w:cs="Times New Roman" w:eastAsia="Times New Roman" w:hAnsi="Times New Roman"/>
          <w:sz w:val="18"/>
          <w:szCs w:val="18"/>
          <w:color w:val="auto"/>
        </w:rPr>
        <w:t>. The potentially dilutive securities would be subject to the treasury stock method when dilutive.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outstanding common stock equivalents were excluded from diluted net loss attributable to common stockholders for the periods presented because inclusion would be anti-dilutive (in thousands):</w:t>
      </w:r>
    </w:p>
    <w:p>
      <w:pPr>
        <w:ind w:left="82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2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Pr>
          <w:p>
            <w:pPr>
              <w:spacing w:after="0"/>
              <w:rPr>
                <w:sz w:val="18"/>
                <w:szCs w:val="18"/>
                <w:color w:val="auto"/>
              </w:rPr>
            </w:pPr>
          </w:p>
        </w:tc>
      </w:tr>
      <w:tr>
        <w:trPr>
          <w:trHeight w:val="249"/>
        </w:trPr>
        <w:tc>
          <w:tcPr>
            <w:tcW w:w="7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28"/>
        </w:trPr>
        <w:tc>
          <w:tcPr>
            <w:tcW w:w="848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F-28</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-933450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-916305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Since inception, the Company has incurred net taxable losses, and accordingly, no current provision for income taxes has been recorded. The effective income tax rate of the provision for income taxes differs from the federal statutory rate as follows:</w:t>
      </w:r>
    </w:p>
    <w:p>
      <w:pPr>
        <w:spacing w:after="0" w:line="50"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r>
      <w:tr>
        <w:trPr>
          <w:trHeight w:val="209"/>
        </w:trPr>
        <w:tc>
          <w:tcPr>
            <w:tcW w:w="8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r>
      <w:tr>
        <w:trPr>
          <w:trHeight w:val="216"/>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developments credits</w:t>
            </w:r>
          </w:p>
        </w:tc>
        <w:tc>
          <w:tcPr>
            <w:tcW w:w="1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ownership limitation</w:t>
            </w:r>
          </w:p>
        </w:tc>
        <w:tc>
          <w:tcPr>
            <w:tcW w:w="12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(20 )</w:t>
            </w:r>
          </w:p>
        </w:tc>
      </w:tr>
      <w:tr>
        <w:trPr>
          <w:trHeight w:val="20"/>
        </w:trPr>
        <w:tc>
          <w:tcPr>
            <w:tcW w:w="74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746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Effective income tax rate</w:t>
            </w:r>
          </w:p>
        </w:tc>
        <w:tc>
          <w:tcPr>
            <w:tcW w:w="1260" w:type="dxa"/>
            <w:vAlign w:val="bottom"/>
            <w:shd w:val="clear" w:color="auto" w:fill="CFF0FC"/>
          </w:tcPr>
          <w:p>
            <w:pPr>
              <w:spacing w:after="0"/>
              <w:rPr>
                <w:sz w:val="18"/>
                <w:szCs w:val="18"/>
                <w:color w:val="auto"/>
              </w:rPr>
            </w:pPr>
          </w:p>
        </w:tc>
        <w:tc>
          <w:tcPr>
            <w:tcW w:w="7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 %</w:t>
            </w: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1200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1200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income tax assets and liabilities are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78,372</w:t>
            </w:r>
          </w:p>
        </w:tc>
        <w:tc>
          <w:tcPr>
            <w:tcW w:w="2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72,722</w:t>
            </w:r>
          </w:p>
        </w:tc>
        <w:tc>
          <w:tcPr>
            <w:tcW w:w="100" w:type="dxa"/>
            <w:vAlign w:val="bottom"/>
          </w:tcPr>
          <w:p>
            <w:pPr>
              <w:spacing w:after="0"/>
              <w:rPr>
                <w:sz w:val="18"/>
                <w:szCs w:val="18"/>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shd w:val="clear" w:color="auto" w:fill="CCEEFF"/>
          </w:tcPr>
          <w:p>
            <w:pPr>
              <w:spacing w:after="0"/>
              <w:rPr>
                <w:sz w:val="18"/>
                <w:szCs w:val="18"/>
                <w:color w:val="auto"/>
              </w:rPr>
            </w:pPr>
          </w:p>
        </w:tc>
      </w:tr>
      <w:tr>
        <w:trPr>
          <w:trHeight w:val="216"/>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00" w:type="dxa"/>
            <w:vAlign w:val="bottom"/>
          </w:tcPr>
          <w:p>
            <w:pPr>
              <w:spacing w:after="0"/>
              <w:rPr>
                <w:sz w:val="18"/>
                <w:szCs w:val="18"/>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shd w:val="clear" w:color="auto" w:fill="CCEEFF"/>
          </w:tcPr>
          <w:p>
            <w:pPr>
              <w:spacing w:after="0"/>
              <w:rPr>
                <w:sz w:val="18"/>
                <w:szCs w:val="18"/>
                <w:color w:val="auto"/>
              </w:rPr>
            </w:pPr>
          </w:p>
        </w:tc>
      </w:tr>
      <w:tr>
        <w:trPr>
          <w:trHeight w:val="216"/>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18"/>
                <w:szCs w:val="18"/>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shd w:val="clear" w:color="auto" w:fill="CCEEFF"/>
          </w:tcPr>
          <w:p>
            <w:pPr>
              <w:spacing w:after="0"/>
              <w:rPr>
                <w:sz w:val="18"/>
                <w:szCs w:val="18"/>
                <w:color w:val="auto"/>
              </w:rPr>
            </w:pPr>
          </w:p>
        </w:tc>
      </w:tr>
      <w:tr>
        <w:trPr>
          <w:trHeight w:val="216"/>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Accruals and reserves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8"/>
                <w:szCs w:val="18"/>
                <w:color w:val="auto"/>
              </w:rPr>
            </w:pPr>
          </w:p>
        </w:tc>
      </w:tr>
      <w:tr>
        <w:trPr>
          <w:trHeight w:val="209"/>
        </w:trPr>
        <w:tc>
          <w:tcPr>
            <w:tcW w:w="7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100,926</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95,022</w:t>
            </w:r>
          </w:p>
        </w:tc>
        <w:tc>
          <w:tcPr>
            <w:tcW w:w="100" w:type="dxa"/>
            <w:vAlign w:val="bottom"/>
            <w:shd w:val="clear" w:color="auto" w:fill="CCEEFF"/>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(98,993 )</w:t>
            </w:r>
          </w:p>
        </w:tc>
        <w:tc>
          <w:tcPr>
            <w:tcW w:w="5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(93,023 )</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Right-of-use asset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deferred tax assets and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6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(977 )</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(692 )</w:t>
            </w:r>
          </w:p>
        </w:tc>
      </w:tr>
      <w:tr>
        <w:trPr>
          <w:trHeight w:val="234"/>
        </w:trPr>
        <w:tc>
          <w:tcPr>
            <w:tcW w:w="6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(890 )</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(1,303 )</w:t>
            </w:r>
          </w:p>
        </w:tc>
      </w:tr>
      <w:tr>
        <w:trPr>
          <w:trHeight w:val="210"/>
        </w:trPr>
        <w:tc>
          <w:tcPr>
            <w:tcW w:w="6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-591185</wp:posOffset>
            </wp:positionV>
            <wp:extent cx="7132320"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-307975</wp:posOffset>
            </wp:positionV>
            <wp:extent cx="7132320" cy="146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6900" w:space="720"/>
            <w:col w:w="3620"/>
          </w:cols>
          <w:pgMar w:left="320" w:top="1197"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 Company had $329.7 million and $0.2 million of federal net operating loss and research and experimentation tax carryforwards, respectively, which are set to expire beginning in 2026. The Internal Revenue Code contains provisions that may limit the net operating loss carryovers available to be used in any year if certain events occur, including significant changes in ownership interest.</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its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taxable income, and tax planning strategies in making this assessment. As the Company does not have any historical taxable income, projections of future taxable income over the periods in which the deferred tax assets are deductible, and after consideration of the history of operating losses, the Company does not believe it is more likely than not that it will realize the benefits of net deferred tax assets and, accordingly, has established a valuation allowance equal to 100% of net deferred tax assets. The valuation allowance increased by $6.0 million during 2024 and $10.5 million during 2023.</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the Company determined that it has uncertain tax positions related to its U.S. research and development credits. As of December 31, 2024 and 2023, there was no accrued interest related to uncertain tax positions. The Company does not believe it is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20" w:name="page121"/>
    <w:bookmarkEnd w:id="120"/>
    <w:p>
      <w:pPr>
        <w:jc w:val="both"/>
        <w:spacing w:after="0" w:line="282" w:lineRule="auto"/>
        <w:rPr>
          <w:sz w:val="20"/>
          <w:szCs w:val="20"/>
          <w:color w:val="auto"/>
        </w:rPr>
      </w:pPr>
      <w:r>
        <w:rPr>
          <w:rFonts w:ascii="Times New Roman" w:cs="Times New Roman" w:eastAsia="Times New Roman" w:hAnsi="Times New Roman"/>
          <w:sz w:val="18"/>
          <w:szCs w:val="18"/>
          <w:color w:val="auto"/>
        </w:rPr>
        <w:t>reasonably possible that its unrecognized tax benefits will significantly change in the next twelve months. A reconciliation of beginning and ending balances for unrecognized tax benefits is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0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6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20"/>
                <w:szCs w:val="20"/>
                <w:color w:val="auto"/>
              </w:rPr>
            </w:pPr>
          </w:p>
        </w:tc>
      </w:tr>
      <w:tr>
        <w:trPr>
          <w:trHeight w:val="243"/>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r>
      <w:tr>
        <w:trPr>
          <w:trHeight w:val="243"/>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1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(1,037 )</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r>
      <w:tr>
        <w:trPr>
          <w:trHeight w:val="243"/>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112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Reductions related to settlements</w:t>
            </w:r>
          </w:p>
        </w:tc>
        <w:tc>
          <w:tcPr>
            <w:tcW w:w="1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Reductions related to a lapse of statute</w:t>
            </w:r>
          </w:p>
        </w:tc>
        <w:tc>
          <w:tcPr>
            <w:tcW w:w="11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monitors proposed and issued tax law, regulations, and cases to determine the potential impact of uncertain income tax positions. As of December 31, 2024, the Company had not identified any potential subsequent events that would have a material impact on unrecognized income tax benefits within the next twelve months.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federal and state returns for all years will remain open to examination by federal and state tax authorities for three and four years, respectively, from the date of utilization of any net operating loss carryforwards.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Reporting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about which separate discrete information is available for evaluation by the chief operating decision-maker (CODM) in deciding how to allocate resources and assess performance. The Company's chief executive officer and chief financial officer, as a group, represents the entity's chief operating decision makers. The Company’s CODM views the Company’s operations and manages its business as a single operating segment focused on diagnostic testing in the clinical setting and providing services to biopharmaceutical companies (see Note 11 – </w:t>
      </w:r>
      <w:r>
        <w:rPr>
          <w:rFonts w:ascii="Times New Roman" w:cs="Times New Roman" w:eastAsia="Times New Roman" w:hAnsi="Times New Roman"/>
          <w:sz w:val="18"/>
          <w:szCs w:val="18"/>
          <w:i w:val="1"/>
          <w:iCs w:val="1"/>
          <w:color w:val="auto"/>
        </w:rPr>
        <w:t>Revenue and Accounts Receivable Credit Concentration</w:t>
      </w:r>
      <w:r>
        <w:rPr>
          <w:rFonts w:ascii="Times New Roman" w:cs="Times New Roman" w:eastAsia="Times New Roman" w:hAnsi="Times New Roman"/>
          <w:sz w:val="18"/>
          <w:szCs w:val="18"/>
          <w:color w:val="auto"/>
        </w:rPr>
        <w:t>). The CODM views the Company's operations as a single operating segment as each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stream utilizes the same equipment and resources. In addition, discrete financial information is not available for each revenue stream other than gross margin. The accounting policies of the segment are the same as those described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revenue and all long-lived assets were derived or are located in the United States for the years ended December 31, 2024 and 2023. The measure of segment assets is reported on the balance sheet as total assets.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single operating segment, the CODM assesses how to allocate resources and measures the Company's performance based on net income or loss that is reported on the statement of operations as net loss. The CODM uses net income or loss to evaluate the return generated from segment assets in deciding whether to reinvest into the segment or into other parts of the entity, such as acquisitions. Net income or loss is used to monitor budget versus actual results, which are used in assessing performance of the segment and in establishing management's compensation.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 regularly reviews the following significant expenses and other segment items. A summary of the significant expenses and other segment items reported in the Company’s statements of operations as of the dates indicated is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06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49,087</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 costs and expenses (less employee related expenses and depreciation and amortization)</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related expenses (less share-based compensation expenses)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55,606</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45,936</w:t>
            </w: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Contracted services expenses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 education and event expenses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Occupancy and equipment service expenses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Clinical trials and associated costs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(1)</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2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100" w:type="dxa"/>
            <w:vAlign w:val="bottom"/>
          </w:tcPr>
          <w:p>
            <w:pPr>
              <w:spacing w:after="0"/>
              <w:rPr>
                <w:sz w:val="18"/>
                <w:szCs w:val="18"/>
                <w:color w:val="auto"/>
              </w:rPr>
            </w:pPr>
          </w:p>
        </w:tc>
      </w:tr>
      <w:tr>
        <w:trPr>
          <w:trHeight w:val="24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(42,931 )</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(52,146 )</w:t>
            </w:r>
          </w:p>
        </w:tc>
      </w:tr>
      <w:tr>
        <w:trPr>
          <w:trHeight w:val="629"/>
        </w:trPr>
        <w:tc>
          <w:tcPr>
            <w:tcW w:w="7460" w:type="dxa"/>
            <w:vAlign w:val="bottom"/>
            <w:tcBorders>
              <w:top w:val="single" w:sz="8" w:color="CCEEFF"/>
            </w:tcBorders>
          </w:tcPr>
          <w:p>
            <w:pPr>
              <w:ind w:left="5460"/>
              <w:spacing w:after="0"/>
              <w:rPr>
                <w:sz w:val="20"/>
                <w:szCs w:val="20"/>
                <w:color w:val="auto"/>
              </w:rPr>
            </w:pPr>
            <w:r>
              <w:rPr>
                <w:rFonts w:ascii="Times New Roman" w:cs="Times New Roman" w:eastAsia="Times New Roman" w:hAnsi="Times New Roman"/>
                <w:sz w:val="18"/>
                <w:szCs w:val="18"/>
                <w:color w:val="auto"/>
              </w:rPr>
              <w:t>F-30</w:t>
            </w:r>
          </w:p>
        </w:tc>
        <w:tc>
          <w:tcPr>
            <w:tcW w:w="10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763"/>
        </w:trPr>
        <w:tc>
          <w:tcPr>
            <w:tcW w:w="74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-933450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-916305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1" w:name="page122"/>
    <w:bookmarkEnd w:id="121"/>
    <w:p>
      <w:pPr>
        <w:ind w:left="380" w:hanging="372"/>
        <w:spacing w:after="0" w:line="215" w:lineRule="auto"/>
        <w:tabs>
          <w:tab w:leader="none" w:pos="380" w:val="left"/>
        </w:tabs>
        <w:numPr>
          <w:ilvl w:val="0"/>
          <w:numId w:val="6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Other segment items in segment net loss primarily include software and IT related expenses, administrative and professional development expenses, risk management and insurance expenses, other non-cash expenses, and allocated overhead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8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Co</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Development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-43815</wp:posOffset>
            </wp:positionV>
            <wp:extent cx="64135"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conducted a proof of concept (POC) clinical study of ficlatuzumab for NSCLC in which BDX004 was used to select clinical trial subjects (the NSCLC POC Trial). Under the agreement, the Company and AVEO shared equally in the costs of the NSCLC POC Trial, and each were responsible for 50% of development and regulatory costs associated with all future clinical trials agreed upon by the Company and AVEO.</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2020, the Company exercised its opt-out right with AVEO for the payment of 50% of development and regulatory costs for ficlatuzumab effective December 2, 2020 (the AVEO Effective Date). Following the AVEO Effective Date, the Company is entitled to a 10% royalty of net sales of ficlatuzumab and 25% of license income generated from the licensing of ficlatuzumab from AVEO. In September 2021, AVEO announced that the FDA has granted Fast Track Designation (FTD) to ficlatuzumab for the treatment of patients with relapsed or recurrent head and neck squamous cell carcinoma. In November 2021 AVEO also announced plans to initiate a registrational Phase 3 clinical trial for ficlatuzumab which began in January 2024. There were no royalties received or expenses related to this agreement for the years ended December 31, 2024 and 2023 and the Company has no obligations related to the AVEO agreement as of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There are no license fees related to this agreement. The Company also agreed to purchase all of the necessary supplies and reagents for such testing exclusively from Bio-Rad, pursuant to a separately executed supply agreement (the Supply Agreement) with Bio-Rad. The Bio-Rad License was set to expire in August 2024. In May 2024, the Company amended the agreement to extend the Supply Agreement to August 2026.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13, 2021 (the CellCarta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CellCarta Effective Date as an upfront make-good payment covering past royalties due and a royalty rate of 0.675% on future Nodify XL2 test net sales worldwide for 15 years from the first commercial sale, ending in 2034. Royalty expense under the CellCarta License for each of the years ended December 31, 2024 and 2023 was $0.3 million and $0.2 million, respectively.</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31, 2019, we completed an acquisition of Freenome's United States operations (formerly "Oncimmune USA" or "Oncimmune") including its COLA/CLIA lab in De Soto, Kansas and its pulmonary nodule malignancy test, then marketed in the United States as the EarlyCDT Lung® test. We renamed and relaunched the test on February 28, 2020 as the Nodify CDT test. As part of the acquisition of the assets of Oncimmune, the Company entered into several agreements to govern the relationship between the parties. The Company agreed to a license agreement and royalty payment related to the Nodify CDT test of 8% of recognized revenue for non-screening tests up to an annual minimum volume and 5% thereafter. Royalty expenses were $1.5 million and $1.0 million for the years ended December 31, 2024 and 2023,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Assessments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28, 2025 (the Fifth Amendment Effective Date), the Company entered into the Fifth Amendment to the Credit Agreement and Guaranty (the Fifth Amendment) with Perceptive, as lender and administrative agent, and the Company, as borrower, whereby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22" w:name="page123"/>
    <w:bookmarkEnd w:id="122"/>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Fifth Amendment, the Tranche C Loan revenue milestone was eliminated and the Commitment Termination Date (as defined in the Credit Agreement) was extended, providing continued availability to the Tranche C Loan in an aggregate amount equal to $10.0 million through December 31, 2025. In addition, on the Tranche C Loan Borrowing Date (as defined in the Credit Agreement), the Tranche C Warrants, as amended, will become vested and exercisable at an exercise price equal to $0.793, the Company's closing stock price on February 28, 2025.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b w:val="1"/>
          <w:bCs w:val="1"/>
          <w:color w:val="auto"/>
        </w:rPr>
        <w:t>Exhibit 4.8</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w:t>
      </w:r>
      <w:r>
        <w:rPr>
          <w:rFonts w:ascii="Times New Roman" w:cs="Times New Roman" w:eastAsia="Times New Roman" w:hAnsi="Times New Roman"/>
          <w:sz w:val="14"/>
          <w:szCs w:val="14"/>
          <w:color w:val="auto"/>
        </w:rPr>
        <w:t>irst</w:t>
      </w:r>
      <w:r>
        <w:rPr>
          <w:rFonts w:ascii="Times New Roman" w:cs="Times New Roman" w:eastAsia="Times New Roman" w:hAnsi="Times New Roman"/>
          <w:sz w:val="21"/>
          <w:szCs w:val="21"/>
          <w:color w:val="auto"/>
        </w:rPr>
        <w:t xml:space="preserve"> A</w:t>
      </w:r>
      <w:r>
        <w:rPr>
          <w:rFonts w:ascii="Times New Roman" w:cs="Times New Roman" w:eastAsia="Times New Roman" w:hAnsi="Times New Roman"/>
          <w:sz w:val="14"/>
          <w:szCs w:val="14"/>
          <w:color w:val="auto"/>
        </w:rPr>
        <w:t>mendment to</w:t>
      </w:r>
      <w:r>
        <w:rPr>
          <w:rFonts w:ascii="Times New Roman" w:cs="Times New Roman" w:eastAsia="Times New Roman" w:hAnsi="Times New Roman"/>
          <w:sz w:val="21"/>
          <w:szCs w:val="21"/>
          <w:color w:val="auto"/>
        </w:rPr>
        <w:t xml:space="preserve"> W</w:t>
      </w:r>
      <w:r>
        <w:rPr>
          <w:rFonts w:ascii="Times New Roman" w:cs="Times New Roman" w:eastAsia="Times New Roman" w:hAnsi="Times New Roman"/>
          <w:sz w:val="14"/>
          <w:szCs w:val="14"/>
          <w:color w:val="auto"/>
        </w:rPr>
        <w:t>arrant</w:t>
      </w:r>
      <w:r>
        <w:rPr>
          <w:rFonts w:ascii="Times New Roman" w:cs="Times New Roman" w:eastAsia="Times New Roman" w:hAnsi="Times New Roman"/>
          <w:sz w:val="21"/>
          <w:szCs w:val="21"/>
          <w:color w:val="auto"/>
        </w:rPr>
        <w:t xml:space="preserve"> C</w:t>
      </w:r>
      <w:r>
        <w:rPr>
          <w:rFonts w:ascii="Times New Roman" w:cs="Times New Roman" w:eastAsia="Times New Roman" w:hAnsi="Times New Roman"/>
          <w:sz w:val="14"/>
          <w:szCs w:val="14"/>
          <w:color w:val="auto"/>
        </w:rPr>
        <w:t>ertificate</w:t>
      </w:r>
    </w:p>
    <w:p>
      <w:pPr>
        <w:spacing w:after="0" w:line="25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 xml:space="preserve">This First Amendment to Warrant Certificate, dated as of February 28, 2025 (this </w:t>
      </w:r>
      <w:r>
        <w:rPr>
          <w:rFonts w:ascii="Times New Roman" w:cs="Times New Roman" w:eastAsia="Times New Roman" w:hAnsi="Times New Roman"/>
          <w:sz w:val="21"/>
          <w:szCs w:val="21"/>
          <w:i w:val="1"/>
          <w:iCs w:val="1"/>
          <w:color w:val="auto"/>
        </w:rPr>
        <w:t>“Amendment”</w:t>
      </w:r>
      <w:r>
        <w:rPr>
          <w:rFonts w:ascii="Times New Roman" w:cs="Times New Roman" w:eastAsia="Times New Roman" w:hAnsi="Times New Roman"/>
          <w:sz w:val="21"/>
          <w:szCs w:val="21"/>
          <w:color w:val="auto"/>
        </w:rPr>
        <w:t>), is entered into by and among B</w:t>
      </w:r>
      <w:r>
        <w:rPr>
          <w:rFonts w:ascii="Times New Roman" w:cs="Times New Roman" w:eastAsia="Times New Roman" w:hAnsi="Times New Roman"/>
          <w:sz w:val="14"/>
          <w:szCs w:val="14"/>
          <w:color w:val="auto"/>
        </w:rPr>
        <w:t>iodesix</w:t>
      </w:r>
      <w:r>
        <w:rPr>
          <w:rFonts w:ascii="Times New Roman" w:cs="Times New Roman" w:eastAsia="Times New Roman" w:hAnsi="Times New Roman"/>
          <w:sz w:val="21"/>
          <w:szCs w:val="21"/>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and 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1"/>
          <w:szCs w:val="21"/>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1"/>
          <w:szCs w:val="21"/>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1"/>
          <w:szCs w:val="21"/>
          <w:color w:val="auto"/>
        </w:rPr>
        <w:t xml:space="preserve"> IV, LP, a Delaware limited partnership (the “</w:t>
      </w:r>
      <w:r>
        <w:rPr>
          <w:rFonts w:ascii="Times New Roman" w:cs="Times New Roman" w:eastAsia="Times New Roman" w:hAnsi="Times New Roman"/>
          <w:sz w:val="21"/>
          <w:szCs w:val="21"/>
          <w:i w:val="1"/>
          <w:iCs w:val="1"/>
          <w:color w:val="auto"/>
        </w:rPr>
        <w:t>Holder</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w:t>
      </w:r>
      <w:r>
        <w:rPr>
          <w:rFonts w:ascii="Times New Roman" w:cs="Times New Roman" w:eastAsia="Times New Roman" w:hAnsi="Times New Roman"/>
          <w:sz w:val="14"/>
          <w:szCs w:val="14"/>
          <w:color w:val="auto"/>
        </w:rPr>
        <w:t>ecitals</w:t>
      </w:r>
    </w:p>
    <w:p>
      <w:pPr>
        <w:spacing w:after="0" w:line="245"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1"/>
          <w:szCs w:val="21"/>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21"/>
          <w:szCs w:val="21"/>
          <w:color w:val="auto"/>
        </w:rPr>
        <w:t>, the Company issued to the Holder that certain Warrant Certificate, dated as of November 21, 2022, as amended by this Amendment (the “</w:t>
      </w:r>
      <w:r>
        <w:rPr>
          <w:rFonts w:ascii="Times New Roman" w:cs="Times New Roman" w:eastAsia="Times New Roman" w:hAnsi="Times New Roman"/>
          <w:sz w:val="21"/>
          <w:szCs w:val="21"/>
          <w:i w:val="1"/>
          <w:iCs w:val="1"/>
          <w:color w:val="auto"/>
        </w:rPr>
        <w:t>Warrant</w:t>
      </w:r>
      <w:r>
        <w:rPr>
          <w:rFonts w:ascii="Times New Roman" w:cs="Times New Roman" w:eastAsia="Times New Roman" w:hAnsi="Times New Roman"/>
          <w:sz w:val="21"/>
          <w:szCs w:val="21"/>
          <w:color w:val="auto"/>
        </w:rPr>
        <w:t>”). Capitalized terms used herein but not otherwise defined herein shall have the meanings ascribed thereto in the Warrant.</w:t>
      </w:r>
    </w:p>
    <w:p>
      <w:pPr>
        <w:spacing w:after="0" w:line="17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21"/>
          <w:szCs w:val="21"/>
          <w:color w:val="auto"/>
        </w:rPr>
        <w:t>, in connection with that certain Fifth Amendment to Credit Agreement and Guaranty, dated as of the date hereof (the “</w:t>
      </w:r>
      <w:r>
        <w:rPr>
          <w:rFonts w:ascii="Times New Roman" w:cs="Times New Roman" w:eastAsia="Times New Roman" w:hAnsi="Times New Roman"/>
          <w:sz w:val="21"/>
          <w:szCs w:val="21"/>
          <w:i w:val="1"/>
          <w:iCs w:val="1"/>
          <w:color w:val="auto"/>
        </w:rPr>
        <w:t>Credit Agreement Amendment</w:t>
      </w:r>
      <w:r>
        <w:rPr>
          <w:rFonts w:ascii="Times New Roman" w:cs="Times New Roman" w:eastAsia="Times New Roman" w:hAnsi="Times New Roman"/>
          <w:sz w:val="21"/>
          <w:szCs w:val="21"/>
          <w:color w:val="auto"/>
        </w:rPr>
        <w:t>”), by and among Company, as borrower, the lenders party thereto, and Holder, as administrative agent for the lenders, the Company and the Holder have agreed to amend certain provisions of the Warrant.</w:t>
      </w:r>
    </w:p>
    <w:p>
      <w:pPr>
        <w:spacing w:after="0" w:line="175"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1"/>
          <w:szCs w:val="21"/>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21"/>
          <w:szCs w:val="21"/>
          <w:color w:val="auto"/>
        </w:rPr>
        <w:t>, the Company and the Holder are willing to make such amendments to the Warrant as are further described herein, in accordance with and subject to the terms and conditions of this Amendment.</w:t>
      </w:r>
    </w:p>
    <w:p>
      <w:pPr>
        <w:spacing w:after="0" w:line="15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N</w:t>
      </w:r>
      <w:r>
        <w:rPr>
          <w:rFonts w:ascii="Times New Roman" w:cs="Times New Roman" w:eastAsia="Times New Roman" w:hAnsi="Times New Roman"/>
          <w:sz w:val="14"/>
          <w:szCs w:val="14"/>
          <w:color w:val="auto"/>
        </w:rPr>
        <w:t>ow</w:t>
      </w:r>
      <w:r>
        <w:rPr>
          <w:rFonts w:ascii="Times New Roman" w:cs="Times New Roman" w:eastAsia="Times New Roman" w:hAnsi="Times New Roman"/>
          <w:sz w:val="21"/>
          <w:szCs w:val="21"/>
          <w:color w:val="auto"/>
        </w:rPr>
        <w:t>, T</w:t>
      </w:r>
      <w:r>
        <w:rPr>
          <w:rFonts w:ascii="Times New Roman" w:cs="Times New Roman" w:eastAsia="Times New Roman" w:hAnsi="Times New Roman"/>
          <w:sz w:val="14"/>
          <w:szCs w:val="14"/>
          <w:color w:val="auto"/>
        </w:rPr>
        <w:t>herefore</w:t>
      </w:r>
      <w:r>
        <w:rPr>
          <w:rFonts w:ascii="Times New Roman" w:cs="Times New Roman" w:eastAsia="Times New Roman" w:hAnsi="Times New Roman"/>
          <w:sz w:val="21"/>
          <w:szCs w:val="21"/>
          <w:color w:val="auto"/>
        </w:rPr>
        <w:t>, in consideration of the premises and the mutual covenants and the agreements herein set forth, and other good and valuable consideration, the receipt and sufficiency of which are hereby acknowledged, the parties hereto, intending to be legally bound, agree as follows:</w:t>
      </w:r>
    </w:p>
    <w:p>
      <w:pPr>
        <w:spacing w:after="0" w:line="173" w:lineRule="exact"/>
        <w:rPr>
          <w:sz w:val="20"/>
          <w:szCs w:val="20"/>
          <w:color w:val="auto"/>
        </w:rPr>
      </w:pPr>
    </w:p>
    <w:p>
      <w:pPr>
        <w:ind w:left="460" w:hanging="452"/>
        <w:spacing w:after="0"/>
        <w:tabs>
          <w:tab w:leader="none" w:pos="46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Amendment to Warrant</w:t>
      </w:r>
      <w:r>
        <w:rPr>
          <w:rFonts w:ascii="Times New Roman" w:cs="Times New Roman" w:eastAsia="Times New Roman" w:hAnsi="Times New Roman"/>
          <w:sz w:val="21"/>
          <w:szCs w:val="21"/>
          <w:color w:val="auto"/>
        </w:rPr>
        <w:t>. Concurrently with the effectiveness of the Credit Agreement Amendment:</w:t>
      </w:r>
    </w:p>
    <w:p>
      <w:pPr>
        <w:spacing w:after="0" w:line="220" w:lineRule="exact"/>
        <w:rPr>
          <w:sz w:val="20"/>
          <w:szCs w:val="20"/>
          <w:color w:val="auto"/>
        </w:rPr>
      </w:pPr>
    </w:p>
    <w:p>
      <w:pPr>
        <w:ind w:left="1040"/>
        <w:spacing w:after="0"/>
        <w:tabs>
          <w:tab w:leader="none" w:pos="168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0"/>
          <w:szCs w:val="20"/>
          <w:color w:val="auto"/>
        </w:rPr>
        <w:t>Section 2(a)(ii) of the Warrant is hereby amended to state in its entirety to read as follows:</w:t>
      </w:r>
    </w:p>
    <w:p>
      <w:pPr>
        <w:spacing w:after="0" w:line="216" w:lineRule="exact"/>
        <w:rPr>
          <w:sz w:val="20"/>
          <w:szCs w:val="20"/>
          <w:color w:val="auto"/>
        </w:rPr>
      </w:pPr>
    </w:p>
    <w:p>
      <w:pPr>
        <w:jc w:val="both"/>
        <w:ind w:left="1040" w:firstLine="654"/>
        <w:spacing w:after="0" w:line="251" w:lineRule="auto"/>
        <w:tabs>
          <w:tab w:leader="none" w:pos="211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Tranche B Loan Borrowing Date (as defined in the Credit Agreement) (the “</w:t>
      </w:r>
      <w:r>
        <w:rPr>
          <w:rFonts w:ascii="Times New Roman" w:cs="Times New Roman" w:eastAsia="Times New Roman" w:hAnsi="Times New Roman"/>
          <w:sz w:val="21"/>
          <w:szCs w:val="21"/>
          <w:b w:val="1"/>
          <w:bCs w:val="1"/>
          <w:color w:val="auto"/>
        </w:rPr>
        <w:t>Second Tranche Vesting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an additional 1,000,000 Warrant Shares shall become vested and exercisable (such Warrant Shares, the “</w:t>
      </w:r>
      <w:r>
        <w:rPr>
          <w:rFonts w:ascii="Times New Roman" w:cs="Times New Roman" w:eastAsia="Times New Roman" w:hAnsi="Times New Roman"/>
          <w:sz w:val="21"/>
          <w:szCs w:val="21"/>
          <w:b w:val="1"/>
          <w:bCs w:val="1"/>
          <w:color w:val="auto"/>
        </w:rPr>
        <w:t>Second Tranche Warrant Shares</w:t>
      </w:r>
      <w:r>
        <w:rPr>
          <w:rFonts w:ascii="Times New Roman" w:cs="Times New Roman" w:eastAsia="Times New Roman" w:hAnsi="Times New Roman"/>
          <w:sz w:val="21"/>
          <w:szCs w:val="21"/>
          <w:color w:val="auto"/>
        </w:rPr>
        <w:t>”) and shall be exercisable at an Exercise Price equal to $1.0648 (the “</w:t>
      </w:r>
      <w:r>
        <w:rPr>
          <w:rFonts w:ascii="Times New Roman" w:cs="Times New Roman" w:eastAsia="Times New Roman" w:hAnsi="Times New Roman"/>
          <w:sz w:val="21"/>
          <w:szCs w:val="21"/>
          <w:b w:val="1"/>
          <w:bCs w:val="1"/>
          <w:color w:val="auto"/>
        </w:rPr>
        <w:t>Second Tranche Exercise Price</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ind w:left="1040"/>
        <w:spacing w:after="0"/>
        <w:tabs>
          <w:tab w:leader="none" w:pos="168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0"/>
          <w:szCs w:val="20"/>
          <w:color w:val="auto"/>
        </w:rPr>
        <w:t>Section 2(a)(iii) of the Warrant is hereby amended to state in its entirety to read as follows:</w:t>
      </w:r>
    </w:p>
    <w:p>
      <w:pPr>
        <w:spacing w:after="0" w:line="216" w:lineRule="exact"/>
        <w:rPr>
          <w:sz w:val="20"/>
          <w:szCs w:val="20"/>
          <w:color w:val="auto"/>
        </w:rPr>
      </w:pPr>
    </w:p>
    <w:p>
      <w:pPr>
        <w:jc w:val="both"/>
        <w:ind w:left="1040" w:right="20" w:firstLine="747"/>
        <w:spacing w:after="0" w:line="251" w:lineRule="auto"/>
        <w:tabs>
          <w:tab w:leader="none" w:pos="220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Tranche C Loan Borrowing Date (as defined in the Credit Agreement) (the “</w:t>
      </w:r>
      <w:r>
        <w:rPr>
          <w:rFonts w:ascii="Times New Roman" w:cs="Times New Roman" w:eastAsia="Times New Roman" w:hAnsi="Times New Roman"/>
          <w:sz w:val="21"/>
          <w:szCs w:val="21"/>
          <w:b w:val="1"/>
          <w:bCs w:val="1"/>
          <w:color w:val="auto"/>
        </w:rPr>
        <w:t>Third Tranche Vesting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an additional 1,000,000 Warrant Shares shall become vested and exercisable (such Warrant Shares, the “</w:t>
      </w:r>
      <w:r>
        <w:rPr>
          <w:rFonts w:ascii="Times New Roman" w:cs="Times New Roman" w:eastAsia="Times New Roman" w:hAnsi="Times New Roman"/>
          <w:sz w:val="21"/>
          <w:szCs w:val="21"/>
          <w:b w:val="1"/>
          <w:bCs w:val="1"/>
          <w:color w:val="auto"/>
        </w:rPr>
        <w:t>Third Tranche Warrant Shares</w:t>
      </w:r>
      <w:r>
        <w:rPr>
          <w:rFonts w:ascii="Times New Roman" w:cs="Times New Roman" w:eastAsia="Times New Roman" w:hAnsi="Times New Roman"/>
          <w:sz w:val="21"/>
          <w:szCs w:val="21"/>
          <w:color w:val="auto"/>
        </w:rPr>
        <w:t>”) and shall be exercisable at an Exercise Price equal to $0.793 (the “</w:t>
      </w:r>
      <w:r>
        <w:rPr>
          <w:rFonts w:ascii="Times New Roman" w:cs="Times New Roman" w:eastAsia="Times New Roman" w:hAnsi="Times New Roman"/>
          <w:sz w:val="21"/>
          <w:szCs w:val="21"/>
          <w:b w:val="1"/>
          <w:bCs w:val="1"/>
          <w:color w:val="auto"/>
        </w:rPr>
        <w:t>Third Tranche Exercise Price</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ind w:left="460" w:hanging="452"/>
        <w:spacing w:after="0" w:line="256" w:lineRule="auto"/>
        <w:tabs>
          <w:tab w:leader="none" w:pos="46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Effect of Amendment. </w:t>
      </w:r>
      <w:r>
        <w:rPr>
          <w:rFonts w:ascii="Times New Roman" w:cs="Times New Roman" w:eastAsia="Times New Roman" w:hAnsi="Times New Roman"/>
          <w:sz w:val="21"/>
          <w:szCs w:val="21"/>
          <w:color w:val="auto"/>
        </w:rPr>
        <w:t>On and after the date hereof, each reference in the Warrant to “this Warrant”, “hereunder”, “hereof”,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“herein” or words of like import referring to the Warrant, shall mean and be a reference to the Warrant after giving effect to this Amendment. Except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21"/>
          <w:szCs w:val="21"/>
          <w:color w:val="auto"/>
        </w:rPr>
        <w:t>specifically set forth in this Amendment, the Warrant remains in full force and effect and is hereby ratified and confirmed.</w:t>
      </w:r>
    </w:p>
    <w:p>
      <w:pPr>
        <w:spacing w:after="0" w:line="216" w:lineRule="exact"/>
        <w:rPr>
          <w:sz w:val="20"/>
          <w:szCs w:val="20"/>
          <w:color w:val="auto"/>
        </w:rPr>
      </w:pPr>
    </w:p>
    <w:p>
      <w:pPr>
        <w:ind w:left="460" w:hanging="452"/>
        <w:spacing w:after="0" w:line="297" w:lineRule="auto"/>
        <w:tabs>
          <w:tab w:leader="none" w:pos="4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Amendment, and all questions concerning the construction, validity, enforcement and interpretation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shall be governed by and construed and enforced in accordance with the internal laws of the State of New York.</w:t>
      </w:r>
    </w:p>
    <w:p>
      <w:pPr>
        <w:spacing w:after="0" w:line="133" w:lineRule="exact"/>
        <w:rPr>
          <w:sz w:val="20"/>
          <w:szCs w:val="20"/>
          <w:color w:val="auto"/>
        </w:rPr>
      </w:pPr>
    </w:p>
    <w:p>
      <w:pPr>
        <w:jc w:val="both"/>
        <w:ind w:left="460" w:hanging="452"/>
        <w:spacing w:after="0" w:line="249" w:lineRule="auto"/>
        <w:tabs>
          <w:tab w:leader="none" w:pos="4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Counterparts. </w:t>
      </w:r>
      <w:r>
        <w:rPr>
          <w:rFonts w:ascii="Times New Roman" w:cs="Times New Roman" w:eastAsia="Times New Roman" w:hAnsi="Times New Roman"/>
          <w:sz w:val="21"/>
          <w:szCs w:val="21"/>
          <w:color w:val="auto"/>
        </w:rPr>
        <w:t>This Amendment may be executed in any number of counterparts and by different parties on separate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counterparts, each of which, when executed and delivered, shall be deemed to be an original, and all of which, when taken together, shall constitute but one and the same Amendment. Delivery of an executed counterpart of this Amendment by facsimile, DocuSign or a scanned copy by electronic mail shall be equally as effective as delivery of an original executed counterpart of this Amendment.</w:t>
      </w:r>
    </w:p>
    <w:p>
      <w:pPr>
        <w:spacing w:after="0" w:line="178" w:lineRule="exact"/>
        <w:rPr>
          <w:sz w:val="20"/>
          <w:szCs w:val="20"/>
          <w:color w:val="auto"/>
        </w:rPr>
      </w:pPr>
    </w:p>
    <w:p>
      <w:pPr>
        <w:ind w:left="460" w:hanging="452"/>
        <w:spacing w:after="0" w:line="272" w:lineRule="auto"/>
        <w:tabs>
          <w:tab w:leader="none" w:pos="46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Binding Effect. </w:t>
      </w:r>
      <w:r>
        <w:rPr>
          <w:rFonts w:ascii="Times New Roman" w:cs="Times New Roman" w:eastAsia="Times New Roman" w:hAnsi="Times New Roman"/>
          <w:sz w:val="21"/>
          <w:szCs w:val="21"/>
          <w:color w:val="auto"/>
        </w:rPr>
        <w:t>This Amendment will be binding upon and inure to the benefit of and is enforceable by the respective successors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permitted assigns of the parties hereto.</w:t>
      </w:r>
    </w:p>
    <w:p>
      <w:pPr>
        <w:spacing w:after="0" w:line="155" w:lineRule="exact"/>
        <w:rPr>
          <w:sz w:val="20"/>
          <w:szCs w:val="20"/>
          <w:color w:val="auto"/>
        </w:rPr>
      </w:pPr>
    </w:p>
    <w:p>
      <w:pPr>
        <w:ind w:left="460" w:hanging="452"/>
        <w:spacing w:after="0" w:line="272" w:lineRule="auto"/>
        <w:tabs>
          <w:tab w:leader="none" w:pos="46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Incorporation By Reference</w:t>
      </w:r>
      <w:r>
        <w:rPr>
          <w:rFonts w:ascii="Times New Roman" w:cs="Times New Roman" w:eastAsia="Times New Roman" w:hAnsi="Times New Roman"/>
          <w:sz w:val="21"/>
          <w:szCs w:val="21"/>
          <w:color w:val="auto"/>
        </w:rPr>
        <w:t>. The provisions set forth in Sections 23 (Submission to Jurisdiction) and 24 (Waiver of Jury Trial)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Warrant shall apply to this Amendment in all respects.</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 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25" w:name="page126"/>
    <w:bookmarkEnd w:id="125"/>
    <w:p>
      <w:pPr>
        <w:ind w:left="760"/>
        <w:spacing w:after="0"/>
        <w:rPr>
          <w:sz w:val="20"/>
          <w:szCs w:val="20"/>
          <w:color w:val="auto"/>
        </w:rPr>
      </w:pPr>
      <w:r>
        <w:rPr>
          <w:rFonts w:ascii="Times New Roman" w:cs="Times New Roman" w:eastAsia="Times New Roman" w:hAnsi="Times New Roman"/>
          <w:sz w:val="22"/>
          <w:szCs w:val="22"/>
          <w:color w:val="auto"/>
        </w:rPr>
        <w:t>IN WITNESS WHEREOF, the Company and Holder have duly executed this Amendment as of the date first written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 xml:space="preserve">BIODESIX, INC., </w:t>
      </w: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By: /s/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3346450</wp:posOffset>
            </wp:positionH>
            <wp:positionV relativeFrom="paragraph">
              <wp:posOffset>-10795</wp:posOffset>
            </wp:positionV>
            <wp:extent cx="125603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5">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Robin Harper Cowie</w:t>
      </w:r>
    </w:p>
    <w:p>
      <w:pPr>
        <w:ind w:left="5280"/>
        <w:spacing w:after="0"/>
        <w:rPr>
          <w:sz w:val="20"/>
          <w:szCs w:val="20"/>
          <w:color w:val="auto"/>
        </w:rPr>
      </w:pPr>
      <w:r>
        <w:rPr>
          <w:rFonts w:ascii="Times New Roman" w:cs="Times New Roman" w:eastAsia="Times New Roman" w:hAnsi="Times New Roman"/>
          <w:sz w:val="20"/>
          <w:szCs w:val="20"/>
          <w:color w:val="auto"/>
        </w:rPr>
        <w:t>Title: Chief Financial Officer, Secretary and Treasurer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HOLDER:</w:t>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PERCEPTIVE CREDIT HOLDINGS IV, LP</w:t>
      </w:r>
      <w:r>
        <w:rPr>
          <w:rFonts w:ascii="Times New Roman" w:cs="Times New Roman" w:eastAsia="Times New Roman" w:hAnsi="Times New Roman"/>
          <w:sz w:val="22"/>
          <w:szCs w:val="22"/>
          <w:color w:val="auto"/>
        </w:rPr>
        <w:t>,</w:t>
      </w:r>
    </w:p>
    <w:p>
      <w:pPr>
        <w:ind w:left="5340"/>
        <w:spacing w:after="0"/>
        <w:rPr>
          <w:sz w:val="20"/>
          <w:szCs w:val="20"/>
          <w:color w:val="auto"/>
        </w:rPr>
      </w:pPr>
      <w:r>
        <w:rPr>
          <w:rFonts w:ascii="Times New Roman" w:cs="Times New Roman" w:eastAsia="Times New Roman" w:hAnsi="Times New Roman"/>
          <w:sz w:val="22"/>
          <w:szCs w:val="22"/>
          <w:color w:val="auto"/>
        </w:rPr>
        <w:t>a Delaware limited partnership</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Perceptive Credit Opportunities GP, LLC, its general partner</w:t>
      </w: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By: /s/ Sandeep Dixit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3346450</wp:posOffset>
            </wp:positionH>
            <wp:positionV relativeFrom="paragraph">
              <wp:posOffset>-10795</wp:posOffset>
            </wp:positionV>
            <wp:extent cx="10052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Sandeep Dixit</w:t>
      </w:r>
    </w:p>
    <w:p>
      <w:pPr>
        <w:ind w:left="5280"/>
        <w:spacing w:after="0"/>
        <w:rPr>
          <w:sz w:val="20"/>
          <w:szCs w:val="20"/>
          <w:color w:val="auto"/>
        </w:rPr>
      </w:pPr>
      <w:r>
        <w:rPr>
          <w:rFonts w:ascii="Times New Roman" w:cs="Times New Roman" w:eastAsia="Times New Roman" w:hAnsi="Times New Roman"/>
          <w:sz w:val="20"/>
          <w:szCs w:val="20"/>
          <w:color w:val="auto"/>
        </w:rPr>
        <w:t>Title: Chief Credit Officer</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By: /s/Sam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3465195</wp:posOffset>
            </wp:positionH>
            <wp:positionV relativeFrom="paragraph">
              <wp:posOffset>-10795</wp:posOffset>
            </wp:positionV>
            <wp:extent cx="8864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7">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Sam Chawla</w:t>
      </w:r>
    </w:p>
    <w:p>
      <w:pPr>
        <w:ind w:left="5280"/>
        <w:spacing w:after="0"/>
        <w:rPr>
          <w:sz w:val="20"/>
          <w:szCs w:val="20"/>
          <w:color w:val="auto"/>
        </w:rPr>
      </w:pPr>
      <w:r>
        <w:rPr>
          <w:rFonts w:ascii="Times New Roman" w:cs="Times New Roman" w:eastAsia="Times New Roman" w:hAnsi="Times New Roman"/>
          <w:sz w:val="20"/>
          <w:szCs w:val="20"/>
          <w:color w:val="auto"/>
        </w:rPr>
        <w:t>Title: Portfolio Manager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b w:val="1"/>
          <w:bCs w:val="1"/>
          <w:color w:val="auto"/>
        </w:rPr>
        <w:t>Exhibit 10.36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ifth</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mendment to</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redit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 and</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3"/>
          <w:szCs w:val="13"/>
          <w:b w:val="1"/>
          <w:bCs w:val="1"/>
          <w:color w:val="auto"/>
        </w:rPr>
        <w:t>uaranty</w:t>
      </w:r>
    </w:p>
    <w:p>
      <w:pPr>
        <w:spacing w:after="0" w:line="200" w:lineRule="exact"/>
        <w:rPr>
          <w:sz w:val="20"/>
          <w:szCs w:val="20"/>
          <w:color w:val="auto"/>
        </w:rPr>
      </w:pPr>
    </w:p>
    <w:p>
      <w:pPr>
        <w:spacing w:after="0" w:line="2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This Fifth Amendment to Credit Agreement and Guaranty (herein, this </w:t>
      </w:r>
      <w:r>
        <w:rPr>
          <w:rFonts w:ascii="Times New Roman" w:cs="Times New Roman" w:eastAsia="Times New Roman" w:hAnsi="Times New Roman"/>
          <w:sz w:val="20"/>
          <w:szCs w:val="20"/>
          <w:i w:val="1"/>
          <w:iCs w:val="1"/>
          <w:color w:val="auto"/>
        </w:rPr>
        <w:t>“Agreement”</w:t>
      </w:r>
      <w:r>
        <w:rPr>
          <w:rFonts w:ascii="Times New Roman" w:cs="Times New Roman" w:eastAsia="Times New Roman" w:hAnsi="Times New Roman"/>
          <w:sz w:val="20"/>
          <w:szCs w:val="20"/>
          <w:color w:val="auto"/>
        </w:rPr>
        <w:t>) is entered into as of February 28, 2025 (the “</w:t>
      </w:r>
      <w:r>
        <w:rPr>
          <w:rFonts w:ascii="Times New Roman" w:cs="Times New Roman" w:eastAsia="Times New Roman" w:hAnsi="Times New Roman"/>
          <w:sz w:val="20"/>
          <w:szCs w:val="20"/>
          <w:i w:val="1"/>
          <w:iCs w:val="1"/>
          <w:color w:val="auto"/>
        </w:rPr>
        <w:t>Fifth Amendment Effective Date</w:t>
      </w:r>
      <w:r>
        <w:rPr>
          <w:rFonts w:ascii="Times New Roman" w:cs="Times New Roman" w:eastAsia="Times New Roman" w:hAnsi="Times New Roman"/>
          <w:sz w:val="20"/>
          <w:szCs w:val="20"/>
          <w:color w:val="auto"/>
        </w:rPr>
        <w:t>”), by and among B</w:t>
      </w:r>
      <w:r>
        <w:rPr>
          <w:rFonts w:ascii="Times New Roman" w:cs="Times New Roman" w:eastAsia="Times New Roman" w:hAnsi="Times New Roman"/>
          <w:sz w:val="13"/>
          <w:szCs w:val="13"/>
          <w:color w:val="auto"/>
        </w:rPr>
        <w:t>iodesix</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i w:val="1"/>
          <w:iCs w:val="1"/>
          <w:color w:val="auto"/>
        </w:rPr>
        <w:t>Borrower</w:t>
      </w:r>
      <w:r>
        <w:rPr>
          <w:rFonts w:ascii="Times New Roman" w:cs="Times New Roman" w:eastAsia="Times New Roman" w:hAnsi="Times New Roman"/>
          <w:sz w:val="20"/>
          <w:szCs w:val="20"/>
          <w:color w:val="auto"/>
        </w:rPr>
        <w:t>”), the Lenders party hereto constituting Majority Lenders and P</w:t>
      </w:r>
      <w:r>
        <w:rPr>
          <w:rFonts w:ascii="Times New Roman" w:cs="Times New Roman" w:eastAsia="Times New Roman" w:hAnsi="Times New Roman"/>
          <w:sz w:val="13"/>
          <w:szCs w:val="13"/>
          <w:color w:val="auto"/>
        </w:rPr>
        <w:t>erceptive</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H</w:t>
      </w:r>
      <w:r>
        <w:rPr>
          <w:rFonts w:ascii="Times New Roman" w:cs="Times New Roman" w:eastAsia="Times New Roman" w:hAnsi="Times New Roman"/>
          <w:sz w:val="13"/>
          <w:szCs w:val="13"/>
          <w:color w:val="auto"/>
        </w:rPr>
        <w:t>oldings</w:t>
      </w:r>
      <w:r>
        <w:rPr>
          <w:rFonts w:ascii="Times New Roman" w:cs="Times New Roman" w:eastAsia="Times New Roman" w:hAnsi="Times New Roman"/>
          <w:sz w:val="20"/>
          <w:szCs w:val="20"/>
          <w:color w:val="auto"/>
        </w:rPr>
        <w:t xml:space="preserve"> IV, LP, a Delaware limited partnership, as administrative agent for the Lenders (in such capacity, together with its successors and assigns, the </w:t>
      </w:r>
      <w:r>
        <w:rPr>
          <w:rFonts w:ascii="Times New Roman" w:cs="Times New Roman" w:eastAsia="Times New Roman" w:hAnsi="Times New Roman"/>
          <w:sz w:val="20"/>
          <w:szCs w:val="20"/>
          <w:i w:val="1"/>
          <w:iCs w:val="1"/>
          <w:color w:val="auto"/>
        </w:rPr>
        <w:t>“Administrative Agent”</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ecitals</w:t>
      </w:r>
      <w:r>
        <w:rPr>
          <w:rFonts w:ascii="Times New Roman" w:cs="Times New Roman" w:eastAsia="Times New Roman" w:hAnsi="Times New Roman"/>
          <w:sz w:val="20"/>
          <w:szCs w:val="20"/>
          <w:b w:val="1"/>
          <w:bCs w:val="1"/>
          <w:color w:val="auto"/>
        </w:rPr>
        <w:t>:</w:t>
      </w:r>
    </w:p>
    <w:p>
      <w:pPr>
        <w:spacing w:after="0" w:line="260" w:lineRule="exact"/>
        <w:rPr>
          <w:sz w:val="20"/>
          <w:szCs w:val="20"/>
          <w:color w:val="auto"/>
        </w:rPr>
      </w:pPr>
    </w:p>
    <w:p>
      <w:pPr>
        <w:jc w:val="both"/>
        <w:ind w:firstLine="404"/>
        <w:spacing w:after="0" w:line="244" w:lineRule="auto"/>
        <w:tabs>
          <w:tab w:leader="none" w:pos="79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have extended credit to the Borrower on the terms and conditions set forth in that certain Credit Agreement and Guaranty, dated as of November 16, 2022 (as amended pursuant to that certain First Amendment to Credit Agreement and Guaranty, dated as of May 10, 2023, as amended pursuant to that certain Second Amendment to Credit Agreement and Guaranty, dated as of August 4, 2023, as amended pursuant to that certain Third Amendment to Credit Agreement and Guaranty, dated as of February 29, 2024, as amended pursuant to that certain Fourth Amendment to Credit Agreement and Guaranty, dated as of October 30, 2024, and as further amended, restated, supplemented or otherwise modified prior to the Fifth Amendment Effective Date, the </w:t>
      </w:r>
      <w:r>
        <w:rPr>
          <w:rFonts w:ascii="Times New Roman" w:cs="Times New Roman" w:eastAsia="Times New Roman" w:hAnsi="Times New Roman"/>
          <w:sz w:val="20"/>
          <w:szCs w:val="20"/>
          <w:i w:val="1"/>
          <w:iCs w:val="1"/>
          <w:color w:val="auto"/>
        </w:rPr>
        <w:t>“Existing Credit Agreement”</w:t>
      </w:r>
      <w:r>
        <w:rPr>
          <w:rFonts w:ascii="Times New Roman" w:cs="Times New Roman" w:eastAsia="Times New Roman" w:hAnsi="Times New Roman"/>
          <w:sz w:val="20"/>
          <w:szCs w:val="20"/>
          <w:color w:val="auto"/>
        </w:rPr>
        <w:t>; the Existing Credit Agreement as amended by this Agreement, the “</w:t>
      </w:r>
      <w:r>
        <w:rPr>
          <w:rFonts w:ascii="Times New Roman" w:cs="Times New Roman" w:eastAsia="Times New Roman" w:hAnsi="Times New Roman"/>
          <w:sz w:val="20"/>
          <w:szCs w:val="20"/>
          <w:i w:val="1"/>
          <w:iCs w:val="1"/>
          <w:color w:val="auto"/>
        </w:rPr>
        <w:t>Credit Agreement</w:t>
      </w:r>
      <w:r>
        <w:rPr>
          <w:rFonts w:ascii="Times New Roman" w:cs="Times New Roman" w:eastAsia="Times New Roman" w:hAnsi="Times New Roman"/>
          <w:sz w:val="20"/>
          <w:szCs w:val="20"/>
          <w:color w:val="auto"/>
        </w:rPr>
        <w:t>”).</w:t>
      </w:r>
    </w:p>
    <w:p>
      <w:pPr>
        <w:spacing w:after="0" w:line="226" w:lineRule="exact"/>
        <w:rPr>
          <w:rFonts w:ascii="Times New Roman" w:cs="Times New Roman" w:eastAsia="Times New Roman" w:hAnsi="Times New Roman"/>
          <w:sz w:val="20"/>
          <w:szCs w:val="20"/>
          <w:color w:val="auto"/>
        </w:rPr>
      </w:pPr>
    </w:p>
    <w:p>
      <w:pPr>
        <w:ind w:firstLine="404"/>
        <w:spacing w:after="0" w:line="269" w:lineRule="auto"/>
        <w:tabs>
          <w:tab w:leader="none" w:pos="79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requested that the Administrative Agent and the Lenders agree to amend certain provisions of the Existing Credit Agreement.</w:t>
      </w:r>
    </w:p>
    <w:p>
      <w:pPr>
        <w:spacing w:after="0" w:line="186"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to amend the Existing Credit Agreement pursuant to the terms of this Agreement.</w:t>
      </w:r>
    </w:p>
    <w:p>
      <w:pPr>
        <w:spacing w:after="0" w:line="25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3"/>
          <w:szCs w:val="13"/>
          <w:color w:val="auto"/>
        </w:rPr>
        <w:t>ow</w:t>
      </w:r>
      <w:r>
        <w:rPr>
          <w:rFonts w:ascii="Times New Roman" w:cs="Times New Roman" w:eastAsia="Times New Roman" w:hAnsi="Times New Roman"/>
          <w:sz w:val="20"/>
          <w:szCs w:val="20"/>
          <w:color w:val="auto"/>
        </w:rPr>
        <w:t>, T</w:t>
      </w:r>
      <w:r>
        <w:rPr>
          <w:rFonts w:ascii="Times New Roman" w:cs="Times New Roman" w:eastAsia="Times New Roman" w:hAnsi="Times New Roman"/>
          <w:sz w:val="13"/>
          <w:szCs w:val="13"/>
          <w:color w:val="auto"/>
        </w:rPr>
        <w:t>herefore</w:t>
      </w:r>
      <w:r>
        <w:rPr>
          <w:rFonts w:ascii="Times New Roman" w:cs="Times New Roman" w:eastAsia="Times New Roman" w:hAnsi="Times New Roman"/>
          <w:sz w:val="20"/>
          <w:szCs w:val="20"/>
          <w:color w:val="auto"/>
        </w:rPr>
        <w:t>, for good and valuable consideration, the receipt and sufficiency of which is hereby acknowledged, the parties hereto agree as follows:</w:t>
      </w:r>
    </w:p>
    <w:p>
      <w:pPr>
        <w:spacing w:after="0" w:line="169" w:lineRule="exact"/>
        <w:rPr>
          <w:sz w:val="20"/>
          <w:szCs w:val="20"/>
          <w:color w:val="auto"/>
        </w:rPr>
      </w:pPr>
    </w:p>
    <w:p>
      <w:pPr>
        <w:jc w:val="both"/>
        <w:ind w:firstLine="757"/>
        <w:spacing w:after="0" w:line="256"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Incorporation of Recitals; Defined Terms. </w:t>
      </w:r>
      <w:r>
        <w:rPr>
          <w:rFonts w:ascii="Times New Roman" w:cs="Times New Roman" w:eastAsia="Times New Roman" w:hAnsi="Times New Roman"/>
          <w:sz w:val="20"/>
          <w:szCs w:val="20"/>
          <w:color w:val="auto"/>
        </w:rPr>
        <w:t>The parties hereto acknowledge that the Recitals set forth above are true and correct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all material respects. The defined terms in the Recitals set forth above are hereby incorporated into this Agreement by reference. All other capitalized terms used herein without definition shall have the same meanings herein as such terms have in the Credit Agreement.</w:t>
      </w:r>
    </w:p>
    <w:p>
      <w:pPr>
        <w:spacing w:after="0" w:line="182"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Fifth Amendment to Existing Credit Agreement</w:t>
      </w:r>
      <w:r>
        <w:rPr>
          <w:rFonts w:ascii="Times New Roman" w:cs="Times New Roman" w:eastAsia="Times New Roman" w:hAnsi="Times New Roman"/>
          <w:sz w:val="20"/>
          <w:szCs w:val="20"/>
          <w:color w:val="auto"/>
        </w:rPr>
        <w:t>. Upon satisfaction of the conditions set forth in Section 5 hereof, the Borrower,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Lenders and the Administrative Agent hereby agree that the Existing Credit Agreement is hereby amended to incorporate the changes reflected in the pages of Annex A hereto. Attached hereto as Annex B is a clean draft incorporating the changes in Annex A. Schedule 1 to the Existing Credit Agreement is hereby amended and replaced in its entirety with the Schedule 1 attached hereto as Annex C.</w:t>
      </w:r>
    </w:p>
    <w:p>
      <w:pPr>
        <w:spacing w:after="0" w:line="189"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Acknowledgement of Liens</w:t>
      </w:r>
      <w:r>
        <w:rPr>
          <w:rFonts w:ascii="Times New Roman" w:cs="Times New Roman" w:eastAsia="Times New Roman" w:hAnsi="Times New Roman"/>
          <w:sz w:val="20"/>
          <w:szCs w:val="20"/>
          <w:color w:val="auto"/>
        </w:rPr>
        <w:t>. The Borrower hereby acknowledges and agrees that the Obligations owing to the Administrative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Agent and the Lenders arising out of or in any manner relating to the Loan Documents shall continue to be secured by the Liens granted as security therefor in the Loan Documents, to the extent provided for in the Loan Documents heretofore executed and delivered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27" w:name="page128"/>
    <w:bookmarkEnd w:id="127"/>
    <w:p>
      <w:pPr>
        <w:spacing w:after="0" w:line="269" w:lineRule="auto"/>
        <w:rPr>
          <w:sz w:val="20"/>
          <w:szCs w:val="20"/>
          <w:color w:val="auto"/>
        </w:rPr>
      </w:pPr>
      <w:r>
        <w:rPr>
          <w:rFonts w:ascii="Times New Roman" w:cs="Times New Roman" w:eastAsia="Times New Roman" w:hAnsi="Times New Roman"/>
          <w:sz w:val="20"/>
          <w:szCs w:val="20"/>
          <w:color w:val="auto"/>
        </w:rPr>
        <w:t>Borrower; and nothing herein contained shall in any manner affect or impair the priority of the Liens created and provided for thereby as to the indebtedness, obligations, and liabilities which would be secured thereby prior to giving effect to this Agreement.</w:t>
      </w:r>
    </w:p>
    <w:p>
      <w:pPr>
        <w:spacing w:after="0" w:line="169" w:lineRule="exact"/>
        <w:rPr>
          <w:sz w:val="20"/>
          <w:szCs w:val="20"/>
          <w:color w:val="auto"/>
        </w:rPr>
      </w:pPr>
    </w:p>
    <w:p>
      <w:pPr>
        <w:ind w:firstLine="757"/>
        <w:spacing w:after="0" w:line="273"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Representations And Warranties. </w:t>
      </w:r>
      <w:r>
        <w:rPr>
          <w:rFonts w:ascii="Times New Roman" w:cs="Times New Roman" w:eastAsia="Times New Roman" w:hAnsi="Times New Roman"/>
          <w:sz w:val="20"/>
          <w:szCs w:val="20"/>
          <w:color w:val="auto"/>
        </w:rPr>
        <w:t>In order to induce the Administrative Agent and the Lenders to enter into this Agreement,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Borrower hereby represents and warrants to the Administrative Agent and the Lenders as follows:</w:t>
      </w:r>
    </w:p>
    <w:p>
      <w:pPr>
        <w:spacing w:after="0" w:line="196" w:lineRule="exact"/>
        <w:rPr>
          <w:rFonts w:ascii="Times New Roman" w:cs="Times New Roman" w:eastAsia="Times New Roman" w:hAnsi="Times New Roman"/>
          <w:sz w:val="20"/>
          <w:szCs w:val="20"/>
          <w:color w:val="auto"/>
        </w:rPr>
      </w:pPr>
    </w:p>
    <w:p>
      <w:pPr>
        <w:jc w:val="both"/>
        <w:ind w:left="660" w:firstLine="980"/>
        <w:spacing w:after="0" w:line="245" w:lineRule="auto"/>
        <w:tabs>
          <w:tab w:leader="none" w:pos="2037"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this Agreement, the representations and warranties of the Borrower contained in Article 7 of the Credit Agreement and in each other Loan Document shall be true and correct in all material respects on and as of the date hereof;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to the extent that such representations and warranties specifically refer to an earlier date, they shall be true and correct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 all material respects as of such earlier date;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211" w:lineRule="exact"/>
        <w:rPr>
          <w:rFonts w:ascii="Times New Roman" w:cs="Times New Roman" w:eastAsia="Times New Roman" w:hAnsi="Times New Roman"/>
          <w:sz w:val="20"/>
          <w:szCs w:val="20"/>
          <w:color w:val="auto"/>
        </w:rPr>
      </w:pPr>
    </w:p>
    <w:p>
      <w:pPr>
        <w:ind w:left="660" w:firstLine="980"/>
        <w:spacing w:after="0" w:line="269" w:lineRule="auto"/>
        <w:tabs>
          <w:tab w:leader="none" w:pos="2037"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has been duly authorized by all necessary corporate action on the part of, and duly executed and delivered by, the Borrower.</w:t>
      </w:r>
    </w:p>
    <w:p>
      <w:pPr>
        <w:spacing w:after="0" w:line="199" w:lineRule="exact"/>
        <w:rPr>
          <w:rFonts w:ascii="Times New Roman" w:cs="Times New Roman" w:eastAsia="Times New Roman" w:hAnsi="Times New Roman"/>
          <w:sz w:val="20"/>
          <w:szCs w:val="20"/>
          <w:color w:val="auto"/>
        </w:rPr>
      </w:pPr>
    </w:p>
    <w:p>
      <w:pPr>
        <w:ind w:left="660" w:firstLine="980"/>
        <w:spacing w:after="0" w:line="269" w:lineRule="auto"/>
        <w:tabs>
          <w:tab w:leader="none" w:pos="2037"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or shall occur and be continuing immediately after giving effect to this Agreement.</w:t>
      </w:r>
    </w:p>
    <w:p>
      <w:pPr>
        <w:spacing w:after="0" w:line="16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Conditions Precedent. </w:t>
      </w:r>
      <w:r>
        <w:rPr>
          <w:rFonts w:ascii="Times New Roman" w:cs="Times New Roman" w:eastAsia="Times New Roman" w:hAnsi="Times New Roman"/>
          <w:sz w:val="20"/>
          <w:szCs w:val="20"/>
          <w:color w:val="auto"/>
        </w:rPr>
        <w:t>The effectiveness of this Agreement is subject to the satisfaction of the following conditions precedent:</w:t>
      </w:r>
    </w:p>
    <w:p>
      <w:pPr>
        <w:spacing w:after="0" w:line="260" w:lineRule="exact"/>
        <w:rPr>
          <w:rFonts w:ascii="Times New Roman" w:cs="Times New Roman" w:eastAsia="Times New Roman" w:hAnsi="Times New Roman"/>
          <w:sz w:val="20"/>
          <w:szCs w:val="20"/>
          <w:color w:val="auto"/>
        </w:rPr>
      </w:pPr>
    </w:p>
    <w:p>
      <w:pPr>
        <w:ind w:left="660" w:firstLine="980"/>
        <w:spacing w:after="0" w:line="269" w:lineRule="auto"/>
        <w:tabs>
          <w:tab w:leader="none" w:pos="2037"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Lenders shall have received executed counterparts of this Agreement duly executed and delivered by the Borrower.</w:t>
      </w:r>
    </w:p>
    <w:p>
      <w:pPr>
        <w:spacing w:after="0" w:line="186" w:lineRule="exact"/>
        <w:rPr>
          <w:rFonts w:ascii="Times New Roman" w:cs="Times New Roman" w:eastAsia="Times New Roman" w:hAnsi="Times New Roman"/>
          <w:sz w:val="20"/>
          <w:szCs w:val="20"/>
          <w:color w:val="auto"/>
        </w:rPr>
      </w:pPr>
    </w:p>
    <w:p>
      <w:pPr>
        <w:ind w:left="660" w:right="20" w:firstLine="980"/>
        <w:spacing w:after="0" w:line="269" w:lineRule="auto"/>
        <w:tabs>
          <w:tab w:leader="none" w:pos="2037"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the executed First Amendment to Warrant Certificate, dated as of the Fifth Amendment Effective Date, attached hereto as Annex D.</w:t>
      </w:r>
    </w:p>
    <w:p>
      <w:pPr>
        <w:spacing w:after="0" w:line="16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Reference to and Effect on the Loan Documents; No Novation.</w:t>
      </w:r>
    </w:p>
    <w:p>
      <w:pPr>
        <w:spacing w:after="0" w:line="260" w:lineRule="exact"/>
        <w:rPr>
          <w:rFonts w:ascii="Times New Roman" w:cs="Times New Roman" w:eastAsia="Times New Roman" w:hAnsi="Times New Roman"/>
          <w:sz w:val="20"/>
          <w:szCs w:val="20"/>
          <w:color w:val="auto"/>
        </w:rPr>
      </w:pPr>
    </w:p>
    <w:p>
      <w:pPr>
        <w:jc w:val="both"/>
        <w:ind w:left="660" w:firstLine="980"/>
        <w:spacing w:after="0" w:line="249" w:lineRule="auto"/>
        <w:tabs>
          <w:tab w:leader="none" w:pos="2037"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constitutes a Loan Document. On and after the date hereof, words of like import referring to the Credit Agreement, and each reference in the other Loan Documents to the “Credit Agreement”, “thereunder”, “thereof” or words of like import referring to the Credit Agreement shall mean and be a reference to the Credit Agreement after giving effect to this Agreement.</w:t>
      </w:r>
    </w:p>
    <w:p>
      <w:pPr>
        <w:spacing w:after="0" w:line="220" w:lineRule="exact"/>
        <w:rPr>
          <w:rFonts w:ascii="Times New Roman" w:cs="Times New Roman" w:eastAsia="Times New Roman" w:hAnsi="Times New Roman"/>
          <w:sz w:val="20"/>
          <w:szCs w:val="20"/>
          <w:color w:val="auto"/>
        </w:rPr>
      </w:pPr>
    </w:p>
    <w:p>
      <w:pPr>
        <w:ind w:left="660" w:firstLine="950"/>
        <w:spacing w:after="0" w:line="269" w:lineRule="auto"/>
        <w:tabs>
          <w:tab w:leader="none" w:pos="2037"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specifically set forth in this Agreement, the Credit Agreement and the other Loan Documents shall remain in full force and effect and are hereby ratified and confirmed.</w:t>
      </w:r>
    </w:p>
    <w:p>
      <w:pPr>
        <w:spacing w:after="0" w:line="186" w:lineRule="exact"/>
        <w:rPr>
          <w:rFonts w:ascii="Times New Roman" w:cs="Times New Roman" w:eastAsia="Times New Roman" w:hAnsi="Times New Roman"/>
          <w:sz w:val="20"/>
          <w:szCs w:val="20"/>
          <w:color w:val="auto"/>
        </w:rPr>
      </w:pPr>
    </w:p>
    <w:p>
      <w:pPr>
        <w:jc w:val="both"/>
        <w:ind w:left="660" w:firstLine="980"/>
        <w:spacing w:after="0" w:line="246" w:lineRule="auto"/>
        <w:tabs>
          <w:tab w:leader="none" w:pos="2037"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in this Agreement, the Loan Documents and all of the obligations of the Loan Parties thereunder and the rights and benefits of the Administrative Agent and the Lenders thereunder remain in full force and effect. This Agreement is not a novation nor is it to be construed as a release, waiver or modification of any of the terms, conditions, representations, warranties, covenants, rights or remedies set forth in the Loan Documents, except as specifically set forth herein. Without limiting the foregoing, the Loan Parties agree to comply with all of the terms,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spacing w:after="0" w:line="230"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9"/>
          <w:szCs w:val="19"/>
          <w:color w:val="auto"/>
        </w:rPr>
        <w:t>conditions, and provisions of the Loan Documents except to the extent such compliance is irreconcilably inconsistent with the express provisions of this Agreement. This Agreement may not be amended, supplemented, or otherwise modified except by a written agreement entered into in accordance with Section 13.04 of the Credit Agreement. THIS AGREEMENT, THE CREDIT AGREEMENT AND THE OTHER LOAN DOCUMENTS REPRESENTS THE ENTIRE AGREEMENT AMONG THE PARTIES WITH RESPECT TO THE SUBJECT MATTER HEREOF AND THEREOF AND SUPERSEDE ANY AND ALL PREVIOUS AGREEMENTS AND UNDERSTANDINGS, ORAL OR WRITTEN, RELATING TO THE SUBJECT MATTER HEREOF.</w:t>
      </w:r>
    </w:p>
    <w:p>
      <w:pPr>
        <w:spacing w:after="0" w:line="182" w:lineRule="exact"/>
        <w:rPr>
          <w:sz w:val="20"/>
          <w:szCs w:val="20"/>
          <w:color w:val="auto"/>
        </w:rPr>
      </w:pPr>
    </w:p>
    <w:p>
      <w:pPr>
        <w:ind w:firstLine="757"/>
        <w:spacing w:after="0" w:line="273" w:lineRule="auto"/>
        <w:tabs>
          <w:tab w:leader="none" w:pos="101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Headings</w:t>
      </w:r>
      <w:r>
        <w:rPr>
          <w:rFonts w:ascii="Times New Roman" w:cs="Times New Roman" w:eastAsia="Times New Roman" w:hAnsi="Times New Roman"/>
          <w:sz w:val="20"/>
          <w:szCs w:val="20"/>
          <w:color w:val="auto"/>
        </w:rPr>
        <w:t>. The headings in this Agreement are included solely for convenience of reference and are not intended to affect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interpretation of any provision of this Agreement.</w:t>
      </w:r>
    </w:p>
    <w:p>
      <w:pPr>
        <w:spacing w:after="0" w:line="165"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THIS AGREEMENT, THE RIGHTS AND OBLIGATIONS OF THE PARTIES HEREUNDER, AND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CLAIMS, DISPUTES AND MATTERS ARISING HEREUNDER OR RELATED 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spacing w:after="0" w:line="193" w:lineRule="exact"/>
        <w:rPr>
          <w:rFonts w:ascii="Times New Roman" w:cs="Times New Roman" w:eastAsia="Times New Roman" w:hAnsi="Times New Roman"/>
          <w:sz w:val="20"/>
          <w:szCs w:val="20"/>
          <w:color w:val="auto"/>
        </w:rPr>
      </w:pPr>
    </w:p>
    <w:p>
      <w:pPr>
        <w:ind w:firstLine="757"/>
        <w:spacing w:after="0" w:line="273" w:lineRule="auto"/>
        <w:tabs>
          <w:tab w:leader="none" w:pos="108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Incorporation of Sections 13.10 and 13.11 of the Credit Agreement</w:t>
      </w:r>
      <w:r>
        <w:rPr>
          <w:rFonts w:ascii="Times New Roman" w:cs="Times New Roman" w:eastAsia="Times New Roman" w:hAnsi="Times New Roman"/>
          <w:sz w:val="20"/>
          <w:szCs w:val="20"/>
          <w:color w:val="auto"/>
        </w:rPr>
        <w:t>. The provisions set forth in Sections 13.10 (Jurisdiction,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 of Process and Venue) and 13.11 (Waiver of Jury Trial) of the Credit Agreement shall apply to this Agreement in all respects.</w:t>
      </w:r>
    </w:p>
    <w:p>
      <w:pPr>
        <w:spacing w:after="0" w:line="165"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Counterparts</w:t>
      </w:r>
      <w:r>
        <w:rPr>
          <w:rFonts w:ascii="Times New Roman" w:cs="Times New Roman" w:eastAsia="Times New Roman" w:hAnsi="Times New Roman"/>
          <w:sz w:val="20"/>
          <w:szCs w:val="20"/>
          <w:color w:val="auto"/>
        </w:rPr>
        <w:t>. This Agreement may be executed in any number of counterparts, all of which taken together shall constitute one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9"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Severability</w:t>
      </w:r>
      <w:r>
        <w:rPr>
          <w:rFonts w:ascii="Times New Roman" w:cs="Times New Roman" w:eastAsia="Times New Roman" w:hAnsi="Times New Roman"/>
          <w:sz w:val="20"/>
          <w:szCs w:val="20"/>
          <w:color w:val="auto"/>
        </w:rPr>
        <w:t>. If any provision hereof is found by a court to be invalid or unenforceable, to the fullest extent permitted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Law the parties agree that such invalidity or unenforceability shall not impair the validity or enforceability of any other provision hereof.</w:t>
      </w:r>
    </w:p>
    <w:p>
      <w:pPr>
        <w:spacing w:after="0" w:line="182" w:lineRule="exact"/>
        <w:rPr>
          <w:rFonts w:ascii="Times New Roman" w:cs="Times New Roman" w:eastAsia="Times New Roman" w:hAnsi="Times New Roman"/>
          <w:sz w:val="20"/>
          <w:szCs w:val="20"/>
          <w:color w:val="auto"/>
        </w:rPr>
      </w:pPr>
    </w:p>
    <w:p>
      <w:pPr>
        <w:ind w:right="20" w:firstLine="757"/>
        <w:spacing w:after="0" w:line="273" w:lineRule="auto"/>
        <w:tabs>
          <w:tab w:leader="none" w:pos="101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Binding Effect</w:t>
      </w:r>
      <w:r>
        <w:rPr>
          <w:rFonts w:ascii="Times New Roman" w:cs="Times New Roman" w:eastAsia="Times New Roman" w:hAnsi="Times New Roman"/>
          <w:sz w:val="20"/>
          <w:szCs w:val="20"/>
          <w:color w:val="auto"/>
        </w:rPr>
        <w:t>. This Agreement will be binding upon and inure to the benefit of and is enforceable by the respective successors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permitted assigns of the parties hereto.</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ages to</w:t>
      </w:r>
      <w:r>
        <w:rPr>
          <w:rFonts w:ascii="Times New Roman" w:cs="Times New Roman" w:eastAsia="Times New Roman" w:hAnsi="Times New Roman"/>
          <w:sz w:val="20"/>
          <w:szCs w:val="20"/>
          <w:color w:val="auto"/>
        </w:rPr>
        <w:t xml:space="preserve"> F</w:t>
      </w:r>
      <w:r>
        <w:rPr>
          <w:rFonts w:ascii="Times New Roman" w:cs="Times New Roman" w:eastAsia="Times New Roman" w:hAnsi="Times New Roman"/>
          <w:sz w:val="13"/>
          <w:szCs w:val="13"/>
          <w:color w:val="auto"/>
        </w:rPr>
        <w:t>ollow</w:t>
      </w:r>
      <w:r>
        <w:rPr>
          <w:rFonts w:ascii="Times New Roman" w:cs="Times New Roman" w:eastAsia="Times New Roman" w:hAnsi="Times New Roman"/>
          <w:sz w:val="20"/>
          <w:szCs w:val="20"/>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3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officers thereunto duly authorized as of the date first written above.</w:t>
      </w:r>
    </w:p>
    <w:p>
      <w:pPr>
        <w:spacing w:after="0" w:line="18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3"/>
          <w:szCs w:val="13"/>
          <w:color w:val="auto"/>
        </w:rPr>
        <w:t>iodesix</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 as Borrower</w:t>
      </w:r>
    </w:p>
    <w:p>
      <w:pPr>
        <w:spacing w:after="0" w:line="200" w:lineRule="exact"/>
        <w:rPr>
          <w:sz w:val="20"/>
          <w:szCs w:val="20"/>
          <w:color w:val="auto"/>
        </w:rPr>
      </w:pPr>
    </w:p>
    <w:p>
      <w:pPr>
        <w:spacing w:after="0" w:line="3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By: /s/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3346450</wp:posOffset>
            </wp:positionH>
            <wp:positionV relativeFrom="paragraph">
              <wp:posOffset>-10795</wp:posOffset>
            </wp:positionV>
            <wp:extent cx="12560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2">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Robin Harper Cowie</w:t>
      </w:r>
    </w:p>
    <w:p>
      <w:pPr>
        <w:ind w:left="5280"/>
        <w:spacing w:after="0"/>
        <w:rPr>
          <w:sz w:val="20"/>
          <w:szCs w:val="20"/>
          <w:color w:val="auto"/>
        </w:rPr>
      </w:pPr>
      <w:r>
        <w:rPr>
          <w:rFonts w:ascii="Times New Roman" w:cs="Times New Roman" w:eastAsia="Times New Roman" w:hAnsi="Times New Roman"/>
          <w:sz w:val="20"/>
          <w:szCs w:val="20"/>
          <w:color w:val="auto"/>
        </w:rPr>
        <w:t>Title: Chief Financial Officer, 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PERCEPTIVE CREDIT HOLDINGS IV, LP,</w:t>
      </w:r>
    </w:p>
    <w:p>
      <w:pPr>
        <w:spacing w:after="0" w:line="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as Agent and Lender</w:t>
      </w: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By: Perceptive Credit Opportunities GP, LLC, its general partner</w:t>
      </w:r>
    </w:p>
    <w:p>
      <w:pPr>
        <w:spacing w:after="0" w:line="200" w:lineRule="exact"/>
        <w:rPr>
          <w:sz w:val="20"/>
          <w:szCs w:val="20"/>
          <w:color w:val="auto"/>
        </w:rPr>
      </w:pPr>
    </w:p>
    <w:p>
      <w:pPr>
        <w:spacing w:after="0" w:line="3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By: /s/ Sandeep Dixit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3346450</wp:posOffset>
            </wp:positionH>
            <wp:positionV relativeFrom="paragraph">
              <wp:posOffset>-10795</wp:posOffset>
            </wp:positionV>
            <wp:extent cx="10052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3">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Sandeep Dixit</w:t>
      </w:r>
    </w:p>
    <w:p>
      <w:pPr>
        <w:ind w:left="5280"/>
        <w:spacing w:after="0"/>
        <w:rPr>
          <w:sz w:val="20"/>
          <w:szCs w:val="20"/>
          <w:color w:val="auto"/>
        </w:rPr>
      </w:pPr>
      <w:r>
        <w:rPr>
          <w:rFonts w:ascii="Times New Roman" w:cs="Times New Roman" w:eastAsia="Times New Roman" w:hAnsi="Times New Roman"/>
          <w:sz w:val="20"/>
          <w:szCs w:val="20"/>
          <w:color w:val="auto"/>
        </w:rPr>
        <w:t>Title: Chief Credit Officer</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By: /s/Sam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3465195</wp:posOffset>
            </wp:positionH>
            <wp:positionV relativeFrom="paragraph">
              <wp:posOffset>-10795</wp:posOffset>
            </wp:positionV>
            <wp:extent cx="88646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4">
                      <a:extLst>
                        <a:ext uri="{28A0092B-C50C-407E-A947-70E740481C1C}"/>
                      </a:extLst>
                    </a:blip>
                    <a:srcRect/>
                    <a:stretch>
                      <a:fillRect/>
                    </a:stretch>
                  </pic:blipFill>
                  <pic:spPr bwMode="auto">
                    <a:xfrm>
                      <a:off x="0" y="0"/>
                      <a:ext cx="886460" cy="8890"/>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Sam Chawla</w:t>
      </w:r>
    </w:p>
    <w:p>
      <w:pPr>
        <w:ind w:left="5280"/>
        <w:spacing w:after="0"/>
        <w:rPr>
          <w:sz w:val="20"/>
          <w:szCs w:val="20"/>
          <w:color w:val="auto"/>
        </w:rPr>
      </w:pPr>
      <w:r>
        <w:rPr>
          <w:rFonts w:ascii="Times New Roman" w:cs="Times New Roman" w:eastAsia="Times New Roman" w:hAnsi="Times New Roman"/>
          <w:sz w:val="20"/>
          <w:szCs w:val="20"/>
          <w:color w:val="auto"/>
        </w:rPr>
        <w:t>Title: Portfolio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Fifth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ANNEX B</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Conformed Credit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(Fifth Amendment - Clean Version)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492125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 and</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uaranty</w:t>
      </w:r>
      <w:r>
        <w:rPr>
          <w:rFonts w:ascii="Times New Roman" w:cs="Times New Roman" w:eastAsia="Times New Roman" w:hAnsi="Times New Roman"/>
          <w:sz w:val="17"/>
          <w:szCs w:val="17"/>
          <w:color w:val="auto"/>
        </w:rPr>
        <w:t>1</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ovember</w:t>
      </w:r>
      <w:r>
        <w:rPr>
          <w:rFonts w:ascii="Times New Roman" w:cs="Times New Roman" w:eastAsia="Times New Roman" w:hAnsi="Times New Roman"/>
          <w:sz w:val="22"/>
          <w:szCs w:val="22"/>
          <w:color w:val="auto"/>
        </w:rPr>
        <w:t xml:space="preserve"> 16, 2022</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among</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iodesix</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uarantors from</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 to</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arty hereto</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Guarantors,</w:t>
      </w:r>
    </w:p>
    <w:p>
      <w:pPr>
        <w:spacing w:after="0" w:line="2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enders from</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 to</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arty hereto</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Lenders,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and</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2"/>
          <w:szCs w:val="22"/>
          <w:color w:val="auto"/>
        </w:rPr>
        <w:t xml:space="preserve"> IV, LP,</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the Administrative Agent and as a Lender</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473710</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490855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692785</wp:posOffset>
            </wp:positionV>
            <wp:extent cx="1688465" cy="508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0">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hanging="752"/>
        <w:spacing w:after="0" w:line="236" w:lineRule="auto"/>
        <w:tabs>
          <w:tab w:leader="none" w:pos="119" w:val="left"/>
        </w:tabs>
        <w:numPr>
          <w:ilvl w:val="0"/>
          <w:numId w:val="8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Conformed to reflect changes from the First Amendment to Credit Agreement and Guaranty, dated as of May 10, 2023, the Second Amendment to Credit Agreement and Guaranty, dated as of August 4, 2023, the Third Amendment to Credit Agreement and Guaranty, dated as of February 29, 2024, the Fourth Amendment to Credit Agreement and Guaranty, dated as of October 30, 2024, and the Fifth Amendment to Credit Agreement and Guaranty, dated as of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86"/>
        </w:trPr>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520" w:type="dxa"/>
            <w:vAlign w:val="bottom"/>
          </w:tcPr>
          <w:p>
            <w:pPr>
              <w:ind w:left="304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ontents</w:t>
            </w:r>
          </w:p>
        </w:tc>
        <w:tc>
          <w:tcPr>
            <w:tcW w:w="1980" w:type="dxa"/>
            <w:vAlign w:val="bottom"/>
          </w:tcPr>
          <w:p>
            <w:pPr>
              <w:spacing w:after="0"/>
              <w:rPr>
                <w:sz w:val="24"/>
                <w:szCs w:val="24"/>
                <w:color w:val="auto"/>
              </w:rPr>
            </w:pPr>
          </w:p>
        </w:tc>
      </w:tr>
      <w:tr>
        <w:trPr>
          <w:trHeight w:val="500"/>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p>
        </w:tc>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14"/>
                <w:szCs w:val="14"/>
                <w:color w:val="auto"/>
              </w:rPr>
              <w:t>eading</w:t>
            </w:r>
          </w:p>
        </w:tc>
        <w:tc>
          <w:tcPr>
            <w:tcW w:w="7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age</w:t>
            </w:r>
          </w:p>
        </w:tc>
        <w:tc>
          <w:tcPr>
            <w:tcW w:w="1980" w:type="dxa"/>
            <w:vAlign w:val="bottom"/>
          </w:tcPr>
          <w:p>
            <w:pPr>
              <w:spacing w:after="0"/>
              <w:rPr>
                <w:sz w:val="24"/>
                <w:szCs w:val="24"/>
                <w:color w:val="auto"/>
              </w:rPr>
            </w:pPr>
          </w:p>
        </w:tc>
      </w:tr>
      <w:tr>
        <w:trPr>
          <w:trHeight w:val="486"/>
        </w:trPr>
        <w:tc>
          <w:tcPr>
            <w:tcW w:w="92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I D</w:t>
            </w:r>
            <w:r>
              <w:rPr>
                <w:rFonts w:ascii="Times New Roman" w:cs="Times New Roman" w:eastAsia="Times New Roman" w:hAnsi="Times New Roman"/>
                <w:sz w:val="14"/>
                <w:szCs w:val="14"/>
                <w:color w:val="auto"/>
              </w:rPr>
              <w:t>efinitions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25"/>
        </w:trPr>
        <w:tc>
          <w:tcPr>
            <w:tcW w:w="924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Section 1.01.  Certain Defined Terms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9240" w:type="dxa"/>
            <w:vAlign w:val="bottom"/>
            <w:gridSpan w:val="3"/>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1.02.  Accounting Terms and Principles</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17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Section 1.03.</w:t>
            </w:r>
          </w:p>
        </w:tc>
        <w:tc>
          <w:tcPr>
            <w:tcW w:w="7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Interpretation</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17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Section 1.04.</w:t>
            </w:r>
          </w:p>
        </w:tc>
        <w:tc>
          <w:tcPr>
            <w:tcW w:w="7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Divisions</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82"/>
        </w:trPr>
        <w:tc>
          <w:tcPr>
            <w:tcW w:w="17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w w:val="98"/>
              </w:rPr>
              <w:t>Section 1.05.</w:t>
            </w:r>
          </w:p>
        </w:tc>
        <w:tc>
          <w:tcPr>
            <w:tcW w:w="7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Interest Rates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486"/>
        </w:trPr>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2</w:t>
            </w:r>
          </w:p>
        </w:tc>
        <w:tc>
          <w:tcPr>
            <w:tcW w:w="83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ommitments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25"/>
        </w:trPr>
        <w:tc>
          <w:tcPr>
            <w:tcW w:w="17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w w:val="98"/>
              </w:rPr>
              <w:t>Section 2.01.</w:t>
            </w:r>
          </w:p>
        </w:tc>
        <w:tc>
          <w:tcPr>
            <w:tcW w:w="7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Term Loan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43"/>
        </w:trPr>
        <w:tc>
          <w:tcPr>
            <w:tcW w:w="17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Section 2.02.</w:t>
            </w:r>
          </w:p>
        </w:tc>
        <w:tc>
          <w:tcPr>
            <w:tcW w:w="7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Proportionate Shares</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17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Section 2.03.</w:t>
            </w:r>
          </w:p>
        </w:tc>
        <w:tc>
          <w:tcPr>
            <w:tcW w:w="7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Fees</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17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Section 2.04.</w:t>
            </w:r>
          </w:p>
        </w:tc>
        <w:tc>
          <w:tcPr>
            <w:tcW w:w="7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Notes</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82"/>
        </w:trPr>
        <w:tc>
          <w:tcPr>
            <w:tcW w:w="924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Section 2.05.  Use of Proceeds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86"/>
        </w:trPr>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3</w:t>
            </w:r>
          </w:p>
        </w:tc>
        <w:tc>
          <w:tcPr>
            <w:tcW w:w="83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ayments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rincipal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nterest</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25"/>
        </w:trPr>
        <w:tc>
          <w:tcPr>
            <w:tcW w:w="17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w w:val="98"/>
              </w:rPr>
              <w:t>Section 3.01.</w:t>
            </w:r>
          </w:p>
        </w:tc>
        <w:tc>
          <w:tcPr>
            <w:tcW w:w="7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Repayment</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43"/>
        </w:trPr>
        <w:tc>
          <w:tcPr>
            <w:tcW w:w="17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Section 3.02.</w:t>
            </w:r>
          </w:p>
        </w:tc>
        <w:tc>
          <w:tcPr>
            <w:tcW w:w="7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Interest</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82"/>
        </w:trPr>
        <w:tc>
          <w:tcPr>
            <w:tcW w:w="17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w w:val="98"/>
              </w:rPr>
              <w:t>Section 3.03.</w:t>
            </w:r>
          </w:p>
        </w:tc>
        <w:tc>
          <w:tcPr>
            <w:tcW w:w="7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Prepayments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486"/>
        </w:trPr>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4</w:t>
            </w:r>
          </w:p>
        </w:tc>
        <w:tc>
          <w:tcPr>
            <w:tcW w:w="83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ayments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25"/>
        </w:trPr>
        <w:tc>
          <w:tcPr>
            <w:tcW w:w="17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w w:val="98"/>
              </w:rPr>
              <w:t>Section 4.01.</w:t>
            </w:r>
          </w:p>
        </w:tc>
        <w:tc>
          <w:tcPr>
            <w:tcW w:w="7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Payments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43"/>
        </w:trPr>
        <w:tc>
          <w:tcPr>
            <w:tcW w:w="17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Section 4.02.</w:t>
            </w:r>
          </w:p>
        </w:tc>
        <w:tc>
          <w:tcPr>
            <w:tcW w:w="7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Computations</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16"/>
        </w:trPr>
        <w:tc>
          <w:tcPr>
            <w:tcW w:w="1720" w:type="dxa"/>
            <w:vAlign w:val="bottom"/>
            <w:gridSpan w:val="2"/>
          </w:tcPr>
          <w:p>
            <w:pPr>
              <w:ind w:left="560"/>
              <w:spacing w:after="0" w:line="217" w:lineRule="exact"/>
              <w:rPr>
                <w:sz w:val="20"/>
                <w:szCs w:val="20"/>
                <w:color w:val="auto"/>
              </w:rPr>
            </w:pPr>
            <w:r>
              <w:rPr>
                <w:rFonts w:ascii="Times New Roman" w:cs="Times New Roman" w:eastAsia="Times New Roman" w:hAnsi="Times New Roman"/>
                <w:sz w:val="22"/>
                <w:szCs w:val="22"/>
                <w:color w:val="auto"/>
                <w:w w:val="98"/>
              </w:rPr>
              <w:t>Section 4.03.</w:t>
            </w:r>
          </w:p>
        </w:tc>
        <w:tc>
          <w:tcPr>
            <w:tcW w:w="752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Notices</w:t>
            </w:r>
          </w:p>
        </w:tc>
        <w:tc>
          <w:tcPr>
            <w:tcW w:w="19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43</w:t>
            </w:r>
          </w:p>
        </w:tc>
      </w:tr>
      <w:tr>
        <w:trPr>
          <w:trHeight w:val="362"/>
        </w:trPr>
        <w:tc>
          <w:tcPr>
            <w:tcW w:w="17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w w:val="98"/>
              </w:rPr>
              <w:t>Section 4.04.</w:t>
            </w:r>
          </w:p>
        </w:tc>
        <w:tc>
          <w:tcPr>
            <w:tcW w:w="7520" w:type="dxa"/>
            <w:vAlign w:val="bottom"/>
          </w:tcPr>
          <w:p>
            <w:pPr>
              <w:ind w:left="140"/>
              <w:spacing w:after="0" w:line="253" w:lineRule="exact"/>
              <w:rPr>
                <w:sz w:val="20"/>
                <w:szCs w:val="20"/>
                <w:color w:val="auto"/>
              </w:rPr>
            </w:pPr>
            <w:r>
              <w:rPr>
                <w:rFonts w:ascii="Times New Roman" w:cs="Times New Roman" w:eastAsia="Times New Roman" w:hAnsi="Times New Roman"/>
                <w:sz w:val="22"/>
                <w:szCs w:val="22"/>
                <w:color w:val="auto"/>
              </w:rPr>
              <w:t>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446"/>
        </w:trPr>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5</w:t>
            </w:r>
          </w:p>
        </w:tc>
        <w:tc>
          <w:tcPr>
            <w:tcW w:w="83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Y</w:t>
            </w:r>
            <w:r>
              <w:rPr>
                <w:rFonts w:ascii="Times New Roman" w:cs="Times New Roman" w:eastAsia="Times New Roman" w:hAnsi="Times New Roman"/>
                <w:sz w:val="14"/>
                <w:szCs w:val="14"/>
                <w:color w:val="auto"/>
              </w:rPr>
              <w:t>ield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rotection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25"/>
        </w:trPr>
        <w:tc>
          <w:tcPr>
            <w:tcW w:w="17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w w:val="98"/>
              </w:rPr>
              <w:t>Section 5.01.</w:t>
            </w:r>
          </w:p>
        </w:tc>
        <w:tc>
          <w:tcPr>
            <w:tcW w:w="7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Additional Costs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43"/>
        </w:trPr>
        <w:tc>
          <w:tcPr>
            <w:tcW w:w="17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Section 5.02.</w:t>
            </w:r>
          </w:p>
        </w:tc>
        <w:tc>
          <w:tcPr>
            <w:tcW w:w="7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Illegality</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7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Section 5.03.</w:t>
            </w:r>
          </w:p>
        </w:tc>
        <w:tc>
          <w:tcPr>
            <w:tcW w:w="7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82"/>
        </w:trPr>
        <w:tc>
          <w:tcPr>
            <w:tcW w:w="924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Section 5.04.  Delay in Requests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86"/>
        </w:trPr>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6</w:t>
            </w:r>
          </w:p>
        </w:tc>
        <w:tc>
          <w:tcPr>
            <w:tcW w:w="83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onditions</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recedent</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25"/>
        </w:trPr>
        <w:tc>
          <w:tcPr>
            <w:tcW w:w="924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Section 6.01.  Conditions to Closing Date</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43"/>
        </w:trPr>
        <w:tc>
          <w:tcPr>
            <w:tcW w:w="172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Section 6.02.</w:t>
            </w:r>
          </w:p>
        </w:tc>
        <w:tc>
          <w:tcPr>
            <w:tcW w:w="752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Conditions to Funding Date; Tranche A Loan</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9240" w:type="dxa"/>
            <w:vAlign w:val="bottom"/>
            <w:gridSpan w:val="3"/>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6.03.  Conditions to Tranche B Loan; Tranche B Loan Borrowing Date</w:t>
            </w:r>
          </w:p>
        </w:tc>
        <w:tc>
          <w:tcPr>
            <w:tcW w:w="1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82"/>
        </w:trPr>
        <w:tc>
          <w:tcPr>
            <w:tcW w:w="924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Section 6.04.  Conditions to Tranche C Loan; Tranche C Loan Borrowing Date</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486"/>
        </w:trPr>
        <w:tc>
          <w:tcPr>
            <w:tcW w:w="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7</w:t>
            </w:r>
          </w:p>
        </w:tc>
        <w:tc>
          <w:tcPr>
            <w:tcW w:w="83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364"/>
        </w:trPr>
        <w:tc>
          <w:tcPr>
            <w:tcW w:w="17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w w:val="98"/>
              </w:rPr>
              <w:t>Section 7.01.</w:t>
            </w:r>
          </w:p>
        </w:tc>
        <w:tc>
          <w:tcPr>
            <w:tcW w:w="7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Power and Authority</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pacing w:after="0" w:line="318" w:lineRule="exact"/>
        <w:rPr>
          <w:sz w:val="20"/>
          <w:szCs w:val="20"/>
          <w:color w:val="auto"/>
        </w:rPr>
      </w:pPr>
    </w:p>
    <w:p>
      <w:pPr>
        <w:jc w:val="center"/>
        <w:ind w:right="-19"/>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53"/>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7.02.</w:t>
            </w:r>
          </w:p>
        </w:tc>
        <w:tc>
          <w:tcPr>
            <w:tcW w:w="7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Authorization; Enforceability</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43"/>
        </w:trPr>
        <w:tc>
          <w:tcPr>
            <w:tcW w:w="96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7.03.  Governmental and Other Approvals; No Conflicts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96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7.04.  Financial Statements; Projections; Material Adverse Change</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7.05.</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Properties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96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7.06.  No Actions or Proceedings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96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7.07.  Compliance with Laws and Agreements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7.08.</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7.09.</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Full Disclosure</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7.10.</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Regulation</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7.11.</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Solvency</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7.12.</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Subsidiaries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43"/>
        </w:trPr>
        <w:tc>
          <w:tcPr>
            <w:tcW w:w="96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7.13.  Indebtedness and Liens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7.14.</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Material Agreements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7.15.</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Restrictive Agreements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7.16.</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Real Property</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96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7.17.  Pension and Other Benefit Plans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96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7.18.  Collateral; Security Interest</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7.19.</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Regulatory Approvals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7.20.</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Capitalization</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7.21.</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7.22.</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Certain Fees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16"/>
        </w:trPr>
        <w:tc>
          <w:tcPr>
            <w:tcW w:w="9660" w:type="dxa"/>
            <w:vAlign w:val="bottom"/>
            <w:gridSpan w:val="3"/>
          </w:tcPr>
          <w:p>
            <w:pPr>
              <w:ind w:left="540"/>
              <w:spacing w:after="0" w:line="217" w:lineRule="exact"/>
              <w:rPr>
                <w:sz w:val="20"/>
                <w:szCs w:val="20"/>
                <w:color w:val="auto"/>
              </w:rPr>
            </w:pPr>
            <w:r>
              <w:rPr>
                <w:rFonts w:ascii="Times New Roman" w:cs="Times New Roman" w:eastAsia="Times New Roman" w:hAnsi="Times New Roman"/>
                <w:sz w:val="22"/>
                <w:szCs w:val="22"/>
                <w:color w:val="auto"/>
              </w:rPr>
              <w:t>Section 7.23.  Economic Sanctions Laws</w:t>
            </w:r>
          </w:p>
        </w:tc>
        <w:tc>
          <w:tcPr>
            <w:tcW w:w="15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68</w:t>
            </w:r>
          </w:p>
        </w:tc>
      </w:tr>
      <w:tr>
        <w:trPr>
          <w:trHeight w:val="256"/>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7.24.</w:t>
            </w:r>
          </w:p>
        </w:tc>
        <w:tc>
          <w:tcPr>
            <w:tcW w:w="7900" w:type="dxa"/>
            <w:vAlign w:val="bottom"/>
          </w:tcPr>
          <w:p>
            <w:pPr>
              <w:ind w:left="80"/>
              <w:spacing w:after="0" w:line="253" w:lineRule="exact"/>
              <w:rPr>
                <w:sz w:val="20"/>
                <w:szCs w:val="20"/>
                <w:color w:val="auto"/>
              </w:rPr>
            </w:pPr>
            <w:r>
              <w:rPr>
                <w:rFonts w:ascii="Times New Roman" w:cs="Times New Roman" w:eastAsia="Times New Roman" w:hAnsi="Times New Roman"/>
                <w:sz w:val="22"/>
                <w:szCs w:val="22"/>
                <w:color w:val="auto"/>
              </w:rPr>
              <w:t>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83"/>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7.25.</w:t>
            </w:r>
          </w:p>
        </w:tc>
        <w:tc>
          <w:tcPr>
            <w:tcW w:w="7900" w:type="dxa"/>
            <w:vAlign w:val="bottom"/>
          </w:tcPr>
          <w:p>
            <w:pPr>
              <w:ind w:left="80"/>
              <w:spacing w:after="0" w:line="253" w:lineRule="exact"/>
              <w:rPr>
                <w:sz w:val="20"/>
                <w:szCs w:val="20"/>
                <w:color w:val="auto"/>
              </w:rPr>
            </w:pPr>
            <w:r>
              <w:rPr>
                <w:rFonts w:ascii="Times New Roman" w:cs="Times New Roman" w:eastAsia="Times New Roman" w:hAnsi="Times New Roman"/>
                <w:sz w:val="22"/>
                <w:szCs w:val="22"/>
                <w:color w:val="auto"/>
              </w:rPr>
              <w:t>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82"/>
        </w:trPr>
        <w:tc>
          <w:tcPr>
            <w:tcW w:w="966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7.26.  Royalty and Other Payments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50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8</w:t>
            </w:r>
          </w:p>
        </w:tc>
        <w:tc>
          <w:tcPr>
            <w:tcW w:w="86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ffirmative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 and</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inancial</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312"/>
        </w:trPr>
        <w:tc>
          <w:tcPr>
            <w:tcW w:w="966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8.01.  Financial Statements and Other Information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43"/>
        </w:trPr>
        <w:tc>
          <w:tcPr>
            <w:tcW w:w="96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8.02.  Notices of Material Events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96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8.03.  Existence; Maintenance of Properties.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43"/>
        </w:trPr>
        <w:tc>
          <w:tcPr>
            <w:tcW w:w="96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8.04.  Payment of Obligations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8.05.</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43"/>
        </w:trPr>
        <w:tc>
          <w:tcPr>
            <w:tcW w:w="96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8.06.  Books and Records; Inspection Rights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77</w:t>
            </w:r>
          </w:p>
        </w:tc>
      </w:tr>
      <w:tr>
        <w:trPr>
          <w:trHeight w:val="243"/>
        </w:trPr>
        <w:tc>
          <w:tcPr>
            <w:tcW w:w="96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8.07.  Compliance with Laws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8.08.</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Licenses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96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8.09.  Action under Environmental Laws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96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8.10.  Use of Proceeds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16"/>
        </w:trPr>
        <w:tc>
          <w:tcPr>
            <w:tcW w:w="9660" w:type="dxa"/>
            <w:vAlign w:val="bottom"/>
            <w:gridSpan w:val="3"/>
          </w:tcPr>
          <w:p>
            <w:pPr>
              <w:ind w:left="540"/>
              <w:spacing w:after="0" w:line="217" w:lineRule="exact"/>
              <w:rPr>
                <w:sz w:val="20"/>
                <w:szCs w:val="20"/>
                <w:color w:val="auto"/>
              </w:rPr>
            </w:pPr>
            <w:r>
              <w:rPr>
                <w:rFonts w:ascii="Times New Roman" w:cs="Times New Roman" w:eastAsia="Times New Roman" w:hAnsi="Times New Roman"/>
                <w:sz w:val="22"/>
                <w:szCs w:val="22"/>
                <w:color w:val="auto"/>
              </w:rPr>
              <w:t>Section 8.11.  Certain Obligations Respecting Subsidiaries; Further Assurances</w:t>
            </w:r>
          </w:p>
        </w:tc>
        <w:tc>
          <w:tcPr>
            <w:tcW w:w="15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79</w:t>
            </w:r>
          </w:p>
        </w:tc>
      </w:tr>
      <w:tr>
        <w:trPr>
          <w:trHeight w:val="283"/>
        </w:trPr>
        <w:tc>
          <w:tcPr>
            <w:tcW w:w="9660" w:type="dxa"/>
            <w:vAlign w:val="bottom"/>
            <w:gridSpan w:val="3"/>
          </w:tcPr>
          <w:p>
            <w:pPr>
              <w:ind w:left="540"/>
              <w:spacing w:after="0" w:line="253" w:lineRule="exact"/>
              <w:rPr>
                <w:sz w:val="20"/>
                <w:szCs w:val="20"/>
                <w:color w:val="auto"/>
              </w:rPr>
            </w:pPr>
            <w:r>
              <w:rPr>
                <w:rFonts w:ascii="Times New Roman" w:cs="Times New Roman" w:eastAsia="Times New Roman" w:hAnsi="Times New Roman"/>
                <w:sz w:val="22"/>
                <w:szCs w:val="22"/>
                <w:color w:val="auto"/>
              </w:rPr>
              <w:t>Section 8.12.  Termination of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Permitted Liens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16"/>
        </w:trPr>
        <w:tc>
          <w:tcPr>
            <w:tcW w:w="1760" w:type="dxa"/>
            <w:vAlign w:val="bottom"/>
            <w:gridSpan w:val="2"/>
          </w:tcPr>
          <w:p>
            <w:pPr>
              <w:ind w:left="540"/>
              <w:spacing w:after="0" w:line="217" w:lineRule="exact"/>
              <w:rPr>
                <w:sz w:val="20"/>
                <w:szCs w:val="20"/>
                <w:color w:val="auto"/>
              </w:rPr>
            </w:pPr>
            <w:r>
              <w:rPr>
                <w:rFonts w:ascii="Times New Roman" w:cs="Times New Roman" w:eastAsia="Times New Roman" w:hAnsi="Times New Roman"/>
                <w:sz w:val="22"/>
                <w:szCs w:val="22"/>
                <w:color w:val="auto"/>
              </w:rPr>
              <w:t>Section 8.13.</w:t>
            </w:r>
          </w:p>
        </w:tc>
        <w:tc>
          <w:tcPr>
            <w:tcW w:w="790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Non-Consolidation</w:t>
            </w:r>
          </w:p>
        </w:tc>
        <w:tc>
          <w:tcPr>
            <w:tcW w:w="15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81</w:t>
            </w:r>
          </w:p>
        </w:tc>
      </w:tr>
      <w:tr>
        <w:trPr>
          <w:trHeight w:val="283"/>
        </w:trPr>
        <w:tc>
          <w:tcPr>
            <w:tcW w:w="9660" w:type="dxa"/>
            <w:vAlign w:val="bottom"/>
            <w:gridSpan w:val="3"/>
          </w:tcPr>
          <w:p>
            <w:pPr>
              <w:ind w:left="540"/>
              <w:spacing w:after="0" w:line="253" w:lineRule="exact"/>
              <w:rPr>
                <w:sz w:val="20"/>
                <w:szCs w:val="20"/>
                <w:color w:val="auto"/>
              </w:rPr>
            </w:pPr>
            <w:r>
              <w:rPr>
                <w:rFonts w:ascii="Times New Roman" w:cs="Times New Roman" w:eastAsia="Times New Roman" w:hAnsi="Times New Roman"/>
                <w:sz w:val="22"/>
                <w:szCs w:val="22"/>
                <w:color w:val="auto"/>
              </w:rPr>
              <w:t>Section 8.14.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and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8.15.</w:t>
            </w:r>
          </w:p>
        </w:tc>
        <w:tc>
          <w:tcPr>
            <w:tcW w:w="79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Financial Covenants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966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8.16.  Maintenance of Regulatory Approvals, Contracts and Intellectual Property.</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82"/>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8.17.</w:t>
            </w:r>
          </w:p>
        </w:tc>
        <w:tc>
          <w:tcPr>
            <w:tcW w:w="79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Cash Management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bl>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ii</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508635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98" w:right="35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82"/>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8.18.</w:t>
            </w:r>
          </w:p>
        </w:tc>
        <w:tc>
          <w:tcPr>
            <w:tcW w:w="6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Certain Post-Funding Obligations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50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9</w:t>
            </w:r>
          </w:p>
        </w:tc>
        <w:tc>
          <w:tcPr>
            <w:tcW w:w="74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egative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312"/>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9.01.</w:t>
            </w:r>
          </w:p>
        </w:tc>
        <w:tc>
          <w:tcPr>
            <w:tcW w:w="6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Indebtedness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9.02.</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Liens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9.03.</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Fundamental Changes and Acquisitions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9.04.</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Lines of Business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9.05.</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Investments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9.06.</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Restricted Payments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9.07.</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Payments of Indebtedness and Milestone Payments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9.08.</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Change in Fiscal Year</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9.09.</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Sales of Assets.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9.10.</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9.11.</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Restrictive Agreements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9.12.</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Organizational Documents, Material Agreements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9.13.</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9.14.</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Sales and Leasebacks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9.15.</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Hazardous Material</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9.16.</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Accounting Changes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94</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9.17.</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Compliance with ERISA</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94</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9.18.</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Deposit Accounts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94</w:t>
            </w:r>
          </w:p>
        </w:tc>
      </w:tr>
      <w:tr>
        <w:trPr>
          <w:trHeight w:val="243"/>
        </w:trPr>
        <w:tc>
          <w:tcPr>
            <w:tcW w:w="17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9.19.</w:t>
            </w:r>
          </w:p>
        </w:tc>
        <w:tc>
          <w:tcPr>
            <w:tcW w:w="68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Outbound Licenses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94</w:t>
            </w:r>
          </w:p>
        </w:tc>
      </w:tr>
      <w:tr>
        <w:trPr>
          <w:trHeight w:val="282"/>
        </w:trPr>
        <w:tc>
          <w:tcPr>
            <w:tcW w:w="17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9.20.</w:t>
            </w:r>
          </w:p>
        </w:tc>
        <w:tc>
          <w:tcPr>
            <w:tcW w:w="6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Inbound Licenses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50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10</w:t>
            </w:r>
          </w:p>
        </w:tc>
        <w:tc>
          <w:tcPr>
            <w:tcW w:w="74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vents of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efault</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312"/>
        </w:trPr>
        <w:tc>
          <w:tcPr>
            <w:tcW w:w="85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10.01. Events of Default</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243"/>
        </w:trPr>
        <w:tc>
          <w:tcPr>
            <w:tcW w:w="85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10.02. Remedies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98</w:t>
            </w:r>
          </w:p>
        </w:tc>
      </w:tr>
      <w:tr>
        <w:trPr>
          <w:trHeight w:val="282"/>
        </w:trPr>
        <w:tc>
          <w:tcPr>
            <w:tcW w:w="85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10.03. Prepayment Premium and Redemption Price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50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11</w:t>
            </w:r>
          </w:p>
        </w:tc>
        <w:tc>
          <w:tcPr>
            <w:tcW w:w="74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uarantee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312"/>
        </w:trPr>
        <w:tc>
          <w:tcPr>
            <w:tcW w:w="85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11.01. The Guarantee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43"/>
        </w:trPr>
        <w:tc>
          <w:tcPr>
            <w:tcW w:w="85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11.02. Obligations Unconditional</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w:t>
            </w:r>
          </w:p>
        </w:tc>
      </w:tr>
      <w:tr>
        <w:trPr>
          <w:trHeight w:val="243"/>
        </w:trPr>
        <w:tc>
          <w:tcPr>
            <w:tcW w:w="85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11.03. Reinstatement</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43"/>
        </w:trPr>
        <w:tc>
          <w:tcPr>
            <w:tcW w:w="85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11.04. Subrogation</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43"/>
        </w:trPr>
        <w:tc>
          <w:tcPr>
            <w:tcW w:w="85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11.05. Remedies</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43"/>
        </w:trPr>
        <w:tc>
          <w:tcPr>
            <w:tcW w:w="85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11.06. Instrument for the Payment of Money</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85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11.07. Continuing Guarantee</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85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11.08. Rights of Contribution</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82"/>
        </w:trPr>
        <w:tc>
          <w:tcPr>
            <w:tcW w:w="85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11.09. General Limitation on Guarantee Obligations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r>
      <w:tr>
        <w:trPr>
          <w:trHeight w:val="50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12</w:t>
            </w:r>
          </w:p>
        </w:tc>
        <w:tc>
          <w:tcPr>
            <w:tcW w:w="74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dministrative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r>
      <w:tr>
        <w:trPr>
          <w:trHeight w:val="312"/>
        </w:trPr>
        <w:tc>
          <w:tcPr>
            <w:tcW w:w="85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12.01. Appointment</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r>
      <w:tr>
        <w:trPr>
          <w:trHeight w:val="243"/>
        </w:trPr>
        <w:tc>
          <w:tcPr>
            <w:tcW w:w="85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12.02. Rights as a Lender</w:t>
            </w:r>
          </w:p>
        </w:tc>
        <w:tc>
          <w:tcPr>
            <w:tcW w:w="2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82"/>
        </w:trPr>
        <w:tc>
          <w:tcPr>
            <w:tcW w:w="85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Section 12.03. Exculpatory Provisions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bl>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iii</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508635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8" w:right="35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53"/>
        </w:trPr>
        <w:tc>
          <w:tcPr>
            <w:tcW w:w="9680" w:type="dxa"/>
            <w:vAlign w:val="bottom"/>
            <w:gridSpan w:val="4"/>
          </w:tcPr>
          <w:p>
            <w:pPr>
              <w:ind w:left="560"/>
              <w:spacing w:after="0"/>
              <w:rPr>
                <w:sz w:val="20"/>
                <w:szCs w:val="20"/>
                <w:color w:val="auto"/>
              </w:rPr>
            </w:pPr>
            <w:r>
              <w:rPr>
                <w:rFonts w:ascii="Times New Roman" w:cs="Times New Roman" w:eastAsia="Times New Roman" w:hAnsi="Times New Roman"/>
                <w:sz w:val="22"/>
                <w:szCs w:val="22"/>
                <w:color w:val="auto"/>
              </w:rPr>
              <w:t>Section 12.04. Reliance by Administrative Agent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12.05. Delegation of Duties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105</w:t>
            </w:r>
          </w:p>
        </w:tc>
      </w:tr>
      <w:tr>
        <w:trPr>
          <w:trHeight w:val="216"/>
        </w:trPr>
        <w:tc>
          <w:tcPr>
            <w:tcW w:w="9680" w:type="dxa"/>
            <w:vAlign w:val="bottom"/>
            <w:gridSpan w:val="4"/>
          </w:tcPr>
          <w:p>
            <w:pPr>
              <w:ind w:left="560"/>
              <w:spacing w:after="0" w:line="217" w:lineRule="exact"/>
              <w:rPr>
                <w:sz w:val="20"/>
                <w:szCs w:val="20"/>
                <w:color w:val="auto"/>
              </w:rPr>
            </w:pPr>
            <w:r>
              <w:rPr>
                <w:rFonts w:ascii="Times New Roman" w:cs="Times New Roman" w:eastAsia="Times New Roman" w:hAnsi="Times New Roman"/>
                <w:sz w:val="22"/>
                <w:szCs w:val="22"/>
                <w:color w:val="auto"/>
              </w:rPr>
              <w:t>Section 12.06. Resignation of Agent</w:t>
            </w:r>
          </w:p>
        </w:tc>
        <w:tc>
          <w:tcPr>
            <w:tcW w:w="15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105</w:t>
            </w:r>
          </w:p>
        </w:tc>
      </w:tr>
      <w:tr>
        <w:trPr>
          <w:trHeight w:val="283"/>
        </w:trPr>
        <w:tc>
          <w:tcPr>
            <w:tcW w:w="9680" w:type="dxa"/>
            <w:vAlign w:val="bottom"/>
            <w:gridSpan w:val="4"/>
          </w:tcPr>
          <w:p>
            <w:pPr>
              <w:ind w:left="560"/>
              <w:spacing w:after="0" w:line="253" w:lineRule="exact"/>
              <w:rPr>
                <w:sz w:val="20"/>
                <w:szCs w:val="20"/>
                <w:color w:val="auto"/>
              </w:rPr>
            </w:pPr>
            <w:r>
              <w:rPr>
                <w:rFonts w:ascii="Times New Roman" w:cs="Times New Roman" w:eastAsia="Times New Roman" w:hAnsi="Times New Roman"/>
                <w:sz w:val="22"/>
                <w:szCs w:val="22"/>
                <w:color w:val="auto"/>
              </w:rPr>
              <w:t>Section 12.07.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Reliance on Administrative Agent and Other Lenders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12.08. Administrative Agent May File Proofs of Claim</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106</w:t>
            </w:r>
          </w:p>
        </w:tc>
      </w:tr>
      <w:tr>
        <w:trPr>
          <w:trHeight w:val="282"/>
        </w:trPr>
        <w:tc>
          <w:tcPr>
            <w:tcW w:w="9680" w:type="dxa"/>
            <w:vAlign w:val="bottom"/>
            <w:gridSpan w:val="4"/>
          </w:tcPr>
          <w:p>
            <w:pPr>
              <w:ind w:left="560"/>
              <w:spacing w:after="0"/>
              <w:rPr>
                <w:sz w:val="20"/>
                <w:szCs w:val="20"/>
                <w:color w:val="auto"/>
              </w:rPr>
            </w:pPr>
            <w:r>
              <w:rPr>
                <w:rFonts w:ascii="Times New Roman" w:cs="Times New Roman" w:eastAsia="Times New Roman" w:hAnsi="Times New Roman"/>
                <w:sz w:val="22"/>
                <w:szCs w:val="22"/>
                <w:color w:val="auto"/>
              </w:rPr>
              <w:t>Section 12.09. Collateral and Guaranty Matters; Appointment of Collateral Agent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500"/>
        </w:trPr>
        <w:tc>
          <w:tcPr>
            <w:tcW w:w="1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13</w:t>
            </w:r>
          </w:p>
        </w:tc>
        <w:tc>
          <w:tcPr>
            <w:tcW w:w="85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iscellaneous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312"/>
        </w:trPr>
        <w:tc>
          <w:tcPr>
            <w:tcW w:w="9680" w:type="dxa"/>
            <w:vAlign w:val="bottom"/>
            <w:gridSpan w:val="4"/>
          </w:tcPr>
          <w:p>
            <w:pPr>
              <w:ind w:left="560"/>
              <w:spacing w:after="0"/>
              <w:rPr>
                <w:sz w:val="20"/>
                <w:szCs w:val="20"/>
                <w:color w:val="auto"/>
              </w:rPr>
            </w:pPr>
            <w:r>
              <w:rPr>
                <w:rFonts w:ascii="Times New Roman" w:cs="Times New Roman" w:eastAsia="Times New Roman" w:hAnsi="Times New Roman"/>
                <w:sz w:val="22"/>
                <w:szCs w:val="22"/>
                <w:color w:val="auto"/>
              </w:rPr>
              <w:t>Section 13.01. No Waiver</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13.02. Notices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108</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13.03. Expenses and Indemnification</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109</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13.04. Amendments.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110</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13.05. Successors and Assigns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111</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13.06. Survival</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13.07. Captions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13.08. Counterparts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13.09. Governing Law</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115</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13.10. Jurisdiction, Service of Process and Venue</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115</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13.11. Waiver of Jury Trial</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115</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13.12. Waiver of Immunity</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116</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13.13. Entire Agreement</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116</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13.14. Severability</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116</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13.15. No Fiduciary Relationship</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116</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13.16. USA Patriot Act</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116</w:t>
            </w:r>
          </w:p>
        </w:tc>
      </w:tr>
      <w:tr>
        <w:trPr>
          <w:trHeight w:val="243"/>
        </w:trPr>
        <w:tc>
          <w:tcPr>
            <w:tcW w:w="9680" w:type="dxa"/>
            <w:vAlign w:val="bottom"/>
            <w:gridSpan w:val="4"/>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13.17. Treatment of Certain Information; Confidentiality</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117</w:t>
            </w:r>
          </w:p>
        </w:tc>
      </w:tr>
      <w:tr>
        <w:trPr>
          <w:trHeight w:val="216"/>
        </w:trPr>
        <w:tc>
          <w:tcPr>
            <w:tcW w:w="9680" w:type="dxa"/>
            <w:vAlign w:val="bottom"/>
            <w:gridSpan w:val="4"/>
          </w:tcPr>
          <w:p>
            <w:pPr>
              <w:ind w:left="560"/>
              <w:spacing w:after="0" w:line="217" w:lineRule="exact"/>
              <w:rPr>
                <w:sz w:val="20"/>
                <w:szCs w:val="20"/>
                <w:color w:val="auto"/>
              </w:rPr>
            </w:pPr>
            <w:r>
              <w:rPr>
                <w:rFonts w:ascii="Times New Roman" w:cs="Times New Roman" w:eastAsia="Times New Roman" w:hAnsi="Times New Roman"/>
                <w:sz w:val="22"/>
                <w:szCs w:val="22"/>
                <w:color w:val="auto"/>
              </w:rPr>
              <w:t>Section 13.18. Releases of Guarantees and Liens</w:t>
            </w:r>
          </w:p>
        </w:tc>
        <w:tc>
          <w:tcPr>
            <w:tcW w:w="15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117</w:t>
            </w:r>
          </w:p>
        </w:tc>
      </w:tr>
      <w:tr>
        <w:trPr>
          <w:trHeight w:val="362"/>
        </w:trPr>
        <w:tc>
          <w:tcPr>
            <w:tcW w:w="9680" w:type="dxa"/>
            <w:vAlign w:val="bottom"/>
            <w:gridSpan w:val="4"/>
          </w:tcPr>
          <w:p>
            <w:pPr>
              <w:ind w:left="560"/>
              <w:spacing w:after="0" w:line="253" w:lineRule="exact"/>
              <w:rPr>
                <w:sz w:val="20"/>
                <w:szCs w:val="20"/>
                <w:color w:val="auto"/>
              </w:rPr>
            </w:pPr>
            <w:r>
              <w:rPr>
                <w:rFonts w:ascii="Times New Roman" w:cs="Times New Roman" w:eastAsia="Times New Roman" w:hAnsi="Times New Roman"/>
                <w:sz w:val="22"/>
                <w:szCs w:val="22"/>
                <w:color w:val="auto"/>
              </w:rPr>
              <w:t>Section 13.19. Acknowledgement and Consent to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of Affected Financial Institutions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r>
      <w:tr>
        <w:trPr>
          <w:trHeight w:val="41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chedules</w:t>
            </w:r>
            <w:r>
              <w:rPr>
                <w:rFonts w:ascii="Times New Roman" w:cs="Times New Roman" w:eastAsia="Times New Roman" w:hAnsi="Times New Roman"/>
                <w:sz w:val="22"/>
                <w:szCs w:val="22"/>
                <w:color w:val="auto"/>
              </w:rPr>
              <w:t>:</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7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w:t>
            </w:r>
          </w:p>
        </w:tc>
        <w:tc>
          <w:tcPr>
            <w:tcW w:w="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Commitments and Warrant Shares</w:t>
            </w:r>
          </w:p>
        </w:tc>
        <w:tc>
          <w:tcPr>
            <w:tcW w:w="1540" w:type="dxa"/>
            <w:vAlign w:val="bottom"/>
          </w:tcPr>
          <w:p>
            <w:pPr>
              <w:spacing w:after="0"/>
              <w:rPr>
                <w:sz w:val="24"/>
                <w:szCs w:val="24"/>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2</w:t>
            </w:r>
          </w:p>
        </w:tc>
        <w:tc>
          <w:tcPr>
            <w:tcW w:w="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6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Notice Addresses</w:t>
            </w:r>
          </w:p>
        </w:tc>
        <w:tc>
          <w:tcPr>
            <w:tcW w:w="154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3</w:t>
            </w:r>
          </w:p>
        </w:tc>
        <w:tc>
          <w:tcPr>
            <w:tcW w:w="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6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Products</w:t>
            </w:r>
          </w:p>
        </w:tc>
        <w:tc>
          <w:tcPr>
            <w:tcW w:w="154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7.05(b)</w:t>
            </w:r>
          </w:p>
        </w:tc>
        <w:tc>
          <w:tcPr>
            <w:tcW w:w="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Obligor Intellectual Property</w:t>
            </w:r>
          </w:p>
        </w:tc>
        <w:tc>
          <w:tcPr>
            <w:tcW w:w="154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7.12 —</w:t>
            </w:r>
          </w:p>
        </w:tc>
        <w:tc>
          <w:tcPr>
            <w:tcW w:w="806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Subsidiaries</w:t>
            </w:r>
          </w:p>
        </w:tc>
        <w:tc>
          <w:tcPr>
            <w:tcW w:w="154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7.13A</w:t>
            </w:r>
          </w:p>
        </w:tc>
        <w:tc>
          <w:tcPr>
            <w:tcW w:w="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Existing Indebtedness</w:t>
            </w:r>
          </w:p>
        </w:tc>
        <w:tc>
          <w:tcPr>
            <w:tcW w:w="154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7.13B</w:t>
            </w:r>
          </w:p>
        </w:tc>
        <w:tc>
          <w:tcPr>
            <w:tcW w:w="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Existing Liens</w:t>
            </w:r>
          </w:p>
        </w:tc>
        <w:tc>
          <w:tcPr>
            <w:tcW w:w="154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7.14 —</w:t>
            </w:r>
          </w:p>
        </w:tc>
        <w:tc>
          <w:tcPr>
            <w:tcW w:w="806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Material Agreements</w:t>
            </w:r>
          </w:p>
        </w:tc>
        <w:tc>
          <w:tcPr>
            <w:tcW w:w="154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7.15 —</w:t>
            </w:r>
          </w:p>
        </w:tc>
        <w:tc>
          <w:tcPr>
            <w:tcW w:w="806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Restrictive Agreements</w:t>
            </w:r>
          </w:p>
        </w:tc>
        <w:tc>
          <w:tcPr>
            <w:tcW w:w="154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7.16 —</w:t>
            </w:r>
          </w:p>
        </w:tc>
        <w:tc>
          <w:tcPr>
            <w:tcW w:w="806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Real Property</w:t>
            </w:r>
          </w:p>
        </w:tc>
        <w:tc>
          <w:tcPr>
            <w:tcW w:w="154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7.17 —</w:t>
            </w:r>
          </w:p>
        </w:tc>
        <w:tc>
          <w:tcPr>
            <w:tcW w:w="806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Pension Matters</w:t>
            </w:r>
          </w:p>
        </w:tc>
        <w:tc>
          <w:tcPr>
            <w:tcW w:w="154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7.19(a)</w:t>
            </w:r>
          </w:p>
        </w:tc>
        <w:tc>
          <w:tcPr>
            <w:tcW w:w="806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  Required Regulatory Approvals and Permits</w:t>
            </w:r>
          </w:p>
        </w:tc>
        <w:tc>
          <w:tcPr>
            <w:tcW w:w="1540" w:type="dxa"/>
            <w:vAlign w:val="bottom"/>
          </w:tcPr>
          <w:p>
            <w:pPr>
              <w:spacing w:after="0"/>
              <w:rPr>
                <w:sz w:val="21"/>
                <w:szCs w:val="21"/>
                <w:color w:val="auto"/>
              </w:rPr>
            </w:pP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7.19(b)</w:t>
            </w:r>
          </w:p>
        </w:tc>
        <w:tc>
          <w:tcPr>
            <w:tcW w:w="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Regulatory Approvals</w:t>
            </w:r>
          </w:p>
        </w:tc>
        <w:tc>
          <w:tcPr>
            <w:tcW w:w="1540" w:type="dxa"/>
            <w:vAlign w:val="bottom"/>
          </w:tcPr>
          <w:p>
            <w:pPr>
              <w:spacing w:after="0"/>
              <w:rPr>
                <w:sz w:val="21"/>
                <w:szCs w:val="21"/>
                <w:color w:val="auto"/>
              </w:rPr>
            </w:pPr>
          </w:p>
        </w:tc>
      </w:tr>
      <w:tr>
        <w:trPr>
          <w:trHeight w:val="282"/>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7.19(e)</w:t>
            </w:r>
          </w:p>
        </w:tc>
        <w:tc>
          <w:tcPr>
            <w:tcW w:w="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Regulatory Authority Notices</w:t>
            </w:r>
          </w:p>
        </w:tc>
        <w:tc>
          <w:tcPr>
            <w:tcW w:w="1540" w:type="dxa"/>
            <w:vAlign w:val="bottom"/>
          </w:tcPr>
          <w:p>
            <w:pPr>
              <w:spacing w:after="0"/>
              <w:rPr>
                <w:sz w:val="24"/>
                <w:szCs w:val="24"/>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ind w:right="-19"/>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iv</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8" w:right="35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53"/>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7.20</w:t>
            </w:r>
          </w:p>
        </w:tc>
        <w:tc>
          <w:tcPr>
            <w:tcW w:w="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4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Capitalization</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7.22</w:t>
            </w:r>
          </w:p>
        </w:tc>
        <w:tc>
          <w:tcPr>
            <w:tcW w:w="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4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Broker’s Fee</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7.26</w:t>
            </w:r>
          </w:p>
        </w:tc>
        <w:tc>
          <w:tcPr>
            <w:tcW w:w="47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  Royalty and Other Payments</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8.18</w:t>
            </w:r>
          </w:p>
        </w:tc>
        <w:tc>
          <w:tcPr>
            <w:tcW w:w="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4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Post-Funding Obligations</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9.05</w:t>
            </w:r>
          </w:p>
        </w:tc>
        <w:tc>
          <w:tcPr>
            <w:tcW w:w="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4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Existing Investments</w:t>
            </w: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9.10</w:t>
            </w:r>
          </w:p>
        </w:tc>
        <w:tc>
          <w:tcPr>
            <w:tcW w:w="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4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Transactions with Affiliates</w:t>
            </w: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xhibits</w:t>
            </w:r>
            <w:r>
              <w:rPr>
                <w:rFonts w:ascii="Times New Roman" w:cs="Times New Roman" w:eastAsia="Times New Roman" w:hAnsi="Times New Roman"/>
                <w:sz w:val="22"/>
                <w:szCs w:val="22"/>
                <w:color w:val="auto"/>
              </w:rPr>
              <w:t>:</w:t>
            </w:r>
          </w:p>
        </w:tc>
        <w:tc>
          <w:tcPr>
            <w:tcW w:w="34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379"/>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  Form of Guarantee Assumption Agreement</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 —</w:t>
            </w:r>
          </w:p>
        </w:tc>
        <w:tc>
          <w:tcPr>
            <w:tcW w:w="47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Form of Borrowing Notice</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C —</w:t>
            </w:r>
          </w:p>
        </w:tc>
        <w:tc>
          <w:tcPr>
            <w:tcW w:w="47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Form of Note</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D</w:t>
            </w:r>
          </w:p>
        </w:tc>
        <w:tc>
          <w:tcPr>
            <w:tcW w:w="47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  Form of U.S. Tax Compliance Certificate</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E —</w:t>
            </w:r>
          </w:p>
        </w:tc>
        <w:tc>
          <w:tcPr>
            <w:tcW w:w="47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Form of Compliance Certificate</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F —</w:t>
            </w:r>
          </w:p>
        </w:tc>
        <w:tc>
          <w:tcPr>
            <w:tcW w:w="47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Form of Assignment Agreement</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G</w:t>
            </w:r>
          </w:p>
        </w:tc>
        <w:tc>
          <w:tcPr>
            <w:tcW w:w="47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  Form of Security Agreement</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H-1</w:t>
            </w:r>
          </w:p>
        </w:tc>
        <w:tc>
          <w:tcPr>
            <w:tcW w:w="47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  Form of Patent &amp; Trademark Security Agreement</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H-2</w:t>
            </w:r>
          </w:p>
        </w:tc>
        <w:tc>
          <w:tcPr>
            <w:tcW w:w="47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  Form of Copyright Security Agreement</w:t>
            </w: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I —</w:t>
            </w:r>
          </w:p>
        </w:tc>
        <w:tc>
          <w:tcPr>
            <w:tcW w:w="47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Form of Collateral Questionnaire</w:t>
            </w: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J —</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Form of Warrant Certificate (Funding Date)</w:t>
            </w:r>
          </w:p>
        </w:tc>
      </w:tr>
    </w:tbl>
    <w:p>
      <w:pPr>
        <w:spacing w:after="0" w:line="318" w:lineRule="exact"/>
        <w:rPr>
          <w:sz w:val="20"/>
          <w:szCs w:val="20"/>
          <w:color w:val="auto"/>
        </w:rPr>
      </w:pPr>
    </w:p>
    <w:p>
      <w:pPr>
        <w:ind w:left="54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v</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98" w:right="1440" w:bottom="1440" w:gutter="0" w:footer="0" w:header="0"/>
        </w:sectPr>
      </w:pPr>
    </w:p>
    <w:bookmarkStart w:id="137" w:name="page138"/>
    <w:bookmarkEnd w:id="137"/>
    <w:p>
      <w:pPr>
        <w:spacing w:after="0" w:line="22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uaranty</w:t>
      </w:r>
      <w:r>
        <w:rPr>
          <w:rFonts w:ascii="Times New Roman" w:cs="Times New Roman" w:eastAsia="Times New Roman" w:hAnsi="Times New Roman"/>
          <w:sz w:val="22"/>
          <w:szCs w:val="22"/>
          <w:color w:val="auto"/>
        </w:rPr>
        <w:t xml:space="preserve">, dated as of November 16, 2022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among B</w:t>
      </w:r>
      <w:r>
        <w:rPr>
          <w:rFonts w:ascii="Times New Roman" w:cs="Times New Roman" w:eastAsia="Times New Roman" w:hAnsi="Times New Roman"/>
          <w:sz w:val="14"/>
          <w:szCs w:val="14"/>
          <w:color w:val="auto"/>
        </w:rPr>
        <w:t>iodesix</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xml:space="preserve">.,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certain Guarantors from time to time parties hereto, the lenders from time to time party hereto (each, as a “Lender” and collectively, the “Lenders”) and 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2"/>
          <w:szCs w:val="22"/>
          <w:color w:val="auto"/>
        </w:rPr>
        <w:t xml:space="preserve"> IV, LP, a Delaware limited partnership (</w:t>
      </w:r>
      <w:r>
        <w:rPr>
          <w:rFonts w:ascii="Times New Roman" w:cs="Times New Roman" w:eastAsia="Times New Roman" w:hAnsi="Times New Roman"/>
          <w:sz w:val="22"/>
          <w:szCs w:val="22"/>
          <w:i w:val="1"/>
          <w:iCs w:val="1"/>
          <w:color w:val="auto"/>
        </w:rPr>
        <w:t>“Perceptive”</w:t>
      </w:r>
      <w:r>
        <w:rPr>
          <w:rFonts w:ascii="Times New Roman" w:cs="Times New Roman" w:eastAsia="Times New Roman" w:hAnsi="Times New Roman"/>
          <w:sz w:val="22"/>
          <w:szCs w:val="22"/>
          <w:color w:val="auto"/>
        </w:rPr>
        <w:t xml:space="preserve">), as administrative agent for the Lenders (in such capacity, together with its successors and assigns,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itnesseth</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Borrower has requested the Lenders to make term loans to the Borrower, and the Lenders are prepared to make such loans on and subject to the terms and conditions hereof. Accordingly, the parties agree as follows:</w:t>
      </w:r>
    </w:p>
    <w:p>
      <w:pPr>
        <w:spacing w:after="0" w:line="2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p>
    <w:p>
      <w:pPr>
        <w:spacing w:after="0" w:line="247"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1.01.</w:t>
      </w:r>
      <w:r>
        <w:rPr>
          <w:sz w:val="20"/>
          <w:szCs w:val="20"/>
          <w:color w:val="auto"/>
        </w:rPr>
        <w:tab/>
      </w:r>
      <w:r>
        <w:rPr>
          <w:rFonts w:ascii="Times New Roman" w:cs="Times New Roman" w:eastAsia="Times New Roman" w:hAnsi="Times New Roman"/>
          <w:sz w:val="21"/>
          <w:szCs w:val="21"/>
          <w:i w:val="1"/>
          <w:iCs w:val="1"/>
          <w:color w:val="auto"/>
        </w:rPr>
        <w:t xml:space="preserve">Certain Defined Terms </w:t>
      </w:r>
      <w:r>
        <w:rPr>
          <w:rFonts w:ascii="Times New Roman" w:cs="Times New Roman" w:eastAsia="Times New Roman" w:hAnsi="Times New Roman"/>
          <w:sz w:val="21"/>
          <w:szCs w:val="21"/>
          <w:color w:val="auto"/>
        </w:rPr>
        <w:t>As used herein, the following terms have the following respective meanings:</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“Accounting Change” </w:t>
      </w:r>
      <w:r>
        <w:rPr>
          <w:rFonts w:ascii="Times New Roman" w:cs="Times New Roman" w:eastAsia="Times New Roman" w:hAnsi="Times New Roman"/>
          <w:sz w:val="22"/>
          <w:szCs w:val="22"/>
          <w:color w:val="auto"/>
        </w:rPr>
        <w:t>has the meaning set forth in Section 1.02.</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“Accounting Change Notice” </w:t>
      </w:r>
      <w:r>
        <w:rPr>
          <w:rFonts w:ascii="Times New Roman" w:cs="Times New Roman" w:eastAsia="Times New Roman" w:hAnsi="Times New Roman"/>
          <w:sz w:val="22"/>
          <w:szCs w:val="22"/>
          <w:color w:val="auto"/>
        </w:rPr>
        <w:t>has the meaning set forth in Section 1.02.</w:t>
      </w:r>
    </w:p>
    <w:p>
      <w:pPr>
        <w:spacing w:after="0" w:line="24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“Acquisition” </w:t>
      </w:r>
      <w:r>
        <w:rPr>
          <w:rFonts w:ascii="Times New Roman" w:cs="Times New Roman" w:eastAsia="Times New Roman" w:hAnsi="Times New Roman"/>
          <w:sz w:val="22"/>
          <w:szCs w:val="22"/>
          <w:color w:val="auto"/>
        </w:rPr>
        <w:t>means any transaction, or any series of related transactions, by which any Person directly or indirectly,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of an amalgamation, plan of arrangement, merger, purchase of Equity Interests or other assets, or similar transaction having the same effect as any of the foregoing, (a) acquires all or substantially all of the assets of any other Person, (b) acquires any business or all or substantially all of a business line or unit or division of any other Person, (c) acquires Control of Equity Interests of another Person representing more than fifty (50)% of the ordinary voting power for the election of directors or other governing body if the business affairs of such Person are managed by a Board or other governing body, determined on a fully diluted basis, as if converted or exercised basis, or (d) acquires Control of more than fifty (50)% of the Equity Interests in any Person engaged in any business that is not managed by a Board or other governing body, determined on a fully diluted, as if converted or exercised basis.</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“Administrative Agent” </w:t>
      </w:r>
      <w:r>
        <w:rPr>
          <w:rFonts w:ascii="Times New Roman" w:cs="Times New Roman" w:eastAsia="Times New Roman" w:hAnsi="Times New Roman"/>
          <w:sz w:val="22"/>
          <w:szCs w:val="22"/>
          <w:color w:val="auto"/>
        </w:rPr>
        <w:t>has the meaning set forth in the introduction hereto.</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1192530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2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“Affiliate” </w:t>
      </w:r>
      <w:r>
        <w:rPr>
          <w:rFonts w:ascii="Times New Roman" w:cs="Times New Roman" w:eastAsia="Times New Roman" w:hAnsi="Times New Roman"/>
          <w:sz w:val="22"/>
          <w:szCs w:val="22"/>
          <w:color w:val="auto"/>
        </w:rPr>
        <w:t>means, with respect to a specified Person, another Person that directly, or indirectly through one or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intermediaries, Controls or is Controlled by or is under common Control with the Person specified.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has the meaning set forth in the introduction hereto.</w:t>
      </w:r>
    </w:p>
    <w:p>
      <w:pPr>
        <w:spacing w:after="0" w:line="216"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i w:val="1"/>
          <w:iCs w:val="1"/>
          <w:color w:val="auto"/>
        </w:rPr>
        <w:t>“Anti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Corruption Laws” </w:t>
      </w:r>
      <w:r>
        <w:rPr>
          <w:rFonts w:ascii="Times New Roman" w:cs="Times New Roman" w:eastAsia="Times New Roman" w:hAnsi="Times New Roman"/>
          <w:sz w:val="22"/>
          <w:szCs w:val="22"/>
          <w:color w:val="auto"/>
        </w:rPr>
        <w:t>means all laws, rules and regulations of any jurisdiction applicable to the Obligors and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Affiliates concerning or relating to bribery or corruption, including, without limitation, the </w:t>
      </w:r>
      <w:r>
        <w:rPr>
          <w:rFonts w:ascii="Times New Roman" w:cs="Times New Roman" w:eastAsia="Times New Roman" w:hAnsi="Times New Roman"/>
          <w:sz w:val="22"/>
          <w:szCs w:val="22"/>
          <w:i w:val="1"/>
          <w:iCs w:val="1"/>
          <w:color w:val="auto"/>
        </w:rPr>
        <w:t>U.S. Foreign Corrupt Practices Act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1977</w:t>
      </w:r>
      <w:r>
        <w:rPr>
          <w:rFonts w:ascii="Times New Roman" w:cs="Times New Roman" w:eastAsia="Times New Roman" w:hAnsi="Times New Roman"/>
          <w:sz w:val="22"/>
          <w:szCs w:val="22"/>
          <w:color w:val="auto"/>
        </w:rPr>
        <w:t>, as amended (15 U.S.C. §§78dd-1 et seq.).</w:t>
      </w:r>
    </w:p>
    <w:p>
      <w:pPr>
        <w:spacing w:after="0" w:line="183" w:lineRule="exact"/>
        <w:rPr>
          <w:sz w:val="20"/>
          <w:szCs w:val="20"/>
          <w:color w:val="auto"/>
        </w:rPr>
      </w:pPr>
    </w:p>
    <w:p>
      <w:pPr>
        <w:jc w:val="both"/>
        <w:ind w:firstLine="749"/>
        <w:spacing w:after="0" w:line="265" w:lineRule="exact"/>
        <w:rPr>
          <w:sz w:val="20"/>
          <w:szCs w:val="20"/>
          <w:color w:val="auto"/>
        </w:rPr>
      </w:pPr>
      <w:r>
        <w:rPr>
          <w:rFonts w:ascii="Times New Roman" w:cs="Times New Roman" w:eastAsia="Times New Roman" w:hAnsi="Times New Roman"/>
          <w:sz w:val="22"/>
          <w:szCs w:val="22"/>
          <w:i w:val="1"/>
          <w:iCs w:val="1"/>
          <w:color w:val="auto"/>
        </w:rPr>
        <w:t>“Anti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Terrorism Laws” </w:t>
      </w:r>
      <w:r>
        <w:rPr>
          <w:rFonts w:ascii="Times New Roman" w:cs="Times New Roman" w:eastAsia="Times New Roman" w:hAnsi="Times New Roman"/>
          <w:sz w:val="22"/>
          <w:szCs w:val="22"/>
          <w:color w:val="auto"/>
        </w:rPr>
        <w:t>means any laws or regulations relating to terrorist financing-related activities or money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laundering, including, without limitation, the </w:t>
      </w:r>
      <w:r>
        <w:rPr>
          <w:rFonts w:ascii="Times New Roman" w:cs="Times New Roman" w:eastAsia="Times New Roman" w:hAnsi="Times New Roman"/>
          <w:sz w:val="22"/>
          <w:szCs w:val="22"/>
          <w:i w:val="1"/>
          <w:iCs w:val="1"/>
          <w:color w:val="auto"/>
        </w:rPr>
        <w:t>Bank Secrecy Act</w:t>
      </w:r>
      <w:r>
        <w:rPr>
          <w:rFonts w:ascii="Times New Roman" w:cs="Times New Roman" w:eastAsia="Times New Roman" w:hAnsi="Times New Roman"/>
          <w:sz w:val="22"/>
          <w:szCs w:val="22"/>
          <w:color w:val="auto"/>
        </w:rPr>
        <w:t xml:space="preserve"> (31 U.S.C. §§ 5311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Money Laundering Control Act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1986 </w:t>
      </w:r>
      <w:r>
        <w:rPr>
          <w:rFonts w:ascii="Times New Roman" w:cs="Times New Roman" w:eastAsia="Times New Roman" w:hAnsi="Times New Roman"/>
          <w:sz w:val="22"/>
          <w:szCs w:val="22"/>
          <w:color w:val="auto"/>
        </w:rPr>
        <w:t>(18 U.S.C. §§ 1956</w:t>
      </w:r>
      <w:r>
        <w:rPr>
          <w:rFonts w:ascii="Times New Roman" w:cs="Times New Roman" w:eastAsia="Times New Roman" w:hAnsi="Times New Roman"/>
          <w:sz w:val="22"/>
          <w:szCs w:val="22"/>
          <w:i w:val="1"/>
          <w:iCs w:val="1"/>
          <w:color w:val="auto"/>
        </w:rPr>
        <w:t xml:space="preserve"> et seq.</w:t>
      </w:r>
      <w:r>
        <w:rPr>
          <w:rFonts w:ascii="Times New Roman" w:cs="Times New Roman" w:eastAsia="Times New Roman" w:hAnsi="Times New Roman"/>
          <w:sz w:val="22"/>
          <w:szCs w:val="22"/>
          <w:color w:val="auto"/>
        </w:rPr>
        <w:t>), the USA Patriot Act (Title III of Pub. L. 107-56) (the “</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and any similar law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enacted in the United States after the date of this Agreement.</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“Applicable Margin” </w:t>
      </w:r>
      <w:r>
        <w:rPr>
          <w:rFonts w:ascii="Times New Roman" w:cs="Times New Roman" w:eastAsia="Times New Roman" w:hAnsi="Times New Roman"/>
          <w:sz w:val="22"/>
          <w:szCs w:val="22"/>
          <w:color w:val="auto"/>
        </w:rPr>
        <w:t>means 9.00% per annum.</w:t>
      </w:r>
    </w:p>
    <w:p>
      <w:pPr>
        <w:spacing w:after="0" w:line="24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“Approved Fund” </w:t>
      </w:r>
      <w:r>
        <w:rPr>
          <w:rFonts w:ascii="Times New Roman" w:cs="Times New Roman" w:eastAsia="Times New Roman" w:hAnsi="Times New Roman"/>
          <w:sz w:val="22"/>
          <w:szCs w:val="22"/>
          <w:color w:val="auto"/>
        </w:rPr>
        <w:t>means any Person (other than a natural person and any holding company, investment vehicle or trust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or owned and operated for the primary benefit of, a natural person) that is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or manages a Lender.</w:t>
      </w: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“Asset Sale” </w:t>
      </w:r>
      <w:r>
        <w:rPr>
          <w:rFonts w:ascii="Times New Roman" w:cs="Times New Roman" w:eastAsia="Times New Roman" w:hAnsi="Times New Roman"/>
          <w:sz w:val="22"/>
          <w:szCs w:val="22"/>
          <w:color w:val="auto"/>
        </w:rPr>
        <w:t>has the meaning set forth in Section 9.09.</w:t>
      </w:r>
    </w:p>
    <w:p>
      <w:pPr>
        <w:spacing w:after="0" w:line="233"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“Assignment Agreement” </w:t>
      </w:r>
      <w:r>
        <w:rPr>
          <w:rFonts w:ascii="Times New Roman" w:cs="Times New Roman" w:eastAsia="Times New Roman" w:hAnsi="Times New Roman"/>
          <w:sz w:val="22"/>
          <w:szCs w:val="22"/>
          <w:color w:val="auto"/>
        </w:rPr>
        <w:t>means an assignment and assumption entered into by a Lender and an assignee of such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substantially the form of Exhibit F.</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Available Tenor</w:t>
      </w:r>
      <w:r>
        <w:rPr>
          <w:rFonts w:ascii="Times New Roman" w:cs="Times New Roman" w:eastAsia="Times New Roman" w:hAnsi="Times New Roman"/>
          <w:sz w:val="22"/>
          <w:szCs w:val="22"/>
          <w:color w:val="auto"/>
        </w:rPr>
        <w:t>” means, as of the Closing Date, the only Available Tenor for Term SOFR is an interest period of one</w:t>
      </w:r>
    </w:p>
    <w:p>
      <w:pPr>
        <w:spacing w:after="0" w:line="18" w:lineRule="exact"/>
        <w:rPr>
          <w:sz w:val="20"/>
          <w:szCs w:val="20"/>
          <w:color w:val="auto"/>
        </w:rPr>
      </w:pPr>
    </w:p>
    <w:p>
      <w:pPr>
        <w:ind w:firstLine="8"/>
        <w:spacing w:after="0" w:line="237" w:lineRule="auto"/>
        <w:tabs>
          <w:tab w:leader="none" w:pos="31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may select to use additional interest periods in accordance with the terms of Section 3.02(c)(iv) and such interest periods shall become Available Tenors upon such selection.</w:t>
      </w:r>
    </w:p>
    <w:p>
      <w:pPr>
        <w:spacing w:after="0" w:line="184" w:lineRule="exact"/>
        <w:rPr>
          <w:sz w:val="20"/>
          <w:szCs w:val="20"/>
          <w:color w:val="auto"/>
        </w:rPr>
      </w:pPr>
    </w:p>
    <w:p>
      <w:pPr>
        <w:jc w:val="both"/>
        <w:ind w:firstLine="749"/>
        <w:spacing w:after="0" w:line="287" w:lineRule="exact"/>
        <w:rPr>
          <w:sz w:val="20"/>
          <w:szCs w:val="20"/>
          <w:color w:val="auto"/>
        </w:rPr>
      </w:pPr>
      <w:r>
        <w:rPr>
          <w:rFonts w:ascii="Times New Roman" w:cs="Times New Roman" w:eastAsia="Times New Roman" w:hAnsi="Times New Roman"/>
          <w:sz w:val="22"/>
          <w:szCs w:val="22"/>
          <w:i w:val="1"/>
          <w:iCs w:val="1"/>
          <w:color w:val="auto"/>
        </w:rPr>
        <w:t>“Bail</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In Action” </w:t>
      </w:r>
      <w:r>
        <w:rPr>
          <w:rFonts w:ascii="Times New Roman" w:cs="Times New Roman" w:eastAsia="Times New Roman" w:hAnsi="Times New Roman"/>
          <w:sz w:val="22"/>
          <w:szCs w:val="22"/>
          <w:color w:val="auto"/>
        </w:rPr>
        <w:t>means the exercise of any Write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Down and Conversion Powers by the applicable Resolution Authority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respect of any liability of an Affected Financial Institution.</w:t>
      </w:r>
    </w:p>
    <w:p>
      <w:pPr>
        <w:spacing w:after="0" w:line="169" w:lineRule="exact"/>
        <w:rPr>
          <w:sz w:val="20"/>
          <w:szCs w:val="20"/>
          <w:color w:val="auto"/>
        </w:rPr>
      </w:pPr>
    </w:p>
    <w:p>
      <w:pPr>
        <w:jc w:val="both"/>
        <w:ind w:firstLine="749"/>
        <w:spacing w:after="0" w:line="261" w:lineRule="exact"/>
        <w:rPr>
          <w:sz w:val="20"/>
          <w:szCs w:val="20"/>
          <w:color w:val="auto"/>
        </w:rPr>
      </w:pPr>
      <w:r>
        <w:rPr>
          <w:rFonts w:ascii="Times New Roman" w:cs="Times New Roman" w:eastAsia="Times New Roman" w:hAnsi="Times New Roman"/>
          <w:sz w:val="22"/>
          <w:szCs w:val="22"/>
          <w:i w:val="1"/>
          <w:iCs w:val="1"/>
          <w:color w:val="auto"/>
        </w:rPr>
        <w:t>“Bail</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In Legislation” </w:t>
      </w:r>
      <w:r>
        <w:rPr>
          <w:rFonts w:ascii="Times New Roman" w:cs="Times New Roman" w:eastAsia="Times New Roman" w:hAnsi="Times New Roman"/>
          <w:sz w:val="22"/>
          <w:szCs w:val="22"/>
          <w:color w:val="auto"/>
        </w:rPr>
        <w:t>means (a) with respect to any EEA Member Country implementing Article 55 of Directive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rule or requirement applicable in the United Kingdom relating to</w:t>
      </w:r>
    </w:p>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resolution of unsound or failing banks, investment firms or other financial institutions or their affiliates (other than through liquidation, administration or other Insolvency Proceedings).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“Bankruptcy Code” </w:t>
      </w:r>
      <w:r>
        <w:rPr>
          <w:rFonts w:ascii="Times New Roman" w:cs="Times New Roman" w:eastAsia="Times New Roman" w:hAnsi="Times New Roman"/>
          <w:sz w:val="22"/>
          <w:szCs w:val="22"/>
          <w:color w:val="auto"/>
        </w:rPr>
        <w:t>means Title 11 of the United States Code entitled “Bankruptcy”.</w:t>
      </w:r>
    </w:p>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w:t>
      </w:r>
      <w:r>
        <w:rPr>
          <w:rFonts w:ascii="Times New Roman" w:cs="Times New Roman" w:eastAsia="Times New Roman" w:hAnsi="Times New Roman"/>
          <w:sz w:val="22"/>
          <w:szCs w:val="22"/>
          <w:color w:val="auto"/>
        </w:rPr>
        <w:t xml:space="preserve">” means, initially Term SOFR;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 Benchmark Transition Event has occurred with respect to the then-current Benchmark, then “Benchmark” means the applicable Benchmark Replacement to the extent that such Benchmark Replacement has replaced such prior benchmark rate pursuant to Section 3.02(c).</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w:t>
      </w:r>
      <w:r>
        <w:rPr>
          <w:rFonts w:ascii="Times New Roman" w:cs="Times New Roman" w:eastAsia="Times New Roman" w:hAnsi="Times New Roman"/>
          <w:sz w:val="22"/>
          <w:szCs w:val="22"/>
          <w:color w:val="auto"/>
        </w:rPr>
        <w:t>” means the first alternative set forth in the order below that can be determined by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for the applicable Benchmark Replacement Date:</w:t>
      </w:r>
    </w:p>
    <w:p>
      <w:pPr>
        <w:spacing w:after="0" w:line="209" w:lineRule="exact"/>
        <w:rPr>
          <w:sz w:val="20"/>
          <w:szCs w:val="20"/>
          <w:color w:val="auto"/>
        </w:rPr>
      </w:pPr>
    </w:p>
    <w:p>
      <w:pPr>
        <w:ind w:left="2360" w:hanging="855"/>
        <w:spacing w:after="0"/>
        <w:tabs>
          <w:tab w:leader="none" w:pos="23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Daily Simple SOFR; or</w:t>
      </w:r>
    </w:p>
    <w:p>
      <w:pPr>
        <w:spacing w:after="0" w:line="246"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37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(i) the alternate benchmark rate that has been selected by the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until such alternate rate of interest is agreed upon by the Administrative Agent and the Borrower, the rate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for purposes hereof and of each other Loan Document shall be Term SOFR (or subsequent Benchmark, as applicable), as of the end of the Interest Period ending immediately prior to the applicable Benchmark Transition Event.</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9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Adjustment”</w:t>
      </w:r>
      <w:r>
        <w:rPr>
          <w:rFonts w:ascii="Times New Roman" w:cs="Times New Roman" w:eastAsia="Times New Roman" w:hAnsi="Times New Roman"/>
          <w:sz w:val="22"/>
          <w:szCs w:val="22"/>
          <w:color w:val="auto"/>
        </w:rPr>
        <w:t xml:space="preserve">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31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21"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Date</w:t>
      </w:r>
      <w:r>
        <w:rPr>
          <w:rFonts w:ascii="Times New Roman" w:cs="Times New Roman" w:eastAsia="Times New Roman" w:hAnsi="Times New Roman"/>
          <w:sz w:val="22"/>
          <w:szCs w:val="22"/>
          <w:color w:val="auto"/>
        </w:rPr>
        <w:t>” means a date and time determined by the Administrative Agent, which date shall be no later than the earliest to occur of the following events with respect to the then-current Benchmark:</w:t>
      </w:r>
    </w:p>
    <w:p>
      <w:pPr>
        <w:spacing w:after="0" w:line="181" w:lineRule="exact"/>
        <w:rPr>
          <w:sz w:val="20"/>
          <w:szCs w:val="20"/>
          <w:color w:val="auto"/>
        </w:rPr>
      </w:pPr>
    </w:p>
    <w:p>
      <w:pPr>
        <w:jc w:val="both"/>
        <w:ind w:left="760" w:firstLine="745"/>
        <w:spacing w:after="0" w:line="239" w:lineRule="auto"/>
        <w:tabs>
          <w:tab w:leader="none" w:pos="237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220"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37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non-representativeness will be determined by reference to the most recent statement or publication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referenced in such clause (c) and even if any Available Tenor of such Benchmark (or such component thereof) continues to be provided on such date.</w:t>
      </w: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9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94" w:lineRule="exact"/>
        <w:rPr>
          <w:sz w:val="20"/>
          <w:szCs w:val="20"/>
          <w:color w:val="auto"/>
        </w:rPr>
      </w:pPr>
    </w:p>
    <w:p>
      <w:pPr>
        <w:ind w:left="760" w:firstLine="745"/>
        <w:spacing w:after="0" w:line="238" w:lineRule="auto"/>
        <w:tabs>
          <w:tab w:leader="none" w:pos="237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217"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237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such statement or publication,</w:t>
      </w:r>
    </w:p>
    <w:p>
      <w:pPr>
        <w:spacing w:after="0" w:line="31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25"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there is no successor administrator that will continue to provide any Available Tenor of such Benchmark (or such component thereof); or</w:t>
      </w:r>
    </w:p>
    <w:p>
      <w:pPr>
        <w:spacing w:after="0" w:line="185" w:lineRule="exact"/>
        <w:rPr>
          <w:sz w:val="20"/>
          <w:szCs w:val="20"/>
          <w:color w:val="auto"/>
        </w:rPr>
      </w:pPr>
    </w:p>
    <w:p>
      <w:pPr>
        <w:jc w:val="both"/>
        <w:ind w:left="760" w:firstLine="745"/>
        <w:spacing w:after="0" w:line="244" w:lineRule="auto"/>
        <w:tabs>
          <w:tab w:leader="none" w:pos="237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“Benchmark Unavailability Period” </w:t>
      </w:r>
      <w:r>
        <w:rPr>
          <w:rFonts w:ascii="Times New Roman" w:cs="Times New Roman" w:eastAsia="Times New Roman" w:hAnsi="Times New Roman"/>
          <w:sz w:val="22"/>
          <w:szCs w:val="22"/>
          <w:color w:val="auto"/>
        </w:rPr>
        <w:t>means, the period (if any) (a) beginning at the time that a Benchmark Replacement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has occurred if, at such time, no Benchmark Replacement has replaced the then-current Benchmark for all purposes hereunder and under any Loan Document in accordance with Section 3.02(c) and (b) ending at the time that a Benchmark Replacement has replaced the then-current Benchmark for all purposes hereunder and under any Loan Document in accordance with Section 3.02(c).</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Beneficial Ownership Regulation</w:t>
      </w:r>
      <w:r>
        <w:rPr>
          <w:rFonts w:ascii="Times New Roman" w:cs="Times New Roman" w:eastAsia="Times New Roman" w:hAnsi="Times New Roman"/>
          <w:sz w:val="22"/>
          <w:szCs w:val="22"/>
          <w:color w:val="auto"/>
        </w:rPr>
        <w:t>” has the meaning set forth in Section 13.16.</w:t>
      </w:r>
    </w:p>
    <w:p>
      <w:pPr>
        <w:spacing w:after="0" w:line="24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“Benefit Plan” </w:t>
      </w:r>
      <w:r>
        <w:rPr>
          <w:rFonts w:ascii="Times New Roman" w:cs="Times New Roman" w:eastAsia="Times New Roman" w:hAnsi="Times New Roman"/>
          <w:sz w:val="22"/>
          <w:szCs w:val="22"/>
          <w:color w:val="auto"/>
        </w:rPr>
        <w:t>means any “employee benefit plan” as defined in Section 3(3) of ERISA (other than a Multiemployer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to which any Obligor or Subsidiary thereof incurs, or otherwise has, any obligation or liability, contingent or otherwise.</w:t>
      </w:r>
    </w:p>
    <w:p>
      <w:pPr>
        <w:spacing w:after="0" w:line="19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means, with respect to any Person, the board of managers or directors (as applicable) (or equivalent governing body) of such Person or any committee thereof.</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“Borrower” </w:t>
      </w:r>
      <w:r>
        <w:rPr>
          <w:rFonts w:ascii="Times New Roman" w:cs="Times New Roman" w:eastAsia="Times New Roman" w:hAnsi="Times New Roman"/>
          <w:sz w:val="22"/>
          <w:szCs w:val="22"/>
          <w:color w:val="auto"/>
        </w:rPr>
        <w:t>has the meaning set forth in the introduction hereto.</w:t>
      </w:r>
    </w:p>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w:t>
      </w:r>
      <w:r>
        <w:rPr>
          <w:rFonts w:ascii="Times New Roman" w:cs="Times New Roman" w:eastAsia="Times New Roman" w:hAnsi="Times New Roman"/>
          <w:sz w:val="22"/>
          <w:szCs w:val="22"/>
          <w:color w:val="auto"/>
        </w:rPr>
        <w:t>” means a borrowing consisting of a Tranche A Loan made by the Lenders on the Funding Date, a Tranche B Loan made by the Lenders on the Tranche B Loan Borrowing Date, or a Tranche C Loan made by the Lenders on the Tranche C Loan Borrowing Date, as applicable.</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“Borrowing Notice” </w:t>
      </w:r>
      <w:r>
        <w:rPr>
          <w:rFonts w:ascii="Times New Roman" w:cs="Times New Roman" w:eastAsia="Times New Roman" w:hAnsi="Times New Roman"/>
          <w:sz w:val="22"/>
          <w:szCs w:val="22"/>
          <w:color w:val="auto"/>
        </w:rPr>
        <w:t>means a notice substantially in the form attached hereto as Exhibit B.</w:t>
      </w:r>
    </w:p>
    <w:p>
      <w:pPr>
        <w:spacing w:after="0" w:line="23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“Business Day” </w:t>
      </w:r>
      <w:r>
        <w:rPr>
          <w:rFonts w:ascii="Times New Roman" w:cs="Times New Roman" w:eastAsia="Times New Roman" w:hAnsi="Times New Roman"/>
          <w:sz w:val="22"/>
          <w:szCs w:val="22"/>
          <w:color w:val="auto"/>
        </w:rPr>
        <w:t>means (a) a day (other than a Saturday or Sunday) on which commercial banks are not authorized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required to close in New York City or (b) with respect to any matters relating to SOFR Loans, a U.S. Government Securities Business Day.</w:t>
      </w:r>
    </w:p>
    <w:p>
      <w:pPr>
        <w:spacing w:after="0" w:line="20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“Capital Lease Obligations” </w:t>
      </w:r>
      <w:r>
        <w:rPr>
          <w:rFonts w:ascii="Times New Roman" w:cs="Times New Roman" w:eastAsia="Times New Roman" w:hAnsi="Times New Roman"/>
          <w:sz w:val="22"/>
          <w:szCs w:val="22"/>
          <w:color w:val="auto"/>
        </w:rPr>
        <w:t>means, as to any Person, the obligations of such Person to pay rent or other amounts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lease of (or other agreement conveying the right to use) real and/or personal Property which obligations are required to be classified and accounted for as a capital lease on a balance sheet of such Person under GAAP and, for purposes of this Agreement, the amount of such obligations shall be the capitalized amount thereof, determined substantially</w:t>
      </w:r>
    </w:p>
    <w:p>
      <w:pPr>
        <w:spacing w:after="0" w:line="317"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in accordance with GAAP;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lease that would be characterized as an operating lease in accordance with GAAP on December 31, 2018 (whether or not such operating lease was in effect on such date) shall continue to be accounted for as an operating lease (and not as a capital lease) for purposes of this Agreement regardless of any change in GAAP following December 31, 2018 that would otherwise require such lease to be recharacterized (on a prospective or retroactive basis or otherwise) as a capital lease.</w:t>
      </w:r>
    </w:p>
    <w:p>
      <w:pPr>
        <w:spacing w:after="0" w:line="20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Caprion License</w:t>
      </w:r>
      <w:r>
        <w:rPr>
          <w:rFonts w:ascii="Times New Roman" w:cs="Times New Roman" w:eastAsia="Times New Roman" w:hAnsi="Times New Roman"/>
          <w:sz w:val="22"/>
          <w:szCs w:val="22"/>
          <w:color w:val="auto"/>
        </w:rPr>
        <w:t>” means that certain Know How License Agreement, dated as of May 13, 2021 by and between the Borrower and Cellcarta Biosciences Inc. (formerly known as Caprion Biosciences, Inc.), as in effect on the Closing Date.</w:t>
      </w:r>
    </w:p>
    <w:p>
      <w:pPr>
        <w:spacing w:after="0" w:line="19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“Casualty Event” </w:t>
      </w:r>
      <w:r>
        <w:rPr>
          <w:rFonts w:ascii="Times New Roman" w:cs="Times New Roman" w:eastAsia="Times New Roman" w:hAnsi="Times New Roman"/>
          <w:sz w:val="22"/>
          <w:szCs w:val="22"/>
          <w:color w:val="auto"/>
        </w:rPr>
        <w:t>means any actual or constructive loss, condemnation, destruction, confiscation, requisition, seizure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forfeiture of all or any material portion of the assets of the Borrower or any other Obligor, excluding only those assets, individually or in the aggregate, subject to any such event during any calendar year with a fair market value as of the date thereof equal to or less than $500,000.</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“Change of Control” </w:t>
      </w:r>
      <w:r>
        <w:rPr>
          <w:rFonts w:ascii="Times New Roman" w:cs="Times New Roman" w:eastAsia="Times New Roman" w:hAnsi="Times New Roman"/>
          <w:sz w:val="22"/>
          <w:szCs w:val="22"/>
          <w:color w:val="auto"/>
        </w:rPr>
        <w:t>means and shall be deemed to have occurred if:</w:t>
      </w:r>
    </w:p>
    <w:p>
      <w:pPr>
        <w:spacing w:after="0" w:line="237" w:lineRule="exact"/>
        <w:rPr>
          <w:sz w:val="20"/>
          <w:szCs w:val="20"/>
          <w:color w:val="auto"/>
        </w:rPr>
      </w:pPr>
    </w:p>
    <w:p>
      <w:pPr>
        <w:jc w:val="both"/>
        <w:ind w:left="760" w:firstLine="745"/>
        <w:spacing w:after="0" w:line="244" w:lineRule="auto"/>
        <w:tabs>
          <w:tab w:leader="none" w:pos="237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“group” (within the meaning of Rule 13d-5 of the Exchange Act as in effect on the date hereof) shall own, directly or indirectly, beneficially or of record, shares representing 40% or more of the aggregate ordinary voting power represented by the issued and outstanding Equity Interests of Borrower;</w:t>
      </w:r>
    </w:p>
    <w:p>
      <w:pPr>
        <w:spacing w:after="0" w:line="21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37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twelve (12) consecutive calendar months, the occupation of a majority of the seats (other than vacant seats) on the Board of Borrower by Persons who were neither (i) nominated or approved by the Board of Borrower, nor (ii) appointed by directors on the Board of the Borrower on the Closing Date; and</w:t>
      </w:r>
    </w:p>
    <w:p>
      <w:pPr>
        <w:spacing w:after="0" w:line="213"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237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cease to own directly or indirectly, determined on a fully diluted basis, 100% of the issued and outstanding Equity Interests of any other Obligor.</w:t>
      </w:r>
    </w:p>
    <w:p>
      <w:pPr>
        <w:spacing w:after="0" w:line="181"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“Claims” </w:t>
      </w:r>
      <w:r>
        <w:rPr>
          <w:rFonts w:ascii="Times New Roman" w:cs="Times New Roman" w:eastAsia="Times New Roman" w:hAnsi="Times New Roman"/>
          <w:sz w:val="22"/>
          <w:szCs w:val="22"/>
          <w:color w:val="auto"/>
        </w:rPr>
        <w:t>includes claims, litigation, demands, complaints, grievances, actions, applications, suits, causes of action,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orders, charges, indictments, prosecutions, information (brought by a public prosecutor without grand jury indictment) or other similar processes, assessments or reassessments.</w:t>
      </w:r>
    </w:p>
    <w:p>
      <w:pPr>
        <w:spacing w:after="0" w:line="20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“CLIA” </w:t>
      </w:r>
      <w:r>
        <w:rPr>
          <w:rFonts w:ascii="Times New Roman" w:cs="Times New Roman" w:eastAsia="Times New Roman" w:hAnsi="Times New Roman"/>
          <w:sz w:val="22"/>
          <w:szCs w:val="22"/>
          <w:color w:val="auto"/>
        </w:rPr>
        <w:t>means the Clinical Laboratory Improvement Amendments of 1988 (CLIA), as amended from time to time,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rules and regulations promulgated thereunder.</w:t>
      </w:r>
    </w:p>
    <w:p>
      <w:pPr>
        <w:spacing w:after="0" w:line="19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“Closing Date” </w:t>
      </w:r>
      <w:r>
        <w:rPr>
          <w:rFonts w:ascii="Times New Roman" w:cs="Times New Roman" w:eastAsia="Times New Roman" w:hAnsi="Times New Roman"/>
          <w:sz w:val="22"/>
          <w:szCs w:val="22"/>
          <w:color w:val="auto"/>
        </w:rPr>
        <w:t>means the Business Day on which all of the conditions set forth in Section 6.01 have been satisfied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waived by the Administrative Agent.</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Internal Revenue Code of 1986, as amended from time to time, and the rules and regulations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promulgated thereunder from time to time.</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2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“Collateral” </w:t>
      </w:r>
      <w:r>
        <w:rPr>
          <w:rFonts w:ascii="Times New Roman" w:cs="Times New Roman" w:eastAsia="Times New Roman" w:hAnsi="Times New Roman"/>
          <w:sz w:val="22"/>
          <w:szCs w:val="22"/>
          <w:color w:val="auto"/>
        </w:rPr>
        <w:t>means any Property in which a Lien is purported to be granted under any of the Security Documents (or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Property, as the context may require).</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Access Agreement</w:t>
      </w:r>
      <w:r>
        <w:rPr>
          <w:rFonts w:ascii="Times New Roman" w:cs="Times New Roman" w:eastAsia="Times New Roman" w:hAnsi="Times New Roman"/>
          <w:sz w:val="22"/>
          <w:szCs w:val="22"/>
          <w:color w:val="auto"/>
        </w:rPr>
        <w:t>” means any landlord waiver or similar agreement, in form and substance reasonably satisfactory to the Administrative Agent, between the Administrative Agent and any third party (including any bailee, consignee, customs broker, or other similar Person) in possession of any Collateral, any landlord of any real property where any Collateral is located or any landlord of the real property which is the chief executive office.</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“Collateral Questionnaire” </w:t>
      </w:r>
      <w:r>
        <w:rPr>
          <w:rFonts w:ascii="Times New Roman" w:cs="Times New Roman" w:eastAsia="Times New Roman" w:hAnsi="Times New Roman"/>
          <w:sz w:val="22"/>
          <w:szCs w:val="22"/>
          <w:color w:val="auto"/>
        </w:rPr>
        <w:t>means that certain Collateral Questionnaire and certification by a Responsible Officer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substantially in the form of attached hereto as Exhibit I and otherwise in form and substance reasonably satisfactory to the Administrative Agent.</w:t>
      </w:r>
    </w:p>
    <w:p>
      <w:pPr>
        <w:spacing w:after="0" w:line="20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“Commitment” </w:t>
      </w:r>
      <w:r>
        <w:rPr>
          <w:rFonts w:ascii="Times New Roman" w:cs="Times New Roman" w:eastAsia="Times New Roman" w:hAnsi="Times New Roman"/>
          <w:sz w:val="22"/>
          <w:szCs w:val="22"/>
          <w:color w:val="auto"/>
        </w:rPr>
        <w:t>means, with respect to each Lender, such Lender’s (a) Tranche A Loan Commitment, (b) Tranche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 Commitment and (c) Tranche C Loan Commitment and “Commitments” means all such commitments of all Lenders.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“Commodity Account” </w:t>
      </w:r>
      <w:r>
        <w:rPr>
          <w:rFonts w:ascii="Times New Roman" w:cs="Times New Roman" w:eastAsia="Times New Roman" w:hAnsi="Times New Roman"/>
          <w:sz w:val="22"/>
          <w:szCs w:val="22"/>
          <w:color w:val="auto"/>
        </w:rPr>
        <w:t>has the meaning set forth in the Security Agreement.</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“Compliance Certificate” </w:t>
      </w:r>
      <w:r>
        <w:rPr>
          <w:rFonts w:ascii="Times New Roman" w:cs="Times New Roman" w:eastAsia="Times New Roman" w:hAnsi="Times New Roman"/>
          <w:sz w:val="22"/>
          <w:szCs w:val="22"/>
          <w:color w:val="auto"/>
        </w:rPr>
        <w:t>has the meaning set forth in Section 8.01(c).</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“Confidential Healthcare Information” </w:t>
      </w:r>
      <w:r>
        <w:rPr>
          <w:rFonts w:ascii="Times New Roman" w:cs="Times New Roman" w:eastAsia="Times New Roman" w:hAnsi="Times New Roman"/>
          <w:sz w:val="22"/>
          <w:szCs w:val="22"/>
          <w:color w:val="auto"/>
        </w:rPr>
        <w:t>has the meaning set forth in Section 8.06.</w:t>
      </w:r>
    </w:p>
    <w:p>
      <w:pPr>
        <w:spacing w:after="0" w:line="23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i w:val="1"/>
          <w:iCs w:val="1"/>
          <w:color w:val="auto"/>
        </w:rPr>
        <w:t>“Conforming Changes</w:t>
      </w:r>
      <w:r>
        <w:rPr>
          <w:rFonts w:ascii="Times New Roman" w:cs="Times New Roman" w:eastAsia="Times New Roman" w:hAnsi="Times New Roman"/>
          <w:sz w:val="22"/>
          <w:szCs w:val="22"/>
          <w:color w:val="auto"/>
        </w:rPr>
        <w:t>” means, with respect to either the use or administration of Term SOFR or the use, administration,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reasonably determines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reasonably determines (in consultation with the Borrower that adoption of any portion of such market practice is not administratively feasible or if the Administrative Agent determines that no market practice for the administration of any such rate exists, in such other manner of administration as the Administrative Agent reasonably determines (in consultation with the Borrower) is reasonably necessary in connection with the administration of this Agreement and the other Loan Documents).</w:t>
      </w:r>
    </w:p>
    <w:p>
      <w:pPr>
        <w:spacing w:after="0" w:line="223"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“Connection Income Taxes” </w:t>
      </w:r>
      <w:r>
        <w:rPr>
          <w:rFonts w:ascii="Times New Roman" w:cs="Times New Roman" w:eastAsia="Times New Roman" w:hAnsi="Times New Roman"/>
          <w:sz w:val="22"/>
          <w:szCs w:val="22"/>
          <w:color w:val="auto"/>
        </w:rPr>
        <w:t>means Other Connection Taxes that are imposed on or measured by net income (however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denominated) or that are franchise Taxes or branch profits Taxes.</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2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“Contracts” </w:t>
      </w:r>
      <w:r>
        <w:rPr>
          <w:rFonts w:ascii="Times New Roman" w:cs="Times New Roman" w:eastAsia="Times New Roman" w:hAnsi="Times New Roman"/>
          <w:sz w:val="22"/>
          <w:szCs w:val="22"/>
          <w:color w:val="auto"/>
        </w:rPr>
        <w:t>means any contract, license, instrument, lease, agreement, obligation, promise, undertaking, understanding,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 excluding the Loan Documents.</w:t>
      </w:r>
    </w:p>
    <w:p>
      <w:pPr>
        <w:spacing w:after="0" w:line="19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“Control” </w:t>
      </w:r>
      <w:r>
        <w:rPr>
          <w:rFonts w:ascii="Times New Roman" w:cs="Times New Roman" w:eastAsia="Times New Roman" w:hAnsi="Times New Roman"/>
          <w:sz w:val="22"/>
          <w:szCs w:val="22"/>
          <w:color w:val="auto"/>
        </w:rPr>
        <w:t>means, in respect of a particular Person, the possession, directly or indirectly, of the power to direct or cause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direction of the management or policies of such Person, whether through the ability to exercise voting power, by contract or otherwise. “</w:t>
      </w:r>
      <w:r>
        <w:rPr>
          <w:rFonts w:ascii="Times New Roman" w:cs="Times New Roman" w:eastAsia="Times New Roman" w:hAnsi="Times New Roman"/>
          <w:sz w:val="22"/>
          <w:szCs w:val="22"/>
          <w:i w:val="1"/>
          <w:iCs w:val="1"/>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Controlled</w:t>
      </w:r>
      <w:r>
        <w:rPr>
          <w:rFonts w:ascii="Times New Roman" w:cs="Times New Roman" w:eastAsia="Times New Roman" w:hAnsi="Times New Roman"/>
          <w:sz w:val="22"/>
          <w:szCs w:val="22"/>
          <w:color w:val="auto"/>
        </w:rPr>
        <w:t>” have meanings correlative thereto.</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“Controlled Account” </w:t>
      </w:r>
      <w:r>
        <w:rPr>
          <w:rFonts w:ascii="Times New Roman" w:cs="Times New Roman" w:eastAsia="Times New Roman" w:hAnsi="Times New Roman"/>
          <w:sz w:val="22"/>
          <w:szCs w:val="22"/>
          <w:color w:val="auto"/>
        </w:rPr>
        <w:t>has the meaning set forth in Section 8.17(a).</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“Copyrights” </w:t>
      </w:r>
      <w:r>
        <w:rPr>
          <w:rFonts w:ascii="Times New Roman" w:cs="Times New Roman" w:eastAsia="Times New Roman" w:hAnsi="Times New Roman"/>
          <w:sz w:val="22"/>
          <w:szCs w:val="22"/>
          <w:color w:val="auto"/>
        </w:rPr>
        <w:t>has the meaning set forth in the Security Agreement.</w:t>
      </w:r>
    </w:p>
    <w:p>
      <w:pPr>
        <w:spacing w:after="0" w:line="233"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Daily Simple SOFR</w:t>
      </w:r>
      <w:r>
        <w:rPr>
          <w:rFonts w:ascii="Times New Roman" w:cs="Times New Roman" w:eastAsia="Times New Roman" w:hAnsi="Times New Roman"/>
          <w:sz w:val="22"/>
          <w:szCs w:val="22"/>
          <w:color w:val="auto"/>
        </w:rPr>
        <w:t xml:space="preserve">” means, for any day (a “SOFR Rate Day”), a rate per annum equal to the greater of (a) SOFR for the day (such day, a “SOFR Determination Day”)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SOFR determined pursuant to this sentence shall be utilized for purposes of calculation of Daily Simple SOFR for no more than three</w:t>
      </w:r>
    </w:p>
    <w:p>
      <w:pPr>
        <w:spacing w:after="0" w:line="11" w:lineRule="exact"/>
        <w:rPr>
          <w:sz w:val="20"/>
          <w:szCs w:val="20"/>
          <w:color w:val="auto"/>
        </w:rPr>
      </w:pPr>
    </w:p>
    <w:p>
      <w:pPr>
        <w:jc w:val="both"/>
        <w:ind w:firstLine="8"/>
        <w:spacing w:after="0" w:line="235" w:lineRule="auto"/>
        <w:tabs>
          <w:tab w:leader="none" w:pos="34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consecutive SOFR Rate Days;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Daily Simple SOFR shall be rounded upwards to the next 1/100% (if necessary). Any change in Daily Simple SOFR due to a change in SOFR shall be effective from and including the effective date of such change in SOFR without notice to the Borrower.</w:t>
      </w:r>
    </w:p>
    <w:p>
      <w:pPr>
        <w:spacing w:after="0" w:line="214"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“Default” </w:t>
      </w:r>
      <w:r>
        <w:rPr>
          <w:rFonts w:ascii="Times New Roman" w:cs="Times New Roman" w:eastAsia="Times New Roman" w:hAnsi="Times New Roman"/>
          <w:sz w:val="22"/>
          <w:szCs w:val="22"/>
          <w:color w:val="auto"/>
        </w:rPr>
        <w:t>means any Event of Default and any event that, upon the giving of notice, the lapse of time or both, would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constitute an Event of Default.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“Default Rate” </w:t>
      </w:r>
      <w:r>
        <w:rPr>
          <w:rFonts w:ascii="Times New Roman" w:cs="Times New Roman" w:eastAsia="Times New Roman" w:hAnsi="Times New Roman"/>
          <w:sz w:val="22"/>
          <w:szCs w:val="22"/>
          <w:color w:val="auto"/>
        </w:rPr>
        <w:t>has the meaning set forth in Section 3.02(d).</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“Deposit Account” </w:t>
      </w:r>
      <w:r>
        <w:rPr>
          <w:rFonts w:ascii="Times New Roman" w:cs="Times New Roman" w:eastAsia="Times New Roman" w:hAnsi="Times New Roman"/>
          <w:sz w:val="22"/>
          <w:szCs w:val="22"/>
          <w:color w:val="auto"/>
        </w:rPr>
        <w:t>has the meaning set forth in the Security Agreement.</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“Designated Person” </w:t>
      </w:r>
      <w:r>
        <w:rPr>
          <w:rFonts w:ascii="Times New Roman" w:cs="Times New Roman" w:eastAsia="Times New Roman" w:hAnsi="Times New Roman"/>
          <w:sz w:val="22"/>
          <w:szCs w:val="22"/>
          <w:color w:val="auto"/>
        </w:rPr>
        <w:t>means a person or entity:</w:t>
      </w:r>
    </w:p>
    <w:p>
      <w:pPr>
        <w:spacing w:after="0" w:line="251" w:lineRule="exact"/>
        <w:rPr>
          <w:sz w:val="20"/>
          <w:szCs w:val="20"/>
          <w:color w:val="auto"/>
        </w:rPr>
      </w:pPr>
    </w:p>
    <w:p>
      <w:pPr>
        <w:ind w:left="2360" w:hanging="855"/>
        <w:spacing w:after="0"/>
        <w:tabs>
          <w:tab w:leader="none" w:pos="23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listed in the annex to, or otherwise targeted by the provisions of, the Executive Order;</w:t>
      </w:r>
    </w:p>
    <w:p>
      <w:pPr>
        <w:spacing w:after="0" w:line="347" w:lineRule="exact"/>
        <w:rPr>
          <w:rFonts w:ascii="Times New Roman" w:cs="Times New Roman" w:eastAsia="Times New Roman" w:hAnsi="Times New Roman"/>
          <w:sz w:val="22"/>
          <w:szCs w:val="22"/>
          <w:color w:val="auto"/>
        </w:rPr>
      </w:pPr>
    </w:p>
    <w:p>
      <w:pPr>
        <w:ind w:left="5480"/>
        <w:spacing w:after="0" w:line="253" w:lineRule="exact"/>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25" w:lineRule="exact"/>
        <w:rPr>
          <w:sz w:val="20"/>
          <w:szCs w:val="20"/>
          <w:color w:val="auto"/>
        </w:rPr>
      </w:pPr>
    </w:p>
    <w:p>
      <w:pPr>
        <w:ind w:left="760" w:right="20" w:firstLine="745"/>
        <w:spacing w:after="0" w:line="258" w:lineRule="auto"/>
        <w:tabs>
          <w:tab w:leader="none" w:pos="237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named as a “Specially Designated National and Blocked Person” on the most current list published by OFAC at its official website or any replacement website or other replacement official publication of such list; or</w:t>
      </w:r>
    </w:p>
    <w:p>
      <w:pPr>
        <w:spacing w:after="0" w:line="185"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237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which the Lenders are prohibited from dealing or otherwise engaging in any transaction by any Economic Sanctions Laws.</w:t>
      </w:r>
    </w:p>
    <w:p>
      <w:pPr>
        <w:spacing w:after="0" w:line="19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“Device” </w:t>
      </w:r>
      <w:r>
        <w:rPr>
          <w:rFonts w:ascii="Times New Roman" w:cs="Times New Roman" w:eastAsia="Times New Roman" w:hAnsi="Times New Roman"/>
          <w:sz w:val="22"/>
          <w:szCs w:val="22"/>
          <w:color w:val="auto"/>
        </w:rPr>
        <w:t>means any instrument, apparatus, implement, machine, contrivance, implant, in vitro reagent or other similar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related article, including any component, part or accessory that meets the definition of “device” as set forth in Section 201 of the FD&amp;C Act, as limited by other provisions therein, including but not limited to Section 520 of the FD&amp;C Act, developed by the Obligors.</w:t>
      </w:r>
    </w:p>
    <w:p>
      <w:pPr>
        <w:spacing w:after="0" w:line="21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i w:val="1"/>
          <w:iCs w:val="1"/>
          <w:color w:val="auto"/>
        </w:rPr>
        <w:t xml:space="preserve">“Device Clearance Application” </w:t>
      </w:r>
      <w:r>
        <w:rPr>
          <w:rFonts w:ascii="Times New Roman" w:cs="Times New Roman" w:eastAsia="Times New Roman" w:hAnsi="Times New Roman"/>
          <w:sz w:val="21"/>
          <w:szCs w:val="21"/>
          <w:color w:val="auto"/>
        </w:rPr>
        <w:t>means (i) any premarket approval application submitted under Section 515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FD&amp;C Act (21 U.S.C. § 360e) (a </w:t>
      </w:r>
      <w:r>
        <w:rPr>
          <w:rFonts w:ascii="Times New Roman" w:cs="Times New Roman" w:eastAsia="Times New Roman" w:hAnsi="Times New Roman"/>
          <w:sz w:val="21"/>
          <w:szCs w:val="21"/>
          <w:i w:val="1"/>
          <w:iCs w:val="1"/>
          <w:color w:val="auto"/>
        </w:rPr>
        <w:t>“PMA”</w:t>
      </w:r>
      <w:r>
        <w:rPr>
          <w:rFonts w:ascii="Times New Roman" w:cs="Times New Roman" w:eastAsia="Times New Roman" w:hAnsi="Times New Roman"/>
          <w:sz w:val="21"/>
          <w:szCs w:val="21"/>
          <w:color w:val="auto"/>
        </w:rPr>
        <w:t>), (ii) any de novo request submitted under Section 513(f) of the FD&amp;C Act (21 U.S.C.</w:t>
      </w:r>
    </w:p>
    <w:p>
      <w:pPr>
        <w:spacing w:after="0" w:line="1" w:lineRule="exact"/>
        <w:rPr>
          <w:sz w:val="20"/>
          <w:szCs w:val="20"/>
          <w:color w:val="auto"/>
        </w:rPr>
      </w:pPr>
    </w:p>
    <w:p>
      <w:pPr>
        <w:jc w:val="both"/>
        <w:ind w:firstLine="8"/>
        <w:spacing w:after="0" w:line="249" w:lineRule="exact"/>
        <w:tabs>
          <w:tab w:leader="none" w:pos="1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360c(f)), (iii) any 510(k) submitted under Section 510(k) of the FD&amp;C Act (21 U.S.C. § 360(k)) seeking clearance from the FDA for a Device that is substantially equivalent to a legally marketed predicate Device, as defined in the FD&amp;C Act (a </w:t>
      </w:r>
      <w:r>
        <w:rPr>
          <w:rFonts w:ascii="Times New Roman" w:cs="Times New Roman" w:eastAsia="Times New Roman" w:hAnsi="Times New Roman"/>
          <w:sz w:val="22"/>
          <w:szCs w:val="22"/>
          <w:i w:val="1"/>
          <w:iCs w:val="1"/>
          <w:color w:val="auto"/>
        </w:rPr>
        <w:t>“510(k)”</w:t>
      </w:r>
      <w:r>
        <w:rPr>
          <w:rFonts w:ascii="Times New Roman" w:cs="Times New Roman" w:eastAsia="Times New Roman" w:hAnsi="Times New Roman"/>
          <w:sz w:val="22"/>
          <w:szCs w:val="22"/>
          <w:color w:val="auto"/>
        </w:rPr>
        <w:t>), (iv) any corresponding or substantially equivalent notification, application or clearance of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Regulatory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including, with respect to the European Union, any equivalent submission to a Standard Body pursuant to an applicable directive of the European Council with respect to CE marking (or, if applicable, a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certification of conformity with respect to any such directive through a “declaration of conformity”), and (v) all amendments, variations, extension and renewals of any of the foregoing.</w:t>
      </w:r>
    </w:p>
    <w:p>
      <w:pPr>
        <w:spacing w:after="0" w:line="20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i w:val="1"/>
          <w:iCs w:val="1"/>
          <w:color w:val="auto"/>
        </w:rPr>
        <w:t xml:space="preserve">“Disqualified Equity Interests” </w:t>
      </w:r>
      <w:r>
        <w:rPr>
          <w:rFonts w:ascii="Times New Roman" w:cs="Times New Roman" w:eastAsia="Times New Roman" w:hAnsi="Times New Roman"/>
          <w:sz w:val="21"/>
          <w:szCs w:val="21"/>
          <w:color w:val="auto"/>
        </w:rPr>
        <w:t>means, with respect to any Person, any Equity Interest of such Person that, by its terms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(or by the terms of any security or other Equity Interest into which it is convertible or for which it is exchangeable upon exercise or otherwise), or upon the happening of any event or condition (i) matures or is mandatorily redeemable (other than solely for Qualified Equity Interests), including pursuant to a sinking fund obligation or otherwise, (ii) is redeemable at the option of the holder thereof (other than solely for Qualified Equity Interests), in whole or in part, (iii) provides for the scheduled payments of dividends or other distributions in cash or other securities that would constitute Disqualified Equity Interests, or (iv) is or becomes convertible into or exchangeable for Indebtedness or any other Equity Interests that would constitute Disqualified Equity Interests, in each case, prior to the date that is one hundred and eighty (180) days after the Stated Maturity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such Equity Interests are issued pursuant to any plan for the benefit of directors, officers, employees or consultants of such Person or by any such plan to such directors, officers, employees or consultants, such Equity Interests shall not constitute Disqualified Equity Interests solely because they may be required to be repurchased by such Person upon the death, disability, retirement or termination of employment or service of such director, officer, employee or consultant.</w:t>
      </w:r>
    </w:p>
    <w:p>
      <w:pPr>
        <w:spacing w:after="0" w:line="214"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Disqualified Lender</w:t>
      </w:r>
      <w:r>
        <w:rPr>
          <w:rFonts w:ascii="Times New Roman" w:cs="Times New Roman" w:eastAsia="Times New Roman" w:hAnsi="Times New Roman"/>
          <w:sz w:val="21"/>
          <w:szCs w:val="21"/>
          <w:color w:val="auto"/>
        </w:rPr>
        <w:t>” means (a) any Person identified to the Administrative Agent in writing on or prior to the Closing Date who in the reasonable estimation of the Borrower are (i) direct competitors of the Borrower, (ii) vulture funds or (iii) distressed debt funds, (b) any other Person identified by name in writing to the Administrative Agent after the Closing Date to the</w:t>
      </w:r>
    </w:p>
    <w:p>
      <w:pPr>
        <w:spacing w:after="0" w:line="296"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extent such Person is or becomes a competitor of Borrower or its Subsidiaries, (c) any other Person identified by name in writing to the Administrative Agent after the Closing Date to extent the Borrower reasonably determines in consultation with the Administrative Agent that such Person is a (i) vulture fund or (ii) distressed fund, and (d) any Affiliate of any Person referred to in clauses (a) through (c) above (other than bona fide fixed income investors or debt funds that are Affiliates of competitors, vulture funds or distressed debt funds).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“Dollars”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means lawful money of the United States of America.</w:t>
      </w:r>
    </w:p>
    <w:p>
      <w:pPr>
        <w:spacing w:after="0" w:line="24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“Economic Sanctions Laws” </w:t>
      </w:r>
      <w:r>
        <w:rPr>
          <w:rFonts w:ascii="Times New Roman" w:cs="Times New Roman" w:eastAsia="Times New Roman" w:hAnsi="Times New Roman"/>
          <w:sz w:val="22"/>
          <w:szCs w:val="22"/>
          <w:color w:val="auto"/>
        </w:rPr>
        <w:t>means: (a) the Executive Order, the</w:t>
      </w:r>
      <w:r>
        <w:rPr>
          <w:rFonts w:ascii="Times New Roman" w:cs="Times New Roman" w:eastAsia="Times New Roman" w:hAnsi="Times New Roman"/>
          <w:sz w:val="22"/>
          <w:szCs w:val="22"/>
          <w:i w:val="1"/>
          <w:iCs w:val="1"/>
          <w:color w:val="auto"/>
        </w:rPr>
        <w:t xml:space="preserve"> International Emergency Economic Powers Act </w:t>
      </w:r>
      <w:r>
        <w:rPr>
          <w:rFonts w:ascii="Times New Roman" w:cs="Times New Roman" w:eastAsia="Times New Roman" w:hAnsi="Times New Roman"/>
          <w:sz w:val="22"/>
          <w:szCs w:val="22"/>
          <w:color w:val="auto"/>
        </w:rPr>
        <w:t>(50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U.S.C. §§ 1701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Trading with the Enemy Act</w:t>
      </w:r>
      <w:r>
        <w:rPr>
          <w:rFonts w:ascii="Times New Roman" w:cs="Times New Roman" w:eastAsia="Times New Roman" w:hAnsi="Times New Roman"/>
          <w:sz w:val="22"/>
          <w:szCs w:val="22"/>
          <w:color w:val="auto"/>
        </w:rPr>
        <w:t xml:space="preserve"> (50 U.S.C. App.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any other law or regulation promulgated thereunder from time to time and administered by OFAC and any similar law enacted in the United States after the date of this Agreement; and (b) any other similar applicable law now or hereafter enacted in any other applicable jurisdiction.</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“EEA Financial Institution” </w:t>
      </w:r>
      <w:r>
        <w:rPr>
          <w:rFonts w:ascii="Times New Roman" w:cs="Times New Roman" w:eastAsia="Times New Roman" w:hAnsi="Times New Roman"/>
          <w:sz w:val="22"/>
          <w:szCs w:val="22"/>
          <w:color w:val="auto"/>
        </w:rPr>
        <w:t>means (a) any credit institution or investment firm established in any EEA Member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“EEA Member Country” </w:t>
      </w:r>
      <w:r>
        <w:rPr>
          <w:rFonts w:ascii="Times New Roman" w:cs="Times New Roman" w:eastAsia="Times New Roman" w:hAnsi="Times New Roman"/>
          <w:sz w:val="22"/>
          <w:szCs w:val="22"/>
          <w:color w:val="auto"/>
        </w:rPr>
        <w:t>means any of the member states of the European Union, Iceland, Liechtenstein, and Norway.</w:t>
      </w:r>
    </w:p>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“EEA Resolution Authority” </w:t>
      </w:r>
      <w:r>
        <w:rPr>
          <w:rFonts w:ascii="Times New Roman" w:cs="Times New Roman" w:eastAsia="Times New Roman" w:hAnsi="Times New Roman"/>
          <w:sz w:val="22"/>
          <w:szCs w:val="22"/>
          <w:color w:val="auto"/>
        </w:rPr>
        <w:t>means any public administrative authority or any Person entrusted with public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authority of any EEA Member Country (including any delegee) having responsibility for the resolution of any EEA Financial Institution.</w:t>
      </w:r>
    </w:p>
    <w:p>
      <w:pPr>
        <w:spacing w:after="0" w:line="20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“Environmental Law” </w:t>
      </w:r>
      <w:r>
        <w:rPr>
          <w:rFonts w:ascii="Times New Roman" w:cs="Times New Roman" w:eastAsia="Times New Roman" w:hAnsi="Times New Roman"/>
          <w:sz w:val="22"/>
          <w:szCs w:val="22"/>
          <w:color w:val="auto"/>
        </w:rPr>
        <w:t>means any federal, state, provincial or local governmental law, rule, regulation, order, writ,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judgment, injunction or decree relating to pollution or protection of the environment or the treatment, storage, disposal, release, threatened release or handling of Hazardous Materials, and all local laws and regulations related to environmental matters and any specific agreements entered into with any Governmental Authorities which include commitments related to environmental matters.</w:t>
      </w:r>
    </w:p>
    <w:p>
      <w:pPr>
        <w:spacing w:after="0" w:line="20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“Equity Interest” </w:t>
      </w:r>
      <w:r>
        <w:rPr>
          <w:rFonts w:ascii="Times New Roman" w:cs="Times New Roman" w:eastAsia="Times New Roman" w:hAnsi="Times New Roman"/>
          <w:sz w:val="22"/>
          <w:szCs w:val="22"/>
          <w:color w:val="auto"/>
        </w:rPr>
        <w:t>means, with respect to any Person, any and all shares, interests, participations or other equivalents,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but excluding debt securities convertible or exchangeable into such equity.</w:t>
      </w: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“ERISA” </w:t>
      </w:r>
      <w:r>
        <w:rPr>
          <w:rFonts w:ascii="Times New Roman" w:cs="Times New Roman" w:eastAsia="Times New Roman" w:hAnsi="Times New Roman"/>
          <w:sz w:val="22"/>
          <w:szCs w:val="22"/>
          <w:color w:val="auto"/>
        </w:rPr>
        <w:t>means the United States Employee Retirement Income Security Act of 1974, as amended.</w:t>
      </w:r>
    </w:p>
    <w:p>
      <w:pPr>
        <w:spacing w:after="0" w:line="35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2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“ERISA Affiliate” </w:t>
      </w:r>
      <w:r>
        <w:rPr>
          <w:rFonts w:ascii="Times New Roman" w:cs="Times New Roman" w:eastAsia="Times New Roman" w:hAnsi="Times New Roman"/>
          <w:sz w:val="22"/>
          <w:szCs w:val="22"/>
          <w:color w:val="auto"/>
        </w:rPr>
        <w:t>means any Person that, as of the relevant time, would be considered a single employer with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 pursuant to Section 414(b), (c), (m) or (o) of the Code.</w:t>
      </w:r>
    </w:p>
    <w:p>
      <w:pPr>
        <w:spacing w:after="0" w:line="177"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“ERISA Event” </w:t>
      </w:r>
      <w:r>
        <w:rPr>
          <w:rFonts w:ascii="Times New Roman" w:cs="Times New Roman" w:eastAsia="Times New Roman" w:hAnsi="Times New Roman"/>
          <w:sz w:val="21"/>
          <w:szCs w:val="21"/>
          <w:color w:val="auto"/>
        </w:rPr>
        <w:t>means (a) a “reportable event” as defined in Section 4043 of ERISA with respect to a Title IV Plan,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excluding, however, such events as to which the PBGC by regulation has waived the requirement of Section 4043(a) of ERISA that it be notified within thirty (30) days of the occurrence of such event; (b) a withdrawal by any Obligor or any ERISA Affiliate thereof from a Title IV Plan or the termination of any Title IV Plan resulting in liability under Sections 4063 or 4064 of ERISA;</w:t>
      </w:r>
    </w:p>
    <w:p>
      <w:pPr>
        <w:spacing w:after="0" w:line="2" w:lineRule="exact"/>
        <w:rPr>
          <w:sz w:val="20"/>
          <w:szCs w:val="20"/>
          <w:color w:val="auto"/>
        </w:rPr>
      </w:pPr>
    </w:p>
    <w:p>
      <w:pPr>
        <w:jc w:val="both"/>
        <w:ind w:firstLine="8"/>
        <w:spacing w:after="0" w:line="245" w:lineRule="exact"/>
        <w:tabs>
          <w:tab w:leader="none" w:pos="31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withdrawal of any Obligor or any ERISA Affiliate thereof in a complete or partial withdrawal (within the meaning of Section 4203 and 4205 of ERISA) from any Multiemployer Plan if there is any liability therefore, or the receipt by any Obligor or any ERISA Affiliate thereof of notice from any Multiemployer Plan that it is insolvent pursuant to Section 4245 of ERISA; (d) with respect to a Title IV Plan or Multiemployer Plan, as applicable, the filing of a notice of intent to terminate, the treatment of a plan amendment as a termination under Section 4041 or 4041A of ERISA, or the commencement of proceedings by the PBGC to terminate such plan; (e) the failure by any Obligor (including a failure related to contingent liability on account of an ERISA Affiliate thereof) to make any required contribution to a Multiemployer Plan, or to meet the minimum funding standard of Section 412 of the Code with respect to any Title IV Plan or the failure to make by its due date a required installment under Section 430 of the Code with respect to any Title IV Plan; (f) the determination that any Title IV Plan is in “at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risk” status within the meaning of Sections 430 of the Code or Section 303 of ERISA; (g) the determination that any Multiemployer Plan is in “critical” or “endangered” status within the meaning of Section 432 of the Code or Section 305 of ERISA; (h) the imposition on any Obligor of fines, penalties, Taxes or related charges under Section 4975 of the Code, Chapter 43 of the Code or under Sections 409, 502(c), (i) or (1) or 4071 of ERISA; (i) the imposition of any Lien on any of the rights, properties or assets of any Obligor pursuant to Title I or IV of ERISA or to Section 430(k) of the Code with respect to a Title IV Plan.</w:t>
      </w:r>
    </w:p>
    <w:p>
      <w:pPr>
        <w:spacing w:after="0" w:line="191" w:lineRule="exact"/>
        <w:rPr>
          <w:sz w:val="20"/>
          <w:szCs w:val="20"/>
          <w:color w:val="auto"/>
        </w:rPr>
      </w:pPr>
    </w:p>
    <w:p>
      <w:pPr>
        <w:jc w:val="both"/>
        <w:ind w:firstLine="749"/>
        <w:spacing w:after="0" w:line="287" w:lineRule="exact"/>
        <w:rPr>
          <w:sz w:val="20"/>
          <w:szCs w:val="20"/>
          <w:color w:val="auto"/>
        </w:rPr>
      </w:pPr>
      <w:r>
        <w:rPr>
          <w:rFonts w:ascii="Times New Roman" w:cs="Times New Roman" w:eastAsia="Times New Roman" w:hAnsi="Times New Roman"/>
          <w:sz w:val="22"/>
          <w:szCs w:val="22"/>
          <w:i w:val="1"/>
          <w:iCs w:val="1"/>
          <w:color w:val="auto"/>
        </w:rPr>
        <w:t>“EU Bail</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 In Legislation Schedule” </w:t>
      </w:r>
      <w:r>
        <w:rPr>
          <w:rFonts w:ascii="Times New Roman" w:cs="Times New Roman" w:eastAsia="Times New Roman" w:hAnsi="Times New Roman"/>
          <w:sz w:val="22"/>
          <w:szCs w:val="22"/>
          <w:color w:val="auto"/>
        </w:rPr>
        <w:t>means the EU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Schedule published by the Loan Market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Association (or any successor Person), as in effect from time to time.</w:t>
      </w: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“Event of Default” </w:t>
      </w:r>
      <w:r>
        <w:rPr>
          <w:rFonts w:ascii="Times New Roman" w:cs="Times New Roman" w:eastAsia="Times New Roman" w:hAnsi="Times New Roman"/>
          <w:sz w:val="22"/>
          <w:szCs w:val="22"/>
          <w:color w:val="auto"/>
        </w:rPr>
        <w:t>has the meaning set forth in Section 10.01.</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“Excess Funding Guarantor” </w:t>
      </w:r>
      <w:r>
        <w:rPr>
          <w:rFonts w:ascii="Times New Roman" w:cs="Times New Roman" w:eastAsia="Times New Roman" w:hAnsi="Times New Roman"/>
          <w:sz w:val="22"/>
          <w:szCs w:val="22"/>
          <w:color w:val="auto"/>
        </w:rPr>
        <w:t>has the meaning set forth in Section 11.08.</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“Excess Payment” </w:t>
      </w:r>
      <w:r>
        <w:rPr>
          <w:rFonts w:ascii="Times New Roman" w:cs="Times New Roman" w:eastAsia="Times New Roman" w:hAnsi="Times New Roman"/>
          <w:sz w:val="22"/>
          <w:szCs w:val="22"/>
          <w:color w:val="auto"/>
        </w:rPr>
        <w:t>has the meaning set forth in Section 11.08.</w:t>
      </w:r>
    </w:p>
    <w:p>
      <w:pPr>
        <w:spacing w:after="0" w:line="24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“Exchange Act” </w:t>
      </w:r>
      <w:r>
        <w:rPr>
          <w:rFonts w:ascii="Times New Roman" w:cs="Times New Roman" w:eastAsia="Times New Roman" w:hAnsi="Times New Roman"/>
          <w:sz w:val="22"/>
          <w:szCs w:val="22"/>
          <w:color w:val="auto"/>
        </w:rPr>
        <w:t>means the Securities Exchange Act of 1934, as amended, and the rules and regulations promulgated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thereunder.</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“Excluded Accounts” </w:t>
      </w:r>
      <w:r>
        <w:rPr>
          <w:rFonts w:ascii="Times New Roman" w:cs="Times New Roman" w:eastAsia="Times New Roman" w:hAnsi="Times New Roman"/>
          <w:sz w:val="22"/>
          <w:szCs w:val="22"/>
          <w:color w:val="auto"/>
        </w:rPr>
        <w:t>means (a) Deposit Accounts exclusively used for payroll, payroll Taxes, other employee wage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benefit payments to or for the benefit of the employees of the Borrower and its Subsidiaries, (b) Deposit Accounts with aggregate balances of $250,000 or less at any time, (c) zero balance accounts, (d) any escrow account, trust account, or deposit account otherwise maintained solely for the benefit of third parties as cash collateral for obligations owing</w:t>
      </w:r>
    </w:p>
    <w:p>
      <w:pPr>
        <w:spacing w:after="0" w:line="317"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 such third parties or to establish or maintain escrow amounts for third-parties with aggregate balances of $100,000 or less at any time and (e) Segregated Health Care Accounts.</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“Excluded Taxes” </w:t>
      </w:r>
      <w:r>
        <w:rPr>
          <w:rFonts w:ascii="Times New Roman" w:cs="Times New Roman" w:eastAsia="Times New Roman" w:hAnsi="Times New Roman"/>
          <w:sz w:val="22"/>
          <w:szCs w:val="22"/>
          <w:color w:val="auto"/>
        </w:rPr>
        <w:t>means any of the following Taxes imposed on or with respect to a Recipient or required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 Lender, its applicable lending office located in, the jurisdiction imposing such Tax or (ii) that are Other Connection Taxes, (b) any U.S. federal withholding Taxes that are imposed on amounts payable to Lender to the extent that the obligation to withhold amounts existed on the date that (i) Lender became a “Lender” under this Agreement or (ii) Lender changes its lending office, except in each case to the extent Lender is a direct or indirect assignee of any other Lender that was entitled, at the time the assignment of such other Lender became effective, to receive additional amounts under Section 5.03 or Lender was entitled to receive additional amounts under Section 5.03 immediately before it changed its lending office, (c) any Taxes imposed in connection with FATCA, and (d) Taxes attributable to such Recipient’s failure to comply with Section 5.03(f).</w:t>
      </w:r>
    </w:p>
    <w:p>
      <w:pPr>
        <w:spacing w:after="0" w:line="21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“Executive Order” </w:t>
      </w:r>
      <w:r>
        <w:rPr>
          <w:rFonts w:ascii="Times New Roman" w:cs="Times New Roman" w:eastAsia="Times New Roman" w:hAnsi="Times New Roman"/>
          <w:sz w:val="22"/>
          <w:szCs w:val="22"/>
          <w:color w:val="auto"/>
        </w:rPr>
        <w:t>means the US Executive Order No. 13224 on Blocking Property and Prohibiting Transactions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Persons who commit, Threaten to Commit, or Support Terrorism.</w:t>
      </w:r>
    </w:p>
    <w:p>
      <w:pPr>
        <w:spacing w:after="0" w:line="19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Existing Credit Agreements</w:t>
      </w:r>
      <w:r>
        <w:rPr>
          <w:rFonts w:ascii="Times New Roman" w:cs="Times New Roman" w:eastAsia="Times New Roman" w:hAnsi="Times New Roman"/>
          <w:sz w:val="22"/>
          <w:szCs w:val="22"/>
          <w:color w:val="auto"/>
        </w:rPr>
        <w:t>” means (a) that certain Loan and Security Agreement, dated as of March 19, 2021, by and between Silicon Valley Bank and the Borrower and (b) that certain Securities Purchase Agreement, dated as of May 9, 2022, by and between the Borrower and Streeterville Capital, LLC, in each case, as may be amended, restated, amended and restated, supplemented or otherwise modified prior to the Funding Date.</w:t>
      </w:r>
    </w:p>
    <w:p>
      <w:pPr>
        <w:spacing w:after="0" w:line="19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“Expense Deposit” </w:t>
      </w:r>
      <w:r>
        <w:rPr>
          <w:rFonts w:ascii="Times New Roman" w:cs="Times New Roman" w:eastAsia="Times New Roman" w:hAnsi="Times New Roman"/>
          <w:sz w:val="22"/>
          <w:szCs w:val="22"/>
          <w:color w:val="auto"/>
        </w:rPr>
        <w:t>means a cash deposit in the amount of $50,000 made by the Borrower to an Affiliate of Perceptive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Advisors LLC pursuant to the Proposal Letter for the prepayment of the Lenders’ costs and expenses (payable pursuant to Section 13.03(a) and/or the Proposal Letter) incurred prior to the Closing Date.</w:t>
      </w:r>
    </w:p>
    <w:p>
      <w:pPr>
        <w:spacing w:after="0" w:line="20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“FATCA” </w:t>
      </w:r>
      <w:r>
        <w:rPr>
          <w:rFonts w:ascii="Times New Roman" w:cs="Times New Roman" w:eastAsia="Times New Roman" w:hAnsi="Times New Roman"/>
          <w:sz w:val="22"/>
          <w:szCs w:val="22"/>
          <w:color w:val="auto"/>
        </w:rPr>
        <w:t>means Sections 1471 through 1474 of the Code, as of the date of this Agreement (or any amended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21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“FD&amp;C Act” </w:t>
      </w:r>
      <w:r>
        <w:rPr>
          <w:rFonts w:ascii="Times New Roman" w:cs="Times New Roman" w:eastAsia="Times New Roman" w:hAnsi="Times New Roman"/>
          <w:sz w:val="22"/>
          <w:szCs w:val="22"/>
          <w:color w:val="auto"/>
        </w:rPr>
        <w:t>means the Federal Food, Drug and Cosmetic Act of 1938 (or any successor thereto), as amended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to time, and the rules and regulations issued or promulgated thereunder.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“FDA” </w:t>
      </w:r>
      <w:r>
        <w:rPr>
          <w:rFonts w:ascii="Times New Roman" w:cs="Times New Roman" w:eastAsia="Times New Roman" w:hAnsi="Times New Roman"/>
          <w:sz w:val="22"/>
          <w:szCs w:val="22"/>
          <w:color w:val="auto"/>
        </w:rPr>
        <w:t>means the U.S. Food and Drug Administration and any successor entity.</w:t>
      </w:r>
    </w:p>
    <w:p>
      <w:pPr>
        <w:spacing w:after="0" w:line="35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2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“FDA Laws” </w:t>
      </w:r>
      <w:r>
        <w:rPr>
          <w:rFonts w:ascii="Times New Roman" w:cs="Times New Roman" w:eastAsia="Times New Roman" w:hAnsi="Times New Roman"/>
          <w:sz w:val="22"/>
          <w:szCs w:val="22"/>
          <w:color w:val="auto"/>
        </w:rPr>
        <w:t>means all applicable statutes, rules, regulations and orders administered or issued by the FDA,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without limitation, the FD&amp;C Act and its implementing regulations.</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“Federal Health Care Program” </w:t>
      </w:r>
      <w:r>
        <w:rPr>
          <w:rFonts w:ascii="Times New Roman" w:cs="Times New Roman" w:eastAsia="Times New Roman" w:hAnsi="Times New Roman"/>
          <w:sz w:val="22"/>
          <w:szCs w:val="22"/>
          <w:color w:val="auto"/>
        </w:rPr>
        <w:t>has the meaning specified in Section 1128B(f) of the Social Security Act and includes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programs commonly known as Medicare, Medicaid, TRICARE and CHAMPVA.</w:t>
      </w:r>
    </w:p>
    <w:p>
      <w:pPr>
        <w:spacing w:after="0" w:line="19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Fee Letter”</w:t>
      </w:r>
      <w:r>
        <w:rPr>
          <w:rFonts w:ascii="Times New Roman" w:cs="Times New Roman" w:eastAsia="Times New Roman" w:hAnsi="Times New Roman"/>
          <w:sz w:val="22"/>
          <w:szCs w:val="22"/>
          <w:color w:val="auto"/>
        </w:rPr>
        <w:t xml:space="preserve"> means that certain Fee Letter, originally dated as of the Closing Date, among the Obligors, the Lenders and the Administrative Agent, as amended and restated on the First Amendment Effective Date, as amended and restated on the Second Amendment Effective Date, as amended and restated on the Third Amendment Effective Date, and as further amended and restated on the Fourth Amendment Effective Date.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 Effective Date</w:t>
      </w:r>
      <w:r>
        <w:rPr>
          <w:rFonts w:ascii="Times New Roman" w:cs="Times New Roman" w:eastAsia="Times New Roman" w:hAnsi="Times New Roman"/>
          <w:sz w:val="22"/>
          <w:szCs w:val="22"/>
          <w:color w:val="auto"/>
        </w:rPr>
        <w:t>” means February 28, 2025.</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Financial Plan</w:t>
      </w:r>
      <w:r>
        <w:rPr>
          <w:rFonts w:ascii="Times New Roman" w:cs="Times New Roman" w:eastAsia="Times New Roman" w:hAnsi="Times New Roman"/>
          <w:sz w:val="22"/>
          <w:szCs w:val="22"/>
          <w:color w:val="auto"/>
        </w:rPr>
        <w:t>” has the meaning set forth in Section 8.01(h).</w:t>
      </w:r>
    </w:p>
    <w:p>
      <w:pPr>
        <w:spacing w:after="0" w:line="24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First Amendment</w:t>
      </w:r>
      <w:r>
        <w:rPr>
          <w:rFonts w:ascii="Times New Roman" w:cs="Times New Roman" w:eastAsia="Times New Roman" w:hAnsi="Times New Roman"/>
          <w:sz w:val="22"/>
          <w:szCs w:val="22"/>
          <w:color w:val="auto"/>
        </w:rPr>
        <w:t>” means the First Amendment to Credit Agreement and Guaranty, dated as of May 10, 2023, among the Borrower, the Lenders and the Administrative Agent.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First Amendment Effective Date</w:t>
      </w:r>
      <w:r>
        <w:rPr>
          <w:rFonts w:ascii="Times New Roman" w:cs="Times New Roman" w:eastAsia="Times New Roman" w:hAnsi="Times New Roman"/>
          <w:sz w:val="22"/>
          <w:szCs w:val="22"/>
          <w:color w:val="auto"/>
        </w:rPr>
        <w:t>” means May 10, 2023.</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“Floor” </w:t>
      </w:r>
      <w:r>
        <w:rPr>
          <w:rFonts w:ascii="Times New Roman" w:cs="Times New Roman" w:eastAsia="Times New Roman" w:hAnsi="Times New Roman"/>
          <w:sz w:val="22"/>
          <w:szCs w:val="22"/>
          <w:color w:val="auto"/>
        </w:rPr>
        <w:t>means a rate of interest equal to 3.00%.</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“Foreign Lender” </w:t>
      </w:r>
      <w:r>
        <w:rPr>
          <w:rFonts w:ascii="Times New Roman" w:cs="Times New Roman" w:eastAsia="Times New Roman" w:hAnsi="Times New Roman"/>
          <w:sz w:val="22"/>
          <w:szCs w:val="22"/>
          <w:color w:val="auto"/>
        </w:rPr>
        <w:t>means a Lender that is not a U.S. Person.</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“Fourth Amendment Effective Date” </w:t>
      </w:r>
      <w:r>
        <w:rPr>
          <w:rFonts w:ascii="Times New Roman" w:cs="Times New Roman" w:eastAsia="Times New Roman" w:hAnsi="Times New Roman"/>
          <w:sz w:val="22"/>
          <w:szCs w:val="22"/>
          <w:color w:val="auto"/>
        </w:rPr>
        <w:t>means October 30, 2024.</w:t>
      </w:r>
    </w:p>
    <w:p>
      <w:pPr>
        <w:spacing w:after="0" w:line="23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“Funding Date” </w:t>
      </w:r>
      <w:r>
        <w:rPr>
          <w:rFonts w:ascii="Times New Roman" w:cs="Times New Roman" w:eastAsia="Times New Roman" w:hAnsi="Times New Roman"/>
          <w:sz w:val="22"/>
          <w:szCs w:val="22"/>
          <w:color w:val="auto"/>
        </w:rPr>
        <w:t>means the Business Day on which all of the conditions set forth in Section 6.02 have been satisfied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waived by the Administrative Agent and the Tranche A Loan is made.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Funding Fee</w:t>
      </w:r>
      <w:r>
        <w:rPr>
          <w:rFonts w:ascii="Times New Roman" w:cs="Times New Roman" w:eastAsia="Times New Roman" w:hAnsi="Times New Roman"/>
          <w:sz w:val="22"/>
          <w:szCs w:val="22"/>
          <w:color w:val="auto"/>
        </w:rPr>
        <w:t>” has the meaning set forth in the Fee Letter.</w:t>
      </w:r>
    </w:p>
    <w:p>
      <w:pPr>
        <w:spacing w:after="0" w:line="24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“GAAP” </w:t>
      </w:r>
      <w:r>
        <w:rPr>
          <w:rFonts w:ascii="Times New Roman" w:cs="Times New Roman" w:eastAsia="Times New Roman" w:hAnsi="Times New Roman"/>
          <w:sz w:val="22"/>
          <w:szCs w:val="22"/>
          <w:color w:val="auto"/>
        </w:rPr>
        <w:t>means generally accepted accounting principles in the United States of America, as in effect from time to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Subject to Section 1.02, all references to “GAAP” shall be to GAAP applied consistently with the principles used in the preparation of the financial statements described in Section 7.04(a).</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“Governmental Approval” </w:t>
      </w:r>
      <w:r>
        <w:rPr>
          <w:rFonts w:ascii="Times New Roman" w:cs="Times New Roman" w:eastAsia="Times New Roman" w:hAnsi="Times New Roman"/>
          <w:sz w:val="22"/>
          <w:szCs w:val="22"/>
          <w:color w:val="auto"/>
        </w:rPr>
        <w:t>means any consent, authorization, approval, order, license, franchise, permit, certification,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accreditation, registration, clearance, exemption, filing or notice that is issued or granted by or from (or pursuant to any act of) any Governmental Authority, including any application or submission related to any of the foregoing.</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21" w:lineRule="exact"/>
        <w:rPr>
          <w:sz w:val="20"/>
          <w:szCs w:val="20"/>
          <w:color w:val="auto"/>
        </w:rPr>
      </w:pPr>
    </w:p>
    <w:p>
      <w:pPr>
        <w:jc w:val="both"/>
        <w:ind w:firstLine="749"/>
        <w:spacing w:after="0" w:line="252" w:lineRule="exact"/>
        <w:rPr>
          <w:sz w:val="20"/>
          <w:szCs w:val="20"/>
          <w:color w:val="auto"/>
        </w:rPr>
      </w:pPr>
      <w:r>
        <w:rPr>
          <w:rFonts w:ascii="Times New Roman" w:cs="Times New Roman" w:eastAsia="Times New Roman" w:hAnsi="Times New Roman"/>
          <w:sz w:val="22"/>
          <w:szCs w:val="22"/>
          <w:i w:val="1"/>
          <w:iCs w:val="1"/>
          <w:color w:val="auto"/>
        </w:rPr>
        <w:t xml:space="preserve">“Governmental Authority” </w:t>
      </w:r>
      <w:r>
        <w:rPr>
          <w:rFonts w:ascii="Times New Roman" w:cs="Times New Roman" w:eastAsia="Times New Roman" w:hAnsi="Times New Roman"/>
          <w:sz w:val="22"/>
          <w:szCs w:val="22"/>
          <w:color w:val="auto"/>
        </w:rPr>
        <w:t>means any nation, government, branch of power (whether executive, legislative or judicial),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rule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or regulation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making organizations or entities of any State, territory, county, city or other political subdivision of the United States or any foreign country.</w:t>
      </w:r>
    </w:p>
    <w:p>
      <w:pPr>
        <w:spacing w:after="0" w:line="20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“Guarantee” </w:t>
      </w:r>
      <w:r>
        <w:rPr>
          <w:rFonts w:ascii="Times New Roman" w:cs="Times New Roman" w:eastAsia="Times New Roman" w:hAnsi="Times New Roman"/>
          <w:sz w:val="21"/>
          <w:szCs w:val="21"/>
          <w:color w:val="auto"/>
        </w:rPr>
        <w:t>of or by any Person (the</w:t>
      </w:r>
      <w:r>
        <w:rPr>
          <w:rFonts w:ascii="Times New Roman" w:cs="Times New Roman" w:eastAsia="Times New Roman" w:hAnsi="Times New Roman"/>
          <w:sz w:val="21"/>
          <w:szCs w:val="21"/>
          <w:i w:val="1"/>
          <w:iCs w:val="1"/>
          <w:color w:val="auto"/>
        </w:rPr>
        <w:t xml:space="preserve"> “guarantor”</w:t>
      </w:r>
      <w:r>
        <w:rPr>
          <w:rFonts w:ascii="Times New Roman" w:cs="Times New Roman" w:eastAsia="Times New Roman" w:hAnsi="Times New Roman"/>
          <w:sz w:val="21"/>
          <w:szCs w:val="21"/>
          <w:color w:val="auto"/>
        </w:rPr>
        <w:t>) means any obligation, contingent or otherwise, of the guarantor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guaranteeing or having the economic effect of guaranteeing any Indebtedness or other monetary obligation of any other Person (the </w:t>
      </w:r>
      <w:r>
        <w:rPr>
          <w:rFonts w:ascii="Times New Roman" w:cs="Times New Roman" w:eastAsia="Times New Roman" w:hAnsi="Times New Roman"/>
          <w:sz w:val="21"/>
          <w:szCs w:val="21"/>
          <w:i w:val="1"/>
          <w:iCs w:val="1"/>
          <w:color w:val="auto"/>
        </w:rPr>
        <w:t>“primary obligor”</w:t>
      </w:r>
      <w:r>
        <w:rPr>
          <w:rFonts w:ascii="Times New Roman" w:cs="Times New Roman" w:eastAsia="Times New Roman" w:hAnsi="Times New Roman"/>
          <w:sz w:val="21"/>
          <w:szCs w:val="21"/>
          <w:color w:val="auto"/>
        </w:rPr>
        <w:t xml:space="preserve">)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term Guarantee shall not include endorsements for collection or deposit in the Ordinary Course of Business.</w:t>
      </w:r>
    </w:p>
    <w:p>
      <w:pPr>
        <w:spacing w:after="0" w:line="21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“Guarantee Assumption Agreement” </w:t>
      </w:r>
      <w:r>
        <w:rPr>
          <w:rFonts w:ascii="Times New Roman" w:cs="Times New Roman" w:eastAsia="Times New Roman" w:hAnsi="Times New Roman"/>
          <w:sz w:val="22"/>
          <w:szCs w:val="22"/>
          <w:color w:val="auto"/>
        </w:rPr>
        <w:t>means a Guarantee Assumption Agreement substantially in the form of Exhibit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an entity that, pursuant to Section 8.11(a), is required to become a “Guarantor”.</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“Guaranteed Obligations” </w:t>
      </w:r>
      <w:r>
        <w:rPr>
          <w:rFonts w:ascii="Times New Roman" w:cs="Times New Roman" w:eastAsia="Times New Roman" w:hAnsi="Times New Roman"/>
          <w:sz w:val="22"/>
          <w:szCs w:val="22"/>
          <w:color w:val="auto"/>
        </w:rPr>
        <w:t>has the meaning set forth in Section 11.01.</w:t>
      </w:r>
    </w:p>
    <w:p>
      <w:pPr>
        <w:spacing w:after="0" w:line="23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“Guarantor” </w:t>
      </w:r>
      <w:r>
        <w:rPr>
          <w:rFonts w:ascii="Times New Roman" w:cs="Times New Roman" w:eastAsia="Times New Roman" w:hAnsi="Times New Roman"/>
          <w:sz w:val="22"/>
          <w:szCs w:val="22"/>
          <w:color w:val="auto"/>
        </w:rPr>
        <w:t>means, each Subsidiary of the Borrower joined as a Guarantor from time to time pursuant to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8.11(a). For the avoidance of doubt, there are no Guarantors as of the Closing Date and the Funding Date.</w:t>
      </w:r>
    </w:p>
    <w:p>
      <w:pPr>
        <w:spacing w:after="0" w:line="190" w:lineRule="exact"/>
        <w:rPr>
          <w:sz w:val="20"/>
          <w:szCs w:val="20"/>
          <w:color w:val="auto"/>
        </w:rPr>
      </w:pPr>
    </w:p>
    <w:p>
      <w:pPr>
        <w:jc w:val="both"/>
        <w:ind w:firstLine="749"/>
        <w:spacing w:after="0" w:line="258" w:lineRule="exact"/>
        <w:rPr>
          <w:sz w:val="20"/>
          <w:szCs w:val="20"/>
          <w:color w:val="auto"/>
        </w:rPr>
      </w:pPr>
      <w:r>
        <w:rPr>
          <w:rFonts w:ascii="Times New Roman" w:cs="Times New Roman" w:eastAsia="Times New Roman" w:hAnsi="Times New Roman"/>
          <w:sz w:val="22"/>
          <w:szCs w:val="22"/>
          <w:i w:val="1"/>
          <w:iCs w:val="1"/>
          <w:color w:val="auto"/>
        </w:rPr>
        <w:t xml:space="preserve">“Hazardous Material” </w:t>
      </w:r>
      <w:r>
        <w:rPr>
          <w:rFonts w:ascii="Times New Roman" w:cs="Times New Roman" w:eastAsia="Times New Roman" w:hAnsi="Times New Roman"/>
          <w:sz w:val="22"/>
          <w:szCs w:val="22"/>
          <w:color w:val="auto"/>
        </w:rPr>
        <w:t>means any substance, element, chemical, compound, product, solid, gas, liquid, waste,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“Health Care Compliance Program” </w:t>
      </w:r>
      <w:r>
        <w:rPr>
          <w:rFonts w:ascii="Times New Roman" w:cs="Times New Roman" w:eastAsia="Times New Roman" w:hAnsi="Times New Roman"/>
          <w:sz w:val="22"/>
          <w:szCs w:val="22"/>
          <w:color w:val="auto"/>
        </w:rPr>
        <w:t>has the meaning set forth in Section 7.07(b)(v).</w:t>
      </w:r>
    </w:p>
    <w:p>
      <w:pPr>
        <w:spacing w:after="0" w:line="23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“Healthcare Laws” </w:t>
      </w:r>
      <w:r>
        <w:rPr>
          <w:rFonts w:ascii="Times New Roman" w:cs="Times New Roman" w:eastAsia="Times New Roman" w:hAnsi="Times New Roman"/>
          <w:sz w:val="22"/>
          <w:szCs w:val="22"/>
          <w:color w:val="auto"/>
        </w:rPr>
        <w:t>means, collectively, all Laws applicable to the business of any Obligor regulating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manufacturing, sale, distribution, labeling, marketing, or promotion, the export, or the provision of and payment for, health care products (including diagnostic products) or healthcare items and services, including (a) all applicable laws relating to the privacy or security</w:t>
      </w:r>
    </w:p>
    <w:p>
      <w:pPr>
        <w:spacing w:after="0" w:line="317"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25" w:lineRule="exact"/>
        <w:rPr>
          <w:sz w:val="20"/>
          <w:szCs w:val="20"/>
          <w:color w:val="auto"/>
        </w:rPr>
      </w:pPr>
    </w:p>
    <w:p>
      <w:pPr>
        <w:jc w:val="both"/>
        <w:spacing w:after="0" w:line="253" w:lineRule="exact"/>
        <w:rPr>
          <w:sz w:val="20"/>
          <w:szCs w:val="20"/>
          <w:color w:val="auto"/>
        </w:rPr>
      </w:pPr>
      <w:r>
        <w:rPr>
          <w:rFonts w:ascii="Times New Roman" w:cs="Times New Roman" w:eastAsia="Times New Roman" w:hAnsi="Times New Roman"/>
          <w:sz w:val="22"/>
          <w:szCs w:val="22"/>
          <w:color w:val="auto"/>
        </w:rPr>
        <w:t>of consumer information, including but not limited to the Health Insurance Portability and Accountability Act of 1996 (Pub. L. No. 104</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191) (</w:t>
      </w:r>
      <w:r>
        <w:rPr>
          <w:rFonts w:ascii="Times New Roman" w:cs="Times New Roman" w:eastAsia="Times New Roman" w:hAnsi="Times New Roman"/>
          <w:sz w:val="22"/>
          <w:szCs w:val="22"/>
          <w:i w:val="1"/>
          <w:iCs w:val="1"/>
          <w:color w:val="auto"/>
        </w:rPr>
        <w:t>“HIPAA”</w:t>
      </w:r>
      <w:r>
        <w:rPr>
          <w:rFonts w:ascii="Times New Roman" w:cs="Times New Roman" w:eastAsia="Times New Roman" w:hAnsi="Times New Roman"/>
          <w:sz w:val="22"/>
          <w:szCs w:val="22"/>
          <w:color w:val="auto"/>
        </w:rPr>
        <w:t>) and any similar state laws; (b) all applicable federal and state healthcare fraud and abuse laws, including but not limited to the federal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Kickback Statute (42 U.S.C. §1320a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7b(b)) and any similar state laws, the Eliminating Kickbacks in Recovery Act (18 U.S.C. § 220), the federal Physician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Referral Prohibition (commonly referred to as the </w:t>
      </w:r>
      <w:r>
        <w:rPr>
          <w:rFonts w:ascii="Times New Roman" w:cs="Times New Roman" w:eastAsia="Times New Roman" w:hAnsi="Times New Roman"/>
          <w:sz w:val="22"/>
          <w:szCs w:val="22"/>
          <w:i w:val="1"/>
          <w:iCs w:val="1"/>
          <w:color w:val="auto"/>
        </w:rPr>
        <w:t>“Stark Law”</w:t>
      </w:r>
      <w:r>
        <w:rPr>
          <w:rFonts w:ascii="Times New Roman" w:cs="Times New Roman" w:eastAsia="Times New Roman" w:hAnsi="Times New Roman"/>
          <w:sz w:val="22"/>
          <w:szCs w:val="22"/>
          <w:color w:val="auto"/>
        </w:rPr>
        <w:t>) (42 U.S.C. § 1395nn) and any similar state laws, the Civil Monetary Penalties Act (42 U.S.C. §1320a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7a), and the civil False Claims Act (31 U.S.C. §3729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and any similar state laws); (c) all applicable FDA Laws; (d) CLIA and other applicable laws relating to clinical laboratory operations; (e) all applicable laws regarding the provision of health care supplies, items or services to Federal Health Care Program beneficiaries or the billing of the Federal Health Care Programs; and (f) all rules and regulations promulgated under or pursuant to any of the foregoing.</w:t>
      </w:r>
    </w:p>
    <w:p>
      <w:pPr>
        <w:spacing w:after="0" w:line="203" w:lineRule="exact"/>
        <w:rPr>
          <w:sz w:val="20"/>
          <w:szCs w:val="20"/>
          <w:color w:val="auto"/>
        </w:rPr>
      </w:pPr>
    </w:p>
    <w:p>
      <w:pPr>
        <w:jc w:val="both"/>
        <w:ind w:firstLine="81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“Hedging Agreement” </w:t>
      </w:r>
      <w:r>
        <w:rPr>
          <w:rFonts w:ascii="Times New Roman" w:cs="Times New Roman" w:eastAsia="Times New Roman" w:hAnsi="Times New Roman"/>
          <w:sz w:val="22"/>
          <w:szCs w:val="22"/>
          <w:color w:val="auto"/>
        </w:rPr>
        <w:t>means any interest rate exchange agreement, foreign currency exchange agreement, commodity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price protection agreement or other interest or currency exchange rate or commodity price hedging arrangement.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“HIPAA” </w:t>
      </w:r>
      <w:r>
        <w:rPr>
          <w:rFonts w:ascii="Times New Roman" w:cs="Times New Roman" w:eastAsia="Times New Roman" w:hAnsi="Times New Roman"/>
          <w:sz w:val="22"/>
          <w:szCs w:val="22"/>
          <w:color w:val="auto"/>
        </w:rPr>
        <w:t>has the meaning set forth in the definition of “Healthcare Laws”.</w:t>
      </w:r>
    </w:p>
    <w:p>
      <w:pPr>
        <w:spacing w:after="0" w:line="247"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i w:val="1"/>
          <w:iCs w:val="1"/>
          <w:color w:val="auto"/>
        </w:rPr>
        <w:t xml:space="preserve">“Indebtedness” </w:t>
      </w:r>
      <w:r>
        <w:rPr>
          <w:rFonts w:ascii="Times New Roman" w:cs="Times New Roman" w:eastAsia="Times New Roman" w:hAnsi="Times New Roman"/>
          <w:sz w:val="22"/>
          <w:szCs w:val="22"/>
          <w:color w:val="auto"/>
        </w:rPr>
        <w:t>of any Person means, without duplication, (a) all obligations of such Person for borrowed money, (b)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of such Person evidenced by bonds, debentures, notes, loan agreements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not overdue by more than one hundred twenty (120) days),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obligations under any Hedging Agreement, currency swaps, forwards, futures or derivatives transactions, (k) all obligations, contingent or otherwise, of such Person in respect of bankers’ acceptances, (l) any Disqualified Equity Interests of such Person, (m) any earnout obligation at the time such obligation is both required to be reflected as a liability on the balance sheet of such Person in accordance with GAAP and not paid after becoming due and payable and (n) all other obligations required to be classified as indebtedness of such Person under GAAP. The Indebtedness of any Person shall, without duplication,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“Indemnified Party” </w:t>
      </w:r>
      <w:r>
        <w:rPr>
          <w:rFonts w:ascii="Times New Roman" w:cs="Times New Roman" w:eastAsia="Times New Roman" w:hAnsi="Times New Roman"/>
          <w:sz w:val="22"/>
          <w:szCs w:val="22"/>
          <w:color w:val="auto"/>
        </w:rPr>
        <w:t>has the meaning set forth in Section 13.03(b).</w:t>
      </w:r>
    </w:p>
    <w:p>
      <w:pPr>
        <w:spacing w:after="0" w:line="35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2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“Indemnified Taxes” </w:t>
      </w:r>
      <w:r>
        <w:rPr>
          <w:rFonts w:ascii="Times New Roman" w:cs="Times New Roman" w:eastAsia="Times New Roman" w:hAnsi="Times New Roman"/>
          <w:sz w:val="22"/>
          <w:szCs w:val="22"/>
          <w:color w:val="auto"/>
        </w:rPr>
        <w:t>means (a) Taxes, other than Excluded Taxes, imposed on or with respect to any payment made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on account of any Obligation and (b) to the extent not otherwise described in clause (a), Other Taxes.</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Indi Purchase Agreement</w:t>
      </w:r>
      <w:r>
        <w:rPr>
          <w:rFonts w:ascii="Times New Roman" w:cs="Times New Roman" w:eastAsia="Times New Roman" w:hAnsi="Times New Roman"/>
          <w:sz w:val="22"/>
          <w:szCs w:val="22"/>
          <w:color w:val="auto"/>
        </w:rPr>
        <w:t>” means that certain Asset Purchase Agreement and Plan of Reorganization, dated as of June 30, 2018, by and among the Borrower, Integrated Diagnostics, Inc. and IND Funding LLC, as amended by that certain Amendment No. 1 to Asset Purchase Agreement and Plan of Reorganization dated as of July 29, 2021, that certain Amendment No. 2 to Asset Purchase Agreement and Plan of Reorganization dated as of August 9, 2021, that certain Amendment No. 3 to Asset Purchase Agreement and Plan of Reorganization dated as of April 7, 2022 and as may be further amended, amended and restated or otherwise modified to the extent permitted by Section 9.12.</w:t>
      </w:r>
    </w:p>
    <w:p>
      <w:pPr>
        <w:spacing w:after="0" w:line="21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Industrial Designs”</w:t>
      </w:r>
      <w:r>
        <w:rPr>
          <w:rFonts w:ascii="Times New Roman" w:cs="Times New Roman" w:eastAsia="Times New Roman" w:hAnsi="Times New Roman"/>
          <w:sz w:val="22"/>
          <w:szCs w:val="22"/>
          <w:color w:val="auto"/>
        </w:rPr>
        <w:t xml:space="preserve"> means all right, title and interests arising under any Laws in or relating to all industrial designs, intangibles of like nature, and any work subject to the design laws of any country or any political subdivision thereof.</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“Ineligible Assignee” </w:t>
      </w:r>
      <w:r>
        <w:rPr>
          <w:rFonts w:ascii="Times New Roman" w:cs="Times New Roman" w:eastAsia="Times New Roman" w:hAnsi="Times New Roman"/>
          <w:sz w:val="22"/>
          <w:szCs w:val="22"/>
          <w:color w:val="auto"/>
        </w:rPr>
        <w:t>means (a) a natural person, (b) the Obligors or any of their respective Affiliates and (c) so long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 Event of Default shall have occurred and is continuing, to any Person who is a Disqualified Lender.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“Information” </w:t>
      </w:r>
      <w:r>
        <w:rPr>
          <w:rFonts w:ascii="Times New Roman" w:cs="Times New Roman" w:eastAsia="Times New Roman" w:hAnsi="Times New Roman"/>
          <w:sz w:val="22"/>
          <w:szCs w:val="22"/>
          <w:color w:val="auto"/>
        </w:rPr>
        <w:t>has the meaning set forth in Section 13.17.</w:t>
      </w:r>
    </w:p>
    <w:p>
      <w:pPr>
        <w:spacing w:after="0" w:line="247" w:lineRule="exact"/>
        <w:rPr>
          <w:sz w:val="20"/>
          <w:szCs w:val="20"/>
          <w:color w:val="auto"/>
        </w:rPr>
      </w:pPr>
    </w:p>
    <w:p>
      <w:pPr>
        <w:jc w:val="both"/>
        <w:ind w:firstLine="749"/>
        <w:spacing w:after="0" w:line="255" w:lineRule="exact"/>
        <w:rPr>
          <w:sz w:val="20"/>
          <w:szCs w:val="20"/>
          <w:color w:val="auto"/>
        </w:rPr>
      </w:pPr>
      <w:r>
        <w:rPr>
          <w:rFonts w:ascii="Times New Roman" w:cs="Times New Roman" w:eastAsia="Times New Roman" w:hAnsi="Times New Roman"/>
          <w:sz w:val="22"/>
          <w:szCs w:val="22"/>
          <w:i w:val="1"/>
          <w:iCs w:val="1"/>
          <w:color w:val="auto"/>
        </w:rPr>
        <w:t xml:space="preserve">“Insolvency Proceeding” </w:t>
      </w:r>
      <w:r>
        <w:rPr>
          <w:rFonts w:ascii="Times New Roman" w:cs="Times New Roman" w:eastAsia="Times New Roman" w:hAnsi="Times New Roman"/>
          <w:sz w:val="22"/>
          <w:szCs w:val="22"/>
          <w:color w:val="auto"/>
        </w:rPr>
        <w:t>means (a) any case, action or proceeding before any court or other Governmental Authority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relating to bankruptcy, reorganization, insolvency, liquidation, receivership, dissolution, winding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up or relief of debtors, or (b) 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“Intellectual Property” </w:t>
      </w:r>
      <w:r>
        <w:rPr>
          <w:rFonts w:ascii="Times New Roman" w:cs="Times New Roman" w:eastAsia="Times New Roman" w:hAnsi="Times New Roman"/>
          <w:sz w:val="22"/>
          <w:szCs w:val="22"/>
          <w:color w:val="auto"/>
        </w:rPr>
        <w:t>means, with respect to any Person, all of such Person’s rights, title and interest in and to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Patents, Trademarks, Copyrights, industrial designs, Technical Information, whether registered or not and whether existing under U.S. or non-U.S. Law or jurisdiction, including, without limitation, all:</w:t>
      </w:r>
    </w:p>
    <w:p>
      <w:pPr>
        <w:spacing w:after="0" w:line="198" w:lineRule="exact"/>
        <w:rPr>
          <w:sz w:val="20"/>
          <w:szCs w:val="20"/>
          <w:color w:val="auto"/>
        </w:rPr>
      </w:pPr>
    </w:p>
    <w:p>
      <w:pPr>
        <w:ind w:left="2360" w:hanging="855"/>
        <w:spacing w:after="0"/>
        <w:tabs>
          <w:tab w:leader="none" w:pos="23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applications, registrations, amendments and extensions relating to such Intellectual Property;</w:t>
      </w:r>
    </w:p>
    <w:p>
      <w:pPr>
        <w:spacing w:after="0" w:line="246"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and privileges arising under any applicable Laws with respect to any Intellectual Property;</w:t>
      </w:r>
    </w:p>
    <w:p>
      <w:pPr>
        <w:spacing w:after="0" w:line="246" w:lineRule="exact"/>
        <w:rPr>
          <w:rFonts w:ascii="Times New Roman" w:cs="Times New Roman" w:eastAsia="Times New Roman" w:hAnsi="Times New Roman"/>
          <w:sz w:val="22"/>
          <w:szCs w:val="22"/>
          <w:color w:val="auto"/>
        </w:rPr>
      </w:pPr>
    </w:p>
    <w:p>
      <w:pPr>
        <w:ind w:left="760" w:right="160" w:firstLine="745"/>
        <w:spacing w:after="0" w:line="258" w:lineRule="auto"/>
        <w:tabs>
          <w:tab w:leader="none" w:pos="237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to sue for or collect any damages for any past, present or future infringements of any Intellectual Property; and</w:t>
      </w:r>
    </w:p>
    <w:p>
      <w:pPr>
        <w:spacing w:after="0" w:line="185"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37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of the same or similar effect or nature as described above in any jurisdiction corresponding to any Intellectual Property throughout the world.</w:t>
      </w:r>
    </w:p>
    <w:p>
      <w:pPr>
        <w:spacing w:after="0" w:line="29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2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“Interest Period” </w:t>
      </w:r>
      <w:r>
        <w:rPr>
          <w:rFonts w:ascii="Times New Roman" w:cs="Times New Roman" w:eastAsia="Times New Roman" w:hAnsi="Times New Roman"/>
          <w:sz w:val="21"/>
          <w:szCs w:val="21"/>
          <w:color w:val="auto"/>
        </w:rPr>
        <w:t>means, (a) as to the Tranche A Loan, (i) initially, the period beginning on (and including) the Funding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Date and ending on (and including) the last day of the calendar month in which the Funding Date occurs, and (ii) thereafter, the period beginning on (and including) the first day of each succeeding calendar month and ending on the earlier of (and including)</w:t>
      </w:r>
    </w:p>
    <w:p>
      <w:pPr>
        <w:spacing w:after="0" w:line="2" w:lineRule="exact"/>
        <w:rPr>
          <w:sz w:val="20"/>
          <w:szCs w:val="20"/>
          <w:color w:val="auto"/>
        </w:rPr>
      </w:pPr>
    </w:p>
    <w:p>
      <w:pPr>
        <w:jc w:val="both"/>
        <w:ind w:firstLine="8"/>
        <w:spacing w:after="0" w:line="241" w:lineRule="auto"/>
        <w:tabs>
          <w:tab w:leader="none" w:pos="32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last day of such calendar month and (y) the Maturity Date, (b) as to the Tranche B Loan, (i) the period commencing on (and including) the Tranche B Loan Borrowing Date and ending on (and including) the last day of the calendar month in which the Tranche B Loan Borrowing Date occurs, and (ii) thereafter, the period beginning on (and including) the first day of each succeeding calendar month and ending on the earlier of (and including) (x) the last day of such calendar month and (y) the Maturity Date and (c) as to the Tranche C Loan, (i) the period commencing on (and including) the Tranche C Loan Borrowing Date and ending on (and including) the last day of the calendar month in which the Tranche C Loan Borrowing Date occurs, and</w:t>
      </w:r>
    </w:p>
    <w:p>
      <w:pPr>
        <w:spacing w:after="0" w:line="3" w:lineRule="exact"/>
        <w:rPr>
          <w:rFonts w:ascii="Times New Roman" w:cs="Times New Roman" w:eastAsia="Times New Roman" w:hAnsi="Times New Roman"/>
          <w:sz w:val="21"/>
          <w:szCs w:val="21"/>
          <w:color w:val="auto"/>
        </w:rPr>
      </w:pPr>
    </w:p>
    <w:p>
      <w:pPr>
        <w:ind w:firstLine="8"/>
        <w:spacing w:after="0" w:line="237" w:lineRule="auto"/>
        <w:tabs>
          <w:tab w:leader="none" w:pos="32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the period beginning on (and including) the first day of each succeeding calendar month and ending on the earlier of (and including) (x) the last day of such calendar month and (y) the Maturity Date.</w:t>
      </w:r>
    </w:p>
    <w:p>
      <w:pPr>
        <w:spacing w:after="0" w:line="20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“Invention” </w:t>
      </w:r>
      <w:r>
        <w:rPr>
          <w:rFonts w:ascii="Times New Roman" w:cs="Times New Roman" w:eastAsia="Times New Roman" w:hAnsi="Times New Roman"/>
          <w:sz w:val="22"/>
          <w:szCs w:val="22"/>
          <w:color w:val="auto"/>
        </w:rPr>
        <w:t>means any novel, inventive or useful art, apparatus, method, process, machine (including any article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Device), manufacture or composition of matter, or any novel, inventive and useful improvement in any art, method, process, machine (including any article or Device), manufacture or composition of matter.</w:t>
      </w:r>
    </w:p>
    <w:p>
      <w:pPr>
        <w:spacing w:after="0" w:line="20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“Investment” </w:t>
      </w:r>
      <w:r>
        <w:rPr>
          <w:rFonts w:ascii="Times New Roman" w:cs="Times New Roman" w:eastAsia="Times New Roman" w:hAnsi="Times New Roman"/>
          <w:sz w:val="22"/>
          <w:szCs w:val="22"/>
          <w:color w:val="auto"/>
        </w:rPr>
        <w:t>means, for any Person: (a) the acquisition (whether for cash, Property, services or securities or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Equity Interests, bonds, notes, debentures, partnership or other ownership interests or other securities of any other Person (including any “short sale” or any sale of any securities at a time when such securities are not owned by the Person entering into such sale); (b) the making of any deposit with, or advance, loan, assumption of debt or other extension of credit to, any other Person (including the purchase of Property from another Person subject to an understanding or agreement, contingent or otherwise, to resell such Property to such Person), but excluding any such advance, loan or extension of credit in the nature of an ordinary course trade receivable having a term not exceeding one hundred and twenty (120) days arising in connection with the sale of services, inventory or supplies by such Person in the Ordinary Course of Business; (c) the entering into of any Guarantee of, or other contingent obligation with respect to, Indebtedness of any other Person and (without duplication) any amount committed to be advanced, lent or extended to such Person; (d) entering into any joint venture; or (e) the entering into of any Hedging Agreement. The amount of an Investment will be determined at the time the Investment is made without giving effect to any subsequent changes in value.</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“IRS” </w:t>
      </w:r>
      <w:r>
        <w:rPr>
          <w:rFonts w:ascii="Times New Roman" w:cs="Times New Roman" w:eastAsia="Times New Roman" w:hAnsi="Times New Roman"/>
          <w:sz w:val="22"/>
          <w:szCs w:val="22"/>
          <w:color w:val="auto"/>
        </w:rPr>
        <w:t>means the U.S. Internal Revenue Service or any successor agency, and to the extent relevant, the U.S. Department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Treasury.</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“Laws” </w:t>
      </w:r>
      <w:r>
        <w:rPr>
          <w:rFonts w:ascii="Times New Roman" w:cs="Times New Roman" w:eastAsia="Times New Roman" w:hAnsi="Times New Roman"/>
          <w:sz w:val="22"/>
          <w:szCs w:val="22"/>
          <w:color w:val="auto"/>
        </w:rPr>
        <w:t>means, collectively, all international, foreign, federal, state, provincial, territorial, municipal and local statutes,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w:t>
      </w:r>
    </w:p>
    <w:p>
      <w:pPr>
        <w:spacing w:after="0" w:line="317"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Permits of, and agreements with, any Governmental Authority, in each case whether or not having the force of law.</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“Lenders” </w:t>
      </w:r>
      <w:r>
        <w:rPr>
          <w:rFonts w:ascii="Times New Roman" w:cs="Times New Roman" w:eastAsia="Times New Roman" w:hAnsi="Times New Roman"/>
          <w:sz w:val="22"/>
          <w:szCs w:val="22"/>
          <w:color w:val="auto"/>
        </w:rPr>
        <w:t>has the meaning set forth in the introduction hereto.</w:t>
      </w:r>
    </w:p>
    <w:p>
      <w:pPr>
        <w:spacing w:after="0" w:line="247" w:lineRule="exact"/>
        <w:rPr>
          <w:sz w:val="20"/>
          <w:szCs w:val="20"/>
          <w:color w:val="auto"/>
        </w:rPr>
      </w:pPr>
    </w:p>
    <w:p>
      <w:pPr>
        <w:jc w:val="both"/>
        <w:ind w:firstLine="749"/>
        <w:spacing w:after="0" w:line="262" w:lineRule="exact"/>
        <w:rPr>
          <w:sz w:val="20"/>
          <w:szCs w:val="20"/>
          <w:color w:val="auto"/>
        </w:rPr>
      </w:pPr>
      <w:r>
        <w:rPr>
          <w:rFonts w:ascii="Times New Roman" w:cs="Times New Roman" w:eastAsia="Times New Roman" w:hAnsi="Times New Roman"/>
          <w:sz w:val="22"/>
          <w:szCs w:val="22"/>
          <w:i w:val="1"/>
          <w:iCs w:val="1"/>
          <w:color w:val="auto"/>
        </w:rPr>
        <w:t xml:space="preserve">“Lien” </w:t>
      </w:r>
      <w:r>
        <w:rPr>
          <w:rFonts w:ascii="Times New Roman" w:cs="Times New Roman" w:eastAsia="Times New Roman" w:hAnsi="Times New Roman"/>
          <w:sz w:val="22"/>
          <w:szCs w:val="22"/>
          <w:color w:val="auto"/>
        </w:rPr>
        <w:t>means any mortgage, lien, pledge, charge or other security interest, or any lease, title retention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mortgage, restriction, easement, right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way, option or adverse Claim (of ownership or possession) or other encumbrance of any kind or character whatsoever or any preferential arrangement that has the practical effect of creating a security interest.</w:t>
      </w:r>
    </w:p>
    <w:p>
      <w:pPr>
        <w:spacing w:after="0" w:line="21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“Loan Documents” </w:t>
      </w:r>
      <w:r>
        <w:rPr>
          <w:rFonts w:ascii="Times New Roman" w:cs="Times New Roman" w:eastAsia="Times New Roman" w:hAnsi="Times New Roman"/>
          <w:sz w:val="22"/>
          <w:szCs w:val="22"/>
          <w:color w:val="auto"/>
        </w:rPr>
        <w:t>means, collectively, this Agreement, any Notes, the Security Documents, any Collateral Access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the Fee Letter, any Guarantee Assumption Agreement, any Warrant Certificate and any subordination agreement, intercreditor agreement or other present or future document, instrument, agreement or certificate delivered to any Lender in connection with this Agreement or any of the other Loan Documents, in each case, as amended, restated, supplemented or otherwise modified.</w:t>
      </w:r>
    </w:p>
    <w:p>
      <w:pPr>
        <w:spacing w:after="0" w:line="20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“Loan Exposure” </w:t>
      </w:r>
      <w:r>
        <w:rPr>
          <w:rFonts w:ascii="Times New Roman" w:cs="Times New Roman" w:eastAsia="Times New Roman" w:hAnsi="Times New Roman"/>
          <w:sz w:val="22"/>
          <w:szCs w:val="22"/>
          <w:color w:val="auto"/>
        </w:rPr>
        <w:t>means, with respect to any Lender, as of any date of determination, the outstanding principal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such Lender’s portion of the Term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at any time prior to the making of the Term Loans, the Loan Exposure of any Lender shall be equal to such Lender’s Commitment.</w:t>
      </w:r>
    </w:p>
    <w:p>
      <w:pPr>
        <w:spacing w:after="0" w:line="20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“Loss” </w:t>
      </w:r>
      <w:r>
        <w:rPr>
          <w:rFonts w:ascii="Times New Roman" w:cs="Times New Roman" w:eastAsia="Times New Roman" w:hAnsi="Times New Roman"/>
          <w:sz w:val="22"/>
          <w:szCs w:val="22"/>
          <w:color w:val="auto"/>
        </w:rPr>
        <w:t>means judgments, debts, liabilities, expenses, costs, damages or losses, contingent or otherwise, whether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liquidated or unliquidated, matured or unmatured, disputed or undisputed, contractual, legal or equitable, including loss of value, reasonable professional fees, including the reasonable and documented out-of-pocket fees and disbursements of legal counsel on a full indemnity basis, and all reasonable costs incurred in investigating or pursuing any Claim or any proceeding relating to any Claim.</w:t>
      </w:r>
    </w:p>
    <w:p>
      <w:pPr>
        <w:spacing w:after="0" w:line="21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“Majority Lenders” </w:t>
      </w:r>
      <w:r>
        <w:rPr>
          <w:rFonts w:ascii="Times New Roman" w:cs="Times New Roman" w:eastAsia="Times New Roman" w:hAnsi="Times New Roman"/>
          <w:sz w:val="22"/>
          <w:szCs w:val="22"/>
          <w:color w:val="auto"/>
        </w:rPr>
        <w:t>means, at any time, one or more Lenders having or holding Loan Exposure and representing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than 50% of the aggregate Loan Exposure of all Lenders.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“Margin Stock” </w:t>
      </w:r>
      <w:r>
        <w:rPr>
          <w:rFonts w:ascii="Times New Roman" w:cs="Times New Roman" w:eastAsia="Times New Roman" w:hAnsi="Times New Roman"/>
          <w:sz w:val="22"/>
          <w:szCs w:val="22"/>
          <w:color w:val="auto"/>
        </w:rPr>
        <w:t>means “margin stock” within the meaning of Regulations U and X.</w:t>
      </w:r>
    </w:p>
    <w:p>
      <w:pPr>
        <w:spacing w:after="0" w:line="24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“Material Adverse Change”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“Material Adverse Effect” </w:t>
      </w:r>
      <w:r>
        <w:rPr>
          <w:rFonts w:ascii="Times New Roman" w:cs="Times New Roman" w:eastAsia="Times New Roman" w:hAnsi="Times New Roman"/>
          <w:sz w:val="22"/>
          <w:szCs w:val="22"/>
          <w:color w:val="auto"/>
        </w:rPr>
        <w:t>means (a) a material adverse change in, or a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adverse effect on, the operations, business, properties, liabilities (actual or contingent) or condition (financial or otherwise) of the Borrower and its Subsidiaries taken as a whole; or (b) a material adverse effect on (i) the ability of the Borrower to perform its Obligations when they become due, (ii) the legality, validity, binding effect or enforceability against the Borrower of any Loan Document to which it is a party or (iii) the rights, remedies and benefits available to, or conferred upon, the Administrative Agent or any Lender under any Loan Document.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“Material Agreement” </w:t>
      </w:r>
      <w:r>
        <w:rPr>
          <w:rFonts w:ascii="Times New Roman" w:cs="Times New Roman" w:eastAsia="Times New Roman" w:hAnsi="Times New Roman"/>
          <w:sz w:val="22"/>
          <w:szCs w:val="22"/>
          <w:color w:val="auto"/>
        </w:rPr>
        <w:t>means (a) any Contract which is listed in Schedule 7.14, (b) any other Contract to which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 is a party or a beneficiary from time to time, or to which any assets or properties of any Obligor is bound, the loss or termination of which would reasonably be</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1"/>
          <w:szCs w:val="21"/>
          <w:color w:val="auto"/>
        </w:rPr>
        <w:t>expected to result in a Material Adverse Effect, (c) the Indi Purchase Agreement and (d) any other Contract to which any Obligor is a party or a guarantor (or equivalent) whether existing as of the date hereof or in the future that during any period of twelve</w:t>
      </w:r>
    </w:p>
    <w:p>
      <w:pPr>
        <w:spacing w:after="0" w:line="1" w:lineRule="exact"/>
        <w:rPr>
          <w:sz w:val="20"/>
          <w:szCs w:val="20"/>
          <w:color w:val="auto"/>
        </w:rPr>
      </w:pPr>
    </w:p>
    <w:p>
      <w:pPr>
        <w:jc w:val="both"/>
        <w:ind w:firstLine="8"/>
        <w:spacing w:after="0" w:line="233" w:lineRule="auto"/>
        <w:tabs>
          <w:tab w:leader="none" w:pos="45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consecutive months is reasonably expected to (i) result in payments or receipts (including royalty, licensing or similar payments) made to any Obligor in an aggregate amount in excess of $2,000,000 or (ii) require payments or expenditures (including royalty, licensing or similar payments) made by any Obligor in an aggregate amount in excess of $2,000,000;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routine purchase orders entered into in the Ordinary Course of Business shall not be deemed to be Material Agreements.</w:t>
      </w:r>
    </w:p>
    <w:p>
      <w:pPr>
        <w:spacing w:after="0" w:line="20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“Material Indebtedness” </w:t>
      </w:r>
      <w:r>
        <w:rPr>
          <w:rFonts w:ascii="Times New Roman" w:cs="Times New Roman" w:eastAsia="Times New Roman" w:hAnsi="Times New Roman"/>
          <w:sz w:val="22"/>
          <w:szCs w:val="22"/>
          <w:color w:val="auto"/>
        </w:rPr>
        <w:t>means, at any time, any Indebtedness of any Obligor, the outstanding principal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individually or in the aggregate, exceeds $500,000.</w:t>
      </w:r>
    </w:p>
    <w:p>
      <w:pPr>
        <w:spacing w:after="0" w:line="19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“Material Intellectual Property” </w:t>
      </w:r>
      <w:r>
        <w:rPr>
          <w:rFonts w:ascii="Times New Roman" w:cs="Times New Roman" w:eastAsia="Times New Roman" w:hAnsi="Times New Roman"/>
          <w:sz w:val="22"/>
          <w:szCs w:val="22"/>
          <w:color w:val="auto"/>
        </w:rPr>
        <w:t>means all Obligor Intellectual Property, including those described in Schedule 7.05(b),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whether currently owned or licensed, or acquired, developed or otherwise licensed or obtained after the date hereof (a) necessary for the operation of the business of any Obligor as currently conducted or as currently contemplated to be conducted, (b) the loss of which would reasonably be expected to have or result in a Material Adverse Effect or (c) that has a fair market value in excess of $1,000,000 (as such fair market value is determined in the reasonable judgment of the Obligors).</w:t>
      </w:r>
    </w:p>
    <w:p>
      <w:pPr>
        <w:spacing w:after="0" w:line="21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“Maturity Date” </w:t>
      </w:r>
      <w:r>
        <w:rPr>
          <w:rFonts w:ascii="Times New Roman" w:cs="Times New Roman" w:eastAsia="Times New Roman" w:hAnsi="Times New Roman"/>
          <w:sz w:val="22"/>
          <w:szCs w:val="22"/>
          <w:color w:val="auto"/>
        </w:rPr>
        <w:t>means the earlier to occur of (a) the Stated Maturity Date, and (b) the date on which the Term Loans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accelerated pursuant to Section 10.02.</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Milestone Payment</w:t>
      </w:r>
      <w:r>
        <w:rPr>
          <w:rFonts w:ascii="Times New Roman" w:cs="Times New Roman" w:eastAsia="Times New Roman" w:hAnsi="Times New Roman"/>
          <w:sz w:val="22"/>
          <w:szCs w:val="22"/>
          <w:color w:val="auto"/>
        </w:rPr>
        <w:t>” has the meaning assigned to such term in Section 1.9 of the Indi Purchase Agreement as in effect on the Closing Date.</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“Multiemployer Plan” </w:t>
      </w:r>
      <w:r>
        <w:rPr>
          <w:rFonts w:ascii="Times New Roman" w:cs="Times New Roman" w:eastAsia="Times New Roman" w:hAnsi="Times New Roman"/>
          <w:sz w:val="22"/>
          <w:szCs w:val="22"/>
          <w:color w:val="auto"/>
        </w:rPr>
        <w:t>means any “multiemployer plan” as defined in Section 400l(a)(3) of ERISA, with respect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any Obligor incurs, or otherwise has, any obligation or liability, contingent or otherwise (including on account of an ERISA Affiliate).</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“Net Cash Proceeds” </w:t>
      </w:r>
      <w:r>
        <w:rPr>
          <w:rFonts w:ascii="Times New Roman" w:cs="Times New Roman" w:eastAsia="Times New Roman" w:hAnsi="Times New Roman"/>
          <w:sz w:val="22"/>
          <w:szCs w:val="22"/>
          <w:color w:val="auto"/>
        </w:rPr>
        <w:t>means,</w:t>
      </w:r>
    </w:p>
    <w:p>
      <w:pPr>
        <w:spacing w:after="0" w:line="237" w:lineRule="exact"/>
        <w:rPr>
          <w:sz w:val="20"/>
          <w:szCs w:val="20"/>
          <w:color w:val="auto"/>
        </w:rPr>
      </w:pPr>
    </w:p>
    <w:p>
      <w:pPr>
        <w:jc w:val="both"/>
        <w:ind w:left="760" w:firstLine="745"/>
        <w:spacing w:after="0" w:line="253" w:lineRule="auto"/>
        <w:tabs>
          <w:tab w:leader="none" w:pos="1941"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incurrence or issuance of any Indebtedness incurred by an Obligor not permitted under Section 9.01, the excess, if any, of (i) the sum of the cash received in connection with such incurrence or issuance over</w:t>
      </w:r>
    </w:p>
    <w:p>
      <w:pPr>
        <w:jc w:val="both"/>
        <w:ind w:left="760" w:hanging="3"/>
        <w:spacing w:after="0" w:line="234" w:lineRule="auto"/>
        <w:tabs>
          <w:tab w:leader="none" w:pos="110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banking fees, underwriting discounts, commissions, costs and other reasonable expenses and other customary expenses (including reasonable attorney’s accountant’s and other similar professional advisor’s fees), incurred by such obligor in connection with such incurrence or issuance to third parties (other than any other Obligor or any of their respective Affiliates);</w:t>
      </w:r>
    </w:p>
    <w:p>
      <w:pPr>
        <w:spacing w:after="0" w:line="217"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Casualty Event, the amount of cash proceeds actually received in the form of insurance proceeds or condemnation awards in respect of such Casualty Event from time to time by or on behalf of such Obligor after deducting therefrom</w:t>
      </w:r>
    </w:p>
    <w:p>
      <w:pPr>
        <w:spacing w:after="0" w:line="31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25"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only (i) actual costs and expenses related thereto incurred by such Obligor and (ii) Taxes paid or payable in each case, in connection therewith or as a result thereof; and</w:t>
      </w:r>
    </w:p>
    <w:p>
      <w:pPr>
        <w:spacing w:after="0" w:line="185" w:lineRule="exact"/>
        <w:rPr>
          <w:sz w:val="20"/>
          <w:szCs w:val="20"/>
          <w:color w:val="auto"/>
        </w:rPr>
      </w:pPr>
    </w:p>
    <w:p>
      <w:pPr>
        <w:jc w:val="both"/>
        <w:ind w:left="760" w:firstLine="745"/>
        <w:spacing w:after="0" w:line="247" w:lineRule="auto"/>
        <w:tabs>
          <w:tab w:leader="none" w:pos="2373"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Asset Sale (other than transfers or sales of assets permitted pursuant to Section 9.09 (other than 9.09(i)), the excess, if any, of (i) cash proceeds received in respect of such Asset Sale (including cash proceeds subsequently received (as and when received)) over (ii) the sum of (A) the direct costs of such Asset Sale then payable by the recipient of such proceeds excluding amounts payable to any Obligor or any of its Subsidiaries, (B) Taxes paid or payable by such recipient in connection therewith or as a result thereof, (C) amounts required to be applied to repay principal, interest and prepayment premiums and penalties on Indebtedness secured by a Permitted Lien on the properties subject to such Asset Sale and (D) amounts reserved or deposited in escrow with respect to indemnity payments or price adjustments until such amounts are released to the applicable Obligor or any of its Subsidiaries.</w:t>
      </w:r>
    </w:p>
    <w:p>
      <w:pPr>
        <w:spacing w:after="0" w:line="20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“Net Revenue” </w:t>
      </w:r>
      <w:r>
        <w:rPr>
          <w:rFonts w:ascii="Times New Roman" w:cs="Times New Roman" w:eastAsia="Times New Roman" w:hAnsi="Times New Roman"/>
          <w:sz w:val="22"/>
          <w:szCs w:val="22"/>
          <w:color w:val="auto"/>
        </w:rPr>
        <w:t>means, with respect to the Obligors, all amounts paid to and received by such Person in the Ordinary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Course of Business that, in accordance with GAAP, would be classified as net revenue.</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“Note” </w:t>
      </w:r>
      <w:r>
        <w:rPr>
          <w:rFonts w:ascii="Times New Roman" w:cs="Times New Roman" w:eastAsia="Times New Roman" w:hAnsi="Times New Roman"/>
          <w:sz w:val="22"/>
          <w:szCs w:val="22"/>
          <w:color w:val="auto"/>
        </w:rPr>
        <w:t>means a promissory note executed and delivered by the Borrower to any Lender in the form attached hereto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Exhibit C.</w:t>
      </w:r>
    </w:p>
    <w:p>
      <w:pPr>
        <w:spacing w:after="0" w:line="177"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2"/>
          <w:szCs w:val="22"/>
          <w:i w:val="1"/>
          <w:iCs w:val="1"/>
          <w:color w:val="auto"/>
        </w:rPr>
        <w:t xml:space="preserve">“Obligations” </w:t>
      </w:r>
      <w:r>
        <w:rPr>
          <w:rFonts w:ascii="Times New Roman" w:cs="Times New Roman" w:eastAsia="Times New Roman" w:hAnsi="Times New Roman"/>
          <w:sz w:val="22"/>
          <w:szCs w:val="22"/>
          <w:color w:val="auto"/>
        </w:rPr>
        <w:t>means, with respect to any Obligor, all amounts, obligations (including, without limitation, all Warrant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liabilities, covenants and duties of every type and description owing by such Obligor to any Lender or any other Indemnified Party hereunder,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for the payment of money, including, without duplication, (a) the principal amount of the Term Loans, (b) all interest on the Term Loans (including interest at the Default Rate), whether or not accruing after the filing of any petition in bankruptcy or after the commencement of any insolvency, reorganization or similar proceeding, and whether or not a Claim for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filing or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petition interest is allowed in any such proceeding, (c) any Prepayment Premium and (d) all other fees, expenses (including fees, charges and disbursement of counsel), interest, commissions, charges, costs, disbursements, indemnities and reimbursement of amounts paid and other sums chargeable to such Obligor under any Loan Document.</w:t>
      </w:r>
    </w:p>
    <w:p>
      <w:pPr>
        <w:spacing w:after="0" w:line="21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“Obligor Intellectual Property” </w:t>
      </w:r>
      <w:r>
        <w:rPr>
          <w:rFonts w:ascii="Times New Roman" w:cs="Times New Roman" w:eastAsia="Times New Roman" w:hAnsi="Times New Roman"/>
          <w:sz w:val="22"/>
          <w:szCs w:val="22"/>
          <w:color w:val="auto"/>
        </w:rPr>
        <w:t>means, at any time of determination, Intellectual Property owned by or licensed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 at such time.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“Obligors” </w:t>
      </w:r>
      <w:r>
        <w:rPr>
          <w:rFonts w:ascii="Times New Roman" w:cs="Times New Roman" w:eastAsia="Times New Roman" w:hAnsi="Times New Roman"/>
          <w:sz w:val="22"/>
          <w:szCs w:val="22"/>
          <w:color w:val="auto"/>
        </w:rPr>
        <w:t>means, collectively, the Borrower, each Guarantor and each of their respective successors and permitted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i w:val="1"/>
          <w:iCs w:val="1"/>
          <w:color w:val="auto"/>
        </w:rPr>
        <w:t xml:space="preserve">“OFAC” </w:t>
      </w:r>
      <w:r>
        <w:rPr>
          <w:rFonts w:ascii="Times New Roman" w:cs="Times New Roman" w:eastAsia="Times New Roman" w:hAnsi="Times New Roman"/>
          <w:sz w:val="21"/>
          <w:szCs w:val="21"/>
          <w:color w:val="auto"/>
        </w:rPr>
        <w:t>means the Office of Foreign Assets Control of the U.S. Department of the Treasury (or any successor thereto).</w:t>
      </w:r>
    </w:p>
    <w:p>
      <w:pPr>
        <w:spacing w:after="0" w:line="363"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2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“Ordinary Course of Business” </w:t>
      </w:r>
      <w:r>
        <w:rPr>
          <w:rFonts w:ascii="Times New Roman" w:cs="Times New Roman" w:eastAsia="Times New Roman" w:hAnsi="Times New Roman"/>
          <w:sz w:val="22"/>
          <w:szCs w:val="22"/>
          <w:color w:val="auto"/>
        </w:rPr>
        <w:t>means, with respect to the Obligors, the ordinary course of business generally consistent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past custom and practice (including with respect to nature, scope, magnitude, quantity and frequency).</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“Organizational Documents” </w:t>
      </w:r>
      <w:r>
        <w:rPr>
          <w:rFonts w:ascii="Times New Roman" w:cs="Times New Roman" w:eastAsia="Times New Roman" w:hAnsi="Times New Roman"/>
          <w:sz w:val="22"/>
          <w:szCs w:val="22"/>
          <w:color w:val="auto"/>
        </w:rPr>
        <w:t>means (a) with respect to any corporation, its certificate or articles of incorporation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organization, as amended, and its bylaws, as amended, (b) with respect to any limited partnership, its certificate of limited partnership, as amended, and its partnership agreement, as amended, (c) with respect to any general partnership, its partnership agreement, as amended, and (d) with respect to any limited liability company, its certificate of formation or articles of organization, as amended, and its operating agreement, as amended. In the event any term or condition of this Agreement or any other Loan Document requires any Organizational Document to be certified by a secretary of state or similar government official, the reference to any such “Organizational Document” shall only be to a document of a type customarily certified by such government official.</w:t>
      </w:r>
    </w:p>
    <w:p>
      <w:pPr>
        <w:spacing w:after="0" w:line="21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“Other Connection Taxes” </w:t>
      </w:r>
      <w:r>
        <w:rPr>
          <w:rFonts w:ascii="Times New Roman" w:cs="Times New Roman" w:eastAsia="Times New Roman" w:hAnsi="Times New Roman"/>
          <w:sz w:val="22"/>
          <w:szCs w:val="22"/>
          <w:color w:val="auto"/>
        </w:rPr>
        <w:t>means, with respect to any Recipient, Taxes imposed as a result of a present or former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spacing w:after="0" w:line="21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i w:val="1"/>
          <w:iCs w:val="1"/>
          <w:color w:val="auto"/>
        </w:rPr>
        <w:t xml:space="preserve">“Other Taxes” </w:t>
      </w:r>
      <w:r>
        <w:rPr>
          <w:rFonts w:ascii="Times New Roman" w:cs="Times New Roman" w:eastAsia="Times New Roman" w:hAnsi="Times New Roman"/>
          <w:sz w:val="21"/>
          <w:szCs w:val="21"/>
          <w:color w:val="auto"/>
        </w:rPr>
        <w:t>means all present or future stamp, court or documentary, intangible, recording, filing or similar Taxes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5.03(h)).</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“Participant” </w:t>
      </w:r>
      <w:r>
        <w:rPr>
          <w:rFonts w:ascii="Times New Roman" w:cs="Times New Roman" w:eastAsia="Times New Roman" w:hAnsi="Times New Roman"/>
          <w:sz w:val="22"/>
          <w:szCs w:val="22"/>
          <w:color w:val="auto"/>
        </w:rPr>
        <w:t>has the meaning set forth in Section 13.05(e).</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“Participant Register” </w:t>
      </w:r>
      <w:r>
        <w:rPr>
          <w:rFonts w:ascii="Times New Roman" w:cs="Times New Roman" w:eastAsia="Times New Roman" w:hAnsi="Times New Roman"/>
          <w:sz w:val="22"/>
          <w:szCs w:val="22"/>
          <w:color w:val="auto"/>
        </w:rPr>
        <w:t>has the meaning set forth in Section 13.05(f).</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“Patents” </w:t>
      </w:r>
      <w:r>
        <w:rPr>
          <w:rFonts w:ascii="Times New Roman" w:cs="Times New Roman" w:eastAsia="Times New Roman" w:hAnsi="Times New Roman"/>
          <w:sz w:val="22"/>
          <w:szCs w:val="22"/>
          <w:color w:val="auto"/>
        </w:rPr>
        <w:t>has the meaning set forth in the Security Documents.</w:t>
      </w:r>
    </w:p>
    <w:p>
      <w:pPr>
        <w:spacing w:after="0" w:line="23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“Payment Date” </w:t>
      </w:r>
      <w:r>
        <w:rPr>
          <w:rFonts w:ascii="Times New Roman" w:cs="Times New Roman" w:eastAsia="Times New Roman" w:hAnsi="Times New Roman"/>
          <w:sz w:val="22"/>
          <w:szCs w:val="22"/>
          <w:color w:val="auto"/>
        </w:rPr>
        <w:t>means the last day of each Interest Period;</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that if such last day of such Interest Period is not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Day, then the Payment Date for such Interest Period will be the next succeeding Business Day.</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“PBGC” </w:t>
      </w:r>
      <w:r>
        <w:rPr>
          <w:rFonts w:ascii="Times New Roman" w:cs="Times New Roman" w:eastAsia="Times New Roman" w:hAnsi="Times New Roman"/>
          <w:sz w:val="22"/>
          <w:szCs w:val="22"/>
          <w:color w:val="auto"/>
        </w:rPr>
        <w:t>means the United States Pension Benefit Guaranty Corporation referred to and defined in ERISA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successor entity performing similar functions.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Perceptive</w:t>
      </w:r>
      <w:r>
        <w:rPr>
          <w:rFonts w:ascii="Times New Roman" w:cs="Times New Roman" w:eastAsia="Times New Roman" w:hAnsi="Times New Roman"/>
          <w:sz w:val="22"/>
          <w:szCs w:val="22"/>
          <w:color w:val="auto"/>
        </w:rPr>
        <w:t>” has the meaning set forth in the introduction hereto.</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“Periodic Term SOFR Determination Day” </w:t>
      </w:r>
      <w:r>
        <w:rPr>
          <w:rFonts w:ascii="Times New Roman" w:cs="Times New Roman" w:eastAsia="Times New Roman" w:hAnsi="Times New Roman"/>
          <w:sz w:val="22"/>
          <w:szCs w:val="22"/>
          <w:color w:val="auto"/>
        </w:rPr>
        <w:t>has the meaning specified in the definition of “Term SOFR.”</w:t>
      </w:r>
    </w:p>
    <w:p>
      <w:pPr>
        <w:spacing w:after="0" w:line="35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2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“Permits” </w:t>
      </w:r>
      <w:r>
        <w:rPr>
          <w:rFonts w:ascii="Times New Roman" w:cs="Times New Roman" w:eastAsia="Times New Roman" w:hAnsi="Times New Roman"/>
          <w:sz w:val="22"/>
          <w:szCs w:val="22"/>
          <w:color w:val="auto"/>
        </w:rPr>
        <w:t>means all permits, licenses, registrations, certificates, orders, approvals, authorizations, consents, waivers,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franchises, variances and similar rights issued by or obtained from any Governmental Authority or accreditation organization approved by a Governmental Authority, including, without limitation, those issued pursuant to Environmental Laws and Healthcare Laws.</w:t>
      </w:r>
    </w:p>
    <w:p>
      <w:pPr>
        <w:spacing w:after="0" w:line="19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“Permitted Acquisition” </w:t>
      </w:r>
      <w:r>
        <w:rPr>
          <w:rFonts w:ascii="Times New Roman" w:cs="Times New Roman" w:eastAsia="Times New Roman" w:hAnsi="Times New Roman"/>
          <w:sz w:val="22"/>
          <w:szCs w:val="22"/>
          <w:color w:val="auto"/>
        </w:rPr>
        <w:t>means any Acquisition by any Obligor or any of their wholly-owned Subsidiaries,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 merger, amalgamation, plan of arrangement, license or otherwise, of all or substantially all of the assets of, all of the Equity Interests of, or a business line or unit or a division of, any Person or (b) license arrangement for the rights to use, develop, market or otherwise commercialize any Patents, Trademarks, Copyrights or other Intellectual Property (other than ordinary course, off-the-shelf or over the counter software license arrangements);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262" w:lineRule="exact"/>
        <w:rPr>
          <w:sz w:val="20"/>
          <w:szCs w:val="20"/>
          <w:color w:val="auto"/>
        </w:rPr>
      </w:pPr>
    </w:p>
    <w:p>
      <w:pPr>
        <w:ind w:left="1500" w:right="100" w:firstLine="754"/>
        <w:spacing w:after="0" w:line="258" w:lineRule="auto"/>
        <w:tabs>
          <w:tab w:leader="none" w:pos="311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and immediately after giving effect thereto, no Default or Event of Default shall have occurred and be continuing or would result therefrom;</w:t>
      </w:r>
    </w:p>
    <w:p>
      <w:pPr>
        <w:spacing w:after="0" w:line="225" w:lineRule="exact"/>
        <w:rPr>
          <w:rFonts w:ascii="Times New Roman" w:cs="Times New Roman" w:eastAsia="Times New Roman" w:hAnsi="Times New Roman"/>
          <w:sz w:val="22"/>
          <w:szCs w:val="22"/>
          <w:color w:val="auto"/>
        </w:rPr>
      </w:pPr>
    </w:p>
    <w:p>
      <w:pPr>
        <w:ind w:left="1500" w:firstLine="754"/>
        <w:spacing w:after="0" w:line="244" w:lineRule="auto"/>
        <w:tabs>
          <w:tab w:leader="none" w:pos="311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transactions in connection therewith shall be consummated, in all material respects, in accordance with all applicable Laws and in conformity in all material respects with all applicable Governmental Approvals;</w:t>
      </w:r>
    </w:p>
    <w:p>
      <w:pPr>
        <w:spacing w:after="0" w:line="240" w:lineRule="exact"/>
        <w:rPr>
          <w:rFonts w:ascii="Times New Roman" w:cs="Times New Roman" w:eastAsia="Times New Roman" w:hAnsi="Times New Roman"/>
          <w:sz w:val="22"/>
          <w:szCs w:val="22"/>
          <w:color w:val="auto"/>
        </w:rPr>
      </w:pPr>
    </w:p>
    <w:p>
      <w:pPr>
        <w:jc w:val="both"/>
        <w:ind w:left="1500" w:firstLine="754"/>
        <w:spacing w:after="0" w:line="236" w:lineRule="auto"/>
        <w:tabs>
          <w:tab w:leader="none" w:pos="311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Acquisition of all of the Equity Interests of such Person, all of the Equity Interests (except for any such securities in the nature of directors’ qualifying shares required pursuant to applicable Law) acquired, or otherwise issued by such Person or any newly formed Subsidiary of such Obligor in connection with such Acquisition, shall be owned 100% by an Obligor and Borrower shall have taken, or caused to be taken, as of the date such Person becomes a Subsidiary of an Obligor, each of the actions set forth in Section 8.11, if applicable;</w:t>
      </w:r>
    </w:p>
    <w:p>
      <w:pPr>
        <w:spacing w:after="0" w:line="262" w:lineRule="exact"/>
        <w:rPr>
          <w:rFonts w:ascii="Times New Roman" w:cs="Times New Roman" w:eastAsia="Times New Roman" w:hAnsi="Times New Roman"/>
          <w:sz w:val="22"/>
          <w:szCs w:val="22"/>
          <w:color w:val="auto"/>
        </w:rPr>
      </w:pPr>
    </w:p>
    <w:p>
      <w:pPr>
        <w:ind w:left="1500" w:firstLine="754"/>
        <w:spacing w:after="0" w:line="239" w:lineRule="auto"/>
        <w:tabs>
          <w:tab w:leader="none" w:pos="311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(in the case of an Acquisition of Equity Interests) or assets (in the case of an Acquisition of assets or a division) (A) shall be engaged or used, as the case may be, in the same business or lines of business in which Borrower and/or its Subsidiaries are engaged or a business reasonably and substantially related thereto or (B) shall have a similar customer base as Borrower and/or its Subsidiaries;</w:t>
      </w:r>
    </w:p>
    <w:p>
      <w:pPr>
        <w:spacing w:after="0" w:line="247"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311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have provided the Administrative Agent with at least ten (10) Business Days’ prior written notice of any such Acquisition, together with summaries, prepared in reasonable detail, of all due diligence</w:t>
      </w:r>
    </w:p>
    <w:p>
      <w:pPr>
        <w:spacing w:after="0" w:line="31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5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conducted by or on behalf of Borrower or the applicable Subsidiary prior to such Acquisition;</w:t>
      </w:r>
    </w:p>
    <w:p>
      <w:pPr>
        <w:spacing w:after="0" w:line="287" w:lineRule="exact"/>
        <w:rPr>
          <w:sz w:val="20"/>
          <w:szCs w:val="20"/>
          <w:color w:val="auto"/>
        </w:rPr>
      </w:pPr>
    </w:p>
    <w:p>
      <w:pPr>
        <w:ind w:left="1500" w:right="160" w:firstLine="754"/>
        <w:spacing w:after="0" w:line="258" w:lineRule="auto"/>
        <w:tabs>
          <w:tab w:leader="none" w:pos="322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shall have been approved by the Board or other governing body or controlling Person of the Person acquired or the Person from whom such assets or division is acquired;</w:t>
      </w:r>
    </w:p>
    <w:p>
      <w:pPr>
        <w:spacing w:after="0" w:line="225"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assets or Equity Interests acquired in connection with such Acquisition shall be of a U.S.</w:t>
      </w:r>
    </w:p>
    <w:p>
      <w:pPr>
        <w:spacing w:after="0" w:line="25" w:lineRule="exact"/>
        <w:rPr>
          <w:rFonts w:ascii="Times New Roman" w:cs="Times New Roman" w:eastAsia="Times New Roman" w:hAnsi="Times New Roman"/>
          <w:sz w:val="21"/>
          <w:szCs w:val="21"/>
          <w:color w:val="auto"/>
        </w:rPr>
      </w:pPr>
    </w:p>
    <w:p>
      <w:pPr>
        <w:ind w:left="1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Person; and</w:t>
      </w:r>
    </w:p>
    <w:p>
      <w:pPr>
        <w:spacing w:after="0" w:line="245" w:lineRule="exact"/>
        <w:rPr>
          <w:rFonts w:ascii="Times New Roman" w:cs="Times New Roman" w:eastAsia="Times New Roman" w:hAnsi="Times New Roman"/>
          <w:sz w:val="21"/>
          <w:szCs w:val="21"/>
          <w:color w:val="auto"/>
        </w:rPr>
      </w:pPr>
    </w:p>
    <w:p>
      <w:pPr>
        <w:ind w:left="1500" w:firstLine="754"/>
        <w:spacing w:after="0" w:line="262" w:lineRule="auto"/>
        <w:tabs>
          <w:tab w:leader="none" w:pos="311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after giving effect to such Acquisition, the Obligors shall be in compliance with Section 8.15.</w:t>
      </w:r>
    </w:p>
    <w:p>
      <w:pPr>
        <w:spacing w:after="0" w:line="19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“Permitted Cash Equivalent Investments” </w:t>
      </w:r>
      <w:r>
        <w:rPr>
          <w:rFonts w:ascii="Times New Roman" w:cs="Times New Roman" w:eastAsia="Times New Roman" w:hAnsi="Times New Roman"/>
          <w:sz w:val="22"/>
          <w:szCs w:val="22"/>
          <w:color w:val="auto"/>
        </w:rPr>
        <w:t>means (a) marketable direct obligations issued or unconditionally guaranteed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United States or any agency or any state thereof, or by an instrumentality or agency of them with an equivalent credit rating having maturities of not more than two (2) years from the date of acquisition, (b) commercial paper with an average maturity of no more than one (1) year and having the highest rating from either Standard &amp; Poor’s Ratings Group or Moody’s Investors Service, Inc., (c) any money market funds or other investment vehicles whose principal investments are in investments described in clauses (a) or (b) above, (d) certificates of deposit maturing no more than one (1) year after issue, and (e) other similar Investments permitted by the Borrower’s investment policy delivered to the Administrative Agent prior to the Closing Date, as amended from time to time, so long as such investment policy and any such amounts have been approved by the Administrative Agent in advance in its sole discretion.</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“Permitted Indebtedness” </w:t>
      </w:r>
      <w:r>
        <w:rPr>
          <w:rFonts w:ascii="Times New Roman" w:cs="Times New Roman" w:eastAsia="Times New Roman" w:hAnsi="Times New Roman"/>
          <w:sz w:val="22"/>
          <w:szCs w:val="22"/>
          <w:color w:val="auto"/>
        </w:rPr>
        <w:t>means any Indebtedness permitted under Section 9.01.</w:t>
      </w:r>
    </w:p>
    <w:p>
      <w:pPr>
        <w:spacing w:after="0" w:line="23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“Permitted Licenses” </w:t>
      </w:r>
      <w:r>
        <w:rPr>
          <w:rFonts w:ascii="Times New Roman" w:cs="Times New Roman" w:eastAsia="Times New Roman" w:hAnsi="Times New Roman"/>
          <w:sz w:val="21"/>
          <w:szCs w:val="21"/>
          <w:color w:val="auto"/>
        </w:rPr>
        <w:t>means (a)(i) licenses of off-the-shelf or over-the-counter or open-source software that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commercially available to the public, (ii) inbound licenses for the use of any Patents, Trademarks, Copyrights, Industrial Designs and Technical Information of any third party, (iii) non-exclusive licenses for the use of Obligor Intellectual Property and (iv) immaterial Intellectual Property licensed to Borrower or any of its Subsidiaries, in each case, entered into in the Ordinary Course of Business or as otherwise may be approved by the applicable Obligor’s Board and so long as such license does not materially impair the Lenders from exercising their rights under any of the Loan Documents and (b) the Caprion License.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“Permitted Liens” </w:t>
      </w:r>
      <w:r>
        <w:rPr>
          <w:rFonts w:ascii="Times New Roman" w:cs="Times New Roman" w:eastAsia="Times New Roman" w:hAnsi="Times New Roman"/>
          <w:sz w:val="22"/>
          <w:szCs w:val="22"/>
          <w:color w:val="auto"/>
        </w:rPr>
        <w:t>means any Liens permitted under Section 9.02.</w:t>
      </w:r>
    </w:p>
    <w:p>
      <w:pPr>
        <w:spacing w:after="0" w:line="24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“Permitted Refinancing” </w:t>
      </w:r>
      <w:r>
        <w:rPr>
          <w:rFonts w:ascii="Times New Roman" w:cs="Times New Roman" w:eastAsia="Times New Roman" w:hAnsi="Times New Roman"/>
          <w:sz w:val="22"/>
          <w:szCs w:val="22"/>
          <w:color w:val="auto"/>
        </w:rPr>
        <w:t>means, with respect to any Indebtedness permitted to be refinanced, extended, renewed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replaced hereunder, any refinancings, extensions, renewals and replacements of such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refinancing, extension, renewal or replacement shall not (a) increase the outstanding principal amount of the Indebtedness being refinanced, extended, renewed or replaced (except in the amount of accrued interest, reasonable and documented upfront and other fees and transaction costs), (b) contain terms relating to</w:t>
      </w:r>
    </w:p>
    <w:p>
      <w:pPr>
        <w:spacing w:after="0" w:line="32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outstanding principal amount, amortization, interest rate or equivalent yield, maturity, collateral security (if any) or subordination (if any), or other material terms that, taken as a whole, are less favorable in any material respect to any Obligor or the Lenders than the terms of any agreement or instrument governing the Indebtedness being refinanced, (c) contain any new requirement to grant any Lien or to give any Guarantee that was not an existing requirement of the Indebtedness being refinanced and (d) at the time of and immediately after giving effect to the refinancing, extension, renewal or replacement, no Default shall have occurred and be continuing.</w:t>
      </w:r>
    </w:p>
    <w:p>
      <w:pPr>
        <w:spacing w:after="0" w:line="20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“Person” </w:t>
      </w:r>
      <w:r>
        <w:rPr>
          <w:rFonts w:ascii="Times New Roman" w:cs="Times New Roman" w:eastAsia="Times New Roman" w:hAnsi="Times New Roman"/>
          <w:sz w:val="22"/>
          <w:szCs w:val="22"/>
          <w:color w:val="auto"/>
        </w:rPr>
        <w:t>means any individual, corporation, company, voluntary association, partnership, limited liability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joint venture, trust, unincorporated organization or Governmental Authority or other entity of whatever nature.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“PFIC” </w:t>
      </w:r>
      <w:r>
        <w:rPr>
          <w:rFonts w:ascii="Times New Roman" w:cs="Times New Roman" w:eastAsia="Times New Roman" w:hAnsi="Times New Roman"/>
          <w:sz w:val="22"/>
          <w:szCs w:val="22"/>
          <w:color w:val="auto"/>
        </w:rPr>
        <w:t>has the meaning set forth in Section 8.01(i).</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“Prepayment Premium” </w:t>
      </w:r>
      <w:r>
        <w:rPr>
          <w:rFonts w:ascii="Times New Roman" w:cs="Times New Roman" w:eastAsia="Times New Roman" w:hAnsi="Times New Roman"/>
          <w:sz w:val="22"/>
          <w:szCs w:val="22"/>
          <w:color w:val="auto"/>
        </w:rPr>
        <w:t>has the meaning set forth in Section 3.03(a).</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“Pro Rata Share” </w:t>
      </w:r>
      <w:r>
        <w:rPr>
          <w:rFonts w:ascii="Times New Roman" w:cs="Times New Roman" w:eastAsia="Times New Roman" w:hAnsi="Times New Roman"/>
          <w:sz w:val="22"/>
          <w:szCs w:val="22"/>
          <w:color w:val="auto"/>
        </w:rPr>
        <w:t>has the meaning set forth in Section 11.08.</w:t>
      </w:r>
    </w:p>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“Product” </w:t>
      </w:r>
      <w:r>
        <w:rPr>
          <w:rFonts w:ascii="Times New Roman" w:cs="Times New Roman" w:eastAsia="Times New Roman" w:hAnsi="Times New Roman"/>
          <w:sz w:val="22"/>
          <w:szCs w:val="22"/>
          <w:color w:val="auto"/>
        </w:rPr>
        <w:t>means (a) those Devices set forth (and described in reasonable detail) on Schedule 3 attached hereto and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current or future Device subject to any Product Development and Commercialization Activities by any Obligor, including any such Device currently in development.</w:t>
      </w:r>
    </w:p>
    <w:p>
      <w:pPr>
        <w:spacing w:after="0" w:line="20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“Product Agreement” </w:t>
      </w:r>
      <w:r>
        <w:rPr>
          <w:rFonts w:ascii="Times New Roman" w:cs="Times New Roman" w:eastAsia="Times New Roman" w:hAnsi="Times New Roman"/>
          <w:sz w:val="22"/>
          <w:szCs w:val="22"/>
          <w:color w:val="auto"/>
        </w:rPr>
        <w:t>means, with respect to any Product, any Contract, license, document, instrument, interest (equity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otherwise) or the like under which one or more Persons grants or receives (a) any right, title or interest with respect to any Product Development and Commercialization Activities of such Product or (b) any right to exclude any other Person from engaging in, or otherwise restricting any right, title or interest as to, any Product Development and Commercialization Activities with respect to such Product, including any Contract with suppliers, manufacturers, distributors, clinical research organizations, hospitals, group purchasing organizations, wholesalers, pharmacies or any other Person related to such entity.</w:t>
      </w:r>
    </w:p>
    <w:p>
      <w:pPr>
        <w:spacing w:after="0" w:line="20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“Product Assets” </w:t>
      </w:r>
      <w:r>
        <w:rPr>
          <w:rFonts w:ascii="Times New Roman" w:cs="Times New Roman" w:eastAsia="Times New Roman" w:hAnsi="Times New Roman"/>
          <w:sz w:val="22"/>
          <w:szCs w:val="22"/>
          <w:color w:val="auto"/>
        </w:rPr>
        <w:t>means, with respect to any Product, (a) any and all rights, title and interest of the Obligors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assets relating to such Product or any Product Development and Commercialization Activities with respect to such Product, (b) all Product Related Information with respect to such Product or any related Product Development and Commercialization Activities, (c) any rights, title and interest of the Obligors under any Product Agreement related to such Product or any such Product Development and Commercialization Activities, (d) any rights, title and interest of the Obligors to Intellectual Property, Regulatory Approvals and similar assets with respect to such Product or any such Product Development and Commercialization Activities, and (e) all rights, title and interests of the Obligors in any other property, tangible or intangible manifesting or otherwise in respect of such Product or any such Product Development and Commercialization Activities, including, without limitation, inventory, accounts receivable or similar rights to receive money or payment pertaining thereto and all proceeds of the foregoing.</w:t>
      </w:r>
    </w:p>
    <w:p>
      <w:pPr>
        <w:spacing w:after="0" w:line="32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21" w:lineRule="exact"/>
        <w:rPr>
          <w:sz w:val="20"/>
          <w:szCs w:val="20"/>
          <w:color w:val="auto"/>
        </w:rPr>
      </w:pPr>
    </w:p>
    <w:p>
      <w:pPr>
        <w:jc w:val="both"/>
        <w:ind w:firstLine="749"/>
        <w:spacing w:after="0" w:line="256" w:lineRule="exact"/>
        <w:rPr>
          <w:sz w:val="20"/>
          <w:szCs w:val="20"/>
          <w:color w:val="auto"/>
        </w:rPr>
      </w:pPr>
      <w:r>
        <w:rPr>
          <w:rFonts w:ascii="Times New Roman" w:cs="Times New Roman" w:eastAsia="Times New Roman" w:hAnsi="Times New Roman"/>
          <w:sz w:val="22"/>
          <w:szCs w:val="22"/>
          <w:i w:val="1"/>
          <w:iCs w:val="1"/>
          <w:color w:val="auto"/>
        </w:rPr>
        <w:t xml:space="preserve">“Product Authorizations” </w:t>
      </w:r>
      <w:r>
        <w:rPr>
          <w:rFonts w:ascii="Times New Roman" w:cs="Times New Roman" w:eastAsia="Times New Roman" w:hAnsi="Times New Roman"/>
          <w:sz w:val="22"/>
          <w:szCs w:val="22"/>
          <w:color w:val="auto"/>
        </w:rPr>
        <w:t>means any and all Regulatory Approvals (including all applicable Device Clearance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Applications, supplements, amendments, governmental price and reimbursement approvals and approvals of applications for regulatory exclusivity), clearances, licenses, notifications, registrations, safety or quality specifications and standards, or any other authorizations of any applicable Regulatory Authority in each case necessary for the manufacturing, development, distribution, ownership, use, storage, import, export, transport, promotion, marketing, sale or other commercialization of any Product or for any Product Development and Commercialization Activities with respect thereto in any country or jurisdiction, whether U.S.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“Product Development and Commercialization Activities” </w:t>
      </w:r>
      <w:r>
        <w:rPr>
          <w:rFonts w:ascii="Times New Roman" w:cs="Times New Roman" w:eastAsia="Times New Roman" w:hAnsi="Times New Roman"/>
          <w:sz w:val="22"/>
          <w:szCs w:val="22"/>
          <w:color w:val="auto"/>
        </w:rPr>
        <w:t>means, with respect to any Product, any combination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research, development, manufacture, import, use, sale, licensing, importation, storage, design, labeling, marketing, promotion, supply, distribution, testing, packaging, purchasing or other commercialization activities, receipt of payment in respect of any of the foregoing (including, without limitation, in respect of licensing, royalty or similar payments), or any similar or other activities the purpose of which is to commercially exploit such Product.</w:t>
      </w:r>
    </w:p>
    <w:p>
      <w:pPr>
        <w:spacing w:after="0" w:line="217"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1"/>
          <w:szCs w:val="21"/>
          <w:i w:val="1"/>
          <w:iCs w:val="1"/>
          <w:color w:val="auto"/>
        </w:rPr>
        <w:t xml:space="preserve">“Product Related Information” </w:t>
      </w:r>
      <w:r>
        <w:rPr>
          <w:rFonts w:ascii="Times New Roman" w:cs="Times New Roman" w:eastAsia="Times New Roman" w:hAnsi="Times New Roman"/>
          <w:sz w:val="21"/>
          <w:szCs w:val="21"/>
          <w:color w:val="auto"/>
        </w:rPr>
        <w:t>means, with respect to any Product, all books, records, lists, ledgers, files, manuals,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Contracts, correspondence, reports, plans, drawings and data (in any form or medium), and all techniques and other know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how, owned or possessed by the Borrower or any of its Subsidiaries that are necessary or required for any Product Development and Commercialization Activities by any Obligor relating to such Product, including (a) brand materials, packaging and other trade dress, customer targeting and other marketing, promotion and sales materials and information, referral, customer, supplier and other contact lists and information, product, business, marketing and sales plans, research, studies and reports, sales, maintenance and production records, training materials and other marketing, sales and promotional information, (b) clinical data, information included or supporting any Product Authorization or other Regulatory Approval, any regulatory filings, updates, notices and correspondence (including adverse event and other pharmacovigilance and other post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marketing reports and information, etc.), technical information, product development and operational data and records, and all other documents, records, files, data and other information relating to product development, manufacture and use, (c) litigation and dispute records, and accounting records, (d) all documents, records and files relating to Intellectual Property, including all correspondence from and to third parties (including Intellectual Property counsel and patent, trademark and other intellectual property registries, including the United States Patent and Trademark Office) and (e) all other information, techniques and know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how necessary or required in connection with the Product Development and Commercialization Activities by any Obligor for any Product.</w:t>
      </w:r>
    </w:p>
    <w:p>
      <w:pPr>
        <w:spacing w:after="0" w:line="214" w:lineRule="exact"/>
        <w:rPr>
          <w:sz w:val="20"/>
          <w:szCs w:val="20"/>
          <w:color w:val="auto"/>
        </w:rPr>
      </w:pPr>
    </w:p>
    <w:p>
      <w:pPr>
        <w:jc w:val="both"/>
        <w:ind w:firstLine="749"/>
        <w:spacing w:after="0" w:line="255" w:lineRule="exact"/>
        <w:rPr>
          <w:sz w:val="20"/>
          <w:szCs w:val="20"/>
          <w:color w:val="auto"/>
        </w:rPr>
      </w:pPr>
      <w:r>
        <w:rPr>
          <w:rFonts w:ascii="Times New Roman" w:cs="Times New Roman" w:eastAsia="Times New Roman" w:hAnsi="Times New Roman"/>
          <w:sz w:val="22"/>
          <w:szCs w:val="22"/>
          <w:i w:val="1"/>
          <w:iCs w:val="1"/>
          <w:color w:val="auto"/>
        </w:rPr>
        <w:t xml:space="preserve">“Prohibited Payment” </w:t>
      </w:r>
      <w:r>
        <w:rPr>
          <w:rFonts w:ascii="Times New Roman" w:cs="Times New Roman" w:eastAsia="Times New Roman" w:hAnsi="Times New Roman"/>
          <w:sz w:val="22"/>
          <w:szCs w:val="22"/>
          <w:color w:val="auto"/>
        </w:rPr>
        <w:t>means any bribe, rebate, payoff, influence payment, kickback or other payment or gift of money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anything of value (including meals or entertainment) to any officer, employee or ceremonial office holder of any government or instrumentality thereof, political party or supra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national organization (such as the United Nations), any political candidate, any royal family member or any other person who is connected or associated personally with any of the foregoing that is prohibited under any Requirement of Law.</w:t>
      </w:r>
    </w:p>
    <w:p>
      <w:pPr>
        <w:spacing w:after="0" w:line="31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“Projections” </w:t>
      </w:r>
      <w:r>
        <w:rPr>
          <w:rFonts w:ascii="Times New Roman" w:cs="Times New Roman" w:eastAsia="Times New Roman" w:hAnsi="Times New Roman"/>
          <w:sz w:val="22"/>
          <w:szCs w:val="22"/>
          <w:color w:val="auto"/>
        </w:rPr>
        <w:t>has the meaning set forth in Section 7.04(b).</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“Property” </w:t>
      </w:r>
      <w:r>
        <w:rPr>
          <w:rFonts w:ascii="Times New Roman" w:cs="Times New Roman" w:eastAsia="Times New Roman" w:hAnsi="Times New Roman"/>
          <w:sz w:val="22"/>
          <w:szCs w:val="22"/>
          <w:color w:val="auto"/>
        </w:rPr>
        <w:t>of any Person means any property or assets, or interest therein, of such Person.</w:t>
      </w:r>
    </w:p>
    <w:p>
      <w:pPr>
        <w:spacing w:after="0" w:line="247"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“Proportionate Share” </w:t>
      </w:r>
      <w:r>
        <w:rPr>
          <w:rFonts w:ascii="Times New Roman" w:cs="Times New Roman" w:eastAsia="Times New Roman" w:hAnsi="Times New Roman"/>
          <w:sz w:val="22"/>
          <w:szCs w:val="22"/>
          <w:color w:val="auto"/>
        </w:rPr>
        <w:t>means, with respect to any Lender, the percentage obtained by dividing (a) the Loan Exposure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Lender then in effect by (b) the aggregate Loan Exposure of all Lenders then in effect.</w:t>
      </w:r>
    </w:p>
    <w:p>
      <w:pPr>
        <w:spacing w:after="0" w:line="190"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“Proposal Letter” </w:t>
      </w:r>
      <w:r>
        <w:rPr>
          <w:rFonts w:ascii="Times New Roman" w:cs="Times New Roman" w:eastAsia="Times New Roman" w:hAnsi="Times New Roman"/>
          <w:sz w:val="22"/>
          <w:szCs w:val="22"/>
          <w:color w:val="auto"/>
        </w:rPr>
        <w:t>means the letter agreement, dated October 17, 2022, among the Borrower and Perceptive Advisors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LLC, regarding the transactions contemplated hereby and the outline of proposed terms and conditions attached thereto.</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i w:val="1"/>
          <w:iCs w:val="1"/>
          <w:color w:val="auto"/>
        </w:rPr>
        <w:t xml:space="preserve">“Publicly Reporting Company” </w:t>
      </w:r>
      <w:r>
        <w:rPr>
          <w:rFonts w:ascii="Times New Roman" w:cs="Times New Roman" w:eastAsia="Times New Roman" w:hAnsi="Times New Roman"/>
          <w:sz w:val="21"/>
          <w:szCs w:val="21"/>
          <w:color w:val="auto"/>
        </w:rPr>
        <w:t>means an issuer generally subject to the public reporting requirements of the Exchange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w:t>
      </w:r>
    </w:p>
    <w:p>
      <w:pPr>
        <w:spacing w:after="0" w:line="219"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“Qualified Equity Interest” </w:t>
      </w:r>
      <w:r>
        <w:rPr>
          <w:rFonts w:ascii="Times New Roman" w:cs="Times New Roman" w:eastAsia="Times New Roman" w:hAnsi="Times New Roman"/>
          <w:sz w:val="22"/>
          <w:szCs w:val="22"/>
          <w:color w:val="auto"/>
        </w:rPr>
        <w:t>means, with respect to any Person, any Equity Interest of such Person that is not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Disqualified Equity Interest.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“Recipient” </w:t>
      </w:r>
      <w:r>
        <w:rPr>
          <w:rFonts w:ascii="Times New Roman" w:cs="Times New Roman" w:eastAsia="Times New Roman" w:hAnsi="Times New Roman"/>
          <w:sz w:val="22"/>
          <w:szCs w:val="22"/>
          <w:color w:val="auto"/>
        </w:rPr>
        <w:t>means any Lender or the Administrative Agent.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“Redemption Date” </w:t>
      </w:r>
      <w:r>
        <w:rPr>
          <w:rFonts w:ascii="Times New Roman" w:cs="Times New Roman" w:eastAsia="Times New Roman" w:hAnsi="Times New Roman"/>
          <w:sz w:val="22"/>
          <w:szCs w:val="22"/>
          <w:color w:val="auto"/>
        </w:rPr>
        <w:t>has the meaning set forth in Section 3.03(a).</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“Redemption Price” </w:t>
      </w:r>
      <w:r>
        <w:rPr>
          <w:rFonts w:ascii="Times New Roman" w:cs="Times New Roman" w:eastAsia="Times New Roman" w:hAnsi="Times New Roman"/>
          <w:sz w:val="22"/>
          <w:szCs w:val="22"/>
          <w:color w:val="auto"/>
        </w:rPr>
        <w:t>has the meaning set forth in Section 3.03(a).</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“Referral Source” </w:t>
      </w:r>
      <w:r>
        <w:rPr>
          <w:rFonts w:ascii="Times New Roman" w:cs="Times New Roman" w:eastAsia="Times New Roman" w:hAnsi="Times New Roman"/>
          <w:sz w:val="22"/>
          <w:szCs w:val="22"/>
          <w:color w:val="auto"/>
        </w:rPr>
        <w:t>has the meaning set forth in Section 7.07(b)(i).</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Refinancing</w:t>
      </w:r>
      <w:r>
        <w:rPr>
          <w:rFonts w:ascii="Times New Roman" w:cs="Times New Roman" w:eastAsia="Times New Roman" w:hAnsi="Times New Roman"/>
          <w:sz w:val="22"/>
          <w:szCs w:val="22"/>
          <w:color w:val="auto"/>
        </w:rPr>
        <w:t>” has the meaning set forth in Section 2.05(b).</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“Register” </w:t>
      </w:r>
      <w:r>
        <w:rPr>
          <w:rFonts w:ascii="Times New Roman" w:cs="Times New Roman" w:eastAsia="Times New Roman" w:hAnsi="Times New Roman"/>
          <w:sz w:val="22"/>
          <w:szCs w:val="22"/>
          <w:color w:val="auto"/>
        </w:rPr>
        <w:t>has the meaning set forth in Section 13.05(d).</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“Regulation T” </w:t>
      </w:r>
      <w:r>
        <w:rPr>
          <w:rFonts w:ascii="Times New Roman" w:cs="Times New Roman" w:eastAsia="Times New Roman" w:hAnsi="Times New Roman"/>
          <w:sz w:val="22"/>
          <w:szCs w:val="22"/>
          <w:color w:val="auto"/>
        </w:rPr>
        <w:t>means Regulation T of the Board of Governors of the Federal Reserve System, as amended.</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“Regulation U” </w:t>
      </w:r>
      <w:r>
        <w:rPr>
          <w:rFonts w:ascii="Times New Roman" w:cs="Times New Roman" w:eastAsia="Times New Roman" w:hAnsi="Times New Roman"/>
          <w:sz w:val="22"/>
          <w:szCs w:val="22"/>
          <w:color w:val="auto"/>
        </w:rPr>
        <w:t>means Regulation U of the Board of Governors of the Federal Reserve System, as amended.</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“Regulation X” </w:t>
      </w:r>
      <w:r>
        <w:rPr>
          <w:rFonts w:ascii="Times New Roman" w:cs="Times New Roman" w:eastAsia="Times New Roman" w:hAnsi="Times New Roman"/>
          <w:sz w:val="22"/>
          <w:szCs w:val="22"/>
          <w:color w:val="auto"/>
        </w:rPr>
        <w:t>means Regulation X of the Board of Governors of the Federal Reserve System, as amended.</w:t>
      </w:r>
    </w:p>
    <w:p>
      <w:pPr>
        <w:spacing w:after="0" w:line="247"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“Regulatory Approvals” </w:t>
      </w:r>
      <w:r>
        <w:rPr>
          <w:rFonts w:ascii="Times New Roman" w:cs="Times New Roman" w:eastAsia="Times New Roman" w:hAnsi="Times New Roman"/>
          <w:sz w:val="22"/>
          <w:szCs w:val="22"/>
          <w:color w:val="auto"/>
        </w:rPr>
        <w:t>means any Governmental Approval relating to any Product or any Product Development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Commercialization Activities related to such Product, including any Product Authorizations with respect thereto.</w:t>
      </w:r>
    </w:p>
    <w:p>
      <w:pPr>
        <w:spacing w:after="0" w:line="177"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“Regulatory Authority” </w:t>
      </w:r>
      <w:r>
        <w:rPr>
          <w:rFonts w:ascii="Times New Roman" w:cs="Times New Roman" w:eastAsia="Times New Roman" w:hAnsi="Times New Roman"/>
          <w:sz w:val="22"/>
          <w:szCs w:val="22"/>
          <w:color w:val="auto"/>
        </w:rPr>
        <w:t>means any Governmental Authority that is concerned with or has regulatory or supervisory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oversight with respect to any Product or any Product Development and</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25" w:lineRule="exact"/>
        <w:rPr>
          <w:sz w:val="20"/>
          <w:szCs w:val="20"/>
          <w:color w:val="auto"/>
        </w:rPr>
      </w:pPr>
    </w:p>
    <w:p>
      <w:pPr>
        <w:jc w:val="both"/>
        <w:spacing w:after="0" w:line="285" w:lineRule="exact"/>
        <w:rPr>
          <w:sz w:val="20"/>
          <w:szCs w:val="20"/>
          <w:color w:val="auto"/>
        </w:rPr>
      </w:pPr>
      <w:r>
        <w:rPr>
          <w:rFonts w:ascii="Times New Roman" w:cs="Times New Roman" w:eastAsia="Times New Roman" w:hAnsi="Times New Roman"/>
          <w:sz w:val="22"/>
          <w:szCs w:val="22"/>
          <w:color w:val="auto"/>
        </w:rPr>
        <w:t>Commercialization Activities relating to any Product, including the FDA and all equivalent Governmental Authorities, whether U.S.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Governmental Body</w:t>
      </w:r>
      <w:r>
        <w:rPr>
          <w:rFonts w:ascii="Times New Roman" w:cs="Times New Roman" w:eastAsia="Times New Roman" w:hAnsi="Times New Roman"/>
          <w:sz w:val="22"/>
          <w:szCs w:val="22"/>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“Representatives” </w:t>
      </w:r>
      <w:r>
        <w:rPr>
          <w:rFonts w:ascii="Times New Roman" w:cs="Times New Roman" w:eastAsia="Times New Roman" w:hAnsi="Times New Roman"/>
          <w:sz w:val="22"/>
          <w:szCs w:val="22"/>
          <w:color w:val="auto"/>
        </w:rPr>
        <w:t>has the meaning set forth in Section 13.17.</w:t>
      </w:r>
    </w:p>
    <w:p>
      <w:pPr>
        <w:spacing w:after="0" w:line="24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“Requirement of Law” </w:t>
      </w:r>
      <w:r>
        <w:rPr>
          <w:rFonts w:ascii="Times New Roman" w:cs="Times New Roman" w:eastAsia="Times New Roman" w:hAnsi="Times New Roman"/>
          <w:sz w:val="22"/>
          <w:szCs w:val="22"/>
          <w:color w:val="auto"/>
        </w:rPr>
        <w:t>means, as to any Person, any Law applicable to or binding upon such Person or any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Properties or revenues.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“Resignation Effective Date” </w:t>
      </w:r>
      <w:r>
        <w:rPr>
          <w:rFonts w:ascii="Times New Roman" w:cs="Times New Roman" w:eastAsia="Times New Roman" w:hAnsi="Times New Roman"/>
          <w:sz w:val="22"/>
          <w:szCs w:val="22"/>
          <w:color w:val="auto"/>
        </w:rPr>
        <w:t>has the meaning set forth in Section 12.06(a).</w:t>
      </w:r>
    </w:p>
    <w:p>
      <w:pPr>
        <w:spacing w:after="0" w:line="24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“Resolution Authority” </w:t>
      </w:r>
      <w:r>
        <w:rPr>
          <w:rFonts w:ascii="Times New Roman" w:cs="Times New Roman" w:eastAsia="Times New Roman" w:hAnsi="Times New Roman"/>
          <w:sz w:val="22"/>
          <w:szCs w:val="22"/>
          <w:color w:val="auto"/>
        </w:rPr>
        <w:t>means an EEA Resolution Authority or, with respect to any UK Financial Institution, a UK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Resolution Authority.</w:t>
      </w:r>
    </w:p>
    <w:p>
      <w:pPr>
        <w:spacing w:after="0" w:line="19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“Responsible Officer” </w:t>
      </w:r>
      <w:r>
        <w:rPr>
          <w:rFonts w:ascii="Times New Roman" w:cs="Times New Roman" w:eastAsia="Times New Roman" w:hAnsi="Times New Roman"/>
          <w:sz w:val="22"/>
          <w:szCs w:val="22"/>
          <w:color w:val="auto"/>
        </w:rPr>
        <w:t>of any Person means each of the president, chief executive officer, chief financial officer, chief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accounting officer or titles equivalent to the foregoing of such Person.</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“Restricted Payment” </w:t>
      </w:r>
      <w:r>
        <w:rPr>
          <w:rFonts w:ascii="Times New Roman" w:cs="Times New Roman" w:eastAsia="Times New Roman" w:hAnsi="Times New Roman"/>
          <w:sz w:val="22"/>
          <w:szCs w:val="22"/>
          <w:color w:val="auto"/>
        </w:rPr>
        <w:t>means any dividend or other distribution (whether in cash, Equity Interest or other Property)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any Equity Interest of an Obligor or any of its Subsidiaries, or any payment (whether in cash, Equity Interests or other Property), including any sinking fund or similar deposit, on account of the purchase, redemption, retirement, acquisition, cancellation or termination of any Equity Interests of an Obligor or any of its Subsidiaries or any option, warrant or other right to acquire any such Equity Interests of an Obligor or any of its Subsidiaries.</w:t>
      </w:r>
    </w:p>
    <w:p>
      <w:pPr>
        <w:spacing w:after="0" w:line="21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Restrictive Agreement</w:t>
      </w:r>
      <w:r>
        <w:rPr>
          <w:rFonts w:ascii="Times New Roman" w:cs="Times New Roman" w:eastAsia="Times New Roman" w:hAnsi="Times New Roman"/>
          <w:sz w:val="21"/>
          <w:szCs w:val="21"/>
          <w:color w:val="auto"/>
        </w:rPr>
        <w:t>” means any indenture, agreement, instrument or other binding arrangement that prohibits, restricts or imposes any condition upon (a) the ability of an Obligor or any Subsidiary to create, incur or permit to exist any Lien upon any of its Property (other than (i) customary provisions in Contracts (including without limitation leases and in-bound licenses of Intellectual Property) restricting the assignment thereof, (ii) restrictions or conditions imposed by any agreement governing secured Permitted Indebtedness permitted under Section 9.01(g), to the extent that such restrictions or conditions apply only to the Property securing such Indebtedness and (iii) software and other Intellectual Property licenses pursuant to which an Obligor or a Subsidiary thereof is the licensee of the relevant software or Intellectual Property, as the case may be (in which case, any prohibition or limitation shall relate only to the assets or rights subject to the applicable license and/or the license itself)), or</w:t>
      </w:r>
    </w:p>
    <w:p>
      <w:pPr>
        <w:spacing w:after="0" w:line="8" w:lineRule="exact"/>
        <w:rPr>
          <w:sz w:val="20"/>
          <w:szCs w:val="20"/>
          <w:color w:val="auto"/>
        </w:rPr>
      </w:pPr>
    </w:p>
    <w:p>
      <w:pPr>
        <w:jc w:val="both"/>
        <w:ind w:firstLine="8"/>
        <w:spacing w:after="0" w:line="234" w:lineRule="auto"/>
        <w:tabs>
          <w:tab w:leader="none" w:pos="32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any Subsidiary to pay dividends or other distributions with respect to any shares of its Equity Interests or to make or repay loans or advances to an Obligor or any other Subsidiary or to Guarantee Indebtedness of an Obligor or any other Subsidiary (other than restrictions or encumbrances that do not materially and adversely impact the ability of the Borrower to pay any Obligations when due).</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“SEC” </w:t>
      </w:r>
      <w:r>
        <w:rPr>
          <w:rFonts w:ascii="Times New Roman" w:cs="Times New Roman" w:eastAsia="Times New Roman" w:hAnsi="Times New Roman"/>
          <w:sz w:val="22"/>
          <w:szCs w:val="22"/>
          <w:color w:val="auto"/>
        </w:rPr>
        <w:t>means United States Securities and Exchange Commission.</w:t>
      </w:r>
    </w:p>
    <w:p>
      <w:pPr>
        <w:spacing w:after="0" w:line="35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“Second Amendment Effective Date” </w:t>
      </w:r>
      <w:r>
        <w:rPr>
          <w:rFonts w:ascii="Times New Roman" w:cs="Times New Roman" w:eastAsia="Times New Roman" w:hAnsi="Times New Roman"/>
          <w:sz w:val="22"/>
          <w:szCs w:val="22"/>
          <w:color w:val="auto"/>
        </w:rPr>
        <w:t>means August 4, 2023.</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“Securities Account” </w:t>
      </w:r>
      <w:r>
        <w:rPr>
          <w:rFonts w:ascii="Times New Roman" w:cs="Times New Roman" w:eastAsia="Times New Roman" w:hAnsi="Times New Roman"/>
          <w:sz w:val="22"/>
          <w:szCs w:val="22"/>
          <w:color w:val="auto"/>
        </w:rPr>
        <w:t>has the meaning set forth in the Security Agreement.</w:t>
      </w:r>
    </w:p>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“Security Agreement” </w:t>
      </w:r>
      <w:r>
        <w:rPr>
          <w:rFonts w:ascii="Times New Roman" w:cs="Times New Roman" w:eastAsia="Times New Roman" w:hAnsi="Times New Roman"/>
          <w:sz w:val="22"/>
          <w:szCs w:val="22"/>
          <w:color w:val="auto"/>
        </w:rPr>
        <w:t>means the Security Agreement, dated as of the Funding Date, in substantially the form of Exhibit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 among the Obligors and the Administrative Agent, granting a security interest in the personal Property constituting Collateral thereunder in favor of the Administrative Agent for the benefit of the Lenders.</w:t>
      </w:r>
    </w:p>
    <w:p>
      <w:pPr>
        <w:spacing w:after="0" w:line="177"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i w:val="1"/>
          <w:iCs w:val="1"/>
          <w:color w:val="auto"/>
        </w:rPr>
        <w:t xml:space="preserve">“Security Documents” </w:t>
      </w:r>
      <w:r>
        <w:rPr>
          <w:rFonts w:ascii="Times New Roman" w:cs="Times New Roman" w:eastAsia="Times New Roman" w:hAnsi="Times New Roman"/>
          <w:sz w:val="22"/>
          <w:szCs w:val="22"/>
          <w:color w:val="auto"/>
        </w:rPr>
        <w:t>means, collectively, the Security Agreement, each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Form IP Security Agreement, and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security document, control agreement or financing statement executed to perfect Liens in favor of the Administrative Agent for the benefit of the Lenders.</w:t>
      </w:r>
    </w:p>
    <w:p>
      <w:pPr>
        <w:spacing w:after="0" w:line="20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“Segregated Health Care Account” </w:t>
      </w:r>
      <w:r>
        <w:rPr>
          <w:rFonts w:ascii="Times New Roman" w:cs="Times New Roman" w:eastAsia="Times New Roman" w:hAnsi="Times New Roman"/>
          <w:sz w:val="22"/>
          <w:szCs w:val="22"/>
          <w:color w:val="auto"/>
        </w:rPr>
        <w:t>means, a Deposit Account of an Obligor in the name of such Obligor and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sole dominion and control of such Obligor maintained in accordance with the requirements of Section 8.17(c) hereof, the only funds on deposit in which constitute the direct proceeds of payments made by third party payers pertaining to clinical diagnostic testing claims including funds from Federal Health Care Programs.</w:t>
      </w:r>
    </w:p>
    <w:p>
      <w:pPr>
        <w:spacing w:after="0" w:line="182" w:lineRule="exact"/>
        <w:rPr>
          <w:sz w:val="20"/>
          <w:szCs w:val="20"/>
          <w:color w:val="auto"/>
        </w:rPr>
      </w:pPr>
    </w:p>
    <w:p>
      <w:pPr>
        <w:jc w:val="both"/>
        <w:ind w:firstLine="749"/>
        <w:spacing w:after="0" w:line="265" w:lineRule="exact"/>
        <w:rPr>
          <w:sz w:val="20"/>
          <w:szCs w:val="20"/>
          <w:color w:val="auto"/>
        </w:rPr>
      </w:pPr>
      <w:r>
        <w:rPr>
          <w:rFonts w:ascii="Times New Roman" w:cs="Times New Roman" w:eastAsia="Times New Roman" w:hAnsi="Times New Roman"/>
          <w:sz w:val="22"/>
          <w:szCs w:val="22"/>
          <w:i w:val="1"/>
          <w:iCs w:val="1"/>
          <w:color w:val="auto"/>
        </w:rPr>
        <w:t>“Short</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Form IP Security Agreements” </w:t>
      </w:r>
      <w:r>
        <w:rPr>
          <w:rFonts w:ascii="Times New Roman" w:cs="Times New Roman" w:eastAsia="Times New Roman" w:hAnsi="Times New Roman"/>
          <w:sz w:val="22"/>
          <w:szCs w:val="22"/>
          <w:color w:val="auto"/>
        </w:rPr>
        <w:t>means any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form copyright, patent or trademark (as the case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security agreements, in substantially the form of Exhibits H-1 and H-2, entered into by one or more Obligors in favor of the Administrative Agent for the benefit of the Lenders, each in form and substance reasonably satisfactory to the Administrative Agent and as amended, modified or replaced from time to time.</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3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9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“Solvent” </w:t>
      </w:r>
      <w:r>
        <w:rPr>
          <w:rFonts w:ascii="Times New Roman" w:cs="Times New Roman" w:eastAsia="Times New Roman" w:hAnsi="Times New Roman"/>
          <w:sz w:val="22"/>
          <w:szCs w:val="22"/>
          <w:color w:val="auto"/>
        </w:rPr>
        <w:t>means, with respect to any Person at any time, that (a) the present fair saleable value of the Property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 is greater than the total amount of liabilities (including contingent liabilities) of such Person, (b) the present fair saleable value of the Property of such Person is not less than the amount that will be required to pay the probable liability of such Person on its debts as they become absolute and matured and (c) such Person has not incurred and does not intend to, and does not believe that it will, incur debts or liabilities beyond such Person’s ability to pay as such debts and liabilities mature.</w:t>
      </w:r>
    </w:p>
    <w:p>
      <w:pPr>
        <w:spacing w:after="0" w:line="21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Specified Representations</w:t>
      </w:r>
      <w:r>
        <w:rPr>
          <w:rFonts w:ascii="Times New Roman" w:cs="Times New Roman" w:eastAsia="Times New Roman" w:hAnsi="Times New Roman"/>
          <w:sz w:val="22"/>
          <w:szCs w:val="22"/>
          <w:color w:val="auto"/>
        </w:rPr>
        <w:t>” means the representations and warranties made by the Borrower and the other Obligors, as applicable, set forth in Section 7.01(a), (b), (d) and (e), 7.02 (solely to the extent relating to this Agreement and the Fee Letter), 7.03(c), 7.04(c), 7.06(a), 7.10(a), 7.12, 7.23, 7.24 and 7.25.</w:t>
      </w:r>
    </w:p>
    <w:p>
      <w:pPr>
        <w:spacing w:after="0" w:line="19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“Standard Body” </w:t>
      </w:r>
      <w:r>
        <w:rPr>
          <w:rFonts w:ascii="Times New Roman" w:cs="Times New Roman" w:eastAsia="Times New Roman" w:hAnsi="Times New Roman"/>
          <w:sz w:val="22"/>
          <w:szCs w:val="22"/>
          <w:color w:val="auto"/>
        </w:rPr>
        <w:t>means any of the organizations that create, sponsor or maintain safety, quality or other standards,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ISO, ANSI, CEN and SCC and the like.</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35" w:lineRule="exact"/>
        <w:rPr>
          <w:sz w:val="20"/>
          <w:szCs w:val="20"/>
          <w:color w:val="auto"/>
        </w:rPr>
      </w:pPr>
    </w:p>
    <w:p>
      <w:pPr>
        <w:jc w:val="both"/>
        <w:ind w:firstLine="749"/>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“Stated Maturity Date” </w:t>
      </w:r>
      <w:r>
        <w:rPr>
          <w:rFonts w:ascii="Times New Roman" w:cs="Times New Roman" w:eastAsia="Times New Roman" w:hAnsi="Times New Roman"/>
          <w:sz w:val="22"/>
          <w:szCs w:val="22"/>
          <w:color w:val="auto"/>
        </w:rPr>
        <w:t>means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Funding Date;</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that if any such date shall occur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a day that is not a Business Day, then the Stated Maturity Date shall be the immediately succeeding Business Day.</w:t>
      </w:r>
    </w:p>
    <w:p>
      <w:pPr>
        <w:spacing w:after="0" w:line="20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with respect to any Person (the</w:t>
      </w:r>
      <w:r>
        <w:rPr>
          <w:rFonts w:ascii="Times New Roman" w:cs="Times New Roman" w:eastAsia="Times New Roman" w:hAnsi="Times New Roman"/>
          <w:sz w:val="22"/>
          <w:szCs w:val="22"/>
          <w:i w:val="1"/>
          <w:iCs w:val="1"/>
          <w:color w:val="auto"/>
        </w:rPr>
        <w:t xml:space="preserve"> “parent”</w:t>
      </w:r>
      <w:r>
        <w:rPr>
          <w:rFonts w:ascii="Times New Roman" w:cs="Times New Roman" w:eastAsia="Times New Roman" w:hAnsi="Times New Roman"/>
          <w:sz w:val="22"/>
          <w:szCs w:val="22"/>
          <w:color w:val="auto"/>
        </w:rPr>
        <w:t>) at any time of determination, any other Person of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more than 50% of the outstanding capital stock of such other Person having ordinary voting powers, determined on a fully diluted basis, is at the time directly or indirectly owned or Controlled by the parent. Unless the context otherwise specifically requires, the term “Subsidiary” shall be a reference to a Subsidiary of the Borrower.</w:t>
      </w:r>
    </w:p>
    <w:p>
      <w:pPr>
        <w:spacing w:after="0" w:line="21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Sweep Agreement</w:t>
      </w:r>
      <w:r>
        <w:rPr>
          <w:rFonts w:ascii="Times New Roman" w:cs="Times New Roman" w:eastAsia="Times New Roman" w:hAnsi="Times New Roman"/>
          <w:sz w:val="22"/>
          <w:szCs w:val="22"/>
          <w:color w:val="auto"/>
        </w:rPr>
        <w:t>” means an agreement, in form and substance reasonably satisfactory to Agent, between the Obligor maintaining a Segregated Health Care Account, Administrative Agent and applicable bank or other financial institution at which such Segregated Health Care Account is maintained, pursuant to which such bank or financial institution (a) agrees to automatically sweep amounts deposited in such Segregated Health Care Account to a Controlled Account satisfying the requirements set forth in Section 8.17(c) hereof, as and when funds clear and become available in accordance with such bank’s or financial institution’s standard practices and procedures and (b) agrees not to change such standing sweep instructions until the date at least five (5) days (or such lesser period as Administrative Agent may agree in its reasonable discretion or as may be required by applicable Federal Health Care Program laws or policies after receipt of notice from such Obligor maintaining such Segregated Health Care Account by the Administrative Agent and such bank or financial institution of the termination of such standing sweep instruction).</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“Taxes” </w:t>
      </w:r>
      <w:r>
        <w:rPr>
          <w:rFonts w:ascii="Times New Roman" w:cs="Times New Roman" w:eastAsia="Times New Roman" w:hAnsi="Times New Roman"/>
          <w:sz w:val="22"/>
          <w:szCs w:val="22"/>
          <w:color w:val="auto"/>
        </w:rPr>
        <w:t>means all present or future taxes, levies, imposts, duties, deductions, withholdings (including backup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withholding), assessments, fees or other charges imposed by any Governmental Authority, including any interest, additions to tax or penalties applicable thereto.</w:t>
      </w:r>
    </w:p>
    <w:p>
      <w:pPr>
        <w:spacing w:after="0" w:line="194" w:lineRule="exact"/>
        <w:rPr>
          <w:sz w:val="20"/>
          <w:szCs w:val="20"/>
          <w:color w:val="auto"/>
        </w:rPr>
      </w:pPr>
    </w:p>
    <w:p>
      <w:pPr>
        <w:jc w:val="both"/>
        <w:ind w:firstLine="749"/>
        <w:spacing w:after="0" w:line="255" w:lineRule="exact"/>
        <w:rPr>
          <w:sz w:val="20"/>
          <w:szCs w:val="20"/>
          <w:color w:val="auto"/>
        </w:rPr>
      </w:pPr>
      <w:r>
        <w:rPr>
          <w:rFonts w:ascii="Times New Roman" w:cs="Times New Roman" w:eastAsia="Times New Roman" w:hAnsi="Times New Roman"/>
          <w:sz w:val="22"/>
          <w:szCs w:val="22"/>
          <w:i w:val="1"/>
          <w:iCs w:val="1"/>
          <w:color w:val="auto"/>
        </w:rPr>
        <w:t xml:space="preserve">“Technical Information” </w:t>
      </w:r>
      <w:r>
        <w:rPr>
          <w:rFonts w:ascii="Times New Roman" w:cs="Times New Roman" w:eastAsia="Times New Roman" w:hAnsi="Times New Roman"/>
          <w:sz w:val="22"/>
          <w:szCs w:val="22"/>
          <w:color w:val="auto"/>
        </w:rPr>
        <w:t>means all trade secrets and other proprietary or confidential information, which may include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proprietary information of a scientific, technical, or business nature in any form or medium, standards and specifications, conceptions, ideas, innovations, discoveries, Invention disclosures, all documented research, developmental, demonstration or engineering work, data, plans, specifications, reports, summaries, experimental data, manuals, models, samples, know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technical information, systems, methodologies, computer programs or information technology.</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“Term Loans” </w:t>
      </w:r>
      <w:r>
        <w:rPr>
          <w:rFonts w:ascii="Times New Roman" w:cs="Times New Roman" w:eastAsia="Times New Roman" w:hAnsi="Times New Roman"/>
          <w:sz w:val="22"/>
          <w:szCs w:val="22"/>
          <w:color w:val="auto"/>
        </w:rPr>
        <w:t>means the Tranche A Loan, the Tranche B Loan and the Tranche C Loan.</w:t>
      </w:r>
    </w:p>
    <w:p>
      <w:pPr>
        <w:spacing w:after="0" w:line="24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w:t>
      </w:r>
      <w:r>
        <w:rPr>
          <w:rFonts w:ascii="Times New Roman" w:cs="Times New Roman" w:eastAsia="Times New Roman" w:hAnsi="Times New Roman"/>
          <w:sz w:val="22"/>
          <w:szCs w:val="22"/>
          <w:color w:val="auto"/>
        </w:rPr>
        <w:t xml:space="preserve">” means the Term SOFR Reference Rate for a tenor comparable to the applicable Interest Period on the day (such day, the </w:t>
      </w:r>
      <w:r>
        <w:rPr>
          <w:rFonts w:ascii="Times New Roman" w:cs="Times New Roman" w:eastAsia="Times New Roman" w:hAnsi="Times New Roman"/>
          <w:sz w:val="22"/>
          <w:szCs w:val="22"/>
          <w:i w:val="1"/>
          <w:iCs w:val="1"/>
          <w:color w:val="auto"/>
        </w:rPr>
        <w:t>“Periodic Term SOFR Determination Day”</w:t>
      </w:r>
      <w:r>
        <w:rPr>
          <w:rFonts w:ascii="Times New Roman" w:cs="Times New Roman" w:eastAsia="Times New Roman" w:hAnsi="Times New Roman"/>
          <w:sz w:val="22"/>
          <w:szCs w:val="22"/>
          <w:color w:val="auto"/>
        </w:rPr>
        <w:t>) that is two (2) U.S. Government Securities Business Days prior to the first day of such Interest Period, as such rate is published by the Term SOFR Administrator</w:t>
      </w:r>
      <w:r>
        <w:rPr>
          <w:rFonts w:ascii="Times New Roman" w:cs="Times New Roman" w:eastAsia="Times New Roman" w:hAnsi="Times New Roman"/>
          <w:sz w:val="22"/>
          <w:szCs w:val="22"/>
          <w:i w:val="1"/>
          <w:iCs w:val="1"/>
          <w:color w:val="auto"/>
        </w:rPr>
        <w:t>; provided, however</w:t>
      </w:r>
      <w:r>
        <w:rPr>
          <w:rFonts w:ascii="Times New Roman" w:cs="Times New Roman" w:eastAsia="Times New Roman" w:hAnsi="Times New Roman"/>
          <w:sz w:val="22"/>
          <w:szCs w:val="22"/>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Term SOFR shall be rounded upwards to the next 1/100% (if necessary); </w:t>
      </w:r>
      <w:r>
        <w:rPr>
          <w:rFonts w:ascii="Times New Roman" w:cs="Times New Roman" w:eastAsia="Times New Roman" w:hAnsi="Times New Roman"/>
          <w:sz w:val="22"/>
          <w:szCs w:val="22"/>
          <w:i w:val="1"/>
          <w:iCs w:val="1"/>
          <w:color w:val="auto"/>
        </w:rPr>
        <w:t>provided, further, however</w:t>
      </w:r>
      <w:r>
        <w:rPr>
          <w:rFonts w:ascii="Times New Roman" w:cs="Times New Roman" w:eastAsia="Times New Roman" w:hAnsi="Times New Roman"/>
          <w:sz w:val="22"/>
          <w:szCs w:val="22"/>
          <w:color w:val="auto"/>
        </w:rPr>
        <w:t>, if Term SOFR as so determined shall ever be less than the Floor, then Term SOFR shall be deemed to be the Floor.</w:t>
      </w:r>
    </w:p>
    <w:p>
      <w:pPr>
        <w:spacing w:after="0" w:line="20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“Third Amendment Effective Date” </w:t>
      </w:r>
      <w:r>
        <w:rPr>
          <w:rFonts w:ascii="Times New Roman" w:cs="Times New Roman" w:eastAsia="Times New Roman" w:hAnsi="Times New Roman"/>
          <w:sz w:val="22"/>
          <w:szCs w:val="22"/>
          <w:color w:val="auto"/>
        </w:rPr>
        <w:t>means February 29, 2024.</w:t>
      </w:r>
    </w:p>
    <w:p>
      <w:pPr>
        <w:spacing w:after="0" w:line="23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“Title IV Plan” </w:t>
      </w:r>
      <w:r>
        <w:rPr>
          <w:rFonts w:ascii="Times New Roman" w:cs="Times New Roman" w:eastAsia="Times New Roman" w:hAnsi="Times New Roman"/>
          <w:sz w:val="22"/>
          <w:szCs w:val="22"/>
          <w:color w:val="auto"/>
        </w:rPr>
        <w:t>means an “employee benefit plan” as defined in Section 3(3) of ERISA (other than a Multiemployer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(a) that is maintained. sponsored or contributed to by any Obligor or with respect to which any Obligor has or may have liability (including on account of an ERISA Affiliate) and (b) that is or was subject to Section 412 of the Code, Section 302 of ERISA or Title IV of ERISA.</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“Trademarks” </w:t>
      </w:r>
      <w:r>
        <w:rPr>
          <w:rFonts w:ascii="Times New Roman" w:cs="Times New Roman" w:eastAsia="Times New Roman" w:hAnsi="Times New Roman"/>
          <w:sz w:val="22"/>
          <w:szCs w:val="22"/>
          <w:color w:val="auto"/>
        </w:rPr>
        <w:t>has the meaning set forth in the Security Documents.</w:t>
      </w:r>
    </w:p>
    <w:p>
      <w:pPr>
        <w:spacing w:after="0" w:line="247"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Tranche A Loan</w:t>
      </w:r>
      <w:r>
        <w:rPr>
          <w:rFonts w:ascii="Times New Roman" w:cs="Times New Roman" w:eastAsia="Times New Roman" w:hAnsi="Times New Roman"/>
          <w:sz w:val="21"/>
          <w:szCs w:val="21"/>
          <w:color w:val="auto"/>
        </w:rPr>
        <w:t>” means each loan advanced by a Lender pursuant to Section 2.01(a). For purposes of clarification, any calculation of the aggregate outstanding principal amount of the Tranche A Loan on any date of determination shall mean the aggregate principal amount of the Tranche A Loan made pursuant to Section 2.01(a) that has not yet been repaid as of such date.</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A Loan Commitment</w:t>
      </w:r>
      <w:r>
        <w:rPr>
          <w:rFonts w:ascii="Times New Roman" w:cs="Times New Roman" w:eastAsia="Times New Roman" w:hAnsi="Times New Roman"/>
          <w:sz w:val="22"/>
          <w:szCs w:val="22"/>
          <w:color w:val="auto"/>
        </w:rPr>
        <w:t xml:space="preserve">” means the commitment of a Lender to make or otherwise fund a Tranche A Loan and </w:t>
      </w:r>
      <w:r>
        <w:rPr>
          <w:rFonts w:ascii="Times New Roman" w:cs="Times New Roman" w:eastAsia="Times New Roman" w:hAnsi="Times New Roman"/>
          <w:sz w:val="22"/>
          <w:szCs w:val="22"/>
          <w:i w:val="1"/>
          <w:iCs w:val="1"/>
          <w:color w:val="auto"/>
        </w:rPr>
        <w:t xml:space="preserve">“Tranche A Loan Commitments” </w:t>
      </w:r>
      <w:r>
        <w:rPr>
          <w:rFonts w:ascii="Times New Roman" w:cs="Times New Roman" w:eastAsia="Times New Roman" w:hAnsi="Times New Roman"/>
          <w:sz w:val="22"/>
          <w:szCs w:val="22"/>
          <w:color w:val="auto"/>
        </w:rPr>
        <w:t>means such commitments of all Lenders in the aggregate. The aggregate amount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Tranche A Loan Commitments as of the Fifth Amendment Effective Date is $0.</w:t>
      </w:r>
    </w:p>
    <w:p>
      <w:pPr>
        <w:spacing w:after="0" w:line="208"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Tranche B Loan</w:t>
      </w:r>
      <w:r>
        <w:rPr>
          <w:rFonts w:ascii="Times New Roman" w:cs="Times New Roman" w:eastAsia="Times New Roman" w:hAnsi="Times New Roman"/>
          <w:sz w:val="21"/>
          <w:szCs w:val="21"/>
          <w:color w:val="auto"/>
        </w:rPr>
        <w:t>” means each loan advanced by a Lender pursuant to Section 2.01(b). For purposes of clarification, any calculation of the aggregate outstanding principal amount of the Tranche B Loan on any date of determination shall mean the aggregate principal amount of the Tranche B Loan made pursuant to Section 2.01(b) that has not yet been repaid as of such date.</w:t>
      </w:r>
    </w:p>
    <w:p>
      <w:pPr>
        <w:spacing w:after="0" w:line="19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Loan Borrowing Date</w:t>
      </w:r>
      <w:r>
        <w:rPr>
          <w:rFonts w:ascii="Times New Roman" w:cs="Times New Roman" w:eastAsia="Times New Roman" w:hAnsi="Times New Roman"/>
          <w:sz w:val="22"/>
          <w:szCs w:val="22"/>
          <w:color w:val="auto"/>
        </w:rPr>
        <w:t>” means with respect to the Tranche B Loan, the Business Day on which all conditions set forth in Section 6.03 have been satisfied or waived by the Lenders and the Tranche B Loan is made hereunder.</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Loan Commitment</w:t>
      </w:r>
      <w:r>
        <w:rPr>
          <w:rFonts w:ascii="Times New Roman" w:cs="Times New Roman" w:eastAsia="Times New Roman" w:hAnsi="Times New Roman"/>
          <w:sz w:val="22"/>
          <w:szCs w:val="22"/>
          <w:color w:val="auto"/>
        </w:rPr>
        <w:t xml:space="preserve">” means the commitment of a Lender to make or otherwise fund a Tranche B Loan and </w:t>
      </w:r>
      <w:r>
        <w:rPr>
          <w:rFonts w:ascii="Times New Roman" w:cs="Times New Roman" w:eastAsia="Times New Roman" w:hAnsi="Times New Roman"/>
          <w:sz w:val="22"/>
          <w:szCs w:val="22"/>
          <w:i w:val="1"/>
          <w:iCs w:val="1"/>
          <w:color w:val="auto"/>
        </w:rPr>
        <w:t xml:space="preserve">“Tranche B Loan Commitments” </w:t>
      </w:r>
      <w:r>
        <w:rPr>
          <w:rFonts w:ascii="Times New Roman" w:cs="Times New Roman" w:eastAsia="Times New Roman" w:hAnsi="Times New Roman"/>
          <w:sz w:val="22"/>
          <w:szCs w:val="22"/>
          <w:color w:val="auto"/>
        </w:rPr>
        <w:t>means such commitments of all Lenders in the aggregate. The aggregate amount of the Tranche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 Loan Commitments as of the Fifth Amendment Effective Date is $0.</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Loan Commitment Termination Date</w:t>
      </w:r>
      <w:r>
        <w:rPr>
          <w:rFonts w:ascii="Times New Roman" w:cs="Times New Roman" w:eastAsia="Times New Roman" w:hAnsi="Times New Roman"/>
          <w:sz w:val="22"/>
          <w:szCs w:val="22"/>
          <w:color w:val="auto"/>
        </w:rPr>
        <w:t>” means December 31, 2023.</w:t>
      </w:r>
    </w:p>
    <w:p>
      <w:pPr>
        <w:spacing w:after="0" w:line="233"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Tranche C Loan</w:t>
      </w:r>
      <w:r>
        <w:rPr>
          <w:rFonts w:ascii="Times New Roman" w:cs="Times New Roman" w:eastAsia="Times New Roman" w:hAnsi="Times New Roman"/>
          <w:sz w:val="21"/>
          <w:szCs w:val="21"/>
          <w:color w:val="auto"/>
        </w:rPr>
        <w:t>” means each loan advanced by a Lender pursuant to Section 2.01(c). For purposes of clarification, any calculation of the aggregate outstanding principal amount of the Tranche C Loan on any date of determination shall mean the aggregate principal amount of the Tranche C Loan made pursuant to Section 2.01(c) that has not yet been repaid as of such date.</w:t>
      </w:r>
    </w:p>
    <w:p>
      <w:pPr>
        <w:spacing w:after="0" w:line="19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C Loan Borrowing Date</w:t>
      </w:r>
      <w:r>
        <w:rPr>
          <w:rFonts w:ascii="Times New Roman" w:cs="Times New Roman" w:eastAsia="Times New Roman" w:hAnsi="Times New Roman"/>
          <w:sz w:val="22"/>
          <w:szCs w:val="22"/>
          <w:color w:val="auto"/>
        </w:rPr>
        <w:t>” means with respect to the Tranche C Loan, the Business Day on which all conditions set forth in Section 6.04 have been satisfied or waived by the Lenders and the Tranche C Loan is made hereunder.</w:t>
      </w:r>
    </w:p>
    <w:p>
      <w:pPr>
        <w:spacing w:after="0" w:line="19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C Loan Commitment</w:t>
      </w:r>
      <w:r>
        <w:rPr>
          <w:rFonts w:ascii="Times New Roman" w:cs="Times New Roman" w:eastAsia="Times New Roman" w:hAnsi="Times New Roman"/>
          <w:sz w:val="22"/>
          <w:szCs w:val="22"/>
          <w:color w:val="auto"/>
        </w:rPr>
        <w:t xml:space="preserve">” means the commitment of a Lender to make or otherwise fund a Tranche C Loan and </w:t>
      </w:r>
      <w:r>
        <w:rPr>
          <w:rFonts w:ascii="Times New Roman" w:cs="Times New Roman" w:eastAsia="Times New Roman" w:hAnsi="Times New Roman"/>
          <w:sz w:val="22"/>
          <w:szCs w:val="22"/>
          <w:i w:val="1"/>
          <w:iCs w:val="1"/>
          <w:color w:val="auto"/>
        </w:rPr>
        <w:t xml:space="preserve">“Tranche C Loan Commitments” </w:t>
      </w:r>
      <w:r>
        <w:rPr>
          <w:rFonts w:ascii="Times New Roman" w:cs="Times New Roman" w:eastAsia="Times New Roman" w:hAnsi="Times New Roman"/>
          <w:sz w:val="22"/>
          <w:szCs w:val="22"/>
          <w:color w:val="auto"/>
        </w:rPr>
        <w:t>means such commitments of all Lenders in the aggregate. The amount of each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Tranche C Loan Commitment, if any, is set forth on Schedule 1. The aggregate amount of the Tranche C Loan Commitments as of the Closing Date is $10,000,000.</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C Loan Commitment Termination Date</w:t>
      </w:r>
      <w:r>
        <w:rPr>
          <w:rFonts w:ascii="Times New Roman" w:cs="Times New Roman" w:eastAsia="Times New Roman" w:hAnsi="Times New Roman"/>
          <w:sz w:val="22"/>
          <w:szCs w:val="22"/>
          <w:color w:val="auto"/>
        </w:rPr>
        <w:t>” means December 31, 2025.</w:t>
      </w:r>
    </w:p>
    <w:p>
      <w:pPr>
        <w:spacing w:after="0" w:line="247" w:lineRule="exact"/>
        <w:rPr>
          <w:sz w:val="20"/>
          <w:szCs w:val="20"/>
          <w:color w:val="auto"/>
        </w:rPr>
      </w:pPr>
    </w:p>
    <w:p>
      <w:pPr>
        <w:jc w:val="both"/>
        <w:ind w:firstLine="816"/>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“Transactions” </w:t>
      </w:r>
      <w:r>
        <w:rPr>
          <w:rFonts w:ascii="Times New Roman" w:cs="Times New Roman" w:eastAsia="Times New Roman" w:hAnsi="Times New Roman"/>
          <w:sz w:val="22"/>
          <w:szCs w:val="22"/>
          <w:color w:val="auto"/>
        </w:rPr>
        <w:t>means (a) the execution, delivery and performance by each Obligor of this Agreement and the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 Documents to which such Obligor is a party and the other transactions contemplated hereby and thereby, including disbursement and application of the proceeds of the Term Loans and (b) the Refinancing.</w:t>
      </w:r>
    </w:p>
    <w:p>
      <w:pPr>
        <w:spacing w:after="0" w:line="20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“UK Financial Institution” </w:t>
      </w:r>
      <w:r>
        <w:rPr>
          <w:rFonts w:ascii="Times New Roman" w:cs="Times New Roman" w:eastAsia="Times New Roman" w:hAnsi="Times New Roman"/>
          <w:sz w:val="22"/>
          <w:szCs w:val="22"/>
          <w:color w:val="auto"/>
        </w:rPr>
        <w:t>means any BRRD Undertaking (as such term is defined under the PRA Rulebook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“UK Resolution Authority” </w:t>
      </w:r>
      <w:r>
        <w:rPr>
          <w:rFonts w:ascii="Times New Roman" w:cs="Times New Roman" w:eastAsia="Times New Roman" w:hAnsi="Times New Roman"/>
          <w:sz w:val="22"/>
          <w:szCs w:val="22"/>
          <w:color w:val="auto"/>
        </w:rPr>
        <w:t>means the Bank of England or any other public administrative authority having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responsibility for the resolution of any UK Financial Institution.</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“Unrestricted Cash” </w:t>
      </w:r>
      <w:r>
        <w:rPr>
          <w:rFonts w:ascii="Times New Roman" w:cs="Times New Roman" w:eastAsia="Times New Roman" w:hAnsi="Times New Roman"/>
          <w:sz w:val="22"/>
          <w:szCs w:val="22"/>
          <w:color w:val="auto"/>
        </w:rPr>
        <w:t>means the balance of unencumbered cash (other than cash encumbered by the Liens granted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pursuant to the Loan Documents) and Permitted Cash Equivalent Investments (which for greater certainty shall not include any undrawn credit lines), in each case, to the extent held in a Controlled Account.</w:t>
      </w:r>
    </w:p>
    <w:p>
      <w:pPr>
        <w:spacing w:after="0" w:line="19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“U.S. Government Securities Business Day” </w:t>
      </w:r>
      <w:r>
        <w:rPr>
          <w:rFonts w:ascii="Times New Roman" w:cs="Times New Roman" w:eastAsia="Times New Roman" w:hAnsi="Times New Roman"/>
          <w:sz w:val="22"/>
          <w:szCs w:val="22"/>
          <w:color w:val="auto"/>
        </w:rPr>
        <w:t>means any day except for (a) a Saturday, (b) a Sunday or (c) a day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the Securities Industry and Financial Markets Association recommends that the fixed income departments of its members be closed for the entire day for purposes of trading in United States government securities.</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“U.S. Person” </w:t>
      </w:r>
      <w:r>
        <w:rPr>
          <w:rFonts w:ascii="Times New Roman" w:cs="Times New Roman" w:eastAsia="Times New Roman" w:hAnsi="Times New Roman"/>
          <w:sz w:val="22"/>
          <w:szCs w:val="22"/>
          <w:color w:val="auto"/>
        </w:rPr>
        <w:t>means a “United States person” within the meaning of Section 7701(a)(30) of the Code.</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“U.S. Tax Compliance Certificate” </w:t>
      </w:r>
      <w:r>
        <w:rPr>
          <w:rFonts w:ascii="Times New Roman" w:cs="Times New Roman" w:eastAsia="Times New Roman" w:hAnsi="Times New Roman"/>
          <w:sz w:val="22"/>
          <w:szCs w:val="22"/>
          <w:color w:val="auto"/>
        </w:rPr>
        <w:t>has the meaning set forth in Section 5.03(f)(ii)(B)(3).</w:t>
      </w:r>
    </w:p>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“Warrant Certificates” </w:t>
      </w:r>
      <w:r>
        <w:rPr>
          <w:rFonts w:ascii="Times New Roman" w:cs="Times New Roman" w:eastAsia="Times New Roman" w:hAnsi="Times New Roman"/>
          <w:sz w:val="22"/>
          <w:szCs w:val="22"/>
          <w:color w:val="auto"/>
        </w:rPr>
        <w:t>means collectively, (a) the Warrant Certificate (Funding Date) and (b) the Warrant Certificate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(First Amendment Effective Date), in each case as the Warrant Certificates may be amended, replaced or otherwise modified pursuant to the terms thereof.</w:t>
      </w:r>
    </w:p>
    <w:p>
      <w:pPr>
        <w:spacing w:after="0" w:line="20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“Warrant Certificate (First Amendment Effective Date)” </w:t>
      </w:r>
      <w:r>
        <w:rPr>
          <w:rFonts w:ascii="Times New Roman" w:cs="Times New Roman" w:eastAsia="Times New Roman" w:hAnsi="Times New Roman"/>
          <w:sz w:val="22"/>
          <w:szCs w:val="22"/>
          <w:color w:val="auto"/>
        </w:rPr>
        <w:t>means the warrant delivered to the Administrative Agent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First Amendment Effective Date that, among other things, grants the holder thereof the right to purchase the number of common shares of Borrower as indicated on the warrant shares table on Schedule 1 labeled as “First Amendment Warrant Shares,” as the Warrant Certificate may be amended, replaced or otherwise modified pursuant to the terms thereof.</w:t>
      </w:r>
    </w:p>
    <w:p>
      <w:pPr>
        <w:spacing w:after="0" w:line="19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“Warrant Certificate (Funding Date)” </w:t>
      </w:r>
      <w:r>
        <w:rPr>
          <w:rFonts w:ascii="Times New Roman" w:cs="Times New Roman" w:eastAsia="Times New Roman" w:hAnsi="Times New Roman"/>
          <w:sz w:val="22"/>
          <w:szCs w:val="22"/>
          <w:color w:val="auto"/>
        </w:rPr>
        <w:t>means the warrant, substantially in the form of Exhibit J, to be delivered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pursuant to Section 6.02(a)(ii) that, among other things, grants the holder thereof the right to purchase the number of common shares of Borrower as indicated on the warrant shares table on Schedule 1 labeled as “Initial Warrant Shares,” “Second Tranche Warrant Shares” and “Third Tranche Warrant Shares,” as the Warrant Certificate may be amended, replaced or otherwise modified pursuant to the terms thereof.</w:t>
      </w:r>
    </w:p>
    <w:p>
      <w:pPr>
        <w:spacing w:after="0" w:line="21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“Warrant Obligations” </w:t>
      </w:r>
      <w:r>
        <w:rPr>
          <w:rFonts w:ascii="Times New Roman" w:cs="Times New Roman" w:eastAsia="Times New Roman" w:hAnsi="Times New Roman"/>
          <w:sz w:val="22"/>
          <w:szCs w:val="22"/>
          <w:color w:val="auto"/>
        </w:rPr>
        <w:t>means, with respect to the Borrower, all of its Obligations arising out of, under or in connection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with, any Warrant Certificate;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term or provision hereof or of any other Loan Document to the contrary notwithstanding, neither the Borrower nor any other Person is providing (or intends to provide) the holder of such Warrant Certificate with any Guarantee or assurance of economic return or against risk of loss in respect of such Warrant Certificate or any Equity Interests issuable upon exercise thereof and neither the term “Obligations” nor the term “Warrant Obligations” shall be deemed to include, directly or indirectly, and such Guarantee or assurance.</w:t>
      </w:r>
    </w:p>
    <w:p>
      <w:pPr>
        <w:spacing w:after="0" w:line="185" w:lineRule="exact"/>
        <w:rPr>
          <w:sz w:val="20"/>
          <w:szCs w:val="20"/>
          <w:color w:val="auto"/>
        </w:rPr>
      </w:pPr>
    </w:p>
    <w:p>
      <w:pPr>
        <w:jc w:val="both"/>
        <w:ind w:firstLine="749"/>
        <w:spacing w:after="0" w:line="252" w:lineRule="exact"/>
        <w:rPr>
          <w:sz w:val="20"/>
          <w:szCs w:val="20"/>
          <w:color w:val="auto"/>
        </w:rPr>
      </w:pPr>
      <w:r>
        <w:rPr>
          <w:rFonts w:ascii="Times New Roman" w:cs="Times New Roman" w:eastAsia="Times New Roman" w:hAnsi="Times New Roman"/>
          <w:sz w:val="22"/>
          <w:szCs w:val="22"/>
          <w:i w:val="1"/>
          <w:iCs w:val="1"/>
          <w:color w:val="auto"/>
        </w:rPr>
        <w:t>“Write</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Down and Conversion Powers” </w:t>
      </w:r>
      <w:r>
        <w:rPr>
          <w:rFonts w:ascii="Times New Roman" w:cs="Times New Roman" w:eastAsia="Times New Roman" w:hAnsi="Times New Roman"/>
          <w:sz w:val="22"/>
          <w:szCs w:val="22"/>
          <w:color w:val="auto"/>
        </w:rPr>
        <w:t>means, (a) with respect to any EEA Resolution Authority, the write-down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7"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1.02. Accounting Terms and Principles </w:t>
      </w:r>
      <w:r>
        <w:rPr>
          <w:rFonts w:ascii="Times New Roman" w:cs="Times New Roman" w:eastAsia="Times New Roman" w:hAnsi="Times New Roman"/>
          <w:sz w:val="22"/>
          <w:szCs w:val="22"/>
          <w:color w:val="auto"/>
        </w:rPr>
        <w:t>All accounting determinations required to be made pursuant hereto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unless expressly otherwise provided herein, be made substantially in accordance with GAAP. If, after the date hereof, any change occurs in GAAP or</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in the application thereof (an </w:t>
      </w:r>
      <w:r>
        <w:rPr>
          <w:rFonts w:ascii="Times New Roman" w:cs="Times New Roman" w:eastAsia="Times New Roman" w:hAnsi="Times New Roman"/>
          <w:sz w:val="21"/>
          <w:szCs w:val="21"/>
          <w:i w:val="1"/>
          <w:iCs w:val="1"/>
          <w:color w:val="auto"/>
        </w:rPr>
        <w:t>“Accounting Change”</w:t>
      </w:r>
      <w:r>
        <w:rPr>
          <w:rFonts w:ascii="Times New Roman" w:cs="Times New Roman" w:eastAsia="Times New Roman" w:hAnsi="Times New Roman"/>
          <w:sz w:val="21"/>
          <w:szCs w:val="21"/>
          <w:color w:val="auto"/>
        </w:rPr>
        <w:t xml:space="preserve">) and such change would cause any amount required to be determined for the purposes of the covenants to be maintained or calculated pursuant to Article 8 or 9 to be materially different than the amount that would be determined prior to such change, then the Borrower will provide a detailed notice of such change (an </w:t>
      </w:r>
      <w:r>
        <w:rPr>
          <w:rFonts w:ascii="Times New Roman" w:cs="Times New Roman" w:eastAsia="Times New Roman" w:hAnsi="Times New Roman"/>
          <w:sz w:val="21"/>
          <w:szCs w:val="21"/>
          <w:i w:val="1"/>
          <w:iCs w:val="1"/>
          <w:color w:val="auto"/>
        </w:rPr>
        <w:t>“Accounting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Change Notice”</w:t>
      </w:r>
      <w:r>
        <w:rPr>
          <w:rFonts w:ascii="Times New Roman" w:cs="Times New Roman" w:eastAsia="Times New Roman" w:hAnsi="Times New Roman"/>
          <w:sz w:val="21"/>
          <w:szCs w:val="21"/>
          <w:color w:val="auto"/>
        </w:rPr>
        <w:t>) to the Administrative Agent in conjunction with the next required delivery of financial statements pursuant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Section 8.01. If the Borrower requests an amendment to any provision hereof to eliminate the effect of any Accounting Change occurring after the Closing Date or in the application thereof on the operation of such provision, regardless of whether any Accounting Change Notice is given before or after such Accounting Change or in the application thereof, then the Administrative Agent and the Borrower agree that they will negotiate in good faith amendments to the provisions of this Agreement that are directly affected by such Accounting Change with the intent of having the respective positions of the Administrative Agent and the Borrower after such Accounting Change conform as nearly as possible to their respective positions as of the date of this Agreement and, until any such amendments have been agreed upon, (a) the provisions in this Agreement shall be calculated as if no such Accounting Change had occurred and (b) the Borrower shall provide to the Administrative Agent a written reconciliation in form and substance reasonably satisfactory to the Administrative Agent, between calculations of any baskets and other requirements hereunder before and after giving effect to such Accounting Change.</w:t>
      </w:r>
    </w:p>
    <w:p>
      <w:pPr>
        <w:spacing w:after="0" w:line="212"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All components of financial calculations made to determine compliance with this Agreement shall be adjusted to include or exclude, as the case may be, without duplication, such components of such calculations attributable to any Acquisition or disposition of assets consummated after the first day of the applicable period of determination and prior to the end of such period, as determined in good faith by the Borrower based on assumptions expressed therein and that were reasonable based on the information available to the Borrower at the time of preparation of the Compliance Certificate setting forth such calculations.</w:t>
      </w:r>
    </w:p>
    <w:p>
      <w:pPr>
        <w:spacing w:after="0" w:line="205"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1.03. Interpretation </w:t>
      </w:r>
      <w:r>
        <w:rPr>
          <w:rFonts w:ascii="Times New Roman" w:cs="Times New Roman" w:eastAsia="Times New Roman" w:hAnsi="Times New Roman"/>
          <w:sz w:val="22"/>
          <w:szCs w:val="22"/>
          <w:color w:val="auto"/>
        </w:rPr>
        <w:t>For all purposes of this Agreement, except as otherwise expressly provided herein or unless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context otherwise requires, (a) the terms defined in this Agreement include the plural as well as the singular and vice versa; (b) words importing gender include all genders; (c) any reference to a Section, Article, Annex, Schedule or Exhibit refers to a Section or Article of, or Annex, Schedule or Exhibit to, this Agreement; (d)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Article, Annex, Schedule, Exhibit or any other subdivision; (e) references to days, months and years refer to calendar days, months and years, respectively; (f) all references herein to “include” or “including” shall be deemed to be followed by the words “without limitation”; (g) the word “from” when used in connection with a period of time means “from and including” and the word “until” means “to but not including”; (h) any definition of or reference to any statute, rule or regulation shall be construed as referring thereto as from time to time amended, supplemented or otherwise modified (including by succession of comparable successor laws), unless otherwise expressly stated to the contrary; (i) the words “herein”, “hereof” and “hereunder”, and words of similar import, shall be construed to refer to this Agreement in its entirety and not to any particular provision hereof; and (j) accounting terms not specifically defined herein shall be construed</w:t>
      </w:r>
    </w:p>
    <w:p>
      <w:pPr>
        <w:spacing w:after="0" w:line="32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substantially in accordance with GAAP (except for the term “property,” which shall be interpreted as broadly as possible, including, in any case, cash, securities, other assets, rights under contractual obligations and Permits and any right or interest in any property, except where otherwise noted). Unless otherwise expressly provided herein, references to Organizational Documents, agreements (including the Loan Documents) and other contractual instruments shall be deemed to include all subsequent amendments, restatements, extensions, supplements and other modifications thereto permitted by the Loan Documents.</w:t>
      </w:r>
    </w:p>
    <w:p>
      <w:pPr>
        <w:spacing w:after="0" w:line="204"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Section 1.04. Divisions </w:t>
      </w:r>
      <w:r>
        <w:rPr>
          <w:rFonts w:ascii="Times New Roman" w:cs="Times New Roman" w:eastAsia="Times New Roman" w:hAnsi="Times New Roman"/>
          <w:sz w:val="21"/>
          <w:szCs w:val="21"/>
          <w:color w:val="auto"/>
        </w:rPr>
        <w:t>For all purposes under the Loan Documents, in connection with any division or plan of division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4"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1.05. Interest Rates </w:t>
      </w:r>
      <w:r>
        <w:rPr>
          <w:rFonts w:ascii="Times New Roman" w:cs="Times New Roman" w:eastAsia="Times New Roman" w:hAnsi="Times New Roman"/>
          <w:sz w:val="22"/>
          <w:szCs w:val="22"/>
          <w:color w:val="auto"/>
        </w:rPr>
        <w:t>The Administrative Agent does not warrant or accept responsibility for, and shall not have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liability with respect to (a) the continuation of, administration of, submission of, calculation of or any other matter related to the Term SOFR Reference Rate,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ommitments</w:t>
      </w:r>
    </w:p>
    <w:p>
      <w:pPr>
        <w:spacing w:after="0" w:line="247"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2.01.</w:t>
      </w:r>
      <w:r>
        <w:rPr>
          <w:sz w:val="20"/>
          <w:szCs w:val="20"/>
          <w:color w:val="auto"/>
        </w:rPr>
        <w:tab/>
      </w:r>
      <w:r>
        <w:rPr>
          <w:rFonts w:ascii="Times New Roman" w:cs="Times New Roman" w:eastAsia="Times New Roman" w:hAnsi="Times New Roman"/>
          <w:sz w:val="21"/>
          <w:szCs w:val="21"/>
          <w:i w:val="1"/>
          <w:iCs w:val="1"/>
          <w:color w:val="auto"/>
        </w:rPr>
        <w:t>Term Loans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360" w:hanging="855"/>
        <w:spacing w:after="0"/>
        <w:tabs>
          <w:tab w:leader="none" w:pos="23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A Loan</w:t>
      </w:r>
      <w:r>
        <w:rPr>
          <w:rFonts w:ascii="Times New Roman" w:cs="Times New Roman" w:eastAsia="Times New Roman" w:hAnsi="Times New Roman"/>
          <w:sz w:val="22"/>
          <w:szCs w:val="22"/>
          <w:color w:val="auto"/>
        </w:rPr>
        <w:t>.</w:t>
      </w:r>
    </w:p>
    <w:p>
      <w:pPr>
        <w:spacing w:after="0" w:line="35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52" w:lineRule="exact"/>
        <w:rPr>
          <w:sz w:val="20"/>
          <w:szCs w:val="20"/>
          <w:color w:val="auto"/>
        </w:rPr>
      </w:pPr>
    </w:p>
    <w:p>
      <w:pPr>
        <w:jc w:val="both"/>
        <w:ind w:left="380" w:firstLine="754"/>
        <w:spacing w:after="0" w:line="238" w:lineRule="auto"/>
        <w:tabs>
          <w:tab w:leader="none" w:pos="1993"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and relying on the representations and warranties set forth herein, each Lender, severally and not jointly, agrees to provide its share of the Tranche A Loan to the Borrower on the Funding Date in Dollars in a principal amount equal to such Lender’s Tranche A Loan Commitment. No Lender shall have an obligation to make a Tranche A Loan in excess of such Lender’s Tranche A Loan Commitment.</w:t>
      </w:r>
    </w:p>
    <w:p>
      <w:pPr>
        <w:spacing w:after="0" w:line="257"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993"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(including Section 6.02), the Borrower shall deliver to the Administrative Agent a fully executed Borrowing Notice no later than 5 p.m. (New York City time) at least one (1) Business Day in advance of the Funding Date.</w:t>
      </w:r>
    </w:p>
    <w:p>
      <w:pPr>
        <w:spacing w:after="0" w:line="240" w:lineRule="exact"/>
        <w:rPr>
          <w:rFonts w:ascii="Times New Roman" w:cs="Times New Roman" w:eastAsia="Times New Roman" w:hAnsi="Times New Roman"/>
          <w:sz w:val="22"/>
          <w:szCs w:val="22"/>
          <w:color w:val="auto"/>
        </w:rPr>
      </w:pPr>
    </w:p>
    <w:p>
      <w:pPr>
        <w:jc w:val="both"/>
        <w:ind w:left="380" w:firstLine="754"/>
        <w:spacing w:after="0" w:line="238" w:lineRule="auto"/>
        <w:tabs>
          <w:tab w:leader="none" w:pos="1993"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one borrowing under the Tranche A Loan Commitment which shall be on the Funding Date. Subject to Section 3.03, all amounts owed hereunder with respect to the Tranche A Loan shall be paid in full no later than the Maturity Date. Each Lender’s Tranche A Loan Commitment shall terminate immediately and without further action on the Funding Date after giving effect to the funding of such Lender’s Tranche A Loan Commitment on such date.</w:t>
      </w:r>
    </w:p>
    <w:p>
      <w:pPr>
        <w:spacing w:after="0" w:line="213" w:lineRule="exact"/>
        <w:rPr>
          <w:rFonts w:ascii="Times New Roman" w:cs="Times New Roman" w:eastAsia="Times New Roman" w:hAnsi="Times New Roman"/>
          <w:sz w:val="22"/>
          <w:szCs w:val="22"/>
          <w:color w:val="auto"/>
        </w:rPr>
      </w:pPr>
    </w:p>
    <w:p>
      <w:pPr>
        <w:ind w:left="1240" w:hanging="855"/>
        <w:spacing w:after="0"/>
        <w:tabs>
          <w:tab w:leader="none" w:pos="12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B Loan.</w:t>
      </w:r>
    </w:p>
    <w:p>
      <w:pPr>
        <w:spacing w:after="0" w:line="277" w:lineRule="exact"/>
        <w:rPr>
          <w:rFonts w:ascii="Times New Roman" w:cs="Times New Roman" w:eastAsia="Times New Roman" w:hAnsi="Times New Roman"/>
          <w:sz w:val="22"/>
          <w:szCs w:val="22"/>
          <w:color w:val="auto"/>
        </w:rPr>
      </w:pPr>
    </w:p>
    <w:p>
      <w:pPr>
        <w:jc w:val="both"/>
        <w:ind w:left="380" w:firstLine="754"/>
        <w:spacing w:after="0" w:line="238" w:lineRule="auto"/>
        <w:tabs>
          <w:tab w:leader="none" w:pos="1993"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and relying on the representations and warranties set forth herein, each Lender, severally and not jointly, agrees to provide its share of the Tranche B Loan to the Borrower on the Tranche B Loan Borrowing Date in Dollars in a principal amount equal to such Lender’s Tranche B Loan Commitment. No Lender shall have an obligation to make a Tranche B Loan in excess of such Lender’s Tranche B Loan Commitment.</w:t>
      </w:r>
    </w:p>
    <w:p>
      <w:pPr>
        <w:spacing w:after="0" w:line="244" w:lineRule="exact"/>
        <w:rPr>
          <w:rFonts w:ascii="Times New Roman" w:cs="Times New Roman" w:eastAsia="Times New Roman" w:hAnsi="Times New Roman"/>
          <w:sz w:val="22"/>
          <w:szCs w:val="22"/>
          <w:color w:val="auto"/>
        </w:rPr>
      </w:pPr>
    </w:p>
    <w:p>
      <w:pPr>
        <w:jc w:val="both"/>
        <w:ind w:left="380" w:firstLine="754"/>
        <w:spacing w:after="0" w:line="261" w:lineRule="auto"/>
        <w:tabs>
          <w:tab w:leader="none" w:pos="1993"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of this Agreement (including Section 6.03), the Borrower shall deliver to the Administrative Agent a fully executed Borrowing Notice no later than 5 p.m. (New York City time) at least three (3) Business Days in advance of the proposed Tranche B Loan Borrowing Date.</w:t>
      </w:r>
    </w:p>
    <w:p>
      <w:pPr>
        <w:spacing w:after="0" w:line="238" w:lineRule="exact"/>
        <w:rPr>
          <w:rFonts w:ascii="Times New Roman" w:cs="Times New Roman" w:eastAsia="Times New Roman" w:hAnsi="Times New Roman"/>
          <w:sz w:val="21"/>
          <w:szCs w:val="21"/>
          <w:color w:val="auto"/>
        </w:rPr>
      </w:pPr>
    </w:p>
    <w:p>
      <w:pPr>
        <w:jc w:val="both"/>
        <w:ind w:left="380" w:firstLine="754"/>
        <w:spacing w:after="0" w:line="238" w:lineRule="auto"/>
        <w:tabs>
          <w:tab w:leader="none" w:pos="1993"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one borrowing under the Tranche B Loan Commitment which shall be on the Tranche B Loan Borrowing Date. Subject to Section 3.03, all amounts owed hereunder with respect to the Tranche B Loan shall be paid in full no later than the Maturity Date. Each Lender’s Tranche B Loan Commitment shall terminate immediately and without further action on the earlier of (x) the Tranche B Loan Borrowing Date after giving effect to the funding</w:t>
      </w:r>
    </w:p>
    <w:p>
      <w:pPr>
        <w:spacing w:after="0" w:line="318"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72" w:name="page173"/>
    <w:bookmarkEnd w:id="172"/>
    <w:p>
      <w:pPr>
        <w:spacing w:after="0" w:line="252" w:lineRule="exact"/>
        <w:rPr>
          <w:sz w:val="20"/>
          <w:szCs w:val="20"/>
          <w:color w:val="auto"/>
        </w:rPr>
      </w:pPr>
    </w:p>
    <w:p>
      <w:pPr>
        <w:ind w:left="1500"/>
        <w:spacing w:after="0" w:line="258" w:lineRule="auto"/>
        <w:rPr>
          <w:sz w:val="20"/>
          <w:szCs w:val="20"/>
          <w:color w:val="auto"/>
        </w:rPr>
      </w:pPr>
      <w:r>
        <w:rPr>
          <w:rFonts w:ascii="Times New Roman" w:cs="Times New Roman" w:eastAsia="Times New Roman" w:hAnsi="Times New Roman"/>
          <w:sz w:val="22"/>
          <w:szCs w:val="22"/>
          <w:color w:val="auto"/>
        </w:rPr>
        <w:t>of such Lender’s Tranche B Loan Commitment on such date and (y) the Tranche B Loan Commitment Termination Date.</w:t>
      </w:r>
    </w:p>
    <w:p>
      <w:pPr>
        <w:spacing w:after="0" w:line="195" w:lineRule="exact"/>
        <w:rPr>
          <w:sz w:val="20"/>
          <w:szCs w:val="20"/>
          <w:color w:val="auto"/>
        </w:rPr>
      </w:pPr>
    </w:p>
    <w:p>
      <w:pPr>
        <w:ind w:left="2360" w:hanging="855"/>
        <w:spacing w:after="0"/>
        <w:tabs>
          <w:tab w:leader="none" w:pos="23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C Loan.</w:t>
      </w:r>
    </w:p>
    <w:p>
      <w:pPr>
        <w:spacing w:after="0" w:line="277"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3113"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and relying on the representations and warranties set forth herein, each Lender, severally and not jointly, agrees to provide its share of the Tranche C Loan to the Borrower on the Tranche C Loan Borrowing Date in Dollars in a principal amount equal to such Lender’s Tranche C Loan Commitment. No Lender shall have an obligation to make a Tranche C Loan in excess of such Lender’s Tranche C Loan Commitment.</w:t>
      </w:r>
    </w:p>
    <w:p>
      <w:pPr>
        <w:spacing w:after="0" w:line="257" w:lineRule="exact"/>
        <w:rPr>
          <w:rFonts w:ascii="Times New Roman" w:cs="Times New Roman" w:eastAsia="Times New Roman" w:hAnsi="Times New Roman"/>
          <w:sz w:val="22"/>
          <w:szCs w:val="22"/>
          <w:color w:val="auto"/>
        </w:rPr>
      </w:pPr>
    </w:p>
    <w:p>
      <w:pPr>
        <w:jc w:val="both"/>
        <w:ind w:left="1500" w:firstLine="754"/>
        <w:spacing w:after="0" w:line="261" w:lineRule="auto"/>
        <w:tabs>
          <w:tab w:leader="none" w:pos="3113"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of this Agreement (including Section 6.04), the Borrower shall deliver to the Administrative Agent a fully executed Borrowing Notice no later than 5 p.m. (New York City time) at least three (3) Business Days in advance of the proposed Tranche C Loan Borrowing Date.</w:t>
      </w:r>
    </w:p>
    <w:p>
      <w:pPr>
        <w:spacing w:after="0" w:line="224" w:lineRule="exact"/>
        <w:rPr>
          <w:rFonts w:ascii="Times New Roman" w:cs="Times New Roman" w:eastAsia="Times New Roman" w:hAnsi="Times New Roman"/>
          <w:sz w:val="21"/>
          <w:szCs w:val="21"/>
          <w:color w:val="auto"/>
        </w:rPr>
      </w:pPr>
    </w:p>
    <w:p>
      <w:pPr>
        <w:jc w:val="both"/>
        <w:ind w:left="1500" w:firstLine="754"/>
        <w:spacing w:after="0" w:line="236" w:lineRule="auto"/>
        <w:tabs>
          <w:tab w:leader="none" w:pos="3113"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one borrowing under the Tranche C Loan Commitment which shall be on the Tranche C Loan Borrowing Date. Subject to Section 3.03, all amounts owed hereunder with respect to the Tranche C Loan shall be paid in full no later than the Maturity Date. Each Lender’s Tranche C Loan Commitment shall terminate immediately and without further action on the earlier of (x) the Tranche C Loan Borrowing Date after giving effect to the funding of such Lender’s Tranche C Loan Commitment on such date and (y) the Tranche C Loan Commitment Termination Date.</w:t>
      </w:r>
    </w:p>
    <w:p>
      <w:pPr>
        <w:spacing w:after="0" w:line="221" w:lineRule="exact"/>
        <w:rPr>
          <w:rFonts w:ascii="Times New Roman" w:cs="Times New Roman" w:eastAsia="Times New Roman" w:hAnsi="Times New Roman"/>
          <w:sz w:val="22"/>
          <w:szCs w:val="22"/>
          <w:color w:val="auto"/>
        </w:rPr>
      </w:pPr>
    </w:p>
    <w:p>
      <w:pPr>
        <w:ind w:left="760" w:right="80" w:firstLine="745"/>
        <w:spacing w:after="0" w:line="258" w:lineRule="auto"/>
        <w:tabs>
          <w:tab w:leader="none" w:pos="237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principal amount of the Term Loans borrowed under Section 2.01(a), (b) or (c) hereof and subsequently repaid or prepaid may not be reborrowed.</w:t>
      </w:r>
    </w:p>
    <w:p>
      <w:pPr>
        <w:spacing w:after="0" w:line="181" w:lineRule="exact"/>
        <w:rPr>
          <w:sz w:val="20"/>
          <w:szCs w:val="20"/>
          <w:color w:val="auto"/>
        </w:rPr>
      </w:pPr>
    </w:p>
    <w:p>
      <w:pPr>
        <w:jc w:val="both"/>
        <w:ind w:firstLine="45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2.02. Proportionate Shares. </w:t>
      </w:r>
      <w:r>
        <w:rPr>
          <w:rFonts w:ascii="Times New Roman" w:cs="Times New Roman" w:eastAsia="Times New Roman" w:hAnsi="Times New Roman"/>
          <w:sz w:val="22"/>
          <w:szCs w:val="22"/>
          <w:color w:val="auto"/>
        </w:rPr>
        <w:t>All Term Loans shall be made, and all participations purchased, by the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simultaneously and proportionately to their respective Proportionate Shares, it being understood that no Lender shall be responsible for any default by any other Lender in such other Lender’s obligation to make a Term Loan hereunder or purchase a participation required hereby nor shall the Commitment of any Lender be increased or decreased as a result of a default by any other Lender in such other Lender’s obligation to make a Term Loan requested hereunder or purchase a participation required hereby.</w:t>
      </w:r>
    </w:p>
    <w:p>
      <w:pPr>
        <w:spacing w:after="0" w:line="216"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2.03. Fees </w:t>
      </w:r>
      <w:r>
        <w:rPr>
          <w:rFonts w:ascii="Times New Roman" w:cs="Times New Roman" w:eastAsia="Times New Roman" w:hAnsi="Times New Roman"/>
          <w:sz w:val="22"/>
          <w:szCs w:val="22"/>
          <w:color w:val="auto"/>
        </w:rPr>
        <w:t>. The Borrower shall pay to the Administrative Agent, in accordance with the provisions of the Fee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Letter, and for distribution to each Lender in accordance with its Pro Rata Share of the Term Loans, the Funding Fee. Such payments shall be in addition to such fees, costs and expenses due and payable pursuant to Section 13.03.</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21" w:lineRule="exact"/>
        <w:rPr>
          <w:sz w:val="20"/>
          <w:szCs w:val="20"/>
          <w:color w:val="auto"/>
        </w:rPr>
      </w:pPr>
    </w:p>
    <w:p>
      <w:pPr>
        <w:jc w:val="both"/>
        <w:ind w:right="20"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Section 2.04. Notes</w:t>
      </w:r>
      <w:r>
        <w:rPr>
          <w:rFonts w:ascii="Times New Roman" w:cs="Times New Roman" w:eastAsia="Times New Roman" w:hAnsi="Times New Roman"/>
          <w:sz w:val="22"/>
          <w:szCs w:val="22"/>
          <w:color w:val="auto"/>
        </w:rPr>
        <w:t>. Upon the request of any Lender, the Borrower shall prepare, execute and deliver to such Lender one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more Notes evidencing the portion of the Term Loans payable to such Lender (or if requested by it, to it and its registered assigns).</w:t>
      </w:r>
    </w:p>
    <w:p>
      <w:pPr>
        <w:spacing w:after="0" w:line="194" w:lineRule="exact"/>
        <w:rPr>
          <w:sz w:val="20"/>
          <w:szCs w:val="20"/>
          <w:color w:val="auto"/>
        </w:rPr>
      </w:pPr>
    </w:p>
    <w:p>
      <w:pPr>
        <w:jc w:val="both"/>
        <w:ind w:firstLine="445"/>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2.05. Use of Proceeds </w:t>
      </w:r>
      <w:r>
        <w:rPr>
          <w:rFonts w:ascii="Times New Roman" w:cs="Times New Roman" w:eastAsia="Times New Roman" w:hAnsi="Times New Roman"/>
          <w:sz w:val="22"/>
          <w:szCs w:val="22"/>
          <w:color w:val="auto"/>
        </w:rPr>
        <w:t>. The Borrower shall use the proceeds of the Tranche A Loan and Tranche B Loan (a)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general working capital purposes and corporate purposes permitted hereunder, (b) to refinance the Existing Credit Agreements (the “</w:t>
      </w:r>
      <w:r>
        <w:rPr>
          <w:rFonts w:ascii="Times New Roman" w:cs="Times New Roman" w:eastAsia="Times New Roman" w:hAnsi="Times New Roman"/>
          <w:sz w:val="22"/>
          <w:szCs w:val="22"/>
          <w:i w:val="1"/>
          <w:iCs w:val="1"/>
          <w:color w:val="auto"/>
        </w:rPr>
        <w:t>Refinancing</w:t>
      </w:r>
      <w:r>
        <w:rPr>
          <w:rFonts w:ascii="Times New Roman" w:cs="Times New Roman" w:eastAsia="Times New Roman" w:hAnsi="Times New Roman"/>
          <w:sz w:val="22"/>
          <w:szCs w:val="22"/>
          <w:color w:val="auto"/>
        </w:rPr>
        <w:t>”), and (c) to pay, in accordance with the funds flow attached to the Borrowing Notice, reasonable and documented out-of-pocket fees, costs and expenses incurred in connection with the Transactions. The Borrower shall use the proceeds of the Tranche C Loan for general working capital purposes and corporate purposes permitted hereunder, including, but not limited to, making Permitted Acquisitions with the prior written consent of the Administrative Agent.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ayments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rincipal and</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nterest</w:t>
      </w:r>
    </w:p>
    <w:p>
      <w:pPr>
        <w:spacing w:after="0" w:line="247"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3.01. Repayment </w:t>
      </w:r>
      <w:r>
        <w:rPr>
          <w:rFonts w:ascii="Times New Roman" w:cs="Times New Roman" w:eastAsia="Times New Roman" w:hAnsi="Times New Roman"/>
          <w:sz w:val="22"/>
          <w:szCs w:val="22"/>
          <w:color w:val="auto"/>
        </w:rPr>
        <w:t>. There will be no scheduled repayments of principal on the Term Loans prior to the Maturity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The entire outstanding principal amount of the Term Loans, together with all accrued and unpaid interest thereon, will be due and payable on the Maturity Date.</w:t>
      </w:r>
    </w:p>
    <w:p>
      <w:pPr>
        <w:spacing w:after="0" w:line="208"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3.02.</w:t>
      </w:r>
      <w:r>
        <w:rPr>
          <w:sz w:val="20"/>
          <w:szCs w:val="20"/>
          <w:color w:val="auto"/>
        </w:rPr>
        <w:tab/>
      </w:r>
      <w:r>
        <w:rPr>
          <w:rFonts w:ascii="Times New Roman" w:cs="Times New Roman" w:eastAsia="Times New Roman" w:hAnsi="Times New Roman"/>
          <w:sz w:val="21"/>
          <w:szCs w:val="21"/>
          <w:i w:val="1"/>
          <w:iCs w:val="1"/>
          <w:color w:val="auto"/>
        </w:rPr>
        <w:t>Interest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760" w:firstLine="745"/>
        <w:spacing w:after="0" w:line="255" w:lineRule="auto"/>
        <w:tabs>
          <w:tab w:leader="none" w:pos="2373"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Interest Generally. </w:t>
      </w:r>
      <w:r>
        <w:rPr>
          <w:rFonts w:ascii="Times New Roman" w:cs="Times New Roman" w:eastAsia="Times New Roman" w:hAnsi="Times New Roman"/>
          <w:sz w:val="21"/>
          <w:szCs w:val="21"/>
          <w:color w:val="auto"/>
        </w:rPr>
        <w:t>The Borrower agrees to pay to the Lenders interest in cash on the outstanding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principal amount of the Term Loans for each Interest Period at a rate per annum equal to the sum of (i) Term SOFR plus</w:t>
      </w:r>
    </w:p>
    <w:p>
      <w:pPr>
        <w:ind w:left="1080" w:hanging="323"/>
        <w:spacing w:after="0"/>
        <w:tabs>
          <w:tab w:leader="none" w:pos="10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Margin.</w:t>
      </w:r>
    </w:p>
    <w:p>
      <w:pPr>
        <w:spacing w:after="0" w:line="218"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373"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 SOFR Conforming Changes. </w:t>
      </w:r>
      <w:r>
        <w:rPr>
          <w:rFonts w:ascii="Times New Roman" w:cs="Times New Roman" w:eastAsia="Times New Roman" w:hAnsi="Times New Roman"/>
          <w:sz w:val="22"/>
          <w:szCs w:val="22"/>
          <w:color w:val="auto"/>
        </w:rPr>
        <w:t>In connection with the use, administration, adoption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216"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Benchmark Transition Event.</w:t>
      </w:r>
    </w:p>
    <w:p>
      <w:pPr>
        <w:spacing w:after="0" w:line="273" w:lineRule="exact"/>
        <w:rPr>
          <w:rFonts w:ascii="Times New Roman" w:cs="Times New Roman" w:eastAsia="Times New Roman" w:hAnsi="Times New Roman"/>
          <w:sz w:val="22"/>
          <w:szCs w:val="22"/>
          <w:color w:val="auto"/>
        </w:rPr>
      </w:pPr>
    </w:p>
    <w:p>
      <w:pPr>
        <w:jc w:val="both"/>
        <w:ind w:left="1500" w:firstLine="754"/>
        <w:spacing w:after="0" w:line="263" w:lineRule="auto"/>
        <w:tabs>
          <w:tab w:leader="none" w:pos="3153" w:val="left"/>
        </w:tabs>
        <w:numPr>
          <w:ilvl w:val="2"/>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Benchmark Replacement</w:t>
      </w:r>
      <w:r>
        <w:rPr>
          <w:rFonts w:ascii="Times New Roman" w:cs="Times New Roman" w:eastAsia="Times New Roman" w:hAnsi="Times New Roman"/>
          <w:sz w:val="21"/>
          <w:szCs w:val="21"/>
          <w:color w:val="auto"/>
        </w:rPr>
        <w:t>. Notwithstanding anything to the contrary herein or in any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Loan Document, if a Benchmark Transition Event and its related Benchmark Replacement Date have occurred prior any setting of the then-current Benchmark, then (x) if a Benchmark Replacement is determined in</w:t>
      </w:r>
    </w:p>
    <w:p>
      <w:pPr>
        <w:spacing w:after="0" w:line="296"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52" w:lineRule="exact"/>
        <w:rPr>
          <w:sz w:val="20"/>
          <w:szCs w:val="20"/>
          <w:color w:val="auto"/>
        </w:rPr>
      </w:pPr>
    </w:p>
    <w:p>
      <w:pPr>
        <w:jc w:val="both"/>
        <w:ind w:left="380"/>
        <w:spacing w:after="0" w:line="233" w:lineRule="auto"/>
        <w:rPr>
          <w:sz w:val="20"/>
          <w:szCs w:val="20"/>
          <w:color w:val="auto"/>
        </w:rPr>
      </w:pPr>
      <w:r>
        <w:rPr>
          <w:rFonts w:ascii="Times New Roman" w:cs="Times New Roman" w:eastAsia="Times New Roman" w:hAnsi="Times New Roman"/>
          <w:sz w:val="22"/>
          <w:szCs w:val="22"/>
          <w:color w:val="auto"/>
        </w:rPr>
        <w:t>accordance with clause (a) of the definition of “Benchmark Replacement” for such Benchmark Replacement Date, such Benchmark Replacement will replace such Benchmark for all purposes hereunder and under any Loan Document in respect of such Benchmark setting and any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Majority Lenders.</w:t>
      </w:r>
    </w:p>
    <w:p>
      <w:pPr>
        <w:spacing w:after="0" w:line="262" w:lineRule="exact"/>
        <w:rPr>
          <w:sz w:val="20"/>
          <w:szCs w:val="20"/>
          <w:color w:val="auto"/>
        </w:rPr>
      </w:pPr>
    </w:p>
    <w:p>
      <w:pPr>
        <w:jc w:val="both"/>
        <w:ind w:left="380" w:firstLine="754"/>
        <w:spacing w:after="0" w:line="238" w:lineRule="auto"/>
        <w:tabs>
          <w:tab w:leader="none" w:pos="2033"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Conforming Changes</w:t>
      </w:r>
      <w:r>
        <w:rPr>
          <w:rFonts w:ascii="Times New Roman" w:cs="Times New Roman" w:eastAsia="Times New Roman" w:hAnsi="Times New Roman"/>
          <w:sz w:val="22"/>
          <w:szCs w:val="22"/>
          <w:color w:val="auto"/>
        </w:rPr>
        <w:t>. In connection with the implementation of a Benchmark Replacement,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the Loan Documents.</w:t>
      </w:r>
    </w:p>
    <w:p>
      <w:pPr>
        <w:spacing w:after="0" w:line="244" w:lineRule="exact"/>
        <w:rPr>
          <w:rFonts w:ascii="Times New Roman" w:cs="Times New Roman" w:eastAsia="Times New Roman" w:hAnsi="Times New Roman"/>
          <w:sz w:val="22"/>
          <w:szCs w:val="22"/>
          <w:color w:val="auto"/>
        </w:rPr>
      </w:pPr>
    </w:p>
    <w:p>
      <w:pPr>
        <w:jc w:val="both"/>
        <w:ind w:left="380" w:firstLine="754"/>
        <w:spacing w:after="0" w:line="243" w:lineRule="auto"/>
        <w:tabs>
          <w:tab w:leader="none" w:pos="216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 Standards for Decisions and Determinations</w:t>
      </w:r>
      <w:r>
        <w:rPr>
          <w:rFonts w:ascii="Times New Roman" w:cs="Times New Roman" w:eastAsia="Times New Roman" w:hAnsi="Times New Roman"/>
          <w:sz w:val="22"/>
          <w:szCs w:val="22"/>
          <w:color w:val="auto"/>
        </w:rPr>
        <w:t>. The Administrative Agent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promptly notify the Borrower and the Lenders of (x) the implementation of any Benchmark Replacement and</w:t>
      </w:r>
    </w:p>
    <w:p>
      <w:pPr>
        <w:spacing w:after="0" w:line="1" w:lineRule="exact"/>
        <w:rPr>
          <w:rFonts w:ascii="Times New Roman" w:cs="Times New Roman" w:eastAsia="Times New Roman" w:hAnsi="Times New Roman"/>
          <w:sz w:val="22"/>
          <w:szCs w:val="22"/>
          <w:color w:val="auto"/>
        </w:rPr>
      </w:pPr>
    </w:p>
    <w:p>
      <w:pPr>
        <w:jc w:val="both"/>
        <w:ind w:left="380" w:firstLine="5"/>
        <w:spacing w:after="0" w:line="232" w:lineRule="auto"/>
        <w:tabs>
          <w:tab w:leader="none" w:pos="73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effectiveness of any Conforming Changes in connection with the use, administration, adoption or implementation of a Benchmark Replacement. Any determination, decision or election that may be made by the Administrative Agent or the Lenders pursuant to this Section 3.02(c)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reasonable discretion and without consent from any other party hereto, except, in each case, as expressly required pursuant to this Section 3.02(c).</w:t>
      </w:r>
    </w:p>
    <w:p>
      <w:pPr>
        <w:spacing w:after="0" w:line="244" w:lineRule="exact"/>
        <w:rPr>
          <w:rFonts w:ascii="Times New Roman" w:cs="Times New Roman" w:eastAsia="Times New Roman" w:hAnsi="Times New Roman"/>
          <w:sz w:val="22"/>
          <w:szCs w:val="22"/>
          <w:color w:val="auto"/>
        </w:rPr>
      </w:pPr>
    </w:p>
    <w:p>
      <w:pPr>
        <w:jc w:val="both"/>
        <w:ind w:left="380" w:firstLine="754"/>
        <w:spacing w:after="0" w:line="236" w:lineRule="auto"/>
        <w:tabs>
          <w:tab w:leader="none" w:pos="1993"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Unavailability of Tenor of Benchmark</w:t>
      </w:r>
      <w:r>
        <w:rPr>
          <w:rFonts w:ascii="Times New Roman" w:cs="Times New Roman" w:eastAsia="Times New Roman" w:hAnsi="Times New Roman"/>
          <w:sz w:val="22"/>
          <w:szCs w:val="22"/>
          <w:color w:val="auto"/>
        </w:rPr>
        <w:t>. Notwithstanding anything to the contrary herein or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other Loan Document, at any time (including in connection with the implementation of a Benchmark Replacement), (x)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w:t>
      </w:r>
    </w:p>
    <w:p>
      <w:pPr>
        <w:spacing w:after="0" w:line="321"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75" w:name="page176"/>
    <w:bookmarkEnd w:id="175"/>
    <w:p>
      <w:pPr>
        <w:spacing w:after="0" w:line="252" w:lineRule="exact"/>
        <w:rPr>
          <w:sz w:val="20"/>
          <w:szCs w:val="20"/>
          <w:color w:val="auto"/>
        </w:rPr>
      </w:pPr>
    </w:p>
    <w:p>
      <w:pPr>
        <w:jc w:val="both"/>
        <w:ind w:left="380"/>
        <w:spacing w:after="0" w:line="233" w:lineRule="auto"/>
        <w:rPr>
          <w:sz w:val="20"/>
          <w:szCs w:val="20"/>
          <w:color w:val="auto"/>
        </w:rPr>
      </w:pPr>
      <w:r>
        <w:rPr>
          <w:rFonts w:ascii="Times New Roman" w:cs="Times New Roman" w:eastAsia="Times New Roman" w:hAnsi="Times New Roman"/>
          <w:sz w:val="22"/>
          <w:szCs w:val="22"/>
          <w:color w:val="auto"/>
        </w:rPr>
        <w:t>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or non-representative, non-compliant or non-aligned tenor and (y) if a tenor that was removed pursuant to clause (x) above either (A) is subsequently displayed on a screen or information service for a Benchmark (including a Benchmark Replacement) or (B) is not, or is no longer, subject to an announcement that it is not or will not be representative or incompliance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24" w:lineRule="exact"/>
        <w:rPr>
          <w:sz w:val="20"/>
          <w:szCs w:val="20"/>
          <w:color w:val="auto"/>
        </w:rPr>
      </w:pPr>
    </w:p>
    <w:p>
      <w:pPr>
        <w:jc w:val="both"/>
        <w:ind w:left="-360" w:firstLine="745"/>
        <w:spacing w:after="0" w:line="235" w:lineRule="auto"/>
        <w:tabs>
          <w:tab w:leader="none" w:pos="126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Default Interest. </w:t>
      </w:r>
      <w:r>
        <w:rPr>
          <w:rFonts w:ascii="Times New Roman" w:cs="Times New Roman" w:eastAsia="Times New Roman" w:hAnsi="Times New Roman"/>
          <w:sz w:val="22"/>
          <w:szCs w:val="22"/>
          <w:color w:val="auto"/>
        </w:rPr>
        <w:t>Notwithstanding the foregoing, upon written notice from the Administrative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following the occurrence and during the continuance of any Event of Default, the Applicable Margin shall increase automatically by 4.00% per annum (the interest rate, as increased pursuant to this Section 3.02(d), being the </w:t>
      </w:r>
      <w:r>
        <w:rPr>
          <w:rFonts w:ascii="Times New Roman" w:cs="Times New Roman" w:eastAsia="Times New Roman" w:hAnsi="Times New Roman"/>
          <w:sz w:val="22"/>
          <w:szCs w:val="22"/>
          <w:i w:val="1"/>
          <w:iCs w:val="1"/>
          <w:color w:val="auto"/>
        </w:rPr>
        <w:t>“Default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Rate”</w:t>
      </w:r>
      <w:r>
        <w:rPr>
          <w:rFonts w:ascii="Times New Roman" w:cs="Times New Roman" w:eastAsia="Times New Roman" w:hAnsi="Times New Roman"/>
          <w:sz w:val="22"/>
          <w:szCs w:val="22"/>
          <w:color w:val="auto"/>
        </w:rPr>
        <w:t>). Notwithstanding any other provision herein, if interest is required to be paid at the Default Rate, it shall also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paid entirely in cash. If any Obligation is not paid when due under any applicable Loan Document, the amount thereof shall accrue interest at the Default Rate. Payment or acceptance of the increased rates of interest provided for in this Section 3.02(d) is not a permitted alternative to timely payment and shall not constitute a waiver of any Default or otherwise prejudice or limit any rights or remedies of the Administrative Agent or any Lender.</w:t>
      </w:r>
    </w:p>
    <w:p>
      <w:pPr>
        <w:spacing w:after="0" w:line="218" w:lineRule="exact"/>
        <w:rPr>
          <w:rFonts w:ascii="Times New Roman" w:cs="Times New Roman" w:eastAsia="Times New Roman" w:hAnsi="Times New Roman"/>
          <w:sz w:val="22"/>
          <w:szCs w:val="22"/>
          <w:color w:val="auto"/>
        </w:rPr>
      </w:pPr>
    </w:p>
    <w:p>
      <w:pPr>
        <w:jc w:val="both"/>
        <w:ind w:left="-360" w:firstLine="745"/>
        <w:spacing w:after="0" w:line="241" w:lineRule="auto"/>
        <w:tabs>
          <w:tab w:leader="none" w:pos="13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Dates. </w:t>
      </w:r>
      <w:r>
        <w:rPr>
          <w:rFonts w:ascii="Times New Roman" w:cs="Times New Roman" w:eastAsia="Times New Roman" w:hAnsi="Times New Roman"/>
          <w:sz w:val="22"/>
          <w:szCs w:val="22"/>
          <w:color w:val="auto"/>
        </w:rPr>
        <w:t>Accrued interest on the Term Loans shall be payable in arrears on each Payment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Date with respect to the most recently completed Interest Period in cash, and upon the payment or prepayment of the Term Loans (on the principal amount being so paid or prepaid);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interest payable at the Default Rate shall be payable from time to time on demand by the Majority Lenders.</w:t>
      </w:r>
    </w:p>
    <w:p>
      <w:pPr>
        <w:spacing w:after="0" w:line="198" w:lineRule="exact"/>
        <w:rPr>
          <w:rFonts w:ascii="Times New Roman" w:cs="Times New Roman" w:eastAsia="Times New Roman" w:hAnsi="Times New Roman"/>
          <w:sz w:val="22"/>
          <w:szCs w:val="22"/>
          <w:color w:val="auto"/>
        </w:rPr>
      </w:pPr>
    </w:p>
    <w:p>
      <w:pPr>
        <w:jc w:val="both"/>
        <w:ind w:left="-360" w:firstLine="745"/>
        <w:spacing w:after="0" w:line="248" w:lineRule="auto"/>
        <w:tabs>
          <w:tab w:leader="none" w:pos="1266"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Maximum Rate. </w:t>
      </w:r>
      <w:r>
        <w:rPr>
          <w:rFonts w:ascii="Times New Roman" w:cs="Times New Roman" w:eastAsia="Times New Roman" w:hAnsi="Times New Roman"/>
          <w:sz w:val="21"/>
          <w:szCs w:val="21"/>
          <w:color w:val="auto"/>
        </w:rPr>
        <w:t>Notwithstanding any other provision of this Agreement, in no event will any interest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rates referred to herein exceed the maximum interest rate permitted by applicable Law. If such maximum interest rate would be exceeded by the terms hereof, the rates of interest payable hereunder will be reduced to the extent necessary so that such rates (together with any fees or other amounts which are construed by a court of competent jurisdiction to be interest or in the nature of interest) equal the maximum interest rate permitted by applicable Law and any overpayment of interest received by the Lenders before such rates are so construed will be applied, forthwith after determination of such overpayment, to pay all then outstanding interest, and thereafter to pay outstanding principal.</w:t>
      </w:r>
    </w:p>
    <w:p>
      <w:pPr>
        <w:spacing w:after="0" w:line="315"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76" w:name="page177"/>
    <w:bookmarkEnd w:id="176"/>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Section 3.03.</w:t>
      </w:r>
      <w:r>
        <w:rPr>
          <w:sz w:val="20"/>
          <w:szCs w:val="20"/>
          <w:color w:val="auto"/>
        </w:rPr>
        <w:tab/>
      </w:r>
      <w:r>
        <w:rPr>
          <w:rFonts w:ascii="Times New Roman" w:cs="Times New Roman" w:eastAsia="Times New Roman" w:hAnsi="Times New Roman"/>
          <w:sz w:val="21"/>
          <w:szCs w:val="21"/>
          <w:i w:val="1"/>
          <w:iCs w:val="1"/>
          <w:color w:val="auto"/>
        </w:rPr>
        <w:t>Prepayments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920" w:hanging="855"/>
        <w:spacing w:after="0"/>
        <w:tabs>
          <w:tab w:leader="none" w:pos="19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Optional Prepayments.</w:t>
      </w:r>
    </w:p>
    <w:p>
      <w:pPr>
        <w:spacing w:after="0" w:line="291" w:lineRule="exact"/>
        <w:rPr>
          <w:rFonts w:ascii="Times New Roman" w:cs="Times New Roman" w:eastAsia="Times New Roman" w:hAnsi="Times New Roman"/>
          <w:sz w:val="22"/>
          <w:szCs w:val="22"/>
          <w:color w:val="auto"/>
        </w:rPr>
      </w:pPr>
    </w:p>
    <w:p>
      <w:pPr>
        <w:jc w:val="both"/>
        <w:ind w:left="1060" w:firstLine="754"/>
        <w:spacing w:after="0" w:line="235" w:lineRule="auto"/>
        <w:tabs>
          <w:tab w:leader="none" w:pos="2673"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the right to optionally prepay in whole or in part (in a minimum amount of $500,000 and integral multiples of $100,000 in excess of that amount for each partial prepayment, or, if less, the entire outstanding principal amount of the Term Loans) the outstanding principal amount of the Term Loans on any Business Day (a </w:t>
      </w:r>
      <w:r>
        <w:rPr>
          <w:rFonts w:ascii="Times New Roman" w:cs="Times New Roman" w:eastAsia="Times New Roman" w:hAnsi="Times New Roman"/>
          <w:sz w:val="22"/>
          <w:szCs w:val="22"/>
          <w:i w:val="1"/>
          <w:iCs w:val="1"/>
          <w:color w:val="auto"/>
        </w:rPr>
        <w:t>“Redemption Date”</w:t>
      </w:r>
      <w:r>
        <w:rPr>
          <w:rFonts w:ascii="Times New Roman" w:cs="Times New Roman" w:eastAsia="Times New Roman" w:hAnsi="Times New Roman"/>
          <w:sz w:val="22"/>
          <w:szCs w:val="22"/>
          <w:color w:val="auto"/>
        </w:rPr>
        <w:t xml:space="preserve">) for an amount equal to the sum of (x) the aggregate principal amount of the Term Loans being prepaid, (y) the prepayment premium set forth in clause (ii) below (the </w:t>
      </w:r>
      <w:r>
        <w:rPr>
          <w:rFonts w:ascii="Times New Roman" w:cs="Times New Roman" w:eastAsia="Times New Roman" w:hAnsi="Times New Roman"/>
          <w:sz w:val="22"/>
          <w:szCs w:val="22"/>
          <w:i w:val="1"/>
          <w:iCs w:val="1"/>
          <w:color w:val="auto"/>
        </w:rPr>
        <w:t>“Prepayment Premium”</w:t>
      </w:r>
      <w:r>
        <w:rPr>
          <w:rFonts w:ascii="Times New Roman" w:cs="Times New Roman" w:eastAsia="Times New Roman" w:hAnsi="Times New Roman"/>
          <w:sz w:val="22"/>
          <w:szCs w:val="22"/>
          <w:color w:val="auto"/>
        </w:rPr>
        <w:t xml:space="preserve">) and (z) any accrued but unpaid interest in respect of the aggregate principal amount of the Term Loans being prepaid (such aggregate amount, the </w:t>
      </w:r>
      <w:r>
        <w:rPr>
          <w:rFonts w:ascii="Times New Roman" w:cs="Times New Roman" w:eastAsia="Times New Roman" w:hAnsi="Times New Roman"/>
          <w:sz w:val="22"/>
          <w:szCs w:val="22"/>
          <w:i w:val="1"/>
          <w:iCs w:val="1"/>
          <w:color w:val="auto"/>
        </w:rPr>
        <w:t>“Redemption Price”</w:t>
      </w:r>
      <w:r>
        <w:rPr>
          <w:rFonts w:ascii="Times New Roman" w:cs="Times New Roman" w:eastAsia="Times New Roman" w:hAnsi="Times New Roman"/>
          <w:sz w:val="22"/>
          <w:szCs w:val="22"/>
          <w:color w:val="auto"/>
        </w:rPr>
        <w:t>). The applicable Prepayment Premium shall be an amount calculated pursuant to Section 3.03(a)(ii).</w:t>
      </w:r>
    </w:p>
    <w:p>
      <w:pPr>
        <w:spacing w:after="0" w:line="245" w:lineRule="exact"/>
        <w:rPr>
          <w:rFonts w:ascii="Times New Roman" w:cs="Times New Roman" w:eastAsia="Times New Roman" w:hAnsi="Times New Roman"/>
          <w:sz w:val="22"/>
          <w:szCs w:val="22"/>
          <w:color w:val="auto"/>
        </w:rPr>
      </w:pPr>
    </w:p>
    <w:p>
      <w:pPr>
        <w:ind w:left="2680" w:hanging="866"/>
        <w:spacing w:after="0"/>
        <w:tabs>
          <w:tab w:leader="none" w:pos="268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Redemption Date occurs:</w:t>
      </w:r>
    </w:p>
    <w:p>
      <w:pPr>
        <w:spacing w:after="0" w:line="273" w:lineRule="exact"/>
        <w:rPr>
          <w:rFonts w:ascii="Times New Roman" w:cs="Times New Roman" w:eastAsia="Times New Roman" w:hAnsi="Times New Roman"/>
          <w:sz w:val="22"/>
          <w:szCs w:val="22"/>
          <w:color w:val="auto"/>
        </w:rPr>
      </w:pPr>
    </w:p>
    <w:p>
      <w:pPr>
        <w:jc w:val="both"/>
        <w:ind w:left="1820" w:firstLine="743"/>
        <w:spacing w:after="0" w:line="244" w:lineRule="auto"/>
        <w:tabs>
          <w:tab w:leader="none" w:pos="3001"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first anniversary of the Funding Date, the Prepayment Premium shall be an amount equal to ten percent (10%) of the aggregate outstanding principal amount of the Term Loans being prepaid on such Redemption Date;</w:t>
      </w:r>
    </w:p>
    <w:p>
      <w:pPr>
        <w:spacing w:after="0" w:line="254" w:lineRule="exact"/>
        <w:rPr>
          <w:rFonts w:ascii="Times New Roman" w:cs="Times New Roman" w:eastAsia="Times New Roman" w:hAnsi="Times New Roman"/>
          <w:sz w:val="22"/>
          <w:szCs w:val="22"/>
          <w:color w:val="auto"/>
        </w:rPr>
      </w:pPr>
    </w:p>
    <w:p>
      <w:pPr>
        <w:jc w:val="both"/>
        <w:ind w:left="1820" w:firstLine="743"/>
        <w:spacing w:after="0" w:line="244" w:lineRule="auto"/>
        <w:tabs>
          <w:tab w:leader="none" w:pos="3001"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first anniversary of the Funding Date and on or prior to the second anniversary of the Funding Date, the Prepayment Premium shall be an amount equal to nine percent (9%) of the aggregate outstanding principal amount of the Term Loans being prepaid on such Redemption Date;</w:t>
      </w:r>
    </w:p>
    <w:p>
      <w:pPr>
        <w:spacing w:after="0" w:line="240" w:lineRule="exact"/>
        <w:rPr>
          <w:rFonts w:ascii="Times New Roman" w:cs="Times New Roman" w:eastAsia="Times New Roman" w:hAnsi="Times New Roman"/>
          <w:sz w:val="22"/>
          <w:szCs w:val="22"/>
          <w:color w:val="auto"/>
        </w:rPr>
      </w:pPr>
    </w:p>
    <w:p>
      <w:pPr>
        <w:jc w:val="both"/>
        <w:ind w:left="1820" w:firstLine="743"/>
        <w:spacing w:after="0" w:line="244" w:lineRule="auto"/>
        <w:tabs>
          <w:tab w:leader="none" w:pos="3001"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second anniversary of the Funding Date and on or prior to the third anniversary of the Funding Date, the Prepayment Premium shall be an amount equal to eight percent (8%) of the aggregate outstanding principal amount of the Term Loans being prepaid on such Redemption Date;</w:t>
      </w:r>
    </w:p>
    <w:p>
      <w:pPr>
        <w:spacing w:after="0" w:line="240" w:lineRule="exact"/>
        <w:rPr>
          <w:rFonts w:ascii="Times New Roman" w:cs="Times New Roman" w:eastAsia="Times New Roman" w:hAnsi="Times New Roman"/>
          <w:sz w:val="22"/>
          <w:szCs w:val="22"/>
          <w:color w:val="auto"/>
        </w:rPr>
      </w:pPr>
    </w:p>
    <w:p>
      <w:pPr>
        <w:jc w:val="both"/>
        <w:ind w:left="1820" w:firstLine="743"/>
        <w:spacing w:after="0" w:line="239" w:lineRule="auto"/>
        <w:tabs>
          <w:tab w:leader="none" w:pos="3001"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third anniversary of the Funding Date and on or prior to the fourth anniversary of the Funding Date, the Prepayment Premium shall be an amount equal to five percent (5%) of the aggregate outstanding principal amount of the Term Loans being prepaid on such Redemption Date; and</w:t>
      </w:r>
    </w:p>
    <w:p>
      <w:pPr>
        <w:spacing w:after="0" w:line="261" w:lineRule="exact"/>
        <w:rPr>
          <w:rFonts w:ascii="Times New Roman" w:cs="Times New Roman" w:eastAsia="Times New Roman" w:hAnsi="Times New Roman"/>
          <w:sz w:val="22"/>
          <w:szCs w:val="22"/>
          <w:color w:val="auto"/>
        </w:rPr>
      </w:pPr>
    </w:p>
    <w:p>
      <w:pPr>
        <w:jc w:val="both"/>
        <w:ind w:left="1820" w:firstLine="743"/>
        <w:spacing w:after="0" w:line="244" w:lineRule="auto"/>
        <w:tabs>
          <w:tab w:leader="none" w:pos="3001"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fourth anniversary of the Funding Date and on or prior to the date that is six (6) months prior to the Stated Maturity Date, the Prepayment Premium shall be an amount equal to two percent (2%) of the</w:t>
      </w:r>
    </w:p>
    <w:p>
      <w:pPr>
        <w:spacing w:after="0" w:line="314" w:lineRule="exact"/>
        <w:rPr>
          <w:sz w:val="20"/>
          <w:szCs w:val="20"/>
          <w:color w:val="auto"/>
        </w:rPr>
      </w:pPr>
    </w:p>
    <w:p>
      <w:pPr>
        <w:jc w:val="center"/>
        <w:ind w:right="4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177" w:name="page178"/>
    <w:bookmarkEnd w:id="177"/>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aggregate outstanding principal amount of the Term Loans being prepaid on such Redemption Date.</w:t>
      </w:r>
    </w:p>
    <w:p>
      <w:pPr>
        <w:spacing w:after="0" w:line="243" w:lineRule="exact"/>
        <w:rPr>
          <w:sz w:val="20"/>
          <w:szCs w:val="20"/>
          <w:color w:val="auto"/>
        </w:rPr>
      </w:pPr>
    </w:p>
    <w:p>
      <w:pPr>
        <w:jc w:val="both"/>
        <w:ind w:left="-360" w:firstLine="745"/>
        <w:spacing w:after="0" w:line="237" w:lineRule="auto"/>
        <w:tabs>
          <w:tab w:leader="none" w:pos="125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Mandatory Prepayments. </w:t>
      </w:r>
      <w:r>
        <w:rPr>
          <w:rFonts w:ascii="Times New Roman" w:cs="Times New Roman" w:eastAsia="Times New Roman" w:hAnsi="Times New Roman"/>
          <w:sz w:val="22"/>
          <w:szCs w:val="22"/>
          <w:color w:val="auto"/>
        </w:rPr>
        <w:t>The Borrower shall on or prior to the third (3rd) Business Day following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occurrence of any applicable event under clauses (i) through (iii) below, prepay the Term Loans in amounts as provided below, plus the Prepayment Premium on the principal amount of the Term Loans being prepaid (calculated in accordance with Section 3.03(a)(ii), it being agreed that the relevant payment date shall be deemed to be the “Redemption Date” for purposes of such calculation), plus any accrued but unpaid interest and fees then due and owing, as follows:</w:t>
      </w:r>
    </w:p>
    <w:p>
      <w:pPr>
        <w:spacing w:after="0" w:line="246" w:lineRule="exact"/>
        <w:rPr>
          <w:rFonts w:ascii="Times New Roman" w:cs="Times New Roman" w:eastAsia="Times New Roman" w:hAnsi="Times New Roman"/>
          <w:sz w:val="22"/>
          <w:szCs w:val="22"/>
          <w:color w:val="auto"/>
        </w:rPr>
      </w:pPr>
    </w:p>
    <w:p>
      <w:pPr>
        <w:ind w:left="380" w:firstLine="754"/>
        <w:spacing w:after="0" w:line="235" w:lineRule="auto"/>
        <w:tabs>
          <w:tab w:leader="none" w:pos="1993"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any Casualty Event, an amount equal to 100% of the Net Cash Proceeds received by any Obligor with respect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so long as no Default has occurred and is continuing within one hundred eighty (180) days after receipt of such Net Cash Proceeds, the Obligors may apply the Net Cash Proceeds of any casualty policy not exceeding $2,500,000 in the aggregate for all losses under all Casualty Events during the term of this Agreement toward the replacement or repair of destroyed or damaged property;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any such replaced or repaired property shall be Collateral in which the Administrative Agent for the benefit of the Lenders has been granted a security interest under the Security Documents.</w:t>
      </w:r>
    </w:p>
    <w:p>
      <w:pPr>
        <w:spacing w:after="0" w:line="259" w:lineRule="exact"/>
        <w:rPr>
          <w:rFonts w:ascii="Times New Roman" w:cs="Times New Roman" w:eastAsia="Times New Roman" w:hAnsi="Times New Roman"/>
          <w:sz w:val="22"/>
          <w:szCs w:val="22"/>
          <w:color w:val="auto"/>
        </w:rPr>
      </w:pPr>
    </w:p>
    <w:p>
      <w:pPr>
        <w:ind w:left="380" w:firstLine="754"/>
        <w:spacing w:after="0" w:line="236" w:lineRule="auto"/>
        <w:tabs>
          <w:tab w:leader="none" w:pos="1993"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Obligor incurs Indebtedness other than Indebtedness that is permitted by Section 9.01 hereof, 100% of the Net Cash Proceeds thereof received by such Obligor. For the avoidance of doubt, any prepayment made pursuant to this Section 3.03(b)(ii) shall not be deemed to be a consent to any such incurrence of Indebtedness or a cure or waiver of any Event of Default which occurs in connection therewith, it being understood that any such Event of Default may only be waived with the express consent of the Majority Lenders.</w:t>
      </w:r>
    </w:p>
    <w:p>
      <w:pPr>
        <w:spacing w:after="0" w:line="248" w:lineRule="exact"/>
        <w:rPr>
          <w:rFonts w:ascii="Times New Roman" w:cs="Times New Roman" w:eastAsia="Times New Roman" w:hAnsi="Times New Roman"/>
          <w:sz w:val="22"/>
          <w:szCs w:val="22"/>
          <w:color w:val="auto"/>
        </w:rPr>
      </w:pPr>
    </w:p>
    <w:p>
      <w:pPr>
        <w:ind w:left="380" w:firstLine="754"/>
        <w:spacing w:after="0" w:line="233" w:lineRule="auto"/>
        <w:tabs>
          <w:tab w:leader="none" w:pos="1993"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any Obligor consummates an Asset Sale other than an Asset Sale that is permitted by Section 9.09 hereof (other than Section 9.09(i)), 100% of the Net Cash Proceeds received by such Obligor in connection with such Asset Sale;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so long as no Default has occurred and is continuing, within one hundred eighty (180) days after receipt of such Net Cash Proceeds, the Obligors may use such Net Cash Proceeds not exceeding $2,500,000 in the aggregate for all Asset Sales during the term of this Agreement, to purchase, replace, repair or restore properties or assets used in the Obligors’ businesses; </w:t>
      </w:r>
      <w:r>
        <w:rPr>
          <w:rFonts w:ascii="Times New Roman" w:cs="Times New Roman" w:eastAsia="Times New Roman" w:hAnsi="Times New Roman"/>
          <w:sz w:val="22"/>
          <w:szCs w:val="22"/>
          <w:i w:val="1"/>
          <w:iCs w:val="1"/>
          <w:color w:val="auto"/>
        </w:rPr>
        <w:t xml:space="preserve">provided, further, </w:t>
      </w:r>
      <w:r>
        <w:rPr>
          <w:rFonts w:ascii="Times New Roman" w:cs="Times New Roman" w:eastAsia="Times New Roman" w:hAnsi="Times New Roman"/>
          <w:sz w:val="22"/>
          <w:szCs w:val="22"/>
          <w:color w:val="auto"/>
        </w:rPr>
        <w:t>that any such purchased, replaced, repaired or restored property shall be Collateral in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Administrative Agent for the benefit of the Lenders has been granted a security interest under the Security Documents. For the avoidance of doubt, any prepayment made pursuant to this Section 3.03(b)(iii) shall not be deemed to be a consent to any Asset Sale or a cure or waiver of any Event of Default which occurs in connection therewith, it being understood that any such</w:t>
      </w:r>
    </w:p>
    <w:p>
      <w:pPr>
        <w:spacing w:after="0" w:line="328"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78" w:name="page179"/>
    <w:bookmarkEnd w:id="178"/>
    <w:p>
      <w:pPr>
        <w:spacing w:after="0" w:line="2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Event of Default may only be waived with the express consent of the Majority Lenders.</w:t>
      </w:r>
    </w:p>
    <w:p>
      <w:pPr>
        <w:spacing w:after="0" w:line="243" w:lineRule="exact"/>
        <w:rPr>
          <w:sz w:val="20"/>
          <w:szCs w:val="20"/>
          <w:color w:val="auto"/>
        </w:rPr>
      </w:pPr>
    </w:p>
    <w:p>
      <w:pPr>
        <w:jc w:val="both"/>
        <w:ind w:left="320" w:firstLine="745"/>
        <w:spacing w:after="0" w:line="232" w:lineRule="auto"/>
        <w:tabs>
          <w:tab w:leader="none" w:pos="193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Prepayment Premium. </w:t>
      </w:r>
      <w:r>
        <w:rPr>
          <w:rFonts w:ascii="Times New Roman" w:cs="Times New Roman" w:eastAsia="Times New Roman" w:hAnsi="Times New Roman"/>
          <w:sz w:val="22"/>
          <w:szCs w:val="22"/>
          <w:color w:val="auto"/>
        </w:rPr>
        <w:t>Payment of any Prepayment Premium under this Section 3.03 constitutes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liquidated damages, not unmatured interest or a penalty, as the actual amount of damages to the Lenders as a result of the relevant triggering event, prepayment or repayment would be impracticable and extremely difficult to ascertain. Accordingly, any Prepayment Premium hereunder is provided by mutual agreement of the Obligors and the Lenders as a reasonable estimation and calculation of such actual lost profits and other actual damages of the Lenders. Without limiting the generality of the foregoing, it is understood and agreed that upon the occurrence of any prepayment event, any Prepayment Premium shall be automatically and immediately due and payable as though any prepaid or repaid portion of the Term Loans were voluntarily prepaid as of such date and shall constitute part of the Obligations secured by the Collateral. Any Prepayment Premium shall also be automatically and immediately due and payable if the Term Loans are satisfied or released by foreclosure (whether by power of judicial proceeding or otherwise), deed in lieu of foreclosure or by any other means. EACH OBLIGOR HEREBY EXPRESSLY WAIVES (TO THE FULLEST EXTENT IT MAY LAWFULLY DO SO) THE PROVISIONS OF ANY PRESENT OR FUTURE STATUTE OR OTHER LAW THAT PROHIBITS OR MAY PROHIBIT THE COLLECTION OF THE FOREGOING PREPAYMENT PREMIUM IN CONNECTION WITH ANY SUCH EVENTS. The Borrower and the other Obligors expressly agree (to the fullest extent it and they may lawfully do so) that with respect to any Prepayment Premium payable under the terms of this Agreement: (i) such Prepayment Premium is reasonable and is the product of an arm’s length transaction between sophisticated business parties, ably represented by counsel; (ii) such Prepayment Premium shall be payable notwithstanding the then-prevailing market rates at the time payment is made; (iii) there has been a course of conduct between the Lenders and the Obligors giving specific consideration in this transaction for such agreement to pay such Prepayment Premium; and (iv) the Obligors shall be estopped hereafter from claiming differently than as agreed to in this paragraph. The Obligors expressly acknowledge that their agreement to pay such Prepayment Premium as herein described is a material inducement to the Lenders to provide the Commitments and to make the Term Loans.</w:t>
      </w:r>
    </w:p>
    <w:p>
      <w:pPr>
        <w:spacing w:after="0" w:line="28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4</w:t>
      </w:r>
    </w:p>
    <w:p>
      <w:pPr>
        <w:spacing w:after="0" w:line="2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ayments</w:t>
      </w:r>
    </w:p>
    <w:p>
      <w:pPr>
        <w:spacing w:after="0" w:line="24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Section 4.01.</w:t>
      </w:r>
      <w:r>
        <w:rPr>
          <w:sz w:val="20"/>
          <w:szCs w:val="20"/>
          <w:color w:val="auto"/>
        </w:rPr>
        <w:tab/>
      </w:r>
      <w:r>
        <w:rPr>
          <w:rFonts w:ascii="Times New Roman" w:cs="Times New Roman" w:eastAsia="Times New Roman" w:hAnsi="Times New Roman"/>
          <w:sz w:val="21"/>
          <w:szCs w:val="21"/>
          <w:i w:val="1"/>
          <w:iCs w:val="1"/>
          <w:color w:val="auto"/>
        </w:rPr>
        <w:t>Payments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320" w:firstLine="745"/>
        <w:spacing w:after="0" w:line="241" w:lineRule="auto"/>
        <w:tabs>
          <w:tab w:leader="none" w:pos="193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Payments Generally. </w:t>
      </w:r>
      <w:r>
        <w:rPr>
          <w:rFonts w:ascii="Times New Roman" w:cs="Times New Roman" w:eastAsia="Times New Roman" w:hAnsi="Times New Roman"/>
          <w:sz w:val="22"/>
          <w:szCs w:val="22"/>
          <w:color w:val="auto"/>
        </w:rPr>
        <w:t>Each payment of principal, interest and other amounts to be made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Obligors under this Agreement or any other Loan Document shall be made in Dollars, in immediately available funds, without deduction, set off or counterclaim, to the deposit account of the Administrative Agent specified to the Borrower from time to time, not later than 4:00 p.m. (New York City time) on the date on which such</w:t>
      </w:r>
    </w:p>
    <w:p>
      <w:pPr>
        <w:spacing w:after="0" w:line="317" w:lineRule="exact"/>
        <w:rPr>
          <w:sz w:val="20"/>
          <w:szCs w:val="20"/>
          <w:color w:val="auto"/>
        </w:rPr>
      </w:pPr>
    </w:p>
    <w:p>
      <w:pPr>
        <w:jc w:val="center"/>
        <w:ind w:right="4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179" w:name="page180"/>
    <w:bookmarkEnd w:id="179"/>
    <w:p>
      <w:pPr>
        <w:spacing w:after="0" w:line="225"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payment shall become due (each such payment made after such time on such due date to be deemed to have been made on the next succeeding Business Day).</w:t>
      </w:r>
    </w:p>
    <w:p>
      <w:pPr>
        <w:spacing w:after="0" w:line="181" w:lineRule="exact"/>
        <w:rPr>
          <w:sz w:val="20"/>
          <w:szCs w:val="20"/>
          <w:color w:val="auto"/>
        </w:rPr>
      </w:pPr>
    </w:p>
    <w:p>
      <w:pPr>
        <w:jc w:val="both"/>
        <w:ind w:left="760" w:firstLine="745"/>
        <w:spacing w:after="0" w:line="246" w:lineRule="auto"/>
        <w:tabs>
          <w:tab w:leader="none" w:pos="237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Application of Payments. </w:t>
      </w:r>
      <w:r>
        <w:rPr>
          <w:rFonts w:ascii="Times New Roman" w:cs="Times New Roman" w:eastAsia="Times New Roman" w:hAnsi="Times New Roman"/>
          <w:sz w:val="22"/>
          <w:szCs w:val="22"/>
          <w:color w:val="auto"/>
        </w:rPr>
        <w:t>Each payment under this Agreement or any other Loan Document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applied in the following order of priority, with proceeds being applied to a succeeding level of priority only if amounts owing pursuant to the immediately preceding level of priority have been paid in full in cash:</w:t>
      </w:r>
    </w:p>
    <w:p>
      <w:pPr>
        <w:spacing w:after="0" w:line="248"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to the payment of any unpaid costs and expenses referred to in Section 13.03(a) then due</w:t>
      </w:r>
    </w:p>
    <w:p>
      <w:pPr>
        <w:spacing w:after="0" w:line="29" w:lineRule="exact"/>
        <w:rPr>
          <w:rFonts w:ascii="Times New Roman" w:cs="Times New Roman" w:eastAsia="Times New Roman" w:hAnsi="Times New Roman"/>
          <w:sz w:val="21"/>
          <w:szCs w:val="21"/>
          <w:color w:val="auto"/>
        </w:rPr>
      </w:pPr>
    </w:p>
    <w:p>
      <w:pPr>
        <w:ind w:left="1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owing;</w:t>
      </w:r>
    </w:p>
    <w:p>
      <w:pPr>
        <w:spacing w:after="0" w:line="245" w:lineRule="exact"/>
        <w:rPr>
          <w:rFonts w:ascii="Times New Roman" w:cs="Times New Roman" w:eastAsia="Times New Roman" w:hAnsi="Times New Roman"/>
          <w:sz w:val="21"/>
          <w:szCs w:val="21"/>
          <w:color w:val="auto"/>
        </w:rPr>
      </w:pPr>
    </w:p>
    <w:p>
      <w:pPr>
        <w:jc w:val="both"/>
        <w:ind w:left="1500" w:right="20" w:firstLine="754"/>
        <w:spacing w:after="0" w:line="246" w:lineRule="auto"/>
        <w:tabs>
          <w:tab w:leader="none" w:pos="3113"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in reduction of the Borrower’s obligation to pay any unpaid interest and any fees then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due and owing including, without limitation, (x) interest payable pursuant to Section 3.02(d) and (y) any Prepayment Premium, if applicable;</w:t>
      </w:r>
    </w:p>
    <w:p>
      <w:pPr>
        <w:spacing w:after="0" w:line="234" w:lineRule="exact"/>
        <w:rPr>
          <w:rFonts w:ascii="Times New Roman" w:cs="Times New Roman" w:eastAsia="Times New Roman" w:hAnsi="Times New Roman"/>
          <w:sz w:val="22"/>
          <w:szCs w:val="22"/>
          <w:color w:val="auto"/>
        </w:rPr>
      </w:pPr>
    </w:p>
    <w:p>
      <w:pPr>
        <w:ind w:left="1500" w:firstLine="754"/>
        <w:spacing w:after="0" w:line="262" w:lineRule="auto"/>
        <w:tabs>
          <w:tab w:leader="none" w:pos="3113"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third </w:t>
      </w:r>
      <w:r>
        <w:rPr>
          <w:rFonts w:ascii="Times New Roman" w:cs="Times New Roman" w:eastAsia="Times New Roman" w:hAnsi="Times New Roman"/>
          <w:sz w:val="22"/>
          <w:szCs w:val="22"/>
          <w:color w:val="auto"/>
        </w:rPr>
        <w:t>, in reduction of the Borrower’s obligation to pay any Claims or Losses referred to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13.03(b) then due and owing;</w:t>
      </w:r>
    </w:p>
    <w:p>
      <w:pPr>
        <w:spacing w:after="0" w:line="230"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payment of unpaid principal of the Term Loans on a pro rata basis;</w:t>
      </w:r>
    </w:p>
    <w:p>
      <w:pPr>
        <w:spacing w:after="0" w:line="273"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in reduction of any other Obligation then due and owing; and</w:t>
      </w:r>
    </w:p>
    <w:p>
      <w:pPr>
        <w:spacing w:after="0" w:line="273" w:lineRule="exact"/>
        <w:rPr>
          <w:rFonts w:ascii="Times New Roman" w:cs="Times New Roman" w:eastAsia="Times New Roman" w:hAnsi="Times New Roman"/>
          <w:sz w:val="22"/>
          <w:szCs w:val="22"/>
          <w:color w:val="auto"/>
        </w:rPr>
      </w:pPr>
    </w:p>
    <w:p>
      <w:pPr>
        <w:ind w:left="1500" w:firstLine="754"/>
        <w:spacing w:after="0" w:line="262" w:lineRule="auto"/>
        <w:tabs>
          <w:tab w:leader="none" w:pos="3113"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the Borrower or such other Persons as may lawfully be entitled to or directed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to receive the remainder.</w:t>
      </w:r>
    </w:p>
    <w:p>
      <w:pPr>
        <w:spacing w:after="0" w:line="19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Unless otherwise directed by the Majority Lenders, all payments of principal, interest and fees under this Agreement and the other Loan Documents shall be made by the Obligors to the Lenders pro rata in accordance with the Lenders’ respective Proportionate Shares of such payments.</w:t>
      </w:r>
    </w:p>
    <w:p>
      <w:pPr>
        <w:spacing w:after="0" w:line="179" w:lineRule="exact"/>
        <w:rPr>
          <w:sz w:val="20"/>
          <w:szCs w:val="20"/>
          <w:color w:val="auto"/>
        </w:rPr>
      </w:pPr>
    </w:p>
    <w:p>
      <w:pPr>
        <w:jc w:val="both"/>
        <w:ind w:left="760" w:firstLine="745"/>
        <w:spacing w:after="0" w:line="265" w:lineRule="exact"/>
        <w:tabs>
          <w:tab w:leader="none" w:pos="242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Business Days. </w:t>
      </w:r>
      <w:r>
        <w:rPr>
          <w:rFonts w:ascii="Times New Roman" w:cs="Times New Roman" w:eastAsia="Times New Roman" w:hAnsi="Times New Roman"/>
          <w:sz w:val="22"/>
          <w:szCs w:val="22"/>
          <w:color w:val="auto"/>
        </w:rPr>
        <w:t>If the due date of any payment under this Agreement (whether in respect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principal, interest, fees, costs or otherwise) would otherwise fall on a day that is not a Business Day, such date shall be extended to the next succeeding Business Day, and, in the case of any payment accruing interest, interest thereon shall be payable for the period of such extension.</w:t>
      </w:r>
    </w:p>
    <w:p>
      <w:pPr>
        <w:spacing w:after="0" w:line="201" w:lineRule="exact"/>
        <w:rPr>
          <w:sz w:val="20"/>
          <w:szCs w:val="20"/>
          <w:color w:val="auto"/>
        </w:rPr>
      </w:pPr>
    </w:p>
    <w:p>
      <w:pPr>
        <w:ind w:firstLine="445"/>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4.02. Computations. </w:t>
      </w:r>
      <w:r>
        <w:rPr>
          <w:rFonts w:ascii="Times New Roman" w:cs="Times New Roman" w:eastAsia="Times New Roman" w:hAnsi="Times New Roman"/>
          <w:sz w:val="22"/>
          <w:szCs w:val="22"/>
          <w:color w:val="auto"/>
        </w:rPr>
        <w:t>All computations of interest and fees hereunder shall be computed on the basis of a year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360 days and actual days elapsed during the period for which payable.</w:t>
      </w:r>
    </w:p>
    <w:p>
      <w:pPr>
        <w:spacing w:after="0" w:line="190"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4.03.</w:t>
        <w:tab/>
        <w:t xml:space="preserve">Notices. </w:t>
      </w:r>
      <w:r>
        <w:rPr>
          <w:rFonts w:ascii="Times New Roman" w:cs="Times New Roman" w:eastAsia="Times New Roman" w:hAnsi="Times New Roman"/>
          <w:sz w:val="22"/>
          <w:szCs w:val="22"/>
          <w:color w:val="auto"/>
        </w:rPr>
        <w:t>Each notice of optional prepayment shall be effective only if received by the Lenders not later than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 p.m. (New York City time) on the Business Day prior</w:t>
      </w:r>
    </w:p>
    <w:p>
      <w:pPr>
        <w:spacing w:after="0" w:line="323"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to the date of prepayment. Each notice of optional prepayment shall specify the amount to be prepaid and the date of prepayment.</w:t>
      </w:r>
    </w:p>
    <w:p>
      <w:pPr>
        <w:spacing w:after="0" w:line="151" w:lineRule="exact"/>
        <w:rPr>
          <w:sz w:val="20"/>
          <w:szCs w:val="20"/>
          <w:color w:val="auto"/>
        </w:rPr>
      </w:pPr>
    </w:p>
    <w:p>
      <w:pPr>
        <w:ind w:left="440"/>
        <w:spacing w:after="0" w:line="253" w:lineRule="exact"/>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4.04.</w:t>
        <w:tab/>
        <w:t>Set</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Off</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left="760" w:firstLine="745"/>
        <w:spacing w:after="0" w:line="259" w:lineRule="exact"/>
        <w:tabs>
          <w:tab w:leader="none" w:pos="242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Set</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Off Generally. </w:t>
      </w:r>
      <w:r>
        <w:rPr>
          <w:rFonts w:ascii="Times New Roman" w:cs="Times New Roman" w:eastAsia="Times New Roman" w:hAnsi="Times New Roman"/>
          <w:sz w:val="22"/>
          <w:szCs w:val="22"/>
          <w:color w:val="auto"/>
        </w:rPr>
        <w:t>Upon the occurrence and during the continuance of any Event of Default,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the Lenders and each of their respective Affiliates are hereby authorized at any time and from time to time, to the fullest extent permitted by Law, to set off and apply any and all deposits (general or special, time or demand, provisional or final) at any time held and other Indebtedness at any time owing by the Lenders or such Affiliates to or for the credit or the account of any Obligor against any and all of the Obligations, whether or not the Lenders shall have made any demand and although such Obligations may be unmatured. Any Person exercising rights of set off hereunder agrees promptly to notify the Borrower after any such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off and application,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and application. The rights of the Administrative Agent, the Lenders and each of their respective Affiliates under this Section 4.04 are in addition to other rights and remedies (including other rights of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that the Lenders and their respective Affiliates may have.</w:t>
      </w:r>
    </w:p>
    <w:p>
      <w:pPr>
        <w:spacing w:after="0" w:line="188"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242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Exercise of Rights Not Required. </w:t>
      </w:r>
      <w:r>
        <w:rPr>
          <w:rFonts w:ascii="Times New Roman" w:cs="Times New Roman" w:eastAsia="Times New Roman" w:hAnsi="Times New Roman"/>
          <w:sz w:val="22"/>
          <w:szCs w:val="22"/>
          <w:color w:val="auto"/>
        </w:rPr>
        <w:t>Nothing contained herein shall require the Administrative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Lenders or any of their respective Affiliates to exercise any such right or shall affect the right of such Persons to exercise, and retain the benefits of exercising, any such right with respect to any other indebtedness or obligation of any Obligor.</w:t>
      </w: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w:t>
      </w:r>
      <w:r>
        <w:rPr>
          <w:rFonts w:ascii="Times New Roman" w:cs="Times New Roman" w:eastAsia="Times New Roman" w:hAnsi="Times New Roman"/>
          <w:sz w:val="14"/>
          <w:szCs w:val="14"/>
          <w:b w:val="1"/>
          <w:bCs w:val="1"/>
          <w:color w:val="auto"/>
        </w:rPr>
        <w:t>ield</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rotection</w:t>
      </w:r>
    </w:p>
    <w:p>
      <w:pPr>
        <w:spacing w:after="0" w:line="233"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5.01.</w:t>
      </w:r>
      <w:r>
        <w:rPr>
          <w:sz w:val="20"/>
          <w:szCs w:val="20"/>
          <w:color w:val="auto"/>
        </w:rPr>
        <w:tab/>
      </w:r>
      <w:r>
        <w:rPr>
          <w:rFonts w:ascii="Times New Roman" w:cs="Times New Roman" w:eastAsia="Times New Roman" w:hAnsi="Times New Roman"/>
          <w:sz w:val="21"/>
          <w:szCs w:val="21"/>
          <w:i w:val="1"/>
          <w:iCs w:val="1"/>
          <w:color w:val="auto"/>
        </w:rPr>
        <w:t>Additional Costs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760" w:firstLine="745"/>
        <w:spacing w:after="0" w:line="233" w:lineRule="auto"/>
        <w:tabs>
          <w:tab w:leader="none" w:pos="2373"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Change in Requirements of Law Generally. </w:t>
      </w:r>
      <w:r>
        <w:rPr>
          <w:rFonts w:ascii="Times New Roman" w:cs="Times New Roman" w:eastAsia="Times New Roman" w:hAnsi="Times New Roman"/>
          <w:sz w:val="22"/>
          <w:szCs w:val="22"/>
          <w:color w:val="auto"/>
        </w:rPr>
        <w:t>If, on or after the date hereof (or, with respect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 that becomes a party hereto, such later date on which such Lender comes party to this Agreement), the adoption of any Requirement of Law, or any change in any Requirement of Law, or any change in the interpretation or administration thereof by any court or other Governmental Authority charged with the interpretation or administration thereof, or compliance by any Lender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(or, with respect to any Lender that becomes a party hereto, such later date on which such Lender comes party to this Agreement), against assets of, deposits with or for the account of, or credit extended by, a Lender (or its lending office) or shall impose on a Lender (or its lending office) any other condition affecting the Term Loans or the Commitment, not as a result of any action or inaction on the part of such</w:t>
      </w:r>
    </w:p>
    <w:p>
      <w:pPr>
        <w:spacing w:after="0" w:line="330"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25" w:lineRule="exact"/>
        <w:rPr>
          <w:sz w:val="20"/>
          <w:szCs w:val="20"/>
          <w:color w:val="auto"/>
        </w:rPr>
      </w:pPr>
    </w:p>
    <w:p>
      <w:pPr>
        <w:jc w:val="both"/>
        <w:spacing w:after="0" w:line="247" w:lineRule="exact"/>
        <w:rPr>
          <w:sz w:val="20"/>
          <w:szCs w:val="20"/>
          <w:color w:val="auto"/>
        </w:rPr>
      </w:pPr>
      <w:r>
        <w:rPr>
          <w:rFonts w:ascii="Times New Roman" w:cs="Times New Roman" w:eastAsia="Times New Roman" w:hAnsi="Times New Roman"/>
          <w:sz w:val="22"/>
          <w:szCs w:val="22"/>
          <w:color w:val="auto"/>
        </w:rPr>
        <w:t xml:space="preserve">Lender, and the result of any of the foregoing is to increase the cost to any Lender of making or maintaining its portion of the Term Loans, or to reduce the amount of any sum received or receivable by any Lender under this Agreement or any other Loan Document, by an amount reasonably deemed by such Lender in good faith to be material (other than (i) Indemnified Taxes, (ii) Taxes described in clauses (b) through (d) of the definition of </w:t>
      </w:r>
      <w:r>
        <w:rPr>
          <w:rFonts w:ascii="Times New Roman" w:cs="Times New Roman" w:eastAsia="Times New Roman" w:hAnsi="Times New Roman"/>
          <w:sz w:val="22"/>
          <w:szCs w:val="22"/>
          <w:i w:val="1"/>
          <w:iCs w:val="1"/>
          <w:color w:val="auto"/>
        </w:rPr>
        <w:t>“Excluded Taxes”</w:t>
      </w:r>
      <w:r>
        <w:rPr>
          <w:rFonts w:ascii="Times New Roman" w:cs="Times New Roman" w:eastAsia="Times New Roman" w:hAnsi="Times New Roman"/>
          <w:sz w:val="22"/>
          <w:szCs w:val="22"/>
          <w:color w:val="auto"/>
        </w:rPr>
        <w:t xml:space="preserve"> and (iii) Connection Income Taxes), then the Borrower shall promptly pay to such Lender on demand such additional amount or amounts as will compensate such Lender for such increased cost or reduction. Notwithstanding anything herein to the contrary, (x)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Requirements of Law for all purposes of this Section 5.01, regardless of the date enacted, adopted or issued.</w:t>
      </w:r>
    </w:p>
    <w:p>
      <w:pPr>
        <w:spacing w:after="0" w:line="209" w:lineRule="exact"/>
        <w:rPr>
          <w:sz w:val="20"/>
          <w:szCs w:val="20"/>
          <w:color w:val="auto"/>
        </w:rPr>
      </w:pPr>
    </w:p>
    <w:p>
      <w:pPr>
        <w:jc w:val="both"/>
        <w:ind w:firstLine="745"/>
        <w:spacing w:after="0" w:line="233" w:lineRule="auto"/>
        <w:tabs>
          <w:tab w:leader="none" w:pos="161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Change in Capital Requirements. </w:t>
      </w:r>
      <w:r>
        <w:rPr>
          <w:rFonts w:ascii="Times New Roman" w:cs="Times New Roman" w:eastAsia="Times New Roman" w:hAnsi="Times New Roman"/>
          <w:sz w:val="22"/>
          <w:szCs w:val="22"/>
          <w:color w:val="auto"/>
        </w:rPr>
        <w:t>If a Lender shall have determined that, on or after the date 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with respect to any Lender that becomes a party hereto, such later date on which such Lender comes party to this Agreement), the adoption of any Requirement of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date hereof (or, with respect to any Lender that becomes a party hereto, such later date on which such Lender comes party to this Agreement), has or would have the effect of reducing the rate of return on capital of a Lender (or its parent) as a consequence of a Lender’s obligations hereunder or the Term Loans to a level below that which a Lender (or its parent) would have achieved but for such adoption, change, request or directive by an amount reasonably deemed by it to be material, then the Borrower shall promptly pay to such Lender within three (3) Business Days after demand such additional amount or amounts as will compensate such Lender (or its parent) for such reduction.</w:t>
      </w:r>
    </w:p>
    <w:p>
      <w:pPr>
        <w:spacing w:after="0" w:line="225" w:lineRule="exact"/>
        <w:rPr>
          <w:rFonts w:ascii="Times New Roman" w:cs="Times New Roman" w:eastAsia="Times New Roman" w:hAnsi="Times New Roman"/>
          <w:sz w:val="22"/>
          <w:szCs w:val="22"/>
          <w:color w:val="auto"/>
        </w:rPr>
      </w:pPr>
    </w:p>
    <w:p>
      <w:pPr>
        <w:jc w:val="both"/>
        <w:ind w:firstLine="745"/>
        <w:spacing w:after="0" w:line="235" w:lineRule="auto"/>
        <w:tabs>
          <w:tab w:leader="none" w:pos="161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Notification by Lender. </w:t>
      </w:r>
      <w:r>
        <w:rPr>
          <w:rFonts w:ascii="Times New Roman" w:cs="Times New Roman" w:eastAsia="Times New Roman" w:hAnsi="Times New Roman"/>
          <w:sz w:val="22"/>
          <w:szCs w:val="22"/>
          <w:color w:val="auto"/>
        </w:rPr>
        <w:t>The Lenders will promptly notify the Borrower of any event of which it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knowledge, occurring after the date hereof (or, with respect to any Lender that becomes a party hereto, such later date on which such Lender comes party to this Agreement), which will entitle a Lender to compensation pursuant to this Section 5.01. Before giving any such notice pursuant to this Section 5.01(c) such Lender shall designate a different lending office if such designation (x) will, in the reasonable judgment of such Lender, avoid the need for, or reduce the amount of, such compensation and (y) will not, in the reasonable judgment of such Lender, be materially disadvantageous to such Lender. A certificate of the Lender claiming compensation under this Section 5.01, setting forth in reasonable detail, the computation of the additional amount or amounts to be paid to it hereunder, shall be conclusive and binding on the Borrower in the absence of manifest error.</w:t>
      </w:r>
    </w:p>
    <w:p>
      <w:pPr>
        <w:spacing w:after="0" w:line="319" w:lineRule="exact"/>
        <w:rPr>
          <w:sz w:val="20"/>
          <w:szCs w:val="20"/>
          <w:color w:val="auto"/>
        </w:rPr>
      </w:pPr>
    </w:p>
    <w:p>
      <w:pPr>
        <w:ind w:left="46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508635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82" w:name="page183"/>
    <w:bookmarkEnd w:id="182"/>
    <w:p>
      <w:pPr>
        <w:spacing w:after="0" w:line="221" w:lineRule="exact"/>
        <w:rPr>
          <w:sz w:val="20"/>
          <w:szCs w:val="20"/>
          <w:color w:val="auto"/>
        </w:rPr>
      </w:pPr>
    </w:p>
    <w:p>
      <w:pPr>
        <w:jc w:val="both"/>
        <w:ind w:firstLine="459"/>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5.02. Illegality. </w:t>
      </w:r>
      <w:r>
        <w:rPr>
          <w:rFonts w:ascii="Times New Roman" w:cs="Times New Roman" w:eastAsia="Times New Roman" w:hAnsi="Times New Roman"/>
          <w:sz w:val="22"/>
          <w:szCs w:val="22"/>
          <w:color w:val="auto"/>
        </w:rPr>
        <w:t>Notwithstanding any other provision of this Agreement, in the event that on or after the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hereof (or, with respect to any Lender that becomes a party hereto, such later date on which such Lender comes party to this Agreement) the adoption of or any change in any Requirement of Law or in the interpretation or application thereof by any competent Governmental Authority shall make it unlawful for a Lender or its lending office to make or maintain the Term Loans (and, in the reasonable opinion of such Lender, the designation of a different lending office would either not avoid such unlawfulness or would be disadvantageous to such Lender), then such Lender shall promptly notify the Borrower thereof following which (a) the Lender’s Commitment shall be suspended until such time as such Lender may again make and maintain the Term Loans hereunder and (b) if such Requirement of Law shall so mandate, the Term Loans shall be prepaid by the Borrower on or before such date as shall be mandated by such Requirement of Law in an amount equal to the Redemption Price applicable on the date of such prepayment in accordance with Section 3.03(a);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 Prepayment Premium pursuant to Section 3.03(a)(ii) shall be due with respect thereto.</w:t>
      </w:r>
    </w:p>
    <w:p>
      <w:pPr>
        <w:spacing w:after="0" w:line="203"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5.03.</w:t>
      </w:r>
      <w:r>
        <w:rPr>
          <w:sz w:val="20"/>
          <w:szCs w:val="20"/>
          <w:color w:val="auto"/>
        </w:rPr>
        <w:tab/>
      </w:r>
      <w:r>
        <w:rPr>
          <w:rFonts w:ascii="Times New Roman" w:cs="Times New Roman" w:eastAsia="Times New Roman" w:hAnsi="Times New Roman"/>
          <w:sz w:val="21"/>
          <w:szCs w:val="21"/>
          <w:i w:val="1"/>
          <w:iCs w:val="1"/>
          <w:color w:val="auto"/>
        </w:rPr>
        <w:t>Taxes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760" w:firstLine="745"/>
        <w:spacing w:after="0" w:line="246" w:lineRule="auto"/>
        <w:tabs>
          <w:tab w:leader="none" w:pos="2373"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Payments Free of Taxes. </w:t>
      </w:r>
      <w:r>
        <w:rPr>
          <w:rFonts w:ascii="Times New Roman" w:cs="Times New Roman" w:eastAsia="Times New Roman" w:hAnsi="Times New Roman"/>
          <w:sz w:val="21"/>
          <w:szCs w:val="21"/>
          <w:color w:val="auto"/>
        </w:rPr>
        <w:t>Any and all payments by or on account of any Obligation shall be made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without deduction or withholding for any Taxes, except as required by applicable Law. If any applicable Law (as determined in the good faith discretion of the Administrative Agent) requires the deduction or withholding of any Tax from any such payment by an Obligor, then such Obligor shall be entitled to make such deduction or withholding and shall timely pay the full amount deducted or withheld to the relevant Governmental Authority in accordance with applicable Law and, if such Tax is an Indemnified Tax, then the sum payable by such Obligor shall be increased as necessary so that after such deduction or withholding for Indemnified Taxes has been made (including such deductions and withholdings for Indemnified Taxes applicable to additional sums payable under this Section 5.03) the applicable Recipient receives an amount equal to the sum it would have received had no such deduction or withholding for Indemnified Taxes been made. For purposes of this Section 5.03, the term “applicable Law” includes FATCA.</w:t>
      </w:r>
    </w:p>
    <w:p>
      <w:pPr>
        <w:spacing w:after="0" w:line="211" w:lineRule="exact"/>
        <w:rPr>
          <w:rFonts w:ascii="Times New Roman" w:cs="Times New Roman" w:eastAsia="Times New Roman" w:hAnsi="Times New Roman"/>
          <w:sz w:val="21"/>
          <w:szCs w:val="21"/>
          <w:color w:val="auto"/>
        </w:rPr>
      </w:pPr>
    </w:p>
    <w:p>
      <w:pPr>
        <w:jc w:val="both"/>
        <w:ind w:left="760" w:firstLine="745"/>
        <w:spacing w:after="0" w:line="246" w:lineRule="auto"/>
        <w:tabs>
          <w:tab w:leader="none" w:pos="237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of Other Taxes by the Borrower. </w:t>
      </w:r>
      <w:r>
        <w:rPr>
          <w:rFonts w:ascii="Times New Roman" w:cs="Times New Roman" w:eastAsia="Times New Roman" w:hAnsi="Times New Roman"/>
          <w:sz w:val="22"/>
          <w:szCs w:val="22"/>
          <w:color w:val="auto"/>
        </w:rPr>
        <w:t>The Borrower shall timely pay to the relevant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Governmental Authority in accordance with applicable Law, or at the option of the Administrative Agent, timely reimburse it for, Other Taxes.</w:t>
      </w:r>
    </w:p>
    <w:p>
      <w:pPr>
        <w:spacing w:after="0" w:line="194"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37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Evidence of Payments. </w:t>
      </w:r>
      <w:r>
        <w:rPr>
          <w:rFonts w:ascii="Times New Roman" w:cs="Times New Roman" w:eastAsia="Times New Roman" w:hAnsi="Times New Roman"/>
          <w:sz w:val="22"/>
          <w:szCs w:val="22"/>
          <w:color w:val="auto"/>
        </w:rPr>
        <w:t>As soon as practicable after any payment of Taxes by the Borrower to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Governmental Authority, as a withholding Tax pursuant to this Section 5.03, the Borrower shall deliver to the Administrative Agent the original or a certified copy of a receipt issued by such Governmental Authority evidencing such payment, or a copy of the return reporting such payment or other evidence of such payment reasonably satisfactory to the Administrative Agent.</w:t>
      </w:r>
    </w:p>
    <w:p>
      <w:pPr>
        <w:spacing w:after="0" w:line="217"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237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w:t>
      </w:r>
      <w:r>
        <w:rPr>
          <w:rFonts w:ascii="Times New Roman" w:cs="Times New Roman" w:eastAsia="Times New Roman" w:hAnsi="Times New Roman"/>
          <w:sz w:val="22"/>
          <w:szCs w:val="22"/>
          <w:color w:val="auto"/>
        </w:rPr>
        <w:t>The Borrower shall reimburse and indemnify each Recipient, within ten (10) days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demand therefor, for the full amount of any Indemnified Taxes (including Indemnified Taxes imposed or asserted on or attributable to amounts payable under this Section 5.03) payable or paid by such Recipient or required to</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be withheld or deducted from a payment to such Recipient and any reasonable expenses arising therefrom or with respect thereto (including, but not limited to, any costs arising from a dispute with the relevant Government Authority in respect of such Indemnified Taxes),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04" w:lineRule="exact"/>
        <w:rPr>
          <w:sz w:val="20"/>
          <w:szCs w:val="20"/>
          <w:color w:val="auto"/>
        </w:rPr>
      </w:pPr>
    </w:p>
    <w:p>
      <w:pPr>
        <w:jc w:val="both"/>
        <w:ind w:firstLine="745"/>
        <w:spacing w:after="0" w:line="234" w:lineRule="auto"/>
        <w:tabs>
          <w:tab w:leader="none" w:pos="161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by the Lenders. </w:t>
      </w:r>
      <w:r>
        <w:rPr>
          <w:rFonts w:ascii="Times New Roman" w:cs="Times New Roman" w:eastAsia="Times New Roman" w:hAnsi="Times New Roman"/>
          <w:sz w:val="22"/>
          <w:szCs w:val="22"/>
          <w:color w:val="auto"/>
        </w:rPr>
        <w:t>Each Lender shall severally indemnify the Administrative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within ten (10) days after demand therefor, for (i) any Indemnified Taxes attributable to such Lender (but only to the extent that the Borrower has not already indemnified the Administrative Agent for such Indemnified Taxes and without limiting the obligation of the Borrower to do so), and (ii) any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216" w:lineRule="exact"/>
        <w:rPr>
          <w:rFonts w:ascii="Times New Roman" w:cs="Times New Roman" w:eastAsia="Times New Roman" w:hAnsi="Times New Roman"/>
          <w:sz w:val="22"/>
          <w:szCs w:val="22"/>
          <w:color w:val="auto"/>
        </w:rPr>
      </w:pPr>
    </w:p>
    <w:p>
      <w:pPr>
        <w:ind w:left="1600" w:hanging="855"/>
        <w:spacing w:after="0"/>
        <w:tabs>
          <w:tab w:leader="none" w:pos="16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Status of Lenders.</w:t>
      </w:r>
    </w:p>
    <w:p>
      <w:pPr>
        <w:spacing w:after="0" w:line="277" w:lineRule="exact"/>
        <w:rPr>
          <w:rFonts w:ascii="Times New Roman" w:cs="Times New Roman" w:eastAsia="Times New Roman" w:hAnsi="Times New Roman"/>
          <w:sz w:val="22"/>
          <w:szCs w:val="22"/>
          <w:color w:val="auto"/>
        </w:rPr>
      </w:pPr>
    </w:p>
    <w:p>
      <w:pPr>
        <w:jc w:val="both"/>
        <w:ind w:left="740" w:firstLine="754"/>
        <w:spacing w:after="0" w:line="245" w:lineRule="auto"/>
        <w:tabs>
          <w:tab w:leader="none" w:pos="2447"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as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5.03(f)(ii)(A), (B) or (D)) shall not be required if in the Lender’s reasonable judgment such completion, execution or submission would subject such Lender to</w:t>
      </w:r>
    </w:p>
    <w:p>
      <w:pPr>
        <w:spacing w:after="0" w:line="315" w:lineRule="exact"/>
        <w:rPr>
          <w:sz w:val="20"/>
          <w:szCs w:val="20"/>
          <w:color w:val="auto"/>
        </w:rPr>
      </w:pPr>
    </w:p>
    <w:p>
      <w:pPr>
        <w:ind w:left="46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508635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84" w:name="page185"/>
    <w:bookmarkEnd w:id="184"/>
    <w:p>
      <w:pPr>
        <w:spacing w:after="0" w:line="252" w:lineRule="exact"/>
        <w:rPr>
          <w:sz w:val="20"/>
          <w:szCs w:val="20"/>
          <w:color w:val="auto"/>
        </w:rPr>
      </w:pPr>
    </w:p>
    <w:p>
      <w:pPr>
        <w:ind w:left="380" w:right="20"/>
        <w:spacing w:after="0" w:line="258" w:lineRule="auto"/>
        <w:rPr>
          <w:sz w:val="20"/>
          <w:szCs w:val="20"/>
          <w:color w:val="auto"/>
        </w:rPr>
      </w:pPr>
      <w:r>
        <w:rPr>
          <w:rFonts w:ascii="Times New Roman" w:cs="Times New Roman" w:eastAsia="Times New Roman" w:hAnsi="Times New Roman"/>
          <w:sz w:val="22"/>
          <w:szCs w:val="22"/>
          <w:color w:val="auto"/>
        </w:rPr>
        <w:t>any material unreimbursed cost or expense or would materially prejudice the legal or commercial position of such Lender.</w:t>
      </w:r>
    </w:p>
    <w:p>
      <w:pPr>
        <w:spacing w:after="0" w:line="239" w:lineRule="exact"/>
        <w:rPr>
          <w:sz w:val="20"/>
          <w:szCs w:val="20"/>
          <w:color w:val="auto"/>
        </w:rPr>
      </w:pPr>
    </w:p>
    <w:p>
      <w:pPr>
        <w:ind w:left="2000" w:hanging="866"/>
        <w:spacing w:after="0"/>
        <w:tabs>
          <w:tab w:leader="none" w:pos="20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73" w:lineRule="exact"/>
        <w:rPr>
          <w:rFonts w:ascii="Times New Roman" w:cs="Times New Roman" w:eastAsia="Times New Roman" w:hAnsi="Times New Roman"/>
          <w:sz w:val="22"/>
          <w:szCs w:val="22"/>
          <w:color w:val="auto"/>
        </w:rPr>
      </w:pPr>
    </w:p>
    <w:p>
      <w:pPr>
        <w:jc w:val="both"/>
        <w:ind w:left="1140" w:firstLine="743"/>
        <w:spacing w:after="0" w:line="253" w:lineRule="exact"/>
        <w:tabs>
          <w:tab w:leader="none" w:pos="2321"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duly completed, valid,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 (or successor form) certifying that such Lender is exempt from U.S. Federal backup withholding Tax;</w:t>
      </w:r>
    </w:p>
    <w:p>
      <w:pPr>
        <w:spacing w:after="0" w:line="247" w:lineRule="exact"/>
        <w:rPr>
          <w:rFonts w:ascii="Times New Roman" w:cs="Times New Roman" w:eastAsia="Times New Roman" w:hAnsi="Times New Roman"/>
          <w:sz w:val="22"/>
          <w:szCs w:val="22"/>
          <w:color w:val="auto"/>
        </w:rPr>
      </w:pPr>
    </w:p>
    <w:p>
      <w:pPr>
        <w:jc w:val="both"/>
        <w:ind w:left="1140" w:firstLine="743"/>
        <w:spacing w:after="0" w:line="238" w:lineRule="auto"/>
        <w:tabs>
          <w:tab w:leader="none" w:pos="2321"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57" w:lineRule="exact"/>
        <w:rPr>
          <w:rFonts w:ascii="Times New Roman" w:cs="Times New Roman" w:eastAsia="Times New Roman" w:hAnsi="Times New Roman"/>
          <w:sz w:val="22"/>
          <w:szCs w:val="22"/>
          <w:color w:val="auto"/>
        </w:rPr>
      </w:pPr>
    </w:p>
    <w:p>
      <w:pPr>
        <w:jc w:val="both"/>
        <w:ind w:left="1880" w:firstLine="752"/>
        <w:spacing w:after="0" w:line="252" w:lineRule="exact"/>
        <w:tabs>
          <w:tab w:leader="none" w:pos="3061" w:val="left"/>
        </w:tabs>
        <w:numPr>
          <w:ilvl w:val="2"/>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an income Tax treaty to which the United States is a party (x) with respect to payments of interest under any Loan Document, duly completed, valid executed copies of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 (or successor form) or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 (or successor form) establishing an exemption from, or reduction of, U.S. Federal withholding Tax pursuant to the “interest” article of such Tax treaty and (y) with respect to any other applicable payments under any Loan Document, duly completed, valid, executed originals of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 (or successor form) or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 (or successor form) establishing an exemption from, or reduction of, U.S. Federal withholding Tax pursuant to the “business profits” or “other income” article of such Tax treaty;</w:t>
      </w:r>
    </w:p>
    <w:p>
      <w:pPr>
        <w:spacing w:after="0" w:line="212" w:lineRule="exact"/>
        <w:rPr>
          <w:rFonts w:ascii="Times New Roman" w:cs="Times New Roman" w:eastAsia="Times New Roman" w:hAnsi="Times New Roman"/>
          <w:sz w:val="21"/>
          <w:szCs w:val="21"/>
          <w:color w:val="auto"/>
        </w:rPr>
      </w:pPr>
    </w:p>
    <w:p>
      <w:pPr>
        <w:ind w:left="3060" w:hanging="428"/>
        <w:spacing w:after="0" w:line="253" w:lineRule="exact"/>
        <w:tabs>
          <w:tab w:leader="none" w:pos="3060"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valid,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 (or successor</w:t>
      </w:r>
    </w:p>
    <w:p>
      <w:pPr>
        <w:spacing w:after="0" w:line="62" w:lineRule="exact"/>
        <w:rPr>
          <w:rFonts w:ascii="Times New Roman" w:cs="Times New Roman" w:eastAsia="Times New Roman" w:hAnsi="Times New Roman"/>
          <w:sz w:val="22"/>
          <w:szCs w:val="22"/>
          <w:color w:val="auto"/>
        </w:rPr>
      </w:pPr>
    </w:p>
    <w:p>
      <w:pPr>
        <w:ind w:left="18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w:t>
      </w:r>
    </w:p>
    <w:p>
      <w:pPr>
        <w:spacing w:after="0" w:line="249" w:lineRule="exact"/>
        <w:rPr>
          <w:rFonts w:ascii="Times New Roman" w:cs="Times New Roman" w:eastAsia="Times New Roman" w:hAnsi="Times New Roman"/>
          <w:sz w:val="22"/>
          <w:szCs w:val="22"/>
          <w:color w:val="auto"/>
        </w:rPr>
      </w:pPr>
    </w:p>
    <w:p>
      <w:pPr>
        <w:jc w:val="both"/>
        <w:ind w:left="1880" w:firstLine="752"/>
        <w:spacing w:after="0" w:line="251" w:lineRule="auto"/>
        <w:tabs>
          <w:tab w:leader="none" w:pos="3061" w:val="left"/>
        </w:tabs>
        <w:numPr>
          <w:ilvl w:val="2"/>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the exemption for portfolio interest under Section 881(c) of the Code, (x) a certificate substantially in the form of Exhibit D to the effect that such Foreign Lender is not a “bank” within the meaning of Section 881(c)(3)(A) of the Code, a “10 percent shareholder” of the Borrower within the meaning of Section 881(c)(3)(B) of the Code, or a “controlled foreign corporation” described in Section</w:t>
      </w:r>
    </w:p>
    <w:p>
      <w:pPr>
        <w:spacing w:after="0" w:line="309"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85" w:name="page186"/>
    <w:bookmarkEnd w:id="185"/>
    <w:p>
      <w:pPr>
        <w:spacing w:after="0" w:line="248" w:lineRule="exact"/>
        <w:rPr>
          <w:sz w:val="20"/>
          <w:szCs w:val="20"/>
          <w:color w:val="auto"/>
        </w:rPr>
      </w:pPr>
    </w:p>
    <w:p>
      <w:pPr>
        <w:ind w:left="1880"/>
        <w:spacing w:after="0" w:line="287" w:lineRule="exact"/>
        <w:rPr>
          <w:sz w:val="20"/>
          <w:szCs w:val="20"/>
          <w:color w:val="auto"/>
        </w:rPr>
      </w:pPr>
      <w:r>
        <w:rPr>
          <w:rFonts w:ascii="Times New Roman" w:cs="Times New Roman" w:eastAsia="Times New Roman" w:hAnsi="Times New Roman"/>
          <w:sz w:val="22"/>
          <w:szCs w:val="22"/>
          <w:color w:val="auto"/>
        </w:rPr>
        <w:t xml:space="preserve">881(c)(3)(C) of the Code (a </w:t>
      </w:r>
      <w:r>
        <w:rPr>
          <w:rFonts w:ascii="Times New Roman" w:cs="Times New Roman" w:eastAsia="Times New Roman" w:hAnsi="Times New Roman"/>
          <w:sz w:val="22"/>
          <w:szCs w:val="22"/>
          <w:i w:val="1"/>
          <w:iCs w:val="1"/>
          <w:color w:val="auto"/>
        </w:rPr>
        <w:t>“U.S. Tax Compliance Certificate”</w:t>
      </w:r>
      <w:r>
        <w:rPr>
          <w:rFonts w:ascii="Times New Roman" w:cs="Times New Roman" w:eastAsia="Times New Roman" w:hAnsi="Times New Roman"/>
          <w:sz w:val="22"/>
          <w:szCs w:val="22"/>
          <w:color w:val="auto"/>
        </w:rPr>
        <w:t>) and (y)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successor form) or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(or successor form); or</w:t>
      </w:r>
    </w:p>
    <w:p>
      <w:pPr>
        <w:spacing w:after="0" w:line="227" w:lineRule="exact"/>
        <w:rPr>
          <w:sz w:val="20"/>
          <w:szCs w:val="20"/>
          <w:color w:val="auto"/>
        </w:rPr>
      </w:pPr>
    </w:p>
    <w:p>
      <w:pPr>
        <w:jc w:val="both"/>
        <w:ind w:left="1880" w:firstLine="752"/>
        <w:spacing w:after="0" w:line="253" w:lineRule="exact"/>
        <w:tabs>
          <w:tab w:leader="none" w:pos="3061"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Foreign Lender is not the beneficial owner, duly completed, valid,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8IMY (or successor form), accompanied by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 (or successor form),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successor form),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(or successor form), a U.S. Tax Compliance Certificate,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9 (or successor form), and/or other certification documents from each beneficial owner,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spacing w:after="0" w:line="244" w:lineRule="exact"/>
        <w:rPr>
          <w:rFonts w:ascii="Times New Roman" w:cs="Times New Roman" w:eastAsia="Times New Roman" w:hAnsi="Times New Roman"/>
          <w:sz w:val="22"/>
          <w:szCs w:val="22"/>
          <w:color w:val="auto"/>
        </w:rPr>
      </w:pPr>
    </w:p>
    <w:p>
      <w:pPr>
        <w:jc w:val="both"/>
        <w:ind w:left="1140" w:firstLine="743"/>
        <w:spacing w:after="0" w:line="247" w:lineRule="auto"/>
        <w:tabs>
          <w:tab w:leader="none" w:pos="2321"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239" w:lineRule="exact"/>
        <w:rPr>
          <w:rFonts w:ascii="Times New Roman" w:cs="Times New Roman" w:eastAsia="Times New Roman" w:hAnsi="Times New Roman"/>
          <w:sz w:val="21"/>
          <w:szCs w:val="21"/>
          <w:color w:val="auto"/>
        </w:rPr>
      </w:pPr>
    </w:p>
    <w:p>
      <w:pPr>
        <w:jc w:val="both"/>
        <w:ind w:left="1140" w:firstLine="743"/>
        <w:spacing w:after="0" w:line="245" w:lineRule="auto"/>
        <w:tabs>
          <w:tab w:leader="none" w:pos="2321"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and to determine that such Lender has complied with such Lender’s obligations under FATCA or to determine the amount, if any, to deduct and withhold from such payment. Solely for purposes of this clause (D), “FATCA” shall</w:t>
      </w:r>
    </w:p>
    <w:p>
      <w:pPr>
        <w:spacing w:after="0" w:line="318"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86" w:name="page187"/>
    <w:bookmarkEnd w:id="186"/>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include any amendments made to FATCA after the date of this Agreement; and</w:t>
      </w:r>
    </w:p>
    <w:p>
      <w:pPr>
        <w:spacing w:after="0" w:line="287" w:lineRule="exact"/>
        <w:rPr>
          <w:sz w:val="20"/>
          <w:szCs w:val="20"/>
          <w:color w:val="auto"/>
        </w:rPr>
      </w:pPr>
    </w:p>
    <w:p>
      <w:pPr>
        <w:jc w:val="both"/>
        <w:ind w:left="2260" w:firstLine="743"/>
        <w:spacing w:after="0" w:line="234" w:lineRule="auto"/>
        <w:tabs>
          <w:tab w:leader="none" w:pos="344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date the Administrative Agent (or any successor thereto) becomes a party to this Agreement, the Administrative Agent shall provide to the Borrower, a duly completed, valid copy of the documentation prescribed in clause (i) or (ii) below, as applicable (together with all required attachments thereto): (i) IRS Form W-9 or any successor thereto, or (ii) (A) IRS Form W-8ECI or any successor thereto, and (B) with respect to payments received on account of any Lender, a U.S. branch withholding certificate on IRS Form W-8IMY or any successor thereto evidencing its agreement with the Borrower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Each Recipient agrees that if any form or certification it previously delivered expires or becomes obsolete or inaccurate in any respect, it shall promptly update such form or certification or promptly notify the Borrower and the Administrative Agent in writing of its legal inability to do so.</w:t>
      </w:r>
    </w:p>
    <w:p>
      <w:pPr>
        <w:spacing w:after="0" w:line="210" w:lineRule="exact"/>
        <w:rPr>
          <w:sz w:val="20"/>
          <w:szCs w:val="20"/>
          <w:color w:val="auto"/>
        </w:rPr>
      </w:pPr>
    </w:p>
    <w:p>
      <w:pPr>
        <w:jc w:val="both"/>
        <w:ind w:left="760" w:firstLine="745"/>
        <w:spacing w:after="0" w:line="247" w:lineRule="exact"/>
        <w:tabs>
          <w:tab w:leader="none" w:pos="2373"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Treatment of Certain Refunds. </w:t>
      </w:r>
      <w:r>
        <w:rPr>
          <w:rFonts w:ascii="Times New Roman" w:cs="Times New Roman" w:eastAsia="Times New Roman" w:hAnsi="Times New Roman"/>
          <w:sz w:val="21"/>
          <w:szCs w:val="21"/>
          <w:color w:val="auto"/>
        </w:rPr>
        <w:t>If any party to this Agreement determines, in its reasonable discretion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exercised in good faith, that it has received a refund of any Taxes as to which it has been indemnified pursuant to this Section 5.03 (including by the payment of additional amounts pursuant to this Section 5.03), it shall pay to the indemnifying party an amount equal to such refund (but only to the extent of indemnity payments made under this Section 5.03 with respect to the Taxes giving rise to such refund), net of all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pocket expenses (including Taxes) of such indemnified party and without interest (other than any interest paid by the relevant Governmental Authority with respect to such refund). Such indemnifying party, upon the written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Section 5.03(g), in no event will the indemnified party be required to pay any amount to an indemnifying party pursuant to this Section 5.03(g) the payment of which would place the indemnified party in a less favorable net after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Section 5.03(g) shall not be construed to require any indemnified party to make available its Tax returns (or any other information relating to its Taxes that it deems confidential) to the indemnifying party or any other Person.</w:t>
      </w:r>
    </w:p>
    <w:p>
      <w:pPr>
        <w:spacing w:after="0" w:line="33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21" w:lineRule="exact"/>
        <w:rPr>
          <w:sz w:val="20"/>
          <w:szCs w:val="20"/>
          <w:color w:val="auto"/>
        </w:rPr>
      </w:pPr>
    </w:p>
    <w:p>
      <w:pPr>
        <w:jc w:val="both"/>
        <w:ind w:left="760" w:firstLine="745"/>
        <w:spacing w:after="0" w:line="234" w:lineRule="auto"/>
        <w:tabs>
          <w:tab w:leader="none" w:pos="237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Mitigation Obligations. </w:t>
      </w:r>
      <w:r>
        <w:rPr>
          <w:rFonts w:ascii="Times New Roman" w:cs="Times New Roman" w:eastAsia="Times New Roman" w:hAnsi="Times New Roman"/>
          <w:sz w:val="22"/>
          <w:szCs w:val="22"/>
          <w:color w:val="auto"/>
        </w:rPr>
        <w:t>If the Borrower is required to pay any Indemnified Taxes or additional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amounts to any Lender or to any Governmental Authority for the account of any Lender pursuant to Section 5.01 or this Section 5.03, then such Lender shall (at the request of the Borrower) use commercially reasonable efforts to designate a different lending office for funding or booking its Term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Section 5.01 or this Section 5.03, as the case may be, in the future, (ii) not subject such Lender to any unreimbursed cost or expense and (iii) not otherwise be disadvantageous to such Lender. The Borrower hereby agrees to pay all reasonable out-of-pocket costs and expenses incurred by any Lender in connection with any such designation or assignment and delegation.</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237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 Each party’s obligations under this Article 5 shall survive the resignation or replacement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Administrative Agent or any assignment of rights by, or the replacement of, a Lender, the termination of the Commitments and the repayment, satisfaction or discharge of all Obligations under any Loan Document.</w:t>
      </w:r>
    </w:p>
    <w:p>
      <w:pPr>
        <w:spacing w:after="0" w:line="208" w:lineRule="exact"/>
        <w:rPr>
          <w:sz w:val="20"/>
          <w:szCs w:val="20"/>
          <w:color w:val="auto"/>
        </w:rPr>
      </w:pPr>
    </w:p>
    <w:p>
      <w:pPr>
        <w:jc w:val="both"/>
        <w:ind w:firstLine="459"/>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5.04. Delay in Requests </w:t>
      </w:r>
      <w:r>
        <w:rPr>
          <w:rFonts w:ascii="Times New Roman" w:cs="Times New Roman" w:eastAsia="Times New Roman" w:hAnsi="Times New Roman"/>
          <w:sz w:val="22"/>
          <w:szCs w:val="22"/>
          <w:color w:val="auto"/>
        </w:rPr>
        <w:t>. Failure or delay on the part of any Lender to demand compensation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Article 5 shall not constitute a waiver of such Lender’s right to demand such compensation;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not be required to compensate a Lender pursuant to this Article 5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onditions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recedent</w:t>
      </w:r>
    </w:p>
    <w:p>
      <w:pPr>
        <w:spacing w:after="0" w:line="247"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6.01. Conditions to Closing Date. </w:t>
      </w:r>
      <w:r>
        <w:rPr>
          <w:rFonts w:ascii="Times New Roman" w:cs="Times New Roman" w:eastAsia="Times New Roman" w:hAnsi="Times New Roman"/>
          <w:sz w:val="22"/>
          <w:szCs w:val="22"/>
          <w:color w:val="auto"/>
        </w:rPr>
        <w:t>The obligation of each Lender to enter into this Agreement on the Closing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become effective until the following conditions precedent shall have been reasonably satisfied or waived in writing by the Administrative Agent:</w:t>
      </w:r>
    </w:p>
    <w:p>
      <w:pPr>
        <w:spacing w:after="0" w:line="194" w:lineRule="exact"/>
        <w:rPr>
          <w:sz w:val="20"/>
          <w:szCs w:val="20"/>
          <w:color w:val="auto"/>
        </w:rPr>
      </w:pPr>
    </w:p>
    <w:p>
      <w:pPr>
        <w:jc w:val="both"/>
        <w:ind w:left="760" w:right="20" w:firstLine="745"/>
        <w:spacing w:after="0" w:line="246" w:lineRule="auto"/>
        <w:tabs>
          <w:tab w:leader="none" w:pos="2373"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Organization and Capitalization </w:t>
      </w:r>
      <w:r>
        <w:rPr>
          <w:rFonts w:ascii="Times New Roman" w:cs="Times New Roman" w:eastAsia="Times New Roman" w:hAnsi="Times New Roman"/>
          <w:sz w:val="22"/>
          <w:szCs w:val="22"/>
          <w:color w:val="auto"/>
        </w:rPr>
        <w:t>. The organizational structure and pro-forma capitalization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Obligors, after giving effect to the Transactions, as set forth on Schedule 7.20 shall be reasonably satisfactory to the Administrative Agent.</w:t>
      </w:r>
    </w:p>
    <w:p>
      <w:pPr>
        <w:spacing w:after="0" w:line="207" w:lineRule="exact"/>
        <w:rPr>
          <w:rFonts w:ascii="Times New Roman" w:cs="Times New Roman" w:eastAsia="Times New Roman" w:hAnsi="Times New Roman"/>
          <w:sz w:val="22"/>
          <w:szCs w:val="22"/>
          <w:color w:val="auto"/>
        </w:rPr>
      </w:pPr>
    </w:p>
    <w:p>
      <w:pPr>
        <w:ind w:left="760" w:firstLine="745"/>
        <w:spacing w:after="0" w:line="262" w:lineRule="auto"/>
        <w:tabs>
          <w:tab w:leader="none" w:pos="2373"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Lien Searches. </w:t>
      </w:r>
      <w:r>
        <w:rPr>
          <w:rFonts w:ascii="Times New Roman" w:cs="Times New Roman" w:eastAsia="Times New Roman" w:hAnsi="Times New Roman"/>
          <w:sz w:val="22"/>
          <w:szCs w:val="22"/>
          <w:color w:val="auto"/>
        </w:rPr>
        <w:t>The Administrative Agent shall be reasonably satisfied with Lien searches regarding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Obligors made prior to the Closing Date.</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21" w:lineRule="exact"/>
        <w:rPr>
          <w:sz w:val="20"/>
          <w:szCs w:val="20"/>
          <w:color w:val="auto"/>
        </w:rPr>
      </w:pPr>
    </w:p>
    <w:p>
      <w:pPr>
        <w:ind w:left="-360" w:firstLine="745"/>
        <w:spacing w:after="0" w:line="262" w:lineRule="auto"/>
        <w:tabs>
          <w:tab w:leader="none" w:pos="125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Documentary Deliveries. </w:t>
      </w:r>
      <w:r>
        <w:rPr>
          <w:rFonts w:ascii="Times New Roman" w:cs="Times New Roman" w:eastAsia="Times New Roman" w:hAnsi="Times New Roman"/>
          <w:sz w:val="22"/>
          <w:szCs w:val="22"/>
          <w:color w:val="auto"/>
        </w:rPr>
        <w:t>The Administrative Agent shall have received the following documents,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of which shall be in form and substance reasonably satisfactory to the Administrative Agent:</w:t>
      </w:r>
    </w:p>
    <w:p>
      <w:pPr>
        <w:spacing w:after="0" w:line="217" w:lineRule="exact"/>
        <w:rPr>
          <w:rFonts w:ascii="Times New Roman" w:cs="Times New Roman" w:eastAsia="Times New Roman" w:hAnsi="Times New Roman"/>
          <w:sz w:val="22"/>
          <w:szCs w:val="22"/>
          <w:color w:val="auto"/>
        </w:rPr>
      </w:pPr>
    </w:p>
    <w:p>
      <w:pPr>
        <w:ind w:left="380" w:firstLine="754"/>
        <w:spacing w:after="0" w:line="262" w:lineRule="auto"/>
        <w:tabs>
          <w:tab w:leader="none" w:pos="1993"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This Agreement duly executed and delivered by the Borrower and each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parties hereto.</w:t>
      </w:r>
    </w:p>
    <w:p>
      <w:pPr>
        <w:spacing w:after="0" w:line="217" w:lineRule="exact"/>
        <w:rPr>
          <w:rFonts w:ascii="Times New Roman" w:cs="Times New Roman" w:eastAsia="Times New Roman" w:hAnsi="Times New Roman"/>
          <w:sz w:val="22"/>
          <w:szCs w:val="22"/>
          <w:color w:val="auto"/>
        </w:rPr>
      </w:pPr>
    </w:p>
    <w:p>
      <w:pPr>
        <w:jc w:val="both"/>
        <w:ind w:left="380" w:firstLine="754"/>
        <w:spacing w:after="0" w:line="246" w:lineRule="auto"/>
        <w:tabs>
          <w:tab w:leader="none" w:pos="1993"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Collateral Questionnaire. </w:t>
      </w:r>
      <w:r>
        <w:rPr>
          <w:rFonts w:ascii="Times New Roman" w:cs="Times New Roman" w:eastAsia="Times New Roman" w:hAnsi="Times New Roman"/>
          <w:sz w:val="22"/>
          <w:szCs w:val="22"/>
          <w:color w:val="auto"/>
        </w:rPr>
        <w:t>The Collateral Questionnaire, duly executed and delivered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Responsible Officer of the Borrower, substantially in the form of Exhibit I hereto and otherwise in form and substance satisfactory to the Administrative Agent.</w:t>
      </w:r>
    </w:p>
    <w:p>
      <w:pPr>
        <w:spacing w:after="0" w:line="248" w:lineRule="exact"/>
        <w:rPr>
          <w:rFonts w:ascii="Times New Roman" w:cs="Times New Roman" w:eastAsia="Times New Roman" w:hAnsi="Times New Roman"/>
          <w:sz w:val="22"/>
          <w:szCs w:val="22"/>
          <w:color w:val="auto"/>
        </w:rPr>
      </w:pPr>
    </w:p>
    <w:p>
      <w:pPr>
        <w:ind w:left="380" w:right="20" w:firstLine="754"/>
        <w:spacing w:after="0" w:line="262" w:lineRule="auto"/>
        <w:tabs>
          <w:tab w:leader="none" w:pos="1993"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Fee Letter</w:t>
      </w:r>
      <w:r>
        <w:rPr>
          <w:rFonts w:ascii="Times New Roman" w:cs="Times New Roman" w:eastAsia="Times New Roman" w:hAnsi="Times New Roman"/>
          <w:sz w:val="22"/>
          <w:szCs w:val="22"/>
          <w:color w:val="auto"/>
        </w:rPr>
        <w:t>. The Fee Letter duly executed and delivered by the Borrower, the Lenders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w:t>
      </w:r>
    </w:p>
    <w:p>
      <w:pPr>
        <w:spacing w:after="0" w:line="217" w:lineRule="exact"/>
        <w:rPr>
          <w:rFonts w:ascii="Times New Roman" w:cs="Times New Roman" w:eastAsia="Times New Roman" w:hAnsi="Times New Roman"/>
          <w:sz w:val="22"/>
          <w:szCs w:val="22"/>
          <w:color w:val="auto"/>
        </w:rPr>
      </w:pPr>
    </w:p>
    <w:p>
      <w:pPr>
        <w:ind w:left="2000" w:hanging="866"/>
        <w:spacing w:after="0"/>
        <w:tabs>
          <w:tab w:leader="none" w:pos="200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Note. </w:t>
      </w:r>
      <w:r>
        <w:rPr>
          <w:rFonts w:ascii="Times New Roman" w:cs="Times New Roman" w:eastAsia="Times New Roman" w:hAnsi="Times New Roman"/>
          <w:sz w:val="22"/>
          <w:szCs w:val="22"/>
          <w:color w:val="auto"/>
        </w:rPr>
        <w:t>Any Notes requested in accordance with Section 2.04.</w:t>
      </w:r>
    </w:p>
    <w:p>
      <w:pPr>
        <w:spacing w:after="0" w:line="273" w:lineRule="exact"/>
        <w:rPr>
          <w:rFonts w:ascii="Times New Roman" w:cs="Times New Roman" w:eastAsia="Times New Roman" w:hAnsi="Times New Roman"/>
          <w:sz w:val="22"/>
          <w:szCs w:val="22"/>
          <w:color w:val="auto"/>
        </w:rPr>
      </w:pPr>
    </w:p>
    <w:p>
      <w:pPr>
        <w:jc w:val="both"/>
        <w:ind w:left="380" w:firstLine="754"/>
        <w:spacing w:after="0" w:line="234" w:lineRule="auto"/>
        <w:tabs>
          <w:tab w:leader="none" w:pos="1993"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Organizational Documents. </w:t>
      </w:r>
      <w:r>
        <w:rPr>
          <w:rFonts w:ascii="Times New Roman" w:cs="Times New Roman" w:eastAsia="Times New Roman" w:hAnsi="Times New Roman"/>
          <w:sz w:val="22"/>
          <w:szCs w:val="22"/>
          <w:color w:val="auto"/>
        </w:rPr>
        <w:t>(A) Certified copies of the Organizational Documents of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 and of resolutions of the Board (or similar governing body) of each Obligor approving and authorizing the execution, delivery and performance of this Agreement and each of the other Loan Documents to which it is a party, certified as of the Closing Date by a Responsible Officer of such Obligor as being in full force and effect without modification or amendment; (B) a good standing certificate and/or compliance certificate from the applicable Governmental Authority of each Obligor’s jurisdiction of incorporation and in each jurisdiction in which it is qualified as a foreign corporation or other entity to do business (except where failure to be in good standing would not, either individually or in the aggregate, reasonably be expected to have a Material Adverse Effect), each dated a recent date prior to the Closing Date; and (C) such other documents as the Administrative Agent may reasonably request.</w:t>
      </w:r>
    </w:p>
    <w:p>
      <w:pPr>
        <w:spacing w:after="0" w:line="260" w:lineRule="exact"/>
        <w:rPr>
          <w:rFonts w:ascii="Times New Roman" w:cs="Times New Roman" w:eastAsia="Times New Roman" w:hAnsi="Times New Roman"/>
          <w:sz w:val="22"/>
          <w:szCs w:val="22"/>
          <w:color w:val="auto"/>
        </w:rPr>
      </w:pPr>
    </w:p>
    <w:p>
      <w:pPr>
        <w:jc w:val="both"/>
        <w:ind w:left="380" w:firstLine="754"/>
        <w:spacing w:after="0" w:line="246" w:lineRule="auto"/>
        <w:tabs>
          <w:tab w:leader="none" w:pos="1993"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Incumbency Certificate. </w:t>
      </w:r>
      <w:r>
        <w:rPr>
          <w:rFonts w:ascii="Times New Roman" w:cs="Times New Roman" w:eastAsia="Times New Roman" w:hAnsi="Times New Roman"/>
          <w:sz w:val="22"/>
          <w:szCs w:val="22"/>
          <w:color w:val="auto"/>
        </w:rPr>
        <w:t>A certificate of each Obligor as to the authority, incumbency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specimen signatures of the persons who have executed the Loan Documents and any other documents in connection herewith on behalf of the Obligors.</w:t>
      </w:r>
    </w:p>
    <w:p>
      <w:pPr>
        <w:spacing w:after="0" w:line="194" w:lineRule="exact"/>
        <w:rPr>
          <w:rFonts w:ascii="Times New Roman" w:cs="Times New Roman" w:eastAsia="Times New Roman" w:hAnsi="Times New Roman"/>
          <w:sz w:val="22"/>
          <w:szCs w:val="22"/>
          <w:color w:val="auto"/>
        </w:rPr>
      </w:pPr>
    </w:p>
    <w:p>
      <w:pPr>
        <w:jc w:val="both"/>
        <w:ind w:left="380" w:firstLine="754"/>
        <w:spacing w:after="0" w:line="246" w:lineRule="auto"/>
        <w:tabs>
          <w:tab w:leader="none" w:pos="1601"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A certificate, in form and substance satisfactory to 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dated as of the Closing Date and signed by a Responsible Officer of the Borrower, confirming compliance with the conditions set forth in subsections (f) and (g) of this Section 6.01.</w:t>
      </w:r>
    </w:p>
    <w:p>
      <w:pPr>
        <w:spacing w:after="0" w:line="207" w:lineRule="exact"/>
        <w:rPr>
          <w:rFonts w:ascii="Times New Roman" w:cs="Times New Roman" w:eastAsia="Times New Roman" w:hAnsi="Times New Roman"/>
          <w:sz w:val="22"/>
          <w:szCs w:val="22"/>
          <w:color w:val="auto"/>
        </w:rPr>
      </w:pPr>
    </w:p>
    <w:p>
      <w:pPr>
        <w:ind w:left="380" w:firstLine="754"/>
        <w:spacing w:after="0" w:line="262" w:lineRule="auto"/>
        <w:tabs>
          <w:tab w:leader="none" w:pos="202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Opinion of Counsel. </w:t>
      </w:r>
      <w:r>
        <w:rPr>
          <w:rFonts w:ascii="Times New Roman" w:cs="Times New Roman" w:eastAsia="Times New Roman" w:hAnsi="Times New Roman"/>
          <w:sz w:val="22"/>
          <w:szCs w:val="22"/>
          <w:color w:val="auto"/>
        </w:rPr>
        <w:t>A favorable opinion, dated as of the Closing Date, of Sidley Austin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LLP, counsel to each Obligor in form reasonably acceptable to the Administrative Agent and its counsel.</w:t>
      </w:r>
    </w:p>
    <w:p>
      <w:pPr>
        <w:spacing w:after="0" w:line="295"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89" w:name="page190"/>
    <w:bookmarkEnd w:id="189"/>
    <w:p>
      <w:pPr>
        <w:spacing w:after="0" w:line="221" w:lineRule="exact"/>
        <w:rPr>
          <w:sz w:val="20"/>
          <w:szCs w:val="20"/>
          <w:color w:val="auto"/>
        </w:rPr>
      </w:pPr>
    </w:p>
    <w:p>
      <w:pPr>
        <w:jc w:val="both"/>
        <w:ind w:left="1500" w:firstLine="754"/>
        <w:spacing w:after="0" w:line="246" w:lineRule="auto"/>
        <w:tabs>
          <w:tab w:leader="none" w:pos="3113"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Evidence of Insurance. </w:t>
      </w:r>
      <w:r>
        <w:rPr>
          <w:rFonts w:ascii="Times New Roman" w:cs="Times New Roman" w:eastAsia="Times New Roman" w:hAnsi="Times New Roman"/>
          <w:sz w:val="22"/>
          <w:szCs w:val="22"/>
          <w:color w:val="auto"/>
        </w:rPr>
        <w:t>Certificates from each Obligor’s insurance broker or other evidence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reasonably satisfactory to the Administrative Agent that all insurance required to be maintained pursuant to Section 8.05 is in full force and effect.</w:t>
      </w:r>
    </w:p>
    <w:p>
      <w:pPr>
        <w:spacing w:after="0" w:line="194" w:lineRule="exact"/>
        <w:rPr>
          <w:rFonts w:ascii="Times New Roman" w:cs="Times New Roman" w:eastAsia="Times New Roman" w:hAnsi="Times New Roman"/>
          <w:sz w:val="22"/>
          <w:szCs w:val="22"/>
          <w:color w:val="auto"/>
        </w:rPr>
      </w:pPr>
    </w:p>
    <w:p>
      <w:pPr>
        <w:ind w:left="760" w:firstLine="745"/>
        <w:spacing w:after="0" w:line="262" w:lineRule="auto"/>
        <w:tabs>
          <w:tab w:leader="none" w:pos="237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Documents in Agreed Form. </w:t>
      </w:r>
      <w:r>
        <w:rPr>
          <w:rFonts w:ascii="Times New Roman" w:cs="Times New Roman" w:eastAsia="Times New Roman" w:hAnsi="Times New Roman"/>
          <w:sz w:val="22"/>
          <w:szCs w:val="22"/>
          <w:color w:val="auto"/>
        </w:rPr>
        <w:t>The Administrative Agent shall have received the following documents,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of which shall be in form and substance reasonably satisfactory to the Administrative Agent:</w:t>
      </w:r>
    </w:p>
    <w:p>
      <w:pPr>
        <w:spacing w:after="0" w:line="194"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UCC-1 financing statement in form and substance satisfactory to the Administrative Agent.</w:t>
      </w:r>
    </w:p>
    <w:p>
      <w:pPr>
        <w:spacing w:after="0" w:line="246"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Agreement;</w:t>
      </w:r>
    </w:p>
    <w:p>
      <w:pPr>
        <w:spacing w:after="0" w:line="198" w:lineRule="exact"/>
        <w:rPr>
          <w:rFonts w:ascii="Times New Roman" w:cs="Times New Roman" w:eastAsia="Times New Roman" w:hAnsi="Times New Roman"/>
          <w:sz w:val="22"/>
          <w:szCs w:val="22"/>
          <w:color w:val="auto"/>
        </w:rPr>
      </w:pPr>
    </w:p>
    <w:p>
      <w:pPr>
        <w:ind w:left="3120" w:hanging="866"/>
        <w:spacing w:after="0" w:line="253" w:lineRule="exact"/>
        <w:tabs>
          <w:tab w:leader="none" w:pos="312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Form IP Security Agreements; and</w:t>
      </w:r>
    </w:p>
    <w:p>
      <w:pPr>
        <w:spacing w:after="0" w:line="294"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Warrant Certificate (Funding Date).</w:t>
      </w:r>
    </w:p>
    <w:p>
      <w:pPr>
        <w:spacing w:after="0" w:line="242"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237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Indebtedness. </w:t>
      </w:r>
      <w:r>
        <w:rPr>
          <w:rFonts w:ascii="Times New Roman" w:cs="Times New Roman" w:eastAsia="Times New Roman" w:hAnsi="Times New Roman"/>
          <w:sz w:val="22"/>
          <w:szCs w:val="22"/>
          <w:color w:val="auto"/>
        </w:rPr>
        <w:t>As of the Closing Date, no Obligor shall have any Indebtedness other than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Permitted Indebtedness, Indebtedness evidenced by the Existing Credit Agreements and any Indebtedness specified on Schedule 7.13A.</w:t>
      </w:r>
    </w:p>
    <w:p>
      <w:pPr>
        <w:spacing w:after="0" w:line="194"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37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Representations and Warranties </w:t>
      </w:r>
      <w:r>
        <w:rPr>
          <w:rFonts w:ascii="Times New Roman" w:cs="Times New Roman" w:eastAsia="Times New Roman" w:hAnsi="Times New Roman"/>
          <w:sz w:val="22"/>
          <w:szCs w:val="22"/>
          <w:color w:val="auto"/>
        </w:rPr>
        <w:t>. The Specified Representations shall be true and correct in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material respects on and as of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further </w:t>
      </w:r>
      <w:r>
        <w:rPr>
          <w:rFonts w:ascii="Times New Roman" w:cs="Times New Roman" w:eastAsia="Times New Roman" w:hAnsi="Times New Roman"/>
          <w:sz w:val="22"/>
          <w:szCs w:val="22"/>
          <w:color w:val="auto"/>
        </w:rPr>
        <w:t>that any representation and warranty that is qualified as to “materiality”, “Material Adverse Effect” or similar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language shall be true and correct (after giving effect to any qualification therein) in all respects.</w:t>
      </w:r>
    </w:p>
    <w:p>
      <w:pPr>
        <w:spacing w:after="0" w:line="217" w:lineRule="exact"/>
        <w:rPr>
          <w:rFonts w:ascii="Times New Roman" w:cs="Times New Roman" w:eastAsia="Times New Roman" w:hAnsi="Times New Roman"/>
          <w:sz w:val="22"/>
          <w:szCs w:val="22"/>
          <w:color w:val="auto"/>
        </w:rPr>
      </w:pPr>
    </w:p>
    <w:p>
      <w:pPr>
        <w:ind w:left="2000" w:hanging="495"/>
        <w:spacing w:after="0"/>
        <w:tabs>
          <w:tab w:leader="none" w:pos="200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Default shall exist.</w:t>
      </w:r>
    </w:p>
    <w:p>
      <w:pPr>
        <w:spacing w:after="0" w:line="251" w:lineRule="exact"/>
        <w:rPr>
          <w:sz w:val="20"/>
          <w:szCs w:val="20"/>
          <w:color w:val="auto"/>
        </w:rPr>
      </w:pPr>
    </w:p>
    <w:p>
      <w:pPr>
        <w:jc w:val="both"/>
        <w:ind w:firstLine="891"/>
        <w:spacing w:after="0" w:line="258" w:lineRule="auto"/>
        <w:rPr>
          <w:sz w:val="20"/>
          <w:szCs w:val="20"/>
          <w:color w:val="auto"/>
        </w:rPr>
      </w:pPr>
      <w:r>
        <w:rPr>
          <w:rFonts w:ascii="Times New Roman" w:cs="Times New Roman" w:eastAsia="Times New Roman" w:hAnsi="Times New Roman"/>
          <w:sz w:val="22"/>
          <w:szCs w:val="22"/>
          <w:color w:val="auto"/>
        </w:rPr>
        <w:t>The execution of this Agreement shall constitute a certification by the Borrower, the Administrative Agent and the Lenders to the effect that the conditions set forth in Section 6.01 have been fulfilled as of the Closing Date.</w:t>
      </w:r>
    </w:p>
    <w:p>
      <w:pPr>
        <w:spacing w:after="0" w:line="181"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6.02. Conditions to Funding Date; Tranche A Loan. </w:t>
      </w:r>
      <w:r>
        <w:rPr>
          <w:rFonts w:ascii="Times New Roman" w:cs="Times New Roman" w:eastAsia="Times New Roman" w:hAnsi="Times New Roman"/>
          <w:sz w:val="22"/>
          <w:szCs w:val="22"/>
          <w:color w:val="auto"/>
        </w:rPr>
        <w:t>The obligation of each Lender to make the Tranche A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the Funding Date shall not become effective until the following conditions precedent shall have been reasonably satisfied or waived in writing by the Administrative Agent (which satisfaction or waiver may be made simultaneously with the making of the Tranche A Loan hereunder):</w:t>
      </w:r>
    </w:p>
    <w:p>
      <w:pPr>
        <w:spacing w:after="0" w:line="212" w:lineRule="exact"/>
        <w:rPr>
          <w:sz w:val="20"/>
          <w:szCs w:val="20"/>
          <w:color w:val="auto"/>
        </w:rPr>
      </w:pPr>
    </w:p>
    <w:p>
      <w:pPr>
        <w:ind w:left="760" w:firstLine="745"/>
        <w:spacing w:after="0" w:line="262" w:lineRule="auto"/>
        <w:tabs>
          <w:tab w:leader="none" w:pos="2373"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Documentary Deliveries. </w:t>
      </w:r>
      <w:r>
        <w:rPr>
          <w:rFonts w:ascii="Times New Roman" w:cs="Times New Roman" w:eastAsia="Times New Roman" w:hAnsi="Times New Roman"/>
          <w:sz w:val="22"/>
          <w:szCs w:val="22"/>
          <w:color w:val="auto"/>
        </w:rPr>
        <w:t>The Administrative Agent shall have received the following documents,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of which shall be in form and substance reasonably satisfactory to the Administrative Agent:</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21" w:lineRule="exact"/>
        <w:rPr>
          <w:sz w:val="20"/>
          <w:szCs w:val="20"/>
          <w:color w:val="auto"/>
        </w:rPr>
      </w:pPr>
    </w:p>
    <w:p>
      <w:pPr>
        <w:jc w:val="both"/>
        <w:ind w:left="380" w:firstLine="754"/>
        <w:spacing w:after="0" w:line="246" w:lineRule="auto"/>
        <w:tabs>
          <w:tab w:leader="none" w:pos="199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Borrowing Notice. </w:t>
      </w:r>
      <w:r>
        <w:rPr>
          <w:rFonts w:ascii="Times New Roman" w:cs="Times New Roman" w:eastAsia="Times New Roman" w:hAnsi="Times New Roman"/>
          <w:sz w:val="22"/>
          <w:szCs w:val="22"/>
          <w:color w:val="auto"/>
        </w:rPr>
        <w:t>The Administrative Agent shall have received a Borrowing Notice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Section 2.01(a)(ii) duly executed and delivered by a Responsible Officer of the Borrower, in form and substance satisfactory to the Administrative Agent.</w:t>
      </w:r>
    </w:p>
    <w:p>
      <w:pPr>
        <w:spacing w:after="0" w:line="194" w:lineRule="exact"/>
        <w:rPr>
          <w:rFonts w:ascii="Times New Roman" w:cs="Times New Roman" w:eastAsia="Times New Roman" w:hAnsi="Times New Roman"/>
          <w:sz w:val="22"/>
          <w:szCs w:val="22"/>
          <w:color w:val="auto"/>
        </w:rPr>
      </w:pPr>
    </w:p>
    <w:p>
      <w:pPr>
        <w:ind w:left="380" w:firstLine="754"/>
        <w:spacing w:after="0" w:line="262" w:lineRule="auto"/>
        <w:tabs>
          <w:tab w:leader="none" w:pos="199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Warrant Certificate </w:t>
      </w:r>
      <w:r>
        <w:rPr>
          <w:rFonts w:ascii="Times New Roman" w:cs="Times New Roman" w:eastAsia="Times New Roman" w:hAnsi="Times New Roman"/>
          <w:sz w:val="22"/>
          <w:szCs w:val="22"/>
          <w:color w:val="auto"/>
        </w:rPr>
        <w:t>. The Administrative Agent shall have received the executed Warrant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 (Funding Date), dated as of the Funding Date.</w:t>
      </w:r>
    </w:p>
    <w:p>
      <w:pPr>
        <w:spacing w:after="0" w:line="190" w:lineRule="exact"/>
        <w:rPr>
          <w:rFonts w:ascii="Times New Roman" w:cs="Times New Roman" w:eastAsia="Times New Roman" w:hAnsi="Times New Roman"/>
          <w:sz w:val="22"/>
          <w:szCs w:val="22"/>
          <w:color w:val="auto"/>
        </w:rPr>
      </w:pPr>
    </w:p>
    <w:p>
      <w:pPr>
        <w:ind w:left="2000" w:hanging="866"/>
        <w:spacing w:after="0"/>
        <w:tabs>
          <w:tab w:leader="none" w:pos="20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Security Documents.</w:t>
      </w:r>
    </w:p>
    <w:p>
      <w:pPr>
        <w:spacing w:after="0" w:line="250" w:lineRule="exact"/>
        <w:rPr>
          <w:rFonts w:ascii="Times New Roman" w:cs="Times New Roman" w:eastAsia="Times New Roman" w:hAnsi="Times New Roman"/>
          <w:sz w:val="22"/>
          <w:szCs w:val="22"/>
          <w:color w:val="auto"/>
        </w:rPr>
      </w:pPr>
    </w:p>
    <w:p>
      <w:pPr>
        <w:jc w:val="both"/>
        <w:ind w:left="1140" w:firstLine="743"/>
        <w:spacing w:after="0" w:line="261" w:lineRule="exact"/>
        <w:tabs>
          <w:tab w:leader="none" w:pos="2321"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Documents, including, without limitation, the Security Agreement, each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Form IP Security Agreement and financing statements, duly executed and delivered by each of the Obligors and the other parties thereto.</w:t>
      </w:r>
    </w:p>
    <w:p>
      <w:pPr>
        <w:spacing w:after="0" w:line="244" w:lineRule="exact"/>
        <w:rPr>
          <w:rFonts w:ascii="Times New Roman" w:cs="Times New Roman" w:eastAsia="Times New Roman" w:hAnsi="Times New Roman"/>
          <w:sz w:val="22"/>
          <w:szCs w:val="22"/>
          <w:color w:val="auto"/>
        </w:rPr>
      </w:pPr>
    </w:p>
    <w:p>
      <w:pPr>
        <w:jc w:val="both"/>
        <w:ind w:left="1140" w:firstLine="743"/>
        <w:spacing w:after="0" w:line="238" w:lineRule="auto"/>
        <w:tabs>
          <w:tab w:leader="none" w:pos="2321"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all other documents and instruments reasonably required to perfect the Lenders’ Lien on, and security interest in, the Collateral required to be delivered on or prior to the Funding Date shall have been duly executed and delivered and be in proper form for filing, and shall create in favor of the Administrative Agent, for the benefit of the Lenders, a perfected Lien on, and security interest in, the Collateral, subject to no Liens other than Permitted Liens.</w:t>
      </w:r>
    </w:p>
    <w:p>
      <w:pPr>
        <w:spacing w:after="0" w:line="213" w:lineRule="exact"/>
        <w:rPr>
          <w:rFonts w:ascii="Times New Roman" w:cs="Times New Roman" w:eastAsia="Times New Roman" w:hAnsi="Times New Roman"/>
          <w:sz w:val="22"/>
          <w:szCs w:val="22"/>
          <w:color w:val="auto"/>
        </w:rPr>
      </w:pPr>
    </w:p>
    <w:p>
      <w:pPr>
        <w:ind w:left="380" w:firstLine="754"/>
        <w:spacing w:after="0" w:line="262" w:lineRule="auto"/>
        <w:tabs>
          <w:tab w:leader="none" w:pos="199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Opinion of Counsel. </w:t>
      </w:r>
      <w:r>
        <w:rPr>
          <w:rFonts w:ascii="Times New Roman" w:cs="Times New Roman" w:eastAsia="Times New Roman" w:hAnsi="Times New Roman"/>
          <w:sz w:val="22"/>
          <w:szCs w:val="22"/>
          <w:color w:val="auto"/>
        </w:rPr>
        <w:t>A favorable opinion, dated as of the Funding Date, of Sidley Austin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LLP, counsel to each Obligor in form reasonably acceptable to the Administrative Agent and its counsel.</w:t>
      </w:r>
    </w:p>
    <w:p>
      <w:pPr>
        <w:spacing w:after="0" w:line="176" w:lineRule="exact"/>
        <w:rPr>
          <w:rFonts w:ascii="Times New Roman" w:cs="Times New Roman" w:eastAsia="Times New Roman" w:hAnsi="Times New Roman"/>
          <w:sz w:val="22"/>
          <w:szCs w:val="22"/>
          <w:color w:val="auto"/>
        </w:rPr>
      </w:pPr>
    </w:p>
    <w:p>
      <w:pPr>
        <w:jc w:val="both"/>
        <w:ind w:left="380" w:firstLine="754"/>
        <w:spacing w:after="0" w:line="238" w:lineRule="auto"/>
        <w:tabs>
          <w:tab w:leader="none" w:pos="199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A certificate, in form and substance satisfactory to 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dated as of the Funding Date and signed by a Responsible Officer of the Borrower: (A) confirming compliance with the conditions set forth in subsections (d), (e) and (f) of this Section 6.02, (B) certifying that the applicable names, titles and officers of each Obligor have not changed since the Closing Date and (C) confirming that the Organizational Documents of each Obligor have not changed since the Closing Date.</w:t>
      </w:r>
    </w:p>
    <w:p>
      <w:pPr>
        <w:spacing w:after="0" w:line="221" w:lineRule="exact"/>
        <w:rPr>
          <w:rFonts w:ascii="Times New Roman" w:cs="Times New Roman" w:eastAsia="Times New Roman" w:hAnsi="Times New Roman"/>
          <w:sz w:val="22"/>
          <w:szCs w:val="22"/>
          <w:color w:val="auto"/>
        </w:rPr>
      </w:pPr>
    </w:p>
    <w:p>
      <w:pPr>
        <w:ind w:left="2000" w:hanging="866"/>
        <w:spacing w:after="0"/>
        <w:tabs>
          <w:tab w:leader="none" w:pos="20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Funding Date occurs more than thirty (30) days after the Closing Date:</w:t>
      </w:r>
    </w:p>
    <w:p>
      <w:pPr>
        <w:spacing w:after="0" w:line="269" w:lineRule="exact"/>
        <w:rPr>
          <w:rFonts w:ascii="Times New Roman" w:cs="Times New Roman" w:eastAsia="Times New Roman" w:hAnsi="Times New Roman"/>
          <w:sz w:val="22"/>
          <w:szCs w:val="22"/>
          <w:color w:val="auto"/>
        </w:rPr>
      </w:pPr>
    </w:p>
    <w:p>
      <w:pPr>
        <w:jc w:val="both"/>
        <w:ind w:left="1140" w:firstLine="743"/>
        <w:spacing w:after="0" w:line="241" w:lineRule="auto"/>
        <w:tabs>
          <w:tab w:leader="none" w:pos="2361"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Good Standing Certificates. </w:t>
      </w:r>
      <w:r>
        <w:rPr>
          <w:rFonts w:ascii="Times New Roman" w:cs="Times New Roman" w:eastAsia="Times New Roman" w:hAnsi="Times New Roman"/>
          <w:sz w:val="22"/>
          <w:szCs w:val="22"/>
          <w:color w:val="auto"/>
        </w:rPr>
        <w:t>A good standing certificate and/or compliance certificate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the applicable Governmental Authority of each Obligor’s jurisdiction of incorporation or organization, and in each jurisdiction in which it is qualified as a foreign corporation or other entity to do business (except where failure to be in good standing would not, either</w:t>
      </w:r>
    </w:p>
    <w:p>
      <w:pPr>
        <w:spacing w:after="0" w:line="317"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91" w:name="page192"/>
    <w:bookmarkEnd w:id="191"/>
    <w:p>
      <w:pPr>
        <w:spacing w:after="0" w:line="252" w:lineRule="exact"/>
        <w:rPr>
          <w:sz w:val="20"/>
          <w:szCs w:val="20"/>
          <w:color w:val="auto"/>
        </w:rPr>
      </w:pPr>
    </w:p>
    <w:p>
      <w:pPr>
        <w:ind w:left="2260" w:right="20"/>
        <w:spacing w:after="0" w:line="258" w:lineRule="auto"/>
        <w:rPr>
          <w:sz w:val="20"/>
          <w:szCs w:val="20"/>
          <w:color w:val="auto"/>
        </w:rPr>
      </w:pPr>
      <w:r>
        <w:rPr>
          <w:rFonts w:ascii="Times New Roman" w:cs="Times New Roman" w:eastAsia="Times New Roman" w:hAnsi="Times New Roman"/>
          <w:sz w:val="22"/>
          <w:szCs w:val="22"/>
          <w:color w:val="auto"/>
        </w:rPr>
        <w:t>individually or in the aggregate, reasonably be expected to have a Material Adverse Effect), each dated a recent date prior to the Funding Date.</w:t>
      </w:r>
    </w:p>
    <w:p>
      <w:pPr>
        <w:spacing w:after="0" w:line="195" w:lineRule="exact"/>
        <w:rPr>
          <w:sz w:val="20"/>
          <w:szCs w:val="20"/>
          <w:color w:val="auto"/>
        </w:rPr>
      </w:pPr>
    </w:p>
    <w:p>
      <w:pPr>
        <w:ind w:left="2260" w:firstLine="743"/>
        <w:spacing w:after="0" w:line="262" w:lineRule="auto"/>
        <w:tabs>
          <w:tab w:leader="none" w:pos="3454"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Bringdown Lien Searches. </w:t>
      </w:r>
      <w:r>
        <w:rPr>
          <w:rFonts w:ascii="Times New Roman" w:cs="Times New Roman" w:eastAsia="Times New Roman" w:hAnsi="Times New Roman"/>
          <w:sz w:val="22"/>
          <w:szCs w:val="22"/>
          <w:color w:val="auto"/>
        </w:rPr>
        <w:t>The Administrative Agent shall be satisfied with bringdown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Lien searches regarding the Obligors made prior to the Funding Date.</w:t>
      </w:r>
    </w:p>
    <w:p>
      <w:pPr>
        <w:spacing w:after="0" w:line="190" w:lineRule="exact"/>
        <w:rPr>
          <w:rFonts w:ascii="Times New Roman" w:cs="Times New Roman" w:eastAsia="Times New Roman" w:hAnsi="Times New Roman"/>
          <w:sz w:val="22"/>
          <w:szCs w:val="22"/>
          <w:color w:val="auto"/>
        </w:rPr>
      </w:pPr>
    </w:p>
    <w:p>
      <w:pPr>
        <w:jc w:val="both"/>
        <w:ind w:left="760" w:firstLine="745"/>
        <w:spacing w:after="0" w:line="258" w:lineRule="exact"/>
        <w:tabs>
          <w:tab w:leader="none" w:pos="237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Funding Fees and Expenses. </w:t>
      </w:r>
      <w:r>
        <w:rPr>
          <w:rFonts w:ascii="Times New Roman" w:cs="Times New Roman" w:eastAsia="Times New Roman" w:hAnsi="Times New Roman"/>
          <w:sz w:val="22"/>
          <w:szCs w:val="22"/>
          <w:color w:val="auto"/>
        </w:rPr>
        <w:t>The Lenders and their Affiliates shall have received for their own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 the Funding Fee and all fees, costs and expenses due (including applicable attorney costs and the reasonable and documented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fees and expenses of any other advisors to the Lenders) and payable pursuant to Section 13.03.</w:t>
      </w:r>
    </w:p>
    <w:p>
      <w:pPr>
        <w:spacing w:after="0" w:line="199"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4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Indebtedness. </w:t>
      </w:r>
      <w:r>
        <w:rPr>
          <w:rFonts w:ascii="Times New Roman" w:cs="Times New Roman" w:eastAsia="Times New Roman" w:hAnsi="Times New Roman"/>
          <w:sz w:val="22"/>
          <w:szCs w:val="22"/>
          <w:color w:val="auto"/>
        </w:rPr>
        <w:t>As of the Funding Date, after giving effect to the Transactions, no Obligor shall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Indebtedness other than the Obligations, the Permitted Indebtedness and any Indebtedness specified on Schedule 7.13A. The Indebtedness evidenced by the Existing Credit Agreements shall have been repaid in full, all commitments (if any) in respect thereof terminated, all guarantees (if any) thereof discharged and released and all security therefor (if any) released, together with all fees and other amounts owing thereon, or documentation in form and substance reasonably satisfactory to the Administrative Agent to effect such release upon such repayment and termination shall have been delivered to the Administrative Agent.</w:t>
      </w:r>
    </w:p>
    <w:p>
      <w:pPr>
        <w:spacing w:after="0" w:line="216"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237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Representations and Warranties </w:t>
      </w:r>
      <w:r>
        <w:rPr>
          <w:rFonts w:ascii="Times New Roman" w:cs="Times New Roman" w:eastAsia="Times New Roman" w:hAnsi="Times New Roman"/>
          <w:sz w:val="22"/>
          <w:szCs w:val="22"/>
          <w:color w:val="auto"/>
        </w:rPr>
        <w:t>. The representations and warranties of the Obligors contained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Article 7 or any other Loan Document shall be true and correct in all material respects on and as of the Funding Date;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to the extent that such representations and warranties specifically refer to an earlier date, they shall be true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and correct in all material respects as of such earlier date;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215" w:lineRule="exact"/>
        <w:rPr>
          <w:rFonts w:ascii="Times New Roman" w:cs="Times New Roman" w:eastAsia="Times New Roman" w:hAnsi="Times New Roman"/>
          <w:sz w:val="22"/>
          <w:szCs w:val="22"/>
          <w:color w:val="auto"/>
        </w:rPr>
      </w:pPr>
    </w:p>
    <w:p>
      <w:pPr>
        <w:ind w:left="760" w:firstLine="745"/>
        <w:spacing w:after="0" w:line="262" w:lineRule="auto"/>
        <w:tabs>
          <w:tab w:leader="none" w:pos="195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Required Equity Financing</w:t>
      </w:r>
      <w:r>
        <w:rPr>
          <w:rFonts w:ascii="Times New Roman" w:cs="Times New Roman" w:eastAsia="Times New Roman" w:hAnsi="Times New Roman"/>
          <w:sz w:val="22"/>
          <w:szCs w:val="22"/>
          <w:color w:val="auto"/>
        </w:rPr>
        <w:t>. The Borrower shall have raised new equity resulting in gross proceeds of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least $30,000,000, on terms reasonably satisfactory to the Administrative Agent.</w:t>
      </w:r>
    </w:p>
    <w:p>
      <w:pPr>
        <w:spacing w:after="0" w:line="176" w:lineRule="exact"/>
        <w:rPr>
          <w:rFonts w:ascii="Times New Roman" w:cs="Times New Roman" w:eastAsia="Times New Roman" w:hAnsi="Times New Roman"/>
          <w:sz w:val="22"/>
          <w:szCs w:val="22"/>
          <w:color w:val="auto"/>
        </w:rPr>
      </w:pPr>
    </w:p>
    <w:p>
      <w:pPr>
        <w:ind w:left="760" w:firstLine="745"/>
        <w:spacing w:after="0" w:line="262" w:lineRule="auto"/>
        <w:tabs>
          <w:tab w:leader="none" w:pos="194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Default shall exist, or would result from such proposed Borrowing or from the application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proceeds therefrom.</w:t>
      </w:r>
    </w:p>
    <w:p>
      <w:pPr>
        <w:spacing w:after="0" w:line="190"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6.03. Conditions to Tranche B Loan; Tranche B Loan Borrowing Date. </w:t>
      </w:r>
      <w:r>
        <w:rPr>
          <w:rFonts w:ascii="Times New Roman" w:cs="Times New Roman" w:eastAsia="Times New Roman" w:hAnsi="Times New Roman"/>
          <w:sz w:val="22"/>
          <w:szCs w:val="22"/>
          <w:color w:val="auto"/>
        </w:rPr>
        <w:t>The obligation of each Lender to make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Tranche B Loan on the Tranche B Loan Borrowing Date shall not become effective until the following conditions precedent shall have been satisfied or waived in writing by the Administrative Agent (which satisfaction or waiver may be made simultaneously with the making of the Tranche B Loan hereunder):</w:t>
      </w:r>
    </w:p>
    <w:p>
      <w:pPr>
        <w:spacing w:after="0" w:line="212" w:lineRule="exact"/>
        <w:rPr>
          <w:sz w:val="20"/>
          <w:szCs w:val="20"/>
          <w:color w:val="auto"/>
        </w:rPr>
      </w:pPr>
    </w:p>
    <w:p>
      <w:pPr>
        <w:ind w:left="760" w:firstLine="745"/>
        <w:spacing w:after="0" w:line="262" w:lineRule="auto"/>
        <w:tabs>
          <w:tab w:leader="none" w:pos="196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B Loan Commitment Termination Date</w:t>
      </w:r>
      <w:r>
        <w:rPr>
          <w:rFonts w:ascii="Times New Roman" w:cs="Times New Roman" w:eastAsia="Times New Roman" w:hAnsi="Times New Roman"/>
          <w:sz w:val="22"/>
          <w:szCs w:val="22"/>
          <w:color w:val="auto"/>
        </w:rPr>
        <w:t>. The Tranche B Loan Commitment Termination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have occurred.</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221" w:lineRule="exact"/>
        <w:rPr>
          <w:sz w:val="20"/>
          <w:szCs w:val="20"/>
          <w:color w:val="auto"/>
        </w:rPr>
      </w:pPr>
    </w:p>
    <w:p>
      <w:pPr>
        <w:jc w:val="both"/>
        <w:ind w:left="760" w:firstLine="745"/>
        <w:spacing w:after="0" w:line="241" w:lineRule="auto"/>
        <w:tabs>
          <w:tab w:leader="none" w:pos="194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Borrowing Notice. </w:t>
      </w:r>
      <w:r>
        <w:rPr>
          <w:rFonts w:ascii="Times New Roman" w:cs="Times New Roman" w:eastAsia="Times New Roman" w:hAnsi="Times New Roman"/>
          <w:sz w:val="22"/>
          <w:szCs w:val="22"/>
          <w:color w:val="auto"/>
        </w:rPr>
        <w:t>The Administrative Agent shall have received a Borrowing Notice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2.01(b)(ii) requesting the Borrowing of the Tranche B Loan duly executed by a Responsible Officer of the Borrower and the Borrower’s updated Schedules to this Agreement (if any), in form and substance reasonably satisfactory to the Administrative Agent.</w:t>
      </w:r>
    </w:p>
    <w:p>
      <w:pPr>
        <w:spacing w:after="0" w:line="198"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194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The representations and warranties of the Obligors contained in Article 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any other Loan Document shall be true and correct in all material respects on and as of the Tranche B Loan Borrowing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215" w:lineRule="exact"/>
        <w:rPr>
          <w:rFonts w:ascii="Times New Roman" w:cs="Times New Roman" w:eastAsia="Times New Roman" w:hAnsi="Times New Roman"/>
          <w:sz w:val="22"/>
          <w:szCs w:val="22"/>
          <w:color w:val="auto"/>
        </w:rPr>
      </w:pPr>
    </w:p>
    <w:p>
      <w:pPr>
        <w:ind w:left="760" w:firstLine="745"/>
        <w:spacing w:after="0" w:line="262" w:lineRule="auto"/>
        <w:tabs>
          <w:tab w:leader="none" w:pos="194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Default shall exist, or would result from such proposed Borrowing or from the application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proceeds therefrom.</w:t>
      </w:r>
    </w:p>
    <w:p>
      <w:pPr>
        <w:spacing w:after="0" w:line="190"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4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A certificate, dated as of the Tranche B Borrowing Date and signed by a Responsible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of the Borrower, confirming compliance with the conditions set forth in subsections (c), (d) and (f) of this Section 6.03.</w:t>
      </w:r>
    </w:p>
    <w:p>
      <w:pPr>
        <w:spacing w:after="0" w:line="194"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200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Milestone. </w:t>
      </w:r>
      <w:r>
        <w:rPr>
          <w:rFonts w:ascii="Times New Roman" w:cs="Times New Roman" w:eastAsia="Times New Roman" w:hAnsi="Times New Roman"/>
          <w:sz w:val="22"/>
          <w:szCs w:val="22"/>
          <w:color w:val="auto"/>
        </w:rPr>
        <w:t>The Administrative Agent shall have received evidence reasonably satisfactory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that the Borrower has (i) achieved Net Revenue of at least $43,600,000 for any twelve (12) consecutive month period prior to the Tranche B Borrowing Date and (ii) received aggregate cash proceeds of at least $27,500,000 from the sale or issuance of Equity Interests of the Borrower prior to the Tranche B Borrowing Date.</w:t>
      </w:r>
    </w:p>
    <w:p>
      <w:pPr>
        <w:spacing w:after="0" w:line="212"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5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w:t>
      </w:r>
      <w:r>
        <w:rPr>
          <w:rFonts w:ascii="Times New Roman" w:cs="Times New Roman" w:eastAsia="Times New Roman" w:hAnsi="Times New Roman"/>
          <w:sz w:val="22"/>
          <w:szCs w:val="22"/>
          <w:color w:val="auto"/>
        </w:rPr>
        <w:t>The Lenders and their Affiliates shall have received for their own account, all fees, costs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expenses due (including applicable attorney costs and the reasonable and documented out-of-pocket fees and expenses of any other advisors to the Lenders) and payable pursuant to Section 13.03.</w:t>
      </w:r>
    </w:p>
    <w:p>
      <w:pPr>
        <w:spacing w:after="0" w:line="208"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6.04. Conditions to Tranche C Loan; Tranche C Loan Borrowing Date. </w:t>
      </w:r>
      <w:r>
        <w:rPr>
          <w:rFonts w:ascii="Times New Roman" w:cs="Times New Roman" w:eastAsia="Times New Roman" w:hAnsi="Times New Roman"/>
          <w:sz w:val="22"/>
          <w:szCs w:val="22"/>
          <w:color w:val="auto"/>
        </w:rPr>
        <w:t>The obligation of each Lender to make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Tranche C Loan on the Tranche C Loan Borrowing Date shall not become effective until the following conditions precedent shall have been satisfied or waived in writing by the Administrative Agent (which satisfaction or waiver may be made simultaneously with the making of the Tranche C Loan hereunder):</w:t>
      </w:r>
    </w:p>
    <w:p>
      <w:pPr>
        <w:spacing w:after="0" w:line="199" w:lineRule="exact"/>
        <w:rPr>
          <w:sz w:val="20"/>
          <w:szCs w:val="20"/>
          <w:color w:val="auto"/>
        </w:rPr>
      </w:pPr>
    </w:p>
    <w:p>
      <w:pPr>
        <w:ind w:left="760" w:firstLine="745"/>
        <w:spacing w:after="0" w:line="262" w:lineRule="auto"/>
        <w:tabs>
          <w:tab w:leader="none" w:pos="196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C Loan Commitment Termination Date</w:t>
      </w:r>
      <w:r>
        <w:rPr>
          <w:rFonts w:ascii="Times New Roman" w:cs="Times New Roman" w:eastAsia="Times New Roman" w:hAnsi="Times New Roman"/>
          <w:sz w:val="22"/>
          <w:szCs w:val="22"/>
          <w:color w:val="auto"/>
        </w:rPr>
        <w:t>. The Tranche C Loan Commitment Termination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have occurred.</w:t>
      </w:r>
    </w:p>
    <w:p>
      <w:pPr>
        <w:spacing w:after="0" w:line="190"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4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Borrowing Notice. </w:t>
      </w:r>
      <w:r>
        <w:rPr>
          <w:rFonts w:ascii="Times New Roman" w:cs="Times New Roman" w:eastAsia="Times New Roman" w:hAnsi="Times New Roman"/>
          <w:sz w:val="22"/>
          <w:szCs w:val="22"/>
          <w:color w:val="auto"/>
        </w:rPr>
        <w:t>The Administrative Agent shall have received a Borrowing Notice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2.01(c)(ii) requesting the Borrowing of the Tranche C Loan duly executed by a Responsible Officer of the Borrower and the</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25"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Borrower’s updated Schedules to this Agreement (if any), in form and substance reasonably satisfactory to the Administrative Agent.</w:t>
      </w:r>
    </w:p>
    <w:p>
      <w:pPr>
        <w:spacing w:after="0" w:line="181" w:lineRule="exact"/>
        <w:rPr>
          <w:sz w:val="20"/>
          <w:szCs w:val="20"/>
          <w:color w:val="auto"/>
        </w:rPr>
      </w:pPr>
    </w:p>
    <w:p>
      <w:pPr>
        <w:jc w:val="both"/>
        <w:ind w:left="760" w:firstLine="745"/>
        <w:spacing w:after="0" w:line="237" w:lineRule="auto"/>
        <w:tabs>
          <w:tab w:leader="none" w:pos="19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The representations and warranties of the Obligors contained in Article 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any other Loan Document shall be true and correct in all material respects on and as of the Tranche C Loan Borrowing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215" w:lineRule="exact"/>
        <w:rPr>
          <w:rFonts w:ascii="Times New Roman" w:cs="Times New Roman" w:eastAsia="Times New Roman" w:hAnsi="Times New Roman"/>
          <w:sz w:val="22"/>
          <w:szCs w:val="22"/>
          <w:color w:val="auto"/>
        </w:rPr>
      </w:pPr>
    </w:p>
    <w:p>
      <w:pPr>
        <w:ind w:left="760" w:firstLine="745"/>
        <w:spacing w:after="0" w:line="262" w:lineRule="auto"/>
        <w:tabs>
          <w:tab w:leader="none" w:pos="19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Default shall exist, or would result from such proposed Borrowing or from the application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proceeds therefrom.</w:t>
      </w:r>
    </w:p>
    <w:p>
      <w:pPr>
        <w:spacing w:after="0" w:line="190"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A certificate, dated as of the Tranche C Borrowing Date and signed by a Responsible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of the Borrower, confirming compliance with the conditions set forth in subsections (c), (d) and (f) of this Section 6.04.</w:t>
      </w:r>
    </w:p>
    <w:p>
      <w:pPr>
        <w:spacing w:after="0" w:line="194"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p>
    <w:p>
      <w:pPr>
        <w:spacing w:after="0" w:line="246"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5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w:t>
      </w:r>
      <w:r>
        <w:rPr>
          <w:rFonts w:ascii="Times New Roman" w:cs="Times New Roman" w:eastAsia="Times New Roman" w:hAnsi="Times New Roman"/>
          <w:sz w:val="22"/>
          <w:szCs w:val="22"/>
          <w:color w:val="auto"/>
        </w:rPr>
        <w:t>The Lenders and their Affiliates shall have received for their own account, all fees, costs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expenses due (including applicable attorney costs and the reasonable and documented out-of-pocket fees and expenses of any other advisors to the Lenders) and payable pursuant to Section 13.03.</w:t>
      </w:r>
    </w:p>
    <w:p>
      <w:pPr>
        <w:spacing w:after="0" w:line="207" w:lineRule="exact"/>
        <w:rPr>
          <w:rFonts w:ascii="Times New Roman" w:cs="Times New Roman" w:eastAsia="Times New Roman" w:hAnsi="Times New Roman"/>
          <w:sz w:val="22"/>
          <w:szCs w:val="22"/>
          <w:color w:val="auto"/>
        </w:rPr>
      </w:pPr>
    </w:p>
    <w:p>
      <w:pPr>
        <w:ind w:left="760" w:firstLine="745"/>
        <w:spacing w:after="0" w:line="262" w:lineRule="auto"/>
        <w:tabs>
          <w:tab w:leader="none" w:pos="196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Consent to Permitted Acquisition</w:t>
      </w:r>
      <w:r>
        <w:rPr>
          <w:rFonts w:ascii="Times New Roman" w:cs="Times New Roman" w:eastAsia="Times New Roman" w:hAnsi="Times New Roman"/>
          <w:sz w:val="22"/>
          <w:szCs w:val="22"/>
          <w:color w:val="auto"/>
        </w:rPr>
        <w:t>. The Borrower shall have received the Administrative Agent’s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written consent to the making of any Permitted Acquisition.</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borrowing of the Term Loans shall constitute a certification by the Borrower to the effect that the conditions set forth in Section 6.02, 6.03 and 6.04, as applicable, have been fulfilled as of the Funding Date, the Tranche B Loan Borrowing Date or the Tranche C Loan Borrowing Date, as applicable.</w:t>
      </w:r>
    </w:p>
    <w:p>
      <w:pPr>
        <w:spacing w:after="0" w:line="2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arranties</w:t>
      </w:r>
    </w:p>
    <w:p>
      <w:pPr>
        <w:spacing w:after="0" w:line="25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order to induce the Lenders to enter into this Agreement and to extend the Term Loans hereunder, each Obligor represents and warrants to the Lenders and the Administrative Agent, on the Closing Date (solely with respect to the Specified Representations), on the Funding Date, on the Tranche B Loan Borrowing Date and on the Tranche C Loan Borrowing Date, as applicable, that the following statements are true and correct:</w:t>
      </w:r>
    </w:p>
    <w:p>
      <w:pPr>
        <w:spacing w:after="0" w:line="217"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7.01. Power and Authority. </w:t>
      </w:r>
      <w:r>
        <w:rPr>
          <w:rFonts w:ascii="Times New Roman" w:cs="Times New Roman" w:eastAsia="Times New Roman" w:hAnsi="Times New Roman"/>
          <w:sz w:val="22"/>
          <w:szCs w:val="22"/>
          <w:color w:val="auto"/>
        </w:rPr>
        <w:t>Each Obligor and each of its Subsidiaries (a) is duly organized, validly existing and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good standing under the Laws of its jurisdiction of organization,</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25" w:lineRule="exact"/>
        <w:rPr>
          <w:sz w:val="20"/>
          <w:szCs w:val="20"/>
          <w:color w:val="auto"/>
        </w:rPr>
      </w:pPr>
    </w:p>
    <w:p>
      <w:pPr>
        <w:jc w:val="both"/>
        <w:ind w:firstLine="8"/>
        <w:spacing w:after="0" w:line="235" w:lineRule="auto"/>
        <w:tabs>
          <w:tab w:leader="none" w:pos="31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all requisite corporate (or equivalent) power, (c) has all material Governmental Approvals necessary to own its assets and carry on its business as now being or as proposed to be conducted except to the extent that failure to have the same would not reasonably be expected to have a Material Adverse Effect, (d) is qualified to do business and is in good standing in all jurisdictions in which the nature of the business conducted by it makes such qualification necessary except where failure to so qualify would not (either individually or in the aggregate) reasonably be expected to result in a Material Adverse Effect, and (e) has full power, authority and legal right to make and perform its obligations under each of the Loan Documents to which it is a party and, in the case of the Borrower, to borrow the Term Loans hereunder.</w:t>
      </w:r>
    </w:p>
    <w:p>
      <w:pPr>
        <w:spacing w:after="0" w:line="206"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7.02. Authorization; Enforceability. </w:t>
      </w:r>
      <w:r>
        <w:rPr>
          <w:rFonts w:ascii="Times New Roman" w:cs="Times New Roman" w:eastAsia="Times New Roman" w:hAnsi="Times New Roman"/>
          <w:sz w:val="22"/>
          <w:szCs w:val="22"/>
          <w:color w:val="auto"/>
        </w:rPr>
        <w:t>The Transactions are within each Obligor’s corporate (or equivalent) powers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have been duly authorized by all necessary corporate (or equivalent) action and, if required, by all necessary shareholder or other equity holder action. The Loan Documents have been duly executed and delivered by each Obligor party thereto and constitutes, and each of the other Loan Documents to which it is a party when executed and delivered by such Obligor will constitute, a legal, valid and binding obligation of such Obligor, enforceable against each Obligor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219" w:lineRule="exact"/>
        <w:rPr>
          <w:sz w:val="20"/>
          <w:szCs w:val="20"/>
          <w:color w:val="auto"/>
        </w:rPr>
      </w:pPr>
    </w:p>
    <w:p>
      <w:pPr>
        <w:jc w:val="both"/>
        <w:ind w:firstLine="459"/>
        <w:spacing w:after="0" w:line="245" w:lineRule="auto"/>
        <w:rPr>
          <w:sz w:val="20"/>
          <w:szCs w:val="20"/>
          <w:color w:val="auto"/>
        </w:rPr>
      </w:pPr>
      <w:r>
        <w:rPr>
          <w:rFonts w:ascii="Times New Roman" w:cs="Times New Roman" w:eastAsia="Times New Roman" w:hAnsi="Times New Roman"/>
          <w:sz w:val="21"/>
          <w:szCs w:val="21"/>
          <w:i w:val="1"/>
          <w:iCs w:val="1"/>
          <w:color w:val="auto"/>
        </w:rPr>
        <w:t xml:space="preserve">Section 7.03. Governmental and Other Approvals; No Conflicts. </w:t>
      </w:r>
      <w:r>
        <w:rPr>
          <w:rFonts w:ascii="Times New Roman" w:cs="Times New Roman" w:eastAsia="Times New Roman" w:hAnsi="Times New Roman"/>
          <w:sz w:val="21"/>
          <w:szCs w:val="21"/>
          <w:color w:val="auto"/>
        </w:rPr>
        <w:t>The Transactions (a) do not require any consent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approval of, registration or filing with, or any other action by, any Governmental Authority or any other Person, except for (i) prior to the Funding Date, those consents and approvals required by the Indebtedness set forth on Schedule 7.13(A) which is subject to the Refinancing, (ii) such as have been obtained or made and are in full force and effect and (iii) filings and recordings in respect of perfecting or recording the Liens created pursuant to the Security Documents, (b) will not violate any applicable Requirement of Law or any applicable order of any Governmental Authority, in each case, other than any such violations that, individually or in the aggregate, would not reasonably be expected to have a Material Adverse Effect, (c) will not violate the Organizational Documents of any Obligor other than any such violations that, individually or in the aggregate, would not reasonably be expected to have a Material Adverse Effect, (d) will not violate or result in a default under any Material Agreement, or give rise to a right thereunder to require any payment to be made by any such Person and (e) will not result in the creation or imposition of any Lien (other than Permitted Liens) on any asset of any Obligor or any of its Subsidiaries.</w:t>
      </w:r>
    </w:p>
    <w:p>
      <w:pPr>
        <w:spacing w:after="0" w:line="218"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7.04.</w:t>
      </w:r>
      <w:r>
        <w:rPr>
          <w:sz w:val="20"/>
          <w:szCs w:val="20"/>
          <w:color w:val="auto"/>
        </w:rPr>
        <w:tab/>
      </w:r>
      <w:r>
        <w:rPr>
          <w:rFonts w:ascii="Times New Roman" w:cs="Times New Roman" w:eastAsia="Times New Roman" w:hAnsi="Times New Roman"/>
          <w:sz w:val="21"/>
          <w:szCs w:val="21"/>
          <w:i w:val="1"/>
          <w:iCs w:val="1"/>
          <w:color w:val="auto"/>
        </w:rPr>
        <w:t>Financial Statements; Projections; Material Adverse Change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760" w:firstLine="745"/>
        <w:spacing w:after="0" w:line="255" w:lineRule="exact"/>
        <w:tabs>
          <w:tab w:leader="none" w:pos="199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Financial Statements. </w:t>
      </w:r>
      <w:r>
        <w:rPr>
          <w:rFonts w:ascii="Times New Roman" w:cs="Times New Roman" w:eastAsia="Times New Roman" w:hAnsi="Times New Roman"/>
          <w:sz w:val="22"/>
          <w:szCs w:val="22"/>
          <w:color w:val="auto"/>
        </w:rPr>
        <w:t>The Borrower has heretofore furnished to the Administrative Agent certain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consolidated financial statements as provided for in Section 8.01. Such financial statements present fairly, in all material respects, the consolidated financial position and results of operations and cash flows of the Obligors as of such dates and for such periods substantially in accordance with GAAP, subject to quarterly or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end adjustments and the absence of footnotes. As of the date of such financial</w:t>
      </w:r>
    </w:p>
    <w:p>
      <w:pPr>
        <w:spacing w:after="0" w:line="31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91" w:lineRule="exact"/>
        <w:rPr>
          <w:sz w:val="20"/>
          <w:szCs w:val="20"/>
          <w:color w:val="auto"/>
        </w:rPr>
      </w:pPr>
    </w:p>
    <w:p>
      <w:pPr>
        <w:ind w:left="320"/>
        <w:spacing w:after="0" w:line="287" w:lineRule="exact"/>
        <w:rPr>
          <w:sz w:val="20"/>
          <w:szCs w:val="20"/>
          <w:color w:val="auto"/>
        </w:rPr>
      </w:pPr>
      <w:r>
        <w:rPr>
          <w:rFonts w:ascii="Times New Roman" w:cs="Times New Roman" w:eastAsia="Times New Roman" w:hAnsi="Times New Roman"/>
          <w:sz w:val="22"/>
          <w:szCs w:val="22"/>
          <w:color w:val="auto"/>
        </w:rPr>
        <w:t>statements, no Obligor has any material contingent liabilities,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lease or unusual forward or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commitments not disclosed in the aforementioned financial statements.</w:t>
      </w:r>
    </w:p>
    <w:p>
      <w:pPr>
        <w:spacing w:after="0" w:line="200" w:lineRule="exact"/>
        <w:rPr>
          <w:sz w:val="20"/>
          <w:szCs w:val="20"/>
          <w:color w:val="auto"/>
        </w:rPr>
      </w:pPr>
    </w:p>
    <w:p>
      <w:pPr>
        <w:jc w:val="both"/>
        <w:ind w:left="320" w:firstLine="745"/>
        <w:spacing w:after="0" w:line="237" w:lineRule="auto"/>
        <w:tabs>
          <w:tab w:leader="none" w:pos="156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Projections. </w:t>
      </w:r>
      <w:r>
        <w:rPr>
          <w:rFonts w:ascii="Times New Roman" w:cs="Times New Roman" w:eastAsia="Times New Roman" w:hAnsi="Times New Roman"/>
          <w:sz w:val="22"/>
          <w:szCs w:val="22"/>
          <w:color w:val="auto"/>
        </w:rPr>
        <w:t>On and as of the Closing Date, the projections of the Obligors (collectively, the</w:t>
      </w:r>
      <w:r>
        <w:rPr>
          <w:rFonts w:ascii="Times New Roman" w:cs="Times New Roman" w:eastAsia="Times New Roman" w:hAnsi="Times New Roman"/>
          <w:sz w:val="22"/>
          <w:szCs w:val="22"/>
          <w:i w:val="1"/>
          <w:iCs w:val="1"/>
          <w:color w:val="auto"/>
        </w:rPr>
        <w:t xml:space="preserve"> “Projections”</w:t>
      </w:r>
      <w:r>
        <w:rPr>
          <w:rFonts w:ascii="Times New Roman" w:cs="Times New Roman" w:eastAsia="Times New Roman" w:hAnsi="Times New Roman"/>
          <w:sz w:val="22"/>
          <w:szCs w:val="22"/>
          <w:color w:val="auto"/>
        </w:rPr>
        <w:t>) are based on good faith estimates and reasonable assumptions made by the management of the Borrower;</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the Projections are not to be viewed as facts and that actual results during the period or periods covered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Projections may differ from such Projections and that the differences may be material;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as of the Closing Date, the management of the Borrower believes that the Projections are reasonable and attainable, as of the date prepared.</w:t>
      </w:r>
    </w:p>
    <w:p>
      <w:pPr>
        <w:spacing w:after="0" w:line="215" w:lineRule="exact"/>
        <w:rPr>
          <w:rFonts w:ascii="Times New Roman" w:cs="Times New Roman" w:eastAsia="Times New Roman" w:hAnsi="Times New Roman"/>
          <w:sz w:val="22"/>
          <w:szCs w:val="22"/>
          <w:color w:val="auto"/>
        </w:rPr>
      </w:pPr>
    </w:p>
    <w:p>
      <w:pPr>
        <w:ind w:left="320" w:right="20" w:firstLine="745"/>
        <w:spacing w:after="0" w:line="262" w:lineRule="auto"/>
        <w:tabs>
          <w:tab w:leader="none" w:pos="151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Material Adverse Change. </w:t>
      </w:r>
      <w:r>
        <w:rPr>
          <w:rFonts w:ascii="Times New Roman" w:cs="Times New Roman" w:eastAsia="Times New Roman" w:hAnsi="Times New Roman"/>
          <w:sz w:val="22"/>
          <w:szCs w:val="22"/>
          <w:color w:val="auto"/>
        </w:rPr>
        <w:t>Since December 31, 2021 no event, circumstance or change has occurred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has caused or evidences, either in individually or in the aggregate, a Material Adverse Change.</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Section 7.05.</w:t>
      </w:r>
      <w:r>
        <w:rPr>
          <w:sz w:val="20"/>
          <w:szCs w:val="20"/>
          <w:color w:val="auto"/>
        </w:rPr>
        <w:tab/>
      </w:r>
      <w:r>
        <w:rPr>
          <w:rFonts w:ascii="Times New Roman" w:cs="Times New Roman" w:eastAsia="Times New Roman" w:hAnsi="Times New Roman"/>
          <w:sz w:val="21"/>
          <w:szCs w:val="21"/>
          <w:i w:val="1"/>
          <w:iCs w:val="1"/>
          <w:color w:val="auto"/>
        </w:rPr>
        <w:t>Properties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320" w:firstLine="745"/>
        <w:spacing w:after="0" w:line="236" w:lineRule="auto"/>
        <w:tabs>
          <w:tab w:leader="none" w:pos="150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Property Generally. </w:t>
      </w:r>
      <w:r>
        <w:rPr>
          <w:rFonts w:ascii="Times New Roman" w:cs="Times New Roman" w:eastAsia="Times New Roman" w:hAnsi="Times New Roman"/>
          <w:sz w:val="22"/>
          <w:szCs w:val="22"/>
          <w:color w:val="auto"/>
        </w:rPr>
        <w:t>With respect to all real and personal assets and properties of each Obligor and each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Subsidiaries (other than Intellectual Property which is covered by clause (b) below), such Obligor and each of its Subsidiaries has valid fee simple title to, or valid leasehold or license interests in, all its real and personal Property material to its business, including all Product Assets, subject only to Permitted Liens and except as would not reasonably be expected to materially interfere with its ability to conduct its business as currently conducted or to utilize such properties for their intended purposes. No Obligor or any Subsidiary thereof owns any real property in fee simple as of the Closing Date and the Funding Date.</w:t>
      </w:r>
    </w:p>
    <w:p>
      <w:pPr>
        <w:spacing w:after="0" w:line="216" w:lineRule="exact"/>
        <w:rPr>
          <w:rFonts w:ascii="Times New Roman" w:cs="Times New Roman" w:eastAsia="Times New Roman" w:hAnsi="Times New Roman"/>
          <w:sz w:val="22"/>
          <w:szCs w:val="22"/>
          <w:color w:val="auto"/>
        </w:rPr>
      </w:pPr>
    </w:p>
    <w:p>
      <w:pPr>
        <w:ind w:left="1500" w:hanging="435"/>
        <w:spacing w:after="0"/>
        <w:tabs>
          <w:tab w:leader="none" w:pos="15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Intellectual Property.</w:t>
      </w:r>
    </w:p>
    <w:p>
      <w:pPr>
        <w:spacing w:after="0" w:line="250" w:lineRule="exact"/>
        <w:rPr>
          <w:rFonts w:ascii="Times New Roman" w:cs="Times New Roman" w:eastAsia="Times New Roman" w:hAnsi="Times New Roman"/>
          <w:sz w:val="22"/>
          <w:szCs w:val="22"/>
          <w:color w:val="auto"/>
        </w:rPr>
      </w:pPr>
    </w:p>
    <w:p>
      <w:pPr>
        <w:ind w:left="1060" w:firstLine="754"/>
        <w:spacing w:after="0" w:line="238" w:lineRule="auto"/>
        <w:tabs>
          <w:tab w:leader="none" w:pos="267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7.05(b) lists, with respect to each Obligor, all United States and foreign registrations of and applications for Patents, Trademarks, Copyrights, and Industrial Designs that are Obligor Intellectual Property owned by or exclusively licensed to such Obligor, including the applicable jurisdiction, registration or application number and date, as applicable thereto, a designation as to whether it is Material Intellectual Property.</w:t>
      </w:r>
    </w:p>
    <w:p>
      <w:pPr>
        <w:spacing w:after="0" w:line="203" w:lineRule="exact"/>
        <w:rPr>
          <w:rFonts w:ascii="Times New Roman" w:cs="Times New Roman" w:eastAsia="Times New Roman" w:hAnsi="Times New Roman"/>
          <w:sz w:val="22"/>
          <w:szCs w:val="22"/>
          <w:color w:val="auto"/>
        </w:rPr>
      </w:pPr>
    </w:p>
    <w:p>
      <w:pPr>
        <w:jc w:val="both"/>
        <w:ind w:left="1060" w:firstLine="754"/>
        <w:spacing w:after="0" w:line="239" w:lineRule="auto"/>
        <w:tabs>
          <w:tab w:leader="none" w:pos="267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 owns or possesses all legal rights, title and interest in and to the Material Intellectual Property designated on Schedule 7.05(b) as being owned by such Obligor and (B) has the right to use the Material Intellectual Property licensed to such Obligor, in each case free and clear of any Liens or Claims of any kind, other than Permitted Liens, in each case, except as described in Schedule 7.05(b).</w:t>
      </w:r>
    </w:p>
    <w:p>
      <w:pPr>
        <w:spacing w:after="0" w:line="220" w:lineRule="exact"/>
        <w:rPr>
          <w:rFonts w:ascii="Times New Roman" w:cs="Times New Roman" w:eastAsia="Times New Roman" w:hAnsi="Times New Roman"/>
          <w:sz w:val="22"/>
          <w:szCs w:val="22"/>
          <w:color w:val="auto"/>
        </w:rPr>
      </w:pPr>
    </w:p>
    <w:p>
      <w:pPr>
        <w:ind w:left="1060" w:right="100" w:firstLine="754"/>
        <w:spacing w:after="0" w:line="258" w:lineRule="auto"/>
        <w:tabs>
          <w:tab w:leader="none" w:pos="267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Intellectual Property does not violate any license or infringe any valid and enforceable Intellectual Property right of another,</w:t>
      </w:r>
    </w:p>
    <w:p>
      <w:pPr>
        <w:spacing w:after="0" w:line="299" w:lineRule="exact"/>
        <w:rPr>
          <w:sz w:val="20"/>
          <w:szCs w:val="20"/>
          <w:color w:val="auto"/>
        </w:rPr>
      </w:pPr>
    </w:p>
    <w:p>
      <w:pPr>
        <w:jc w:val="center"/>
        <w:ind w:right="4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196" w:name="page197"/>
    <w:bookmarkEnd w:id="196"/>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that either individually or in the aggregate would reasonably be expected to have a Material Adverse Effect.</w:t>
      </w:r>
    </w:p>
    <w:p>
      <w:pPr>
        <w:spacing w:after="0" w:line="245" w:lineRule="exact"/>
        <w:rPr>
          <w:sz w:val="20"/>
          <w:szCs w:val="20"/>
          <w:color w:val="auto"/>
        </w:rPr>
      </w:pPr>
    </w:p>
    <w:p>
      <w:pPr>
        <w:jc w:val="both"/>
        <w:ind w:left="380" w:firstLine="754"/>
        <w:spacing w:after="0" w:line="239" w:lineRule="auto"/>
        <w:tabs>
          <w:tab w:leader="none" w:pos="199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with respect to the Material Agreements, or as permitted by this Agreement, the Obligors have not assigned or otherwise transferred ownership of, or agreed to assign or otherwise transfer ownership of, any Material Intellectual Property owned by an Obligor, in whole or in part, to any Person who is not an Obligor.</w:t>
      </w:r>
    </w:p>
    <w:p>
      <w:pPr>
        <w:spacing w:after="0" w:line="220" w:lineRule="exact"/>
        <w:rPr>
          <w:rFonts w:ascii="Times New Roman" w:cs="Times New Roman" w:eastAsia="Times New Roman" w:hAnsi="Times New Roman"/>
          <w:sz w:val="22"/>
          <w:szCs w:val="22"/>
          <w:color w:val="auto"/>
        </w:rPr>
      </w:pPr>
    </w:p>
    <w:p>
      <w:pPr>
        <w:ind w:left="380" w:firstLine="754"/>
        <w:spacing w:after="0" w:line="239" w:lineRule="auto"/>
        <w:tabs>
          <w:tab w:leader="none" w:pos="199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set forth on Schedule 7.05(b), the Obligors have not received any written communications in the past twelve (12) months, nor is there any pending or, to each Obligor’s knowledge, threatened action in writing, suit, proceeding or claim in writing by another, alleging that any of the Obligors has violated, infringed, diluted or misappropriated any Intellectual Property of another.</w:t>
      </w:r>
    </w:p>
    <w:p>
      <w:pPr>
        <w:spacing w:after="0" w:line="220" w:lineRule="exact"/>
        <w:rPr>
          <w:rFonts w:ascii="Times New Roman" w:cs="Times New Roman" w:eastAsia="Times New Roman" w:hAnsi="Times New Roman"/>
          <w:sz w:val="22"/>
          <w:szCs w:val="22"/>
          <w:color w:val="auto"/>
        </w:rPr>
      </w:pPr>
    </w:p>
    <w:p>
      <w:pPr>
        <w:ind w:left="380" w:firstLine="754"/>
        <w:spacing w:after="0" w:line="239" w:lineRule="auto"/>
        <w:tabs>
          <w:tab w:leader="none" w:pos="199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pending or, to any Obligor’s knowledge, threatened action in writing, suit, proceeding or Claim in writing by another: (A) challenging an Obligor’s rights in or to any Material Intellectual Property owned by such Obligor; or (B) challenging the validity, enforceability or scope of any Material Intellectual Property owned by an Obligor.</w:t>
      </w:r>
    </w:p>
    <w:p>
      <w:pPr>
        <w:spacing w:after="0" w:line="207"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56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has taken commercially reasonable precautions to protect the secrecy, confidentiality and value of the Material Intellectual Property (including without limitation, by requiring that all relevant current and former employees, contractors and consultants of the Obligors execute written confidentiality and Invention assignment Contracts).</w:t>
      </w:r>
    </w:p>
    <w:p>
      <w:pPr>
        <w:spacing w:after="0" w:line="220"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99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has complied in all material respects with the terms of each Material Agreement pursuant to which Intellectual Property has been licensed to the Obligors (which material terms shall include, but not be limited to, pricing and duration of the agreement).</w:t>
      </w:r>
    </w:p>
    <w:p>
      <w:pPr>
        <w:spacing w:after="0" w:line="213" w:lineRule="exact"/>
        <w:rPr>
          <w:rFonts w:ascii="Times New Roman" w:cs="Times New Roman" w:eastAsia="Times New Roman" w:hAnsi="Times New Roman"/>
          <w:sz w:val="22"/>
          <w:szCs w:val="22"/>
          <w:color w:val="auto"/>
        </w:rPr>
      </w:pPr>
    </w:p>
    <w:p>
      <w:pPr>
        <w:ind w:left="380" w:firstLine="754"/>
        <w:spacing w:after="0" w:line="234" w:lineRule="auto"/>
        <w:tabs>
          <w:tab w:leader="none" w:pos="199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maintenance fees, annuities, and the like due or payable on the Patents within the Material Intellectual Property owned by an Obligor and, to each Obligor’s knowledge, the Patents within the Material Intellectual Property licensed to such Obligor have been timely paid or the failure to so pay was the result of an intentional decision by the applicable Obligor, which would not reasonably be expected to result in a Material Adverse Change. All documents and instruments necessary to register or apply for or renew registration of all Patents, Trademarks and Copyrights within the Material Intellectual Property owned by an Obligor and, to each Obligor’s knowledge, the Material Intellectual Property licensed to such Obligor have been validly executed, delivered and filed in a timely manner with the United States Patent and Trademark Office or the United States Copyright Office, as applicable.</w:t>
      </w:r>
    </w:p>
    <w:p>
      <w:pPr>
        <w:spacing w:after="0" w:line="324"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97" w:name="page198"/>
    <w:bookmarkEnd w:id="197"/>
    <w:p>
      <w:pPr>
        <w:spacing w:after="0" w:line="225" w:lineRule="exact"/>
        <w:rPr>
          <w:sz w:val="20"/>
          <w:szCs w:val="20"/>
          <w:color w:val="auto"/>
        </w:rPr>
      </w:pPr>
    </w:p>
    <w:p>
      <w:pPr>
        <w:jc w:val="both"/>
        <w:ind w:left="1060" w:firstLine="754"/>
        <w:spacing w:after="0" w:line="255" w:lineRule="auto"/>
        <w:tabs>
          <w:tab w:leader="none" w:pos="2673"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each Obligor’s knowledge, (A) there are no material defects in the applicable applications for any of the Patents within the Material Intellectual Property owned by an Obligor and (B) no such Patents within the Material Intellectual Property owned by an Obligor have ever been finally adjudicated to be invalid, unpatentable or unenforceable for any reason in any administrative, arbitration, judicial or other proceeding.</w:t>
      </w:r>
    </w:p>
    <w:p>
      <w:pPr>
        <w:spacing w:after="0" w:line="188" w:lineRule="exact"/>
        <w:rPr>
          <w:rFonts w:ascii="Times New Roman" w:cs="Times New Roman" w:eastAsia="Times New Roman" w:hAnsi="Times New Roman"/>
          <w:sz w:val="21"/>
          <w:szCs w:val="21"/>
          <w:color w:val="auto"/>
        </w:rPr>
      </w:pPr>
    </w:p>
    <w:p>
      <w:pPr>
        <w:ind w:left="2680" w:hanging="866"/>
        <w:spacing w:after="0"/>
        <w:tabs>
          <w:tab w:leader="none" w:pos="268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Obligor’s knowledge, no Obligor has received any written notice in the past twelve</w:t>
      </w:r>
    </w:p>
    <w:p>
      <w:pPr>
        <w:spacing w:after="0" w:line="14" w:lineRule="exact"/>
        <w:rPr>
          <w:rFonts w:ascii="Times New Roman" w:cs="Times New Roman" w:eastAsia="Times New Roman" w:hAnsi="Times New Roman"/>
          <w:sz w:val="22"/>
          <w:szCs w:val="22"/>
          <w:color w:val="auto"/>
        </w:rPr>
      </w:pPr>
    </w:p>
    <w:p>
      <w:pPr>
        <w:jc w:val="both"/>
        <w:ind w:left="1060" w:firstLine="5"/>
        <w:spacing w:after="0" w:line="234" w:lineRule="auto"/>
        <w:tabs>
          <w:tab w:leader="none" w:pos="147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asserting that the Patents within the Material Intellectual Property owned by an Obligor are invalid, unpatentable or unenforceable and, to each Obligor’s knowledge, no Obligor has engaged in any conduct, or omitted to perform any necessary act, the result of which would invalidate or render unpatentable or unenforceable any such Patent within the Material Intellectual Property.</w:t>
      </w:r>
    </w:p>
    <w:p>
      <w:pPr>
        <w:spacing w:after="0" w:line="217" w:lineRule="exact"/>
        <w:rPr>
          <w:rFonts w:ascii="Times New Roman" w:cs="Times New Roman" w:eastAsia="Times New Roman" w:hAnsi="Times New Roman"/>
          <w:sz w:val="22"/>
          <w:szCs w:val="22"/>
          <w:color w:val="auto"/>
        </w:rPr>
      </w:pPr>
    </w:p>
    <w:p>
      <w:pPr>
        <w:jc w:val="both"/>
        <w:ind w:left="1060" w:firstLine="754"/>
        <w:spacing w:after="0" w:line="238" w:lineRule="auto"/>
        <w:tabs>
          <w:tab w:leader="none" w:pos="2241"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employee and consultant with access to Material Intellectual Property has signed a written agreement assigning to the applicable Obligor all intellectual property rights that are created or developed by such employee or consultant, as applicable, on behalf of such Obligor with respect to such Obligor’s business as now conducted and as presently proposed to be conducted and confidentiality provisions protecting trade secrets and confidentiality information of the Obligors.</w:t>
      </w:r>
    </w:p>
    <w:p>
      <w:pPr>
        <w:spacing w:after="0" w:line="217" w:lineRule="exact"/>
        <w:rPr>
          <w:rFonts w:ascii="Times New Roman" w:cs="Times New Roman" w:eastAsia="Times New Roman" w:hAnsi="Times New Roman"/>
          <w:sz w:val="22"/>
          <w:szCs w:val="22"/>
          <w:color w:val="auto"/>
        </w:rPr>
      </w:pPr>
    </w:p>
    <w:p>
      <w:pPr>
        <w:jc w:val="both"/>
        <w:ind w:left="1060" w:firstLine="754"/>
        <w:spacing w:after="0" w:line="244" w:lineRule="auto"/>
        <w:tabs>
          <w:tab w:leader="none" w:pos="2732"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each Obligor, no third party is infringing upon or misappropriating any Material Intellectual Property, or violating any material license or agreement with such Obligor relating to any Material Intellectual Property.</w:t>
      </w:r>
    </w:p>
    <w:p>
      <w:pPr>
        <w:spacing w:after="0" w:line="19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Section 7.06.</w:t>
      </w:r>
      <w:r>
        <w:rPr>
          <w:sz w:val="20"/>
          <w:szCs w:val="20"/>
          <w:color w:val="auto"/>
        </w:rPr>
        <w:tab/>
      </w:r>
      <w:r>
        <w:rPr>
          <w:rFonts w:ascii="Times New Roman" w:cs="Times New Roman" w:eastAsia="Times New Roman" w:hAnsi="Times New Roman"/>
          <w:sz w:val="21"/>
          <w:szCs w:val="21"/>
          <w:i w:val="1"/>
          <w:iCs w:val="1"/>
          <w:color w:val="auto"/>
        </w:rPr>
        <w:t>No Actions or Proceedings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320" w:firstLine="745"/>
        <w:spacing w:after="0" w:line="241" w:lineRule="auto"/>
        <w:tabs>
          <w:tab w:leader="none" w:pos="150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Litigation. </w:t>
      </w:r>
      <w:r>
        <w:rPr>
          <w:rFonts w:ascii="Times New Roman" w:cs="Times New Roman" w:eastAsia="Times New Roman" w:hAnsi="Times New Roman"/>
          <w:sz w:val="22"/>
          <w:szCs w:val="22"/>
          <w:color w:val="auto"/>
        </w:rPr>
        <w:t>There is no litigation, investigation or enforcement proceeding pending or threatened in writing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respect to any Obligor by or before any Governmental Authority or arbitrator (i) that either individually or in the aggregate would reasonably be expected to have a Material Adverse Effect or (ii) that involves this Agreement or the Transactions.</w:t>
      </w:r>
    </w:p>
    <w:p>
      <w:pPr>
        <w:spacing w:after="0" w:line="212" w:lineRule="exact"/>
        <w:rPr>
          <w:rFonts w:ascii="Times New Roman" w:cs="Times New Roman" w:eastAsia="Times New Roman" w:hAnsi="Times New Roman"/>
          <w:sz w:val="22"/>
          <w:szCs w:val="22"/>
          <w:color w:val="auto"/>
        </w:rPr>
      </w:pPr>
    </w:p>
    <w:p>
      <w:pPr>
        <w:jc w:val="both"/>
        <w:ind w:left="320" w:firstLine="745"/>
        <w:spacing w:after="0" w:line="256" w:lineRule="auto"/>
        <w:tabs>
          <w:tab w:leader="none" w:pos="1514"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Environmental Matters. </w:t>
      </w:r>
      <w:r>
        <w:rPr>
          <w:rFonts w:ascii="Times New Roman" w:cs="Times New Roman" w:eastAsia="Times New Roman" w:hAnsi="Times New Roman"/>
          <w:sz w:val="21"/>
          <w:szCs w:val="21"/>
          <w:color w:val="auto"/>
        </w:rPr>
        <w:t>The operations and the real Property of the Obligors comply with all applicable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Environmental Laws, except to the extent the failure to so comply, either individually or in the aggregate, would not reasonably be expected to have a Material Adverse Effect. To each Obligor’s knowledge, there have been no conditions, occurrences or release of Hazardous Materials which would reasonably be expected to have a Material Adverse Effect.</w:t>
      </w:r>
    </w:p>
    <w:p>
      <w:pPr>
        <w:spacing w:after="0" w:line="184" w:lineRule="exact"/>
        <w:rPr>
          <w:rFonts w:ascii="Times New Roman" w:cs="Times New Roman" w:eastAsia="Times New Roman" w:hAnsi="Times New Roman"/>
          <w:sz w:val="21"/>
          <w:szCs w:val="21"/>
          <w:color w:val="auto"/>
        </w:rPr>
      </w:pPr>
    </w:p>
    <w:p>
      <w:pPr>
        <w:jc w:val="both"/>
        <w:ind w:left="320" w:firstLine="745"/>
        <w:spacing w:after="0" w:line="246" w:lineRule="auto"/>
        <w:tabs>
          <w:tab w:leader="none" w:pos="152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Labor Matters. </w:t>
      </w:r>
      <w:r>
        <w:rPr>
          <w:rFonts w:ascii="Times New Roman" w:cs="Times New Roman" w:eastAsia="Times New Roman" w:hAnsi="Times New Roman"/>
          <w:sz w:val="22"/>
          <w:szCs w:val="22"/>
          <w:color w:val="auto"/>
        </w:rPr>
        <w:t>No Obligor has engaged in unfair labor practices and there are no pending or,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Obligor’s knowledge, threatened in writing labor actions, disputes, grievance or arbitration proceedings involving the employees of any Obligor, in</w:t>
      </w:r>
    </w:p>
    <w:p>
      <w:pPr>
        <w:spacing w:after="0" w:line="312" w:lineRule="exact"/>
        <w:rPr>
          <w:sz w:val="20"/>
          <w:szCs w:val="20"/>
          <w:color w:val="auto"/>
        </w:rPr>
      </w:pPr>
    </w:p>
    <w:p>
      <w:pPr>
        <w:jc w:val="center"/>
        <w:ind w:right="4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198" w:name="page199"/>
    <w:bookmarkEnd w:id="198"/>
    <w:p>
      <w:pPr>
        <w:spacing w:after="0" w:line="225" w:lineRule="exact"/>
        <w:rPr>
          <w:sz w:val="20"/>
          <w:szCs w:val="20"/>
          <w:color w:val="auto"/>
        </w:rPr>
      </w:pPr>
    </w:p>
    <w:p>
      <w:pPr>
        <w:jc w:val="both"/>
        <w:ind w:left="320"/>
        <w:spacing w:after="0" w:line="244" w:lineRule="auto"/>
        <w:rPr>
          <w:sz w:val="20"/>
          <w:szCs w:val="20"/>
          <w:color w:val="auto"/>
        </w:rPr>
      </w:pPr>
      <w:r>
        <w:rPr>
          <w:rFonts w:ascii="Times New Roman" w:cs="Times New Roman" w:eastAsia="Times New Roman" w:hAnsi="Times New Roman"/>
          <w:sz w:val="22"/>
          <w:szCs w:val="22"/>
          <w:color w:val="auto"/>
        </w:rPr>
        <w:t>each case that would reasonably be expected to have a Material Adverse Effect. There is no material strike or work stoppage in existence or threatened in writing against any Obligor and to the knowledge of such Obligor, no union organization activity is taking place.</w:t>
      </w:r>
    </w:p>
    <w:p>
      <w:pPr>
        <w:spacing w:after="0" w:line="19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i w:val="1"/>
          <w:iCs w:val="1"/>
          <w:color w:val="auto"/>
        </w:rPr>
        <w:t>Section 7.07.</w:t>
      </w:r>
      <w:r>
        <w:rPr>
          <w:sz w:val="20"/>
          <w:szCs w:val="20"/>
          <w:color w:val="auto"/>
        </w:rPr>
        <w:tab/>
      </w:r>
      <w:r>
        <w:rPr>
          <w:rFonts w:ascii="Times New Roman" w:cs="Times New Roman" w:eastAsia="Times New Roman" w:hAnsi="Times New Roman"/>
          <w:sz w:val="21"/>
          <w:szCs w:val="21"/>
          <w:i w:val="1"/>
          <w:iCs w:val="1"/>
          <w:color w:val="auto"/>
        </w:rPr>
        <w:t>Compliance with Laws and Agreements</w:t>
      </w:r>
      <w:r>
        <w:rPr>
          <w:rFonts w:ascii="Times New Roman" w:cs="Times New Roman" w:eastAsia="Times New Roman" w:hAnsi="Times New Roman"/>
          <w:sz w:val="21"/>
          <w:szCs w:val="21"/>
          <w:color w:val="auto"/>
        </w:rPr>
        <w:t>.</w:t>
      </w:r>
    </w:p>
    <w:p>
      <w:pPr>
        <w:spacing w:after="0" w:line="251" w:lineRule="exact"/>
        <w:rPr>
          <w:sz w:val="20"/>
          <w:szCs w:val="20"/>
          <w:color w:val="auto"/>
        </w:rPr>
      </w:pPr>
    </w:p>
    <w:p>
      <w:pPr>
        <w:ind w:left="320" w:firstLine="745"/>
        <w:spacing w:after="0" w:line="239" w:lineRule="auto"/>
        <w:tabs>
          <w:tab w:leader="none" w:pos="150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is in compliance with all Requirements of Law (including Healthcare Laws and Environmental Laws) and all Contracts binding upon it or its Property, except (other than with respect to Material Intellectual Property) where the failure to do so, individually or in the aggregate, would not reasonably be expected to result in a Material Adverse Effect.</w:t>
      </w:r>
    </w:p>
    <w:p>
      <w:pPr>
        <w:spacing w:after="0" w:line="220" w:lineRule="exact"/>
        <w:rPr>
          <w:rFonts w:ascii="Times New Roman" w:cs="Times New Roman" w:eastAsia="Times New Roman" w:hAnsi="Times New Roman"/>
          <w:sz w:val="22"/>
          <w:szCs w:val="22"/>
          <w:color w:val="auto"/>
        </w:rPr>
      </w:pPr>
    </w:p>
    <w:p>
      <w:pPr>
        <w:ind w:left="320" w:right="20" w:firstLine="745"/>
        <w:spacing w:after="0" w:line="258" w:lineRule="auto"/>
        <w:tabs>
          <w:tab w:leader="none" w:pos="150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except as, individually or in the aggregate, would not reasonably be expected to result in a Material Adverse Effect:</w:t>
      </w:r>
    </w:p>
    <w:p>
      <w:pPr>
        <w:spacing w:after="0" w:line="185" w:lineRule="exact"/>
        <w:rPr>
          <w:rFonts w:ascii="Times New Roman" w:cs="Times New Roman" w:eastAsia="Times New Roman" w:hAnsi="Times New Roman"/>
          <w:sz w:val="22"/>
          <w:szCs w:val="22"/>
          <w:color w:val="auto"/>
        </w:rPr>
      </w:pPr>
    </w:p>
    <w:p>
      <w:pPr>
        <w:ind w:left="1060" w:firstLine="754"/>
        <w:spacing w:after="0" w:line="233" w:lineRule="auto"/>
        <w:tabs>
          <w:tab w:leader="none" w:pos="2673"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financial relationships between or among the Borrower, any other Obligor, or any of their respective Subsidiaries, on the one hand, and any Person who is in a position to refer patients or other Federal Health Care Program to the Borrower, any other Obligor or any Subsidiaries (collectively a </w:t>
      </w:r>
      <w:r>
        <w:rPr>
          <w:rFonts w:ascii="Times New Roman" w:cs="Times New Roman" w:eastAsia="Times New Roman" w:hAnsi="Times New Roman"/>
          <w:sz w:val="22"/>
          <w:szCs w:val="22"/>
          <w:i w:val="1"/>
          <w:iCs w:val="1"/>
          <w:color w:val="auto"/>
        </w:rPr>
        <w:t>“Referral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Source”</w:t>
      </w:r>
      <w:r>
        <w:rPr>
          <w:rFonts w:ascii="Times New Roman" w:cs="Times New Roman" w:eastAsia="Times New Roman" w:hAnsi="Times New Roman"/>
          <w:sz w:val="22"/>
          <w:szCs w:val="22"/>
          <w:color w:val="auto"/>
        </w:rPr>
        <w:t>), on the other hand, (A) comply with all applicable Healthcare Laws, (B) reflect fair market value,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commercially reasonable terms and were negotiated at arm’s length; and (C) do not obligate the Referral Source to purchase, use, recommend or arrange for the use of any products or services of the Borrower, any other Obligor, or any of their respective Subsidiaries in any manner that could reasonably be expected to constitute a violation of a state, federal or foreign health care fraud and abuse law. No Obligor, nor any of its respective Subsidiaries, directly or indirectly, has guaranteed a loan, made a payment toward a loan or otherwise subsidized a loan for any Referral Source including, without limitation, any loans related to financing the Referral Source’s ownership, investment or financial interest in any Obligor or any such Subsidiary in any manner that could reasonably be expected to constitute a violation of a state, federal or foreign health care fraud and abuse law.</w:t>
      </w:r>
    </w:p>
    <w:p>
      <w:pPr>
        <w:spacing w:after="0" w:line="222" w:lineRule="exact"/>
        <w:rPr>
          <w:rFonts w:ascii="Times New Roman" w:cs="Times New Roman" w:eastAsia="Times New Roman" w:hAnsi="Times New Roman"/>
          <w:sz w:val="22"/>
          <w:szCs w:val="22"/>
          <w:color w:val="auto"/>
        </w:rPr>
      </w:pPr>
    </w:p>
    <w:p>
      <w:pPr>
        <w:jc w:val="both"/>
        <w:ind w:left="1060" w:firstLine="754"/>
        <w:spacing w:after="0" w:line="267" w:lineRule="exact"/>
        <w:tabs>
          <w:tab w:leader="none" w:pos="2673"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on Schedule 7.19(b) or 7.19(e), all Products have been developed, tested, manufactured, distributed, marketed and sold in compliance with all applicable FDA Laws, including, without limitation, all requirements relating to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market notification, good manufacturing practices/quality system regulations (21 CFR Part 820), labeling, advertising, record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keeping, and adverse event reporting.</w:t>
      </w:r>
    </w:p>
    <w:p>
      <w:pPr>
        <w:spacing w:after="0" w:line="188" w:lineRule="exact"/>
        <w:rPr>
          <w:rFonts w:ascii="Times New Roman" w:cs="Times New Roman" w:eastAsia="Times New Roman" w:hAnsi="Times New Roman"/>
          <w:sz w:val="22"/>
          <w:szCs w:val="22"/>
          <w:color w:val="auto"/>
        </w:rPr>
      </w:pPr>
    </w:p>
    <w:p>
      <w:pPr>
        <w:jc w:val="both"/>
        <w:ind w:left="1060" w:firstLine="754"/>
        <w:spacing w:after="0" w:line="244" w:lineRule="auto"/>
        <w:tabs>
          <w:tab w:leader="none" w:pos="2593"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each other Obligor, and each of their respective Subsidiaries are in compliance with the Physician Payments Sunshine Act (Section 6002 of the Affordable Care Act of 2010) and its implementing regulations and any applicable state disclosure and transparency laws.</w:t>
      </w:r>
    </w:p>
    <w:p>
      <w:pPr>
        <w:spacing w:after="0" w:line="314" w:lineRule="exact"/>
        <w:rPr>
          <w:sz w:val="20"/>
          <w:szCs w:val="20"/>
          <w:color w:val="auto"/>
        </w:rPr>
      </w:pPr>
    </w:p>
    <w:p>
      <w:pPr>
        <w:jc w:val="center"/>
        <w:ind w:right="4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199" w:name="page200"/>
    <w:bookmarkEnd w:id="199"/>
    <w:p>
      <w:pPr>
        <w:spacing w:after="0" w:line="225" w:lineRule="exact"/>
        <w:rPr>
          <w:sz w:val="20"/>
          <w:szCs w:val="20"/>
          <w:color w:val="auto"/>
        </w:rPr>
      </w:pPr>
    </w:p>
    <w:p>
      <w:pPr>
        <w:jc w:val="both"/>
        <w:ind w:left="1500" w:firstLine="754"/>
        <w:spacing w:after="0" w:line="236" w:lineRule="auto"/>
        <w:tabs>
          <w:tab w:leader="none" w:pos="311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Obligor and any Subsidiary participates in or receives reimbursement from any Federal Health Care Program or other third-party payor program, each such Obligor and each such Subsidiary shall have the requisite provider number or authorization necessary to bill any third-party payor program in which it participates and there are no audits, inquiries, adjustments, appeals or recoupment efforts by any third-party payor program of or against any Obligor or Subsidiary with respect to any prior Claims, reports or billings.</w:t>
      </w:r>
    </w:p>
    <w:p>
      <w:pPr>
        <w:spacing w:after="0" w:line="208"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311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Obligor will maintain and adhere to a commercially reasonable compliance program designed to promote compliance with and to detect, prevent and address violations of all material Healthcare Laws (a </w:t>
      </w:r>
      <w:r>
        <w:rPr>
          <w:rFonts w:ascii="Times New Roman" w:cs="Times New Roman" w:eastAsia="Times New Roman" w:hAnsi="Times New Roman"/>
          <w:sz w:val="22"/>
          <w:szCs w:val="22"/>
          <w:i w:val="1"/>
          <w:iCs w:val="1"/>
          <w:color w:val="auto"/>
        </w:rPr>
        <w:t>“Health Care Compliance Program”</w:t>
      </w:r>
      <w:r>
        <w:rPr>
          <w:rFonts w:ascii="Times New Roman" w:cs="Times New Roman" w:eastAsia="Times New Roman" w:hAnsi="Times New Roman"/>
          <w:sz w:val="22"/>
          <w:szCs w:val="22"/>
          <w:color w:val="auto"/>
        </w:rPr>
        <w:t>). No Obligor or Subsidiary thereof is aware of any complaints from any employees, independent contractors, vendors, physicians, customers, patients or other persons that would reasonably be considered to indicate a violation of Healthcare Laws.</w:t>
      </w:r>
    </w:p>
    <w:p>
      <w:pPr>
        <w:spacing w:after="0" w:line="213"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7.08. Taxes. </w:t>
      </w:r>
      <w:r>
        <w:rPr>
          <w:rFonts w:ascii="Times New Roman" w:cs="Times New Roman" w:eastAsia="Times New Roman" w:hAnsi="Times New Roman"/>
          <w:sz w:val="22"/>
          <w:szCs w:val="22"/>
          <w:color w:val="auto"/>
        </w:rPr>
        <w:t>Each Obligor has timely filed or caused to be filed all federal income and other material Tax returns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reports required to have been filed and has paid or caused to be paid all federal income and other material Taxes required to have been paid by it, except Taxes that are being contested in good faith by appropriate proceedings and for which such Obligor has set aside on its books adequate reserves with respect thereto substantially in accordance with GAAP.</w:t>
      </w:r>
    </w:p>
    <w:p>
      <w:pPr>
        <w:spacing w:after="0" w:line="212"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Section 7.09. Full Disclosure. </w:t>
      </w:r>
      <w:r>
        <w:rPr>
          <w:rFonts w:ascii="Times New Roman" w:cs="Times New Roman" w:eastAsia="Times New Roman" w:hAnsi="Times New Roman"/>
          <w:sz w:val="21"/>
          <w:szCs w:val="21"/>
          <w:color w:val="auto"/>
        </w:rPr>
        <w:t>The Borrower has disclosed to the Lenders all Material Agreements to which any Obligor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party, and all other matters to its knowledge, that, individually or in the aggregate, would reasonably be expected to result in a Material Adverse Effect. None of the reports, financial statements, certificates or other written information furnished by or on behalf of the Obligors to the Lenders in connection with the negotiation of this Agreement and the other Loan Documents or delivered hereunder or thereunder (as modified or supplemented by other information so furnished), taken as whole, contains any material misstatement of material fact or omits to state any material fact necessary to make the statements therein, in the light of the circumstances under which they were made, not misleading;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the Projections, the Borrower represents only that such information was prepared in good faith based upon assumptions believed to be reasonable at the time.</w:t>
      </w:r>
    </w:p>
    <w:p>
      <w:pPr>
        <w:spacing w:after="0" w:line="199"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7.10.</w:t>
      </w:r>
      <w:r>
        <w:rPr>
          <w:sz w:val="20"/>
          <w:szCs w:val="20"/>
          <w:color w:val="auto"/>
        </w:rPr>
        <w:tab/>
      </w:r>
      <w:r>
        <w:rPr>
          <w:rFonts w:ascii="Times New Roman" w:cs="Times New Roman" w:eastAsia="Times New Roman" w:hAnsi="Times New Roman"/>
          <w:sz w:val="21"/>
          <w:szCs w:val="21"/>
          <w:i w:val="1"/>
          <w:iCs w:val="1"/>
          <w:color w:val="auto"/>
        </w:rPr>
        <w:t>Regulation</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760" w:firstLine="745"/>
        <w:spacing w:after="0" w:line="262" w:lineRule="auto"/>
        <w:tabs>
          <w:tab w:leader="none" w:pos="195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Investment Company Act. </w:t>
      </w:r>
      <w:r>
        <w:rPr>
          <w:rFonts w:ascii="Times New Roman" w:cs="Times New Roman" w:eastAsia="Times New Roman" w:hAnsi="Times New Roman"/>
          <w:sz w:val="22"/>
          <w:szCs w:val="22"/>
          <w:color w:val="auto"/>
        </w:rPr>
        <w:t>No Obligor is an “investment company” as defined in, or subject to regulation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the Investment Company Act of 1940.</w:t>
      </w:r>
    </w:p>
    <w:p>
      <w:pPr>
        <w:spacing w:after="0" w:line="190"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5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Margin Stock. </w:t>
      </w:r>
      <w:r>
        <w:rPr>
          <w:rFonts w:ascii="Times New Roman" w:cs="Times New Roman" w:eastAsia="Times New Roman" w:hAnsi="Times New Roman"/>
          <w:sz w:val="22"/>
          <w:szCs w:val="22"/>
          <w:color w:val="auto"/>
        </w:rPr>
        <w:t>No Obligor is engaged principally, or as one of its important activities, in the business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extending credit for the purpose, whether immediate, incidental or ultimate, of buying or carrying Margin Stock and no part of the proceeds of the Term Loans will be used to buy or carry any Margin Stock in violation of Regulation T, U or X.</w:t>
      </w:r>
    </w:p>
    <w:p>
      <w:pPr>
        <w:spacing w:after="0" w:line="317"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21"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7.11. Solvency. </w:t>
      </w:r>
      <w:r>
        <w:rPr>
          <w:rFonts w:ascii="Times New Roman" w:cs="Times New Roman" w:eastAsia="Times New Roman" w:hAnsi="Times New Roman"/>
          <w:sz w:val="22"/>
          <w:szCs w:val="22"/>
          <w:color w:val="auto"/>
        </w:rPr>
        <w:t>The Obligors, on a consolidated basis, are, and, immediately after giving effect to the Borrowings,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use of proceeds thereof, and the consummation of the Transactions, will be, Solvent.</w:t>
      </w:r>
    </w:p>
    <w:p>
      <w:pPr>
        <w:spacing w:after="0" w:line="177"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7.12. Subsidiaries. </w:t>
      </w:r>
      <w:r>
        <w:rPr>
          <w:rFonts w:ascii="Times New Roman" w:cs="Times New Roman" w:eastAsia="Times New Roman" w:hAnsi="Times New Roman"/>
          <w:sz w:val="22"/>
          <w:szCs w:val="22"/>
          <w:color w:val="auto"/>
        </w:rPr>
        <w:t>Except as set forth on Schedule 7.12 (as such Schedule may be updated by Borrower from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time), Borrower has no direct or indirect Subsidiaries. For the avoidance of doubt, the Borrower does not have any direct or indirect Subsidiaries as of the Closing Date and the Funding Date.</w:t>
      </w:r>
    </w:p>
    <w:p>
      <w:pPr>
        <w:spacing w:after="0" w:line="208"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7.13. Indebtedness and Liens. </w:t>
      </w:r>
      <w:r>
        <w:rPr>
          <w:rFonts w:ascii="Times New Roman" w:cs="Times New Roman" w:eastAsia="Times New Roman" w:hAnsi="Times New Roman"/>
          <w:sz w:val="22"/>
          <w:szCs w:val="22"/>
          <w:color w:val="auto"/>
        </w:rPr>
        <w:t>Set forth on Schedule 7.13A is a complete and correct list of all Indebtedness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Obligor that exceeds $50,000 as of the Closing Date (other than Permitted Indebtedness and Indebtedness evidenced by the Existing Credit Agreements). Set forth on Schedule 7.13B is a complete and correct list of all Liens described in Section 9.02(b) granted by an Obligor with respect to its respective Property and outstanding as of the Closing Date (other than liens incurred in connection with the Existing Credit Agreements).</w:t>
      </w:r>
    </w:p>
    <w:p>
      <w:pPr>
        <w:spacing w:after="0" w:line="217" w:lineRule="exact"/>
        <w:rPr>
          <w:sz w:val="20"/>
          <w:szCs w:val="20"/>
          <w:color w:val="auto"/>
        </w:rPr>
      </w:pPr>
    </w:p>
    <w:p>
      <w:pPr>
        <w:jc w:val="both"/>
        <w:ind w:firstLine="432"/>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7.14. Material Agreements. </w:t>
      </w:r>
      <w:r>
        <w:rPr>
          <w:rFonts w:ascii="Times New Roman" w:cs="Times New Roman" w:eastAsia="Times New Roman" w:hAnsi="Times New Roman"/>
          <w:sz w:val="22"/>
          <w:szCs w:val="22"/>
          <w:color w:val="auto"/>
        </w:rPr>
        <w:t>Set forth on Schedule 7.14 (as such Schedule may be updated by the Borrower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to time) is a complete and correct list of (a) each Material Agreement and (b) each Contract creating or evidencing any Material Indebtedness. Accurate and complete copies of each such Contract listed on such schedule have been made available to the Administrative Agent. No Obligor is in default in any respect under any such Material Agreement or such Contract, in each case, other than bona fide disputes and defaults which would not, individually or in the aggregate, be reasonably expected to have a Material Adverse Effect creating or evidencing any Material Indebtedness listed on such schedule, and no Obligor has knowledge of any default in any material respect by any counterparty to such Material Agreement or such Contract. Except as otherwise disclosed on Schedule 7.14 (as such Schedule may be updated by the Borrower from time to time), all material vendor purchase agreements and provider Contracts of the Obligors, and all Material Agreements including a grant of rights under any Intellectual Property to an Obligor, are in full force and effect without material modification from the form in which the same were disclosed to the Lenders.</w:t>
      </w:r>
    </w:p>
    <w:p>
      <w:pPr>
        <w:spacing w:after="0" w:line="203"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7.15. Restrictive Agreements. </w:t>
      </w:r>
      <w:r>
        <w:rPr>
          <w:rFonts w:ascii="Times New Roman" w:cs="Times New Roman" w:eastAsia="Times New Roman" w:hAnsi="Times New Roman"/>
          <w:sz w:val="22"/>
          <w:szCs w:val="22"/>
          <w:color w:val="auto"/>
        </w:rPr>
        <w:t>None of the Obligors is party to any Restrictive Agreement, except (a) those listed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Schedule 7.15 or otherwise permitted under Section 9.11, (b) restrictions and conditions imposed by Law or by the Loan Documents, (c) any stockholder agreement, investor rights agreement, charter, bylaws or other Organizational Documents of an Obligor, and (d) limitations associated with Permitted Liens.</w:t>
      </w:r>
    </w:p>
    <w:p>
      <w:pPr>
        <w:spacing w:after="0" w:line="212"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7.16. Real Property. </w:t>
      </w:r>
      <w:r>
        <w:rPr>
          <w:rFonts w:ascii="Times New Roman" w:cs="Times New Roman" w:eastAsia="Times New Roman" w:hAnsi="Times New Roman"/>
          <w:sz w:val="22"/>
          <w:szCs w:val="22"/>
          <w:color w:val="auto"/>
        </w:rPr>
        <w:t>No Obligor or any of its Subsidiaries owns or leases (as tenant thereof) any real Property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date hereof, except as described on Schedule 7.16.</w:t>
      </w:r>
    </w:p>
    <w:p>
      <w:pPr>
        <w:spacing w:after="0" w:line="190"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i w:val="1"/>
          <w:iCs w:val="1"/>
          <w:color w:val="auto"/>
        </w:rPr>
        <w:t>Section 7.17. Pension and Other Benefit Plans</w:t>
      </w:r>
      <w:r>
        <w:rPr>
          <w:rFonts w:ascii="Times New Roman" w:cs="Times New Roman" w:eastAsia="Times New Roman" w:hAnsi="Times New Roman"/>
          <w:sz w:val="22"/>
          <w:szCs w:val="22"/>
          <w:color w:val="auto"/>
        </w:rPr>
        <w:t>. Schedule 7.17 sets forth, as of the date hereof, a complete and correct list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and that separately identifies, (a) all Title IV Plans, and (b) all Multiemployer Plans. Except as would not, in the aggregate, have a Material Adverse Effect, (i) each Benefit Plan is in compliance with applicable provisions of ERISA, the Code and other Requirements of Law, (ii) there are no existing or pending (or to the knowledge of any Obligor or Subsidiary thereof, threatened) Claims (other than routine Claims for benefits in the normal</w:t>
      </w:r>
    </w:p>
    <w:p>
      <w:pPr>
        <w:spacing w:after="0" w:line="32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course), sanctions, actions, lawsuits or other proceedings or investigations involving any Benefit Plan, and (iii) no ERISA Event has occurred or is reasonably expected to occur.</w:t>
      </w:r>
    </w:p>
    <w:p>
      <w:pPr>
        <w:spacing w:after="0" w:line="181"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7.18.</w:t>
      </w:r>
      <w:r>
        <w:rPr>
          <w:sz w:val="20"/>
          <w:szCs w:val="20"/>
          <w:color w:val="auto"/>
        </w:rPr>
        <w:tab/>
      </w:r>
      <w:r>
        <w:rPr>
          <w:rFonts w:ascii="Times New Roman" w:cs="Times New Roman" w:eastAsia="Times New Roman" w:hAnsi="Times New Roman"/>
          <w:sz w:val="21"/>
          <w:szCs w:val="21"/>
          <w:i w:val="1"/>
          <w:iCs w:val="1"/>
          <w:color w:val="auto"/>
        </w:rPr>
        <w:t>Collateral; Security Interest.</w:t>
      </w:r>
    </w:p>
    <w:p>
      <w:pPr>
        <w:spacing w:after="0" w:line="251" w:lineRule="exact"/>
        <w:rPr>
          <w:sz w:val="20"/>
          <w:szCs w:val="20"/>
          <w:color w:val="auto"/>
        </w:rPr>
      </w:pPr>
    </w:p>
    <w:p>
      <w:pPr>
        <w:jc w:val="both"/>
        <w:ind w:left="760" w:firstLine="745"/>
        <w:spacing w:after="0" w:line="235" w:lineRule="auto"/>
        <w:tabs>
          <w:tab w:leader="none" w:pos="194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Security Document is effective to create in favor of the Administrative Agent for the benefit of the Lenders a legal, valid and enforceable security interest in the Collateral subject thereto and each such security interest is perfected to the extent required by (and has the priority required by) the applicable Security Document, subject to Permitted Liens. The Security Documents collectively are effective to create in favor of the Administrative Agent for the benefit of the Lenders a legal, valid and enforceable security interest in the Collateral, which upon the filing of financing statements and other similar statements filed in the appropriate offices, such security interests are perfected security interests (subject only to Permitted Liens) to the extent that such perfection may be obtained by such filing.</w:t>
      </w:r>
    </w:p>
    <w:p>
      <w:pPr>
        <w:spacing w:after="0" w:line="22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location as to which (i) Collateral with a value in excess of $500,000 is located or (ii) an Obligor maintains its chief executive office, the Obligors will use commercially reasonable efforts to provide the Administrative Agent with a Collateral Access Agreement from the applicable landlord, bailee or similar Person within sixty (60) days after the Funding Date or sixty (60) days after the date such Collateral is so located.</w:t>
      </w:r>
    </w:p>
    <w:p>
      <w:pPr>
        <w:spacing w:after="0" w:line="203"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7.19.</w:t>
      </w:r>
      <w:r>
        <w:rPr>
          <w:sz w:val="20"/>
          <w:szCs w:val="20"/>
          <w:color w:val="auto"/>
        </w:rPr>
        <w:tab/>
      </w:r>
      <w:r>
        <w:rPr>
          <w:rFonts w:ascii="Times New Roman" w:cs="Times New Roman" w:eastAsia="Times New Roman" w:hAnsi="Times New Roman"/>
          <w:sz w:val="21"/>
          <w:szCs w:val="21"/>
          <w:i w:val="1"/>
          <w:iCs w:val="1"/>
          <w:color w:val="auto"/>
        </w:rPr>
        <w:t>Regulatory Approvals</w:t>
      </w:r>
      <w:r>
        <w:rPr>
          <w:rFonts w:ascii="Times New Roman" w:cs="Times New Roman" w:eastAsia="Times New Roman" w:hAnsi="Times New Roman"/>
          <w:sz w:val="21"/>
          <w:szCs w:val="21"/>
          <w:color w:val="auto"/>
        </w:rPr>
        <w:t>.</w:t>
      </w:r>
    </w:p>
    <w:p>
      <w:pPr>
        <w:spacing w:after="0" w:line="251" w:lineRule="exact"/>
        <w:rPr>
          <w:sz w:val="20"/>
          <w:szCs w:val="20"/>
          <w:color w:val="auto"/>
        </w:rPr>
      </w:pPr>
    </w:p>
    <w:p>
      <w:pPr>
        <w:jc w:val="both"/>
        <w:ind w:left="760" w:firstLine="745"/>
        <w:spacing w:after="0" w:line="239" w:lineRule="auto"/>
        <w:tabs>
          <w:tab w:leader="none" w:pos="194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Schedule 7.19(a), each Obligor and each of its Subsidiaries holds either directly or through licensees and agents, all Regulatory Approvals and Permits necessary or required for each Obligor and its Subsidiaries to conduct all material Product Development and Commercialization Activities conducted by such Obligor and its respective Subsidiaries with respect to the Products.</w:t>
      </w:r>
    </w:p>
    <w:p>
      <w:pPr>
        <w:spacing w:after="0" w:line="220" w:lineRule="exact"/>
        <w:rPr>
          <w:rFonts w:ascii="Times New Roman" w:cs="Times New Roman" w:eastAsia="Times New Roman" w:hAnsi="Times New Roman"/>
          <w:sz w:val="22"/>
          <w:szCs w:val="22"/>
          <w:color w:val="auto"/>
        </w:rPr>
      </w:pPr>
    </w:p>
    <w:p>
      <w:pPr>
        <w:jc w:val="both"/>
        <w:ind w:left="760" w:firstLine="745"/>
        <w:spacing w:after="0" w:line="233" w:lineRule="auto"/>
        <w:tabs>
          <w:tab w:leader="none" w:pos="194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 forth on Schedule 7.19(b) is a complete and accurate list as of the date hereof of all Regulatory Approvals referred to in clause (a) above, if any, setting forth (on a per Product basis) the Obligor that holds such Regulatory Approval and identifying the Product related to such Regulatory Approval. All such Regulatory Approvals are (i) legally and beneficially owned exclusively by the Obligor identified on Schedule 7.19(b), free and clear of all Liens other than Permitted Liens, (ii) validly registered and on file with the applicable Regulatory Authority, in material compliance with all registration, filing and maintenance requirements (including any fee requirements) thereof, and (iii) in good standing, valid and enforceable with the applicable Regulatory Authority. All required and material notices, registrations and listings, supplemental applications or notifications, reports (including annual reports, field alerts, Device reports or other reports of adverse experiences) and all other required and material filings with respect to the Products or any related Product Development and Commercialization Activities by such Obligor have been filed with the FDA and all other applicable Governmental Authorities.</w:t>
      </w:r>
    </w:p>
    <w:p>
      <w:pPr>
        <w:spacing w:after="0" w:line="32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225" w:lineRule="exact"/>
        <w:rPr>
          <w:sz w:val="20"/>
          <w:szCs w:val="20"/>
          <w:color w:val="auto"/>
        </w:rPr>
      </w:pPr>
    </w:p>
    <w:p>
      <w:pPr>
        <w:jc w:val="both"/>
        <w:ind w:left="-360" w:firstLine="745"/>
        <w:spacing w:after="0" w:line="249" w:lineRule="exact"/>
        <w:tabs>
          <w:tab w:leader="none" w:pos="89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material regulatory filings required by any Regulatory Authority or in respect of any Regulatory Approval or Product Authorization with respect to any Product or any Product Development and Commercialization Activities by such Obligor have been made, and all such filings are complete and correct in all material respects and have complied in all material respects with all applicable Requirements of Law, (ii) all clinical and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clinical trials, if any, of investigational Products have been and are being conducted by each Obligor according to all applicable Requirements of Law in all material respects along with appropriate monitoring of clinical investigator trial sites for their compliance, and (iii) each Obligor has disclosed to the Lenders all such material regulatory filings and, to the extent reasonably requested by the Administrative Agent, any written material communications between representatives of each Obligor and any Regulatory Authority.</w:t>
      </w:r>
    </w:p>
    <w:p>
      <w:pPr>
        <w:spacing w:after="0" w:line="204" w:lineRule="exact"/>
        <w:rPr>
          <w:rFonts w:ascii="Times New Roman" w:cs="Times New Roman" w:eastAsia="Times New Roman" w:hAnsi="Times New Roman"/>
          <w:sz w:val="22"/>
          <w:szCs w:val="22"/>
          <w:color w:val="auto"/>
        </w:rPr>
      </w:pPr>
    </w:p>
    <w:p>
      <w:pPr>
        <w:jc w:val="both"/>
        <w:ind w:left="-360" w:firstLine="745"/>
        <w:spacing w:after="0" w:line="234" w:lineRule="auto"/>
        <w:tabs>
          <w:tab w:leader="none" w:pos="82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and, to each Obligor’s knowledge, each of its agents are in compliance in all material respects with all applicable statutes, rules and regulations (including all Regulatory Approvals and Product Authorizations) of all applicable Governmental Authorities, including the FDA and all other Regulatory Authorities, with respect to each Product and all Product Development and Commercialization Activities by such Obligor related thereto. Each Obligor has and maintains in full force and effect all the necessary and requisite Regulatory Approvals and Product Authorizations for its Products. Each Obligor is in compliance in all material respects with all applicable registration and listing requirements set forth in all applicable FDA Laws or equivalent regulation of each other Governmental Authority having jurisdiction over such Person. Each Obligor adheres in all material respects to all applicable regulations of all Regulatory Authorities with respect to the Products and all Product Development and Commercialization Activities by such Obligor related thereto.</w:t>
      </w:r>
    </w:p>
    <w:p>
      <w:pPr>
        <w:spacing w:after="0" w:line="219" w:lineRule="exact"/>
        <w:rPr>
          <w:rFonts w:ascii="Times New Roman" w:cs="Times New Roman" w:eastAsia="Times New Roman" w:hAnsi="Times New Roman"/>
          <w:sz w:val="22"/>
          <w:szCs w:val="22"/>
          <w:color w:val="auto"/>
        </w:rPr>
      </w:pPr>
    </w:p>
    <w:p>
      <w:pPr>
        <w:jc w:val="both"/>
        <w:ind w:left="-360" w:firstLine="745"/>
        <w:spacing w:after="0" w:line="233" w:lineRule="auto"/>
        <w:tabs>
          <w:tab w:leader="none" w:pos="82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Schedule 7.19(e), (i) no Obligor has received from any Regulatory Authority any notice of adverse findings with respect to any Product or any Product Development and Commercialization Activities by such Obligor related thereto, including any FDA Form 483 inspectional observations, notices of violations, warning letters, criminal proceeding notices under Section 305 of the FD&amp;C Act, or any other similar communication from any Regulatory Authority, (ii) there have been no seizures conducted or, to each Obligor’s knowledge, threatened by any Regulatory Authority with respect to any Product, and no recalls, market withdrawals, field notifications, notifications of misbranding or adulteration or safety alerts conducted, requested or, to any Obligor’s knowledge, threatened by any Regulatory Authority with respect to any Product, and no recalls, market withdrawals, field notifications, notifications of misbranding or adulteration or safety alerts have been conducted, requested or, to each Obligor’s knowledge, threatened by any Regulatory Authority relating to any Product, and (iii) no Obligor has received any written notification that remains unresolved from the FDA or any other Regulatory Authority indicating any breach or violation of any applicable Product Authorization or Regulatory Approval, including that any Product is misbranded or adulterated as defined in the FD&amp;C Act or the rules and regulations promulgated thereunder, in each case of (i), (ii) and (iii) that has had, or would reasonably be expected to have, a Material Adverse Effect.</w:t>
      </w:r>
    </w:p>
    <w:p>
      <w:pPr>
        <w:spacing w:after="0" w:line="321"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03" w:name="page204"/>
    <w:bookmarkEnd w:id="203"/>
    <w:p>
      <w:pPr>
        <w:spacing w:after="0" w:line="225" w:lineRule="exact"/>
        <w:rPr>
          <w:sz w:val="20"/>
          <w:szCs w:val="20"/>
          <w:color w:val="auto"/>
        </w:rPr>
      </w:pPr>
    </w:p>
    <w:p>
      <w:pPr>
        <w:jc w:val="both"/>
        <w:ind w:left="760" w:firstLine="745"/>
        <w:spacing w:after="0" w:line="235" w:lineRule="auto"/>
        <w:tabs>
          <w:tab w:leader="none" w:pos="194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Obligor nor, to any Obligor’s knowledge, any officer, employee or agent thereof, has made an untrue statement of a material fact or fraudulent statements to the FDA or any other Regulatory Authority, failed to disclose a material fact required to be disclosed to the FDA or any other Regulatory Authority, or committed an act, made a statement, or failed to make a statement that, at the time such disclosure was made (or was not made), would reasonably be expected to provide a basis for the FDA or any other Regulatory Authority to invoke its policy respecting Fraud, Untrue Statements of Material Facts, Bribery and Illegal Gratuities, set forth in 56 Fed. Reg. 46191 (September 10, 1991) or any similar policy.</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has received any written notice that the FDA or any other applicable Regulatory Authority has commenced or initiated, or, to the knowledge of any such Obligor, threatened to commence or initiate, any action to withdraw any Regulatory Approval or Product Authorization or requested the recall of any Products or commenced or initiated or, to the knowledge of such Obligor, threatened to commence or initiate, any action to enjoin any Product Development and Commercialization Activities of such Obligor.</w:t>
      </w:r>
    </w:p>
    <w:p>
      <w:pPr>
        <w:spacing w:after="0" w:line="217"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clinical, preclinical, safety and other studies and tests conducted by or on behalf of or sponsored by each Obligor, or in respect of which any Products or Product candidates under development have participated, were (and if still pending, are) being conducted materially in accordance with standard medical and scientific research procedures and all applicable Product Authorizations. Each Obligor has operated within, and currently is in compliance in all material respects with, all applicable Laws, Product Authorizations and Regulatory Approvals, as well as the rules and regulations of the FDA and each other Regulatory Authority. No Obligor has received any notices or other correspondence from the FDA or any other Regulatory Authority requiring the termination or suspension of any clinical, preclinical, safety or other studies or tests used to support regulatory clearance of, or any Product Authorization or Regulatory Approval for, any Product.</w:t>
      </w:r>
    </w:p>
    <w:p>
      <w:pPr>
        <w:spacing w:after="0" w:line="223"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debarment or exclusionary Claims, actions, proceedings or investigations in respect of any Obligor’s business is pending, or to such Obligor’s knowledge, threatened in writing against such Obligor or its officers, employees or agents. No Obligor or, to such Obligor’s knowledge, any officer, employee or agent of such Obligor, has been convicted of any crime or engaged in any conduct that would reasonably be expected to result in a debarment or exclusion pursuant to (i) Section 335a of the FD&amp;C Act or (ii) any similar applicable Law.</w:t>
      </w:r>
    </w:p>
    <w:p>
      <w:pPr>
        <w:spacing w:after="0" w:line="200" w:lineRule="exact"/>
        <w:rPr>
          <w:sz w:val="20"/>
          <w:szCs w:val="20"/>
          <w:color w:val="auto"/>
        </w:rPr>
      </w:pPr>
    </w:p>
    <w:p>
      <w:pPr>
        <w:jc w:val="both"/>
        <w:ind w:firstLine="445"/>
        <w:spacing w:after="0" w:line="252" w:lineRule="exact"/>
        <w:rPr>
          <w:sz w:val="20"/>
          <w:szCs w:val="20"/>
          <w:color w:val="auto"/>
        </w:rPr>
      </w:pPr>
      <w:r>
        <w:rPr>
          <w:rFonts w:ascii="Times New Roman" w:cs="Times New Roman" w:eastAsia="Times New Roman" w:hAnsi="Times New Roman"/>
          <w:sz w:val="22"/>
          <w:szCs w:val="22"/>
          <w:i w:val="1"/>
          <w:iCs w:val="1"/>
          <w:color w:val="auto"/>
        </w:rPr>
        <w:t xml:space="preserve">Section 7.20. Capitalization. </w:t>
      </w:r>
      <w:r>
        <w:rPr>
          <w:rFonts w:ascii="Times New Roman" w:cs="Times New Roman" w:eastAsia="Times New Roman" w:hAnsi="Times New Roman"/>
          <w:sz w:val="22"/>
          <w:szCs w:val="22"/>
          <w:color w:val="auto"/>
        </w:rPr>
        <w:t>All of the issued and outstanding securities of each Obligor have been duly authorized,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validly issued, fully paid,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assessable. As of the Funding Date and except as set forth on Schedule 7.20, there are no outstanding or authorized options, warrants (other than the Warrant Certificate (Funding Date)), purchase rights, subscription rights, conversion rights, exchange rights, or other Contracts or commitments that would require the Obligors to issue, sell, or otherwise cause to become outstanding any of their ownership interests. There are no outstanding or authorized stock appreciation, phantom stock, profit participation, or</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similar rights with respect to the Obligors. None of the Equity Interests in any Obligor has been mortgaged, assigned or pledged in favor of any Person, other than pursuant to the Security Agreement.</w:t>
      </w:r>
    </w:p>
    <w:p>
      <w:pPr>
        <w:spacing w:after="0" w:line="181" w:lineRule="exact"/>
        <w:rPr>
          <w:sz w:val="20"/>
          <w:szCs w:val="20"/>
          <w:color w:val="auto"/>
        </w:rPr>
      </w:pPr>
    </w:p>
    <w:p>
      <w:pPr>
        <w:jc w:val="both"/>
        <w:ind w:right="20"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7.21. Insurance. </w:t>
      </w:r>
      <w:r>
        <w:rPr>
          <w:rFonts w:ascii="Times New Roman" w:cs="Times New Roman" w:eastAsia="Times New Roman" w:hAnsi="Times New Roman"/>
          <w:sz w:val="22"/>
          <w:szCs w:val="22"/>
          <w:color w:val="auto"/>
        </w:rPr>
        <w:t>Each Obligor has obtained (and is maintaining), insurance for its assets (including the Collateral)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business as required under the Loan Documents.</w:t>
      </w:r>
    </w:p>
    <w:p>
      <w:pPr>
        <w:spacing w:after="0" w:line="190"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7.22. Certain Fees. </w:t>
      </w:r>
      <w:r>
        <w:rPr>
          <w:rFonts w:ascii="Times New Roman" w:cs="Times New Roman" w:eastAsia="Times New Roman" w:hAnsi="Times New Roman"/>
          <w:sz w:val="22"/>
          <w:szCs w:val="22"/>
          <w:color w:val="auto"/>
        </w:rPr>
        <w:t>Except as described on Schedule 7.22, no broker’s or finder’s fee will be payable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with the execution and delivery of this Agreement.</w:t>
      </w:r>
    </w:p>
    <w:p>
      <w:pPr>
        <w:spacing w:after="0" w:line="190" w:lineRule="exact"/>
        <w:rPr>
          <w:sz w:val="20"/>
          <w:szCs w:val="20"/>
          <w:color w:val="auto"/>
        </w:rPr>
      </w:pPr>
    </w:p>
    <w:p>
      <w:pPr>
        <w:jc w:val="both"/>
        <w:ind w:right="20"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7.23. Economic Sanctions Laws. </w:t>
      </w:r>
      <w:r>
        <w:rPr>
          <w:rFonts w:ascii="Times New Roman" w:cs="Times New Roman" w:eastAsia="Times New Roman" w:hAnsi="Times New Roman"/>
          <w:sz w:val="22"/>
          <w:szCs w:val="22"/>
          <w:color w:val="auto"/>
        </w:rPr>
        <w:t>Obligors and, to the knowledge of the Obligors, any director, officer or employee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 Obligor acting on behalf of the Obligors, are in compliance with Economic Sanctions Laws.</w:t>
      </w:r>
    </w:p>
    <w:p>
      <w:pPr>
        <w:spacing w:after="0" w:line="146" w:lineRule="exact"/>
        <w:rPr>
          <w:sz w:val="20"/>
          <w:szCs w:val="20"/>
          <w:color w:val="auto"/>
        </w:rPr>
      </w:pPr>
    </w:p>
    <w:p>
      <w:pPr>
        <w:jc w:val="both"/>
        <w:ind w:firstLine="432"/>
        <w:spacing w:after="0" w:line="263" w:lineRule="exact"/>
        <w:rPr>
          <w:sz w:val="20"/>
          <w:szCs w:val="20"/>
          <w:color w:val="auto"/>
        </w:rPr>
      </w:pPr>
      <w:r>
        <w:rPr>
          <w:rFonts w:ascii="Times New Roman" w:cs="Times New Roman" w:eastAsia="Times New Roman" w:hAnsi="Times New Roman"/>
          <w:sz w:val="22"/>
          <w:szCs w:val="22"/>
          <w:i w:val="1"/>
          <w:iCs w:val="1"/>
          <w:color w:val="auto"/>
        </w:rPr>
        <w:t>Section 7.24. 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Corruption Laws. </w:t>
      </w:r>
      <w:r>
        <w:rPr>
          <w:rFonts w:ascii="Times New Roman" w:cs="Times New Roman" w:eastAsia="Times New Roman" w:hAnsi="Times New Roman"/>
          <w:sz w:val="22"/>
          <w:szCs w:val="22"/>
          <w:color w:val="auto"/>
        </w:rPr>
        <w:t>No Obligor nor any of its Subsidiaries has, nor, to the knowledge of any Responsible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of any Obligor, has any director, officer, agent or employee of any Obligor acting on behalf of such Obligor (a) taken any action, directly or indirectly, that would result in a violation by such Persons of the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 (b) made, offered to make, promised to make or authorized the payment or giving of, directly or indirectly, any Prohibited Payment or (c) been subject to any investigation by any Governmental Authority with regard to any actual or alleged Prohibited Payment.</w:t>
      </w:r>
    </w:p>
    <w:p>
      <w:pPr>
        <w:spacing w:after="0" w:line="186" w:lineRule="exact"/>
        <w:rPr>
          <w:sz w:val="20"/>
          <w:szCs w:val="20"/>
          <w:color w:val="auto"/>
        </w:rPr>
      </w:pPr>
    </w:p>
    <w:p>
      <w:pPr>
        <w:jc w:val="both"/>
        <w:ind w:firstLine="486"/>
        <w:spacing w:after="0" w:line="268" w:lineRule="exact"/>
        <w:rPr>
          <w:sz w:val="20"/>
          <w:szCs w:val="20"/>
          <w:color w:val="auto"/>
        </w:rPr>
      </w:pPr>
      <w:r>
        <w:rPr>
          <w:rFonts w:ascii="Times New Roman" w:cs="Times New Roman" w:eastAsia="Times New Roman" w:hAnsi="Times New Roman"/>
          <w:sz w:val="22"/>
          <w:szCs w:val="22"/>
          <w:i w:val="1"/>
          <w:iCs w:val="1"/>
          <w:color w:val="auto"/>
        </w:rPr>
        <w:t>Section 7.25. 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Terrorism Laws. </w:t>
      </w:r>
      <w:r>
        <w:rPr>
          <w:rFonts w:ascii="Times New Roman" w:cs="Times New Roman" w:eastAsia="Times New Roman" w:hAnsi="Times New Roman"/>
          <w:sz w:val="22"/>
          <w:szCs w:val="22"/>
          <w:color w:val="auto"/>
        </w:rPr>
        <w:t>The Obligors (a) have taken reasonable measures to ensure compliance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Economic Sanctions Laws and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Laws, (b) are not Designated Persons and (c) have not used any part of the proceeds from any advance on behalf of any Designated Person or has not used, directly by it or indirectly through any Subsidiary, such proceeds in connection with any investment in, or any transactions or dealings with, any Designated Person.</w:t>
      </w:r>
    </w:p>
    <w:p>
      <w:pPr>
        <w:spacing w:after="0" w:line="215"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Section 7.26. Royalty and Other Payments</w:t>
      </w:r>
      <w:r>
        <w:rPr>
          <w:rFonts w:ascii="Times New Roman" w:cs="Times New Roman" w:eastAsia="Times New Roman" w:hAnsi="Times New Roman"/>
          <w:sz w:val="22"/>
          <w:szCs w:val="22"/>
          <w:color w:val="auto"/>
        </w:rPr>
        <w:t>. Except as set forth on Schedule 7.26, no Obligor, nor any of its Subsidiaries,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obligated to pay any royalty, milestone payment, deferred payment or any other contingent payment in respect of any Product, in an amount in excess of $1,500,000 in the aggregate.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ffirmative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ovenants and</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ovenants</w:t>
      </w:r>
    </w:p>
    <w:p>
      <w:pPr>
        <w:spacing w:after="0" w:line="23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Obligor covenants and agrees with the Lenders that, commencing with the Funding Date and until the Commitments have expired or been terminated and all Obligations (other than the Warrant Obligations and contingent and unmatured indemnity and expense reimbursement obligations) have been paid in full in cash:</w:t>
      </w:r>
    </w:p>
    <w:p>
      <w:pPr>
        <w:spacing w:after="0" w:line="31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221" w:lineRule="exact"/>
        <w:rPr>
          <w:sz w:val="20"/>
          <w:szCs w:val="20"/>
          <w:color w:val="auto"/>
        </w:rPr>
      </w:pPr>
    </w:p>
    <w:p>
      <w:pPr>
        <w:ind w:firstLine="445"/>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8.01. Financial Statements and Other Information </w:t>
      </w:r>
      <w:r>
        <w:rPr>
          <w:rFonts w:ascii="Times New Roman" w:cs="Times New Roman" w:eastAsia="Times New Roman" w:hAnsi="Times New Roman"/>
          <w:sz w:val="22"/>
          <w:szCs w:val="22"/>
          <w:color w:val="auto"/>
        </w:rPr>
        <w:t>. It will furnish to the Administrative Agent for distribution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Lenders:</w:t>
      </w:r>
    </w:p>
    <w:p>
      <w:pPr>
        <w:spacing w:after="0" w:line="181" w:lineRule="exact"/>
        <w:rPr>
          <w:sz w:val="20"/>
          <w:szCs w:val="20"/>
          <w:color w:val="auto"/>
        </w:rPr>
      </w:pPr>
    </w:p>
    <w:p>
      <w:pPr>
        <w:jc w:val="both"/>
        <w:ind w:left="760" w:firstLine="745"/>
        <w:spacing w:after="0" w:line="245" w:lineRule="exact"/>
        <w:tabs>
          <w:tab w:leader="none" w:pos="1941"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as soon as available and in any event within five (5) Business Days following the date the Borrower is required to file its Form 10-Q with the SEC (commencing with the fiscal quarter ending March 31, 2023) (other than each fiscal quarter ended December 31st), the consolidated balance sheet of the Borrower and its Subsidiaries as at the end of such fiscal quarter and the related consolidated statement of income, stockholders’ equity and cash flows of the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together with (A) a certificate of a Responsible Officer of the Borrower stating that such financial statements fairly present in all material respects the financial condition of the Borrower and its Subsidiaries as at such date and the results of operations of the Borrower and its Subsidiaries for the period ended on such date and have been prepared substantially in accordance with GAAP consistently applied, subject to changes resulting from normal quarterly or year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end adjustments and except for the absence of footnotes and (B) a management’s discussion and analysis of the financial condition and results of operations, including the Borrower and its Subsidiaries’ liquidity and capital resources;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documents required to be furnished pursuant to this Section 8.01(a)(i) shall be deemed furnished on the date that such documents are publicly available on “EDGAR” so long as such filings include quarterly income statements, balance sheets and cash flow statements and (ii) as soon as available and in any event within forty-five (45) days after the end of each fiscal quarter ending December 31st, the unaudited consolidated balance sheet of the Borrower and its Subsidiaries as at the end of such fiscal quarter and the related consolidated statement of income, stockholders’ equity and cash flows of the Borrower and its Subsidiaries for such fiscal quarter, setting forth in comparative form the corresponding figures for the fiscal quarter ending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the previous fiscal year, all in reasonable detail and prepared substantially in</w:t>
      </w:r>
    </w:p>
    <w:p>
      <w:pPr>
        <w:spacing w:after="0" w:line="18" w:lineRule="exact"/>
        <w:rPr>
          <w:sz w:val="20"/>
          <w:szCs w:val="20"/>
          <w:color w:val="auto"/>
        </w:rPr>
      </w:pPr>
    </w:p>
    <w:p>
      <w:pPr>
        <w:ind w:left="760"/>
        <w:spacing w:after="0" w:line="255" w:lineRule="exact"/>
        <w:rPr>
          <w:sz w:val="20"/>
          <w:szCs w:val="20"/>
          <w:color w:val="auto"/>
        </w:rPr>
      </w:pPr>
      <w:r>
        <w:rPr>
          <w:rFonts w:ascii="Times New Roman" w:cs="Times New Roman" w:eastAsia="Times New Roman" w:hAnsi="Times New Roman"/>
          <w:sz w:val="22"/>
          <w:szCs w:val="22"/>
          <w:color w:val="auto"/>
        </w:rPr>
        <w:t>accordance with GAAP consistently applied, subject to changes resulting from normal quarterly or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end adjustments and except for the absence of footnotes;</w:t>
      </w:r>
    </w:p>
    <w:p>
      <w:pPr>
        <w:spacing w:after="0" w:line="218" w:lineRule="exact"/>
        <w:rPr>
          <w:sz w:val="20"/>
          <w:szCs w:val="20"/>
          <w:color w:val="auto"/>
        </w:rPr>
      </w:pPr>
    </w:p>
    <w:p>
      <w:pPr>
        <w:jc w:val="both"/>
        <w:ind w:left="760" w:firstLine="745"/>
        <w:spacing w:after="0" w:line="234" w:lineRule="auto"/>
        <w:tabs>
          <w:tab w:leader="none" w:pos="194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five (5) Business Days following the date Borrower is required to file its Form 10-K with the SEC (commencing with the fiscal year ending December 31, 2022), the consolidated balance sheet of the Borrower and its Subsidiaries as of the end of such fiscal year, and the related consolidated statement of income, shareholders’ equity and cash flows of the Borrower and its Subsidiaries for such fiscal year, setting forth in each case in comparative form the corresponding figures for the previous fiscal year, prepared substantially in accordance with GAAP consistently applied, all in reasonable detail accompanied by (i) a report and opinion thereon of KPMG LLP or another firm of independent certified public accountants of recognized national standing which report and opinion shall be prepared in accordance with generally accepted auditing standards and, commencing with the fiscal year ending December 31, 2023, shall not be subject to any “going concern” or like qualification or exception audit (other than (A) with respect to, or resulting solely from the upcoming</w:t>
      </w:r>
    </w:p>
    <w:p>
      <w:pPr>
        <w:spacing w:after="0" w:line="320"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22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Stated Maturity Date occurring within one year from the time such report is delivered or (B) with respect to the extent the components of such consolidated financial statements relating to a prior fiscal period are separately audited by different independent public accounting firms, the audit report of any such accounting firm may contain a qualification or exception as to scope of such consolidated financial statements as they relate to such components) or any qualification or exception as to the scope of such audit or related to the maturity of the Term Loans and (ii) a management’s discussion and analysis of the financial condition and results of operations, including the Obligors’ liquidity and capital resources;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Borrower is a Publicly Reporting Company, the Borrower’s filing of an annual report with the SEC shall be deemed to satisfy the requirements of this Section 8.01(b) on the date on which such report is first available via the SEC’s EDGAR system or a successor system related thereto;</w:t>
      </w:r>
    </w:p>
    <w:p>
      <w:pPr>
        <w:spacing w:after="0" w:line="210" w:lineRule="exact"/>
        <w:rPr>
          <w:sz w:val="20"/>
          <w:szCs w:val="20"/>
          <w:color w:val="auto"/>
        </w:rPr>
      </w:pPr>
    </w:p>
    <w:p>
      <w:pPr>
        <w:jc w:val="both"/>
        <w:ind w:firstLine="745"/>
        <w:spacing w:after="0" w:line="243" w:lineRule="auto"/>
        <w:tabs>
          <w:tab w:leader="none" w:pos="1181"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concurrently with the notification that the reports described in Section 8.01(a) and 8.01(b) are available, a compliance certificate of a Responsible Officer of the Borrower as of the end of the applicable accounting period (which delivery may, unless a Lender requests executed originals, be by electronic communication including email and shall be deemed to be an original authentic counterpart thereof for all purposes) in the form of Exhibit E (a </w:t>
      </w:r>
      <w:r>
        <w:rPr>
          <w:rFonts w:ascii="Times New Roman" w:cs="Times New Roman" w:eastAsia="Times New Roman" w:hAnsi="Times New Roman"/>
          <w:sz w:val="21"/>
          <w:szCs w:val="21"/>
          <w:i w:val="1"/>
          <w:iCs w:val="1"/>
          <w:color w:val="auto"/>
        </w:rPr>
        <w:t>“Compliance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Certificate”</w:t>
      </w:r>
      <w:r>
        <w:rPr>
          <w:rFonts w:ascii="Times New Roman" w:cs="Times New Roman" w:eastAsia="Times New Roman" w:hAnsi="Times New Roman"/>
          <w:sz w:val="21"/>
          <w:szCs w:val="21"/>
          <w:color w:val="auto"/>
        </w:rPr>
        <w:t>) which, for purposes of clarification, shall (i) confirm the Obligors’ compliance with Section 8.11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Section 8.15, (ii) state the representations and warranties made by the Obligors in Article 7 are true and correct in all material respects on and as of the date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further </w:t>
      </w:r>
      <w:r>
        <w:rPr>
          <w:rFonts w:ascii="Times New Roman" w:cs="Times New Roman" w:eastAsia="Times New Roman" w:hAnsi="Times New Roman"/>
          <w:sz w:val="21"/>
          <w:szCs w:val="21"/>
          <w:color w:val="auto"/>
        </w:rPr>
        <w:t>that any representation and warranty that is qualified as to “materiality”, “Material Adverse Effect” or similar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language shall be true and correct (after giving effect to any qualification therein) in all respects (and if a representation and warranty is untrue or incorrect, state the proposed actions that the Obligors intend to take in connection with such untrue or incorrect representation and warranty), (iii) confirm that no Default or Event of Default is continuing (and if a Default or Event of Default has occurred and is continuing state the proposed actions that the Obligors intend to take in connection with such Default or Event of Default), (iv) for Compliance Certificates delivered at the end of any fiscal year, attach updated Schedules (if any) to this Agreement and (v) provide a copy of any new Material Agreement;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Borrower’s filing of any such material with the SEC shall be deemed to satisfy the requirements of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Section 8.01(c)(v) on the date on which such report is first available via the SEC’s EDGAR system or a successor system related thereto;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notwithstanding the foregoing, Compliance Certificates delivered in connection with Section 8.01(a)(ii) shall only be required to confirm the Obligor’s compliance with Section 8.11 and Section 8.15;</w:t>
      </w:r>
    </w:p>
    <w:p>
      <w:pPr>
        <w:spacing w:after="0" w:line="227" w:lineRule="exact"/>
        <w:rPr>
          <w:rFonts w:ascii="Times New Roman" w:cs="Times New Roman" w:eastAsia="Times New Roman" w:hAnsi="Times New Roman"/>
          <w:sz w:val="21"/>
          <w:szCs w:val="21"/>
          <w:color w:val="auto"/>
        </w:rPr>
      </w:pPr>
    </w:p>
    <w:p>
      <w:pPr>
        <w:jc w:val="both"/>
        <w:ind w:firstLine="745"/>
        <w:spacing w:after="0" w:line="239" w:lineRule="auto"/>
        <w:tabs>
          <w:tab w:leader="none" w:pos="118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any event within five (5) Business Days after receipt thereof by an Obligor thereof, copies of each notice or other correspondence received from any securities regulator or exchange to the authority of which an Obligor is subject concerning any investigation or possible investigation or other inquiry by such agency regarding financial or other operational results of such Obligor;</w:t>
      </w:r>
    </w:p>
    <w:p>
      <w:pPr>
        <w:spacing w:after="0" w:line="321" w:lineRule="exact"/>
        <w:rPr>
          <w:sz w:val="20"/>
          <w:szCs w:val="20"/>
          <w:color w:val="auto"/>
        </w:rPr>
      </w:pPr>
    </w:p>
    <w:p>
      <w:pPr>
        <w:ind w:left="46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508635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207" w:name="page208"/>
    <w:bookmarkEnd w:id="207"/>
    <w:p>
      <w:pPr>
        <w:spacing w:after="0" w:line="225" w:lineRule="exact"/>
        <w:rPr>
          <w:sz w:val="20"/>
          <w:szCs w:val="20"/>
          <w:color w:val="auto"/>
        </w:rPr>
      </w:pPr>
    </w:p>
    <w:p>
      <w:pPr>
        <w:ind w:left="1180" w:hanging="435"/>
        <w:spacing w:after="0"/>
        <w:tabs>
          <w:tab w:leader="none" w:pos="11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regarding insurance maintained by Obligors as and when required under Section 8.05;</w:t>
      </w:r>
    </w:p>
    <w:p>
      <w:pPr>
        <w:spacing w:after="0" w:line="233"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Lenders’ written request at any time, proof of the Obligors’ compliance with Section 8.15(a), which may include statements showing the current balance of each account of the Obligors holding Unrestricted Cash necessary to establish compliance with Section 8.15(a);</w:t>
      </w:r>
    </w:p>
    <w:p>
      <w:pPr>
        <w:spacing w:after="0" w:line="213" w:lineRule="exact"/>
        <w:rPr>
          <w:rFonts w:ascii="Times New Roman" w:cs="Times New Roman" w:eastAsia="Times New Roman" w:hAnsi="Times New Roman"/>
          <w:sz w:val="22"/>
          <w:szCs w:val="22"/>
          <w:color w:val="auto"/>
        </w:rPr>
      </w:pPr>
    </w:p>
    <w:p>
      <w:pPr>
        <w:jc w:val="both"/>
        <w:ind w:firstLine="745"/>
        <w:spacing w:after="0" w:line="250" w:lineRule="exact"/>
        <w:tabs>
          <w:tab w:leader="none" w:pos="118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ten (10) days of delivery, copies of all periodic reports distributed by the Borrower to its shareholders generally;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any such material may be redacted by the Borrower to exclude information relating to the Loan Documents or the Lenders and (ii) the Lenders shall not be entitled to receive statements, reports and notices relating to topics that (A) are subject to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client privilege or (B) present a conflict of interest for the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Borrower is a Publicly Reporting Company, the Borrower’s filing of any such material with the SEC shall be deemed to satisfy the requirements of this Section 8.01(g) on the date on which such report is first available via the SEC’s EDGAR system or a successor system related thereto;</w:t>
      </w:r>
    </w:p>
    <w:p>
      <w:pPr>
        <w:spacing w:after="0" w:line="222"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financial forecast for the Borrower and its Subsidiaries for each fiscal year, including forecasted balance sheets, statements of income and cash flows of the Borrower and its Subsidiaries (the “</w:t>
      </w:r>
      <w:r>
        <w:rPr>
          <w:rFonts w:ascii="Times New Roman" w:cs="Times New Roman" w:eastAsia="Times New Roman" w:hAnsi="Times New Roman"/>
          <w:sz w:val="22"/>
          <w:szCs w:val="22"/>
          <w:i w:val="1"/>
          <w:iCs w:val="1"/>
          <w:color w:val="auto"/>
        </w:rPr>
        <w:t>Financial Plan</w:t>
      </w:r>
      <w:r>
        <w:rPr>
          <w:rFonts w:ascii="Times New Roman" w:cs="Times New Roman" w:eastAsia="Times New Roman" w:hAnsi="Times New Roman"/>
          <w:sz w:val="22"/>
          <w:szCs w:val="22"/>
          <w:color w:val="auto"/>
        </w:rPr>
        <w:t>”), all of which shall be prepared on a consolidated basis and delivered not later than February 28 of such fiscal year;</w:t>
      </w:r>
    </w:p>
    <w:p>
      <w:pPr>
        <w:spacing w:after="0" w:line="200" w:lineRule="exact"/>
        <w:rPr>
          <w:rFonts w:ascii="Times New Roman" w:cs="Times New Roman" w:eastAsia="Times New Roman" w:hAnsi="Times New Roman"/>
          <w:sz w:val="22"/>
          <w:szCs w:val="22"/>
          <w:color w:val="auto"/>
        </w:rPr>
      </w:pPr>
    </w:p>
    <w:p>
      <w:pPr>
        <w:jc w:val="both"/>
        <w:ind w:firstLine="745"/>
        <w:spacing w:after="0" w:line="239" w:lineRule="auto"/>
        <w:tabs>
          <w:tab w:leader="none" w:pos="118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following any Lender’s written request, certification that such Obligor is not a passive foreign investment company (</w:t>
      </w:r>
      <w:r>
        <w:rPr>
          <w:rFonts w:ascii="Times New Roman" w:cs="Times New Roman" w:eastAsia="Times New Roman" w:hAnsi="Times New Roman"/>
          <w:sz w:val="22"/>
          <w:szCs w:val="22"/>
          <w:i w:val="1"/>
          <w:iCs w:val="1"/>
          <w:color w:val="auto"/>
        </w:rPr>
        <w:t>“PFIC”</w:t>
      </w:r>
      <w:r>
        <w:rPr>
          <w:rFonts w:ascii="Times New Roman" w:cs="Times New Roman" w:eastAsia="Times New Roman" w:hAnsi="Times New Roman"/>
          <w:sz w:val="22"/>
          <w:szCs w:val="22"/>
          <w:color w:val="auto"/>
        </w:rPr>
        <w:t>) within the meaning of Sections 1291 through 1297 of the Code, or, if such Obligor determines that it is a PFIC, such information as would allow the Lender to make a qualified electing fund election with respect to the Equity Interest of the Obligor; and</w:t>
      </w:r>
    </w:p>
    <w:p>
      <w:pPr>
        <w:spacing w:after="0" w:line="220" w:lineRule="exact"/>
        <w:rPr>
          <w:rFonts w:ascii="Times New Roman" w:cs="Times New Roman" w:eastAsia="Times New Roman" w:hAnsi="Times New Roman"/>
          <w:sz w:val="22"/>
          <w:szCs w:val="22"/>
          <w:color w:val="auto"/>
        </w:rPr>
      </w:pPr>
    </w:p>
    <w:p>
      <w:pPr>
        <w:jc w:val="both"/>
        <w:ind w:firstLine="745"/>
        <w:spacing w:after="0" w:line="235" w:lineRule="auto"/>
        <w:tabs>
          <w:tab w:leader="none" w:pos="118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the Borrower is a Publicly Reporting Company, the Borrower shall within five (5) Business Days of the Borrower filing, provide access (via posting and/or links on the Borrower’s web site) to all reports on Form 10-K and Form 10-Q filed with the SEC, any Governmental Authority succeeding to any or all of the functions of the SEC or with any national securities exchange; and within five (5) Business Days of filing, provide notice and access (via posting and/or links on the Borrower’s web site) to all reports on Form 8-K filed with the SEC, and copies of (or access to, via posting and/or links on the Borrower’s web site) all other reports, proxy statements and other materials filed by the Borrower with the SEC, any Governmental Authority succeeding to any of the functions of the SEC or with any national securities exchange.</w:t>
      </w:r>
    </w:p>
    <w:p>
      <w:pPr>
        <w:spacing w:after="0" w:line="21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Notwithstanding anything to the contrary herein, neither the Borrower nor any Subsidiary shall be required to deliver, disclose, permit the inspection, examination or making of copies of or excerpts from, or any discussion of, any document, information, or other matter (i) in respect of which disclosure to the Administrative Agent (or any Lender (or their respective representatives or contractors)) is prohibited by applicable law, (ii) that is subject to attorney-client or similar privilege or constitutes attorney work product or (iii)</w:t>
      </w:r>
    </w:p>
    <w:p>
      <w:pPr>
        <w:spacing w:after="0" w:line="318" w:lineRule="exact"/>
        <w:rPr>
          <w:sz w:val="20"/>
          <w:szCs w:val="20"/>
          <w:color w:val="auto"/>
        </w:rPr>
      </w:pPr>
    </w:p>
    <w:p>
      <w:pPr>
        <w:ind w:left="46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508635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208" w:name="page209"/>
    <w:bookmarkEnd w:id="208"/>
    <w:p>
      <w:pPr>
        <w:spacing w:after="0" w:line="225"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with respect to which any Loan Party owes confidentiality obligations (to the extent not created in contemplation of such Loan Party’s Obligations under this Section 8.01) to any third party.</w:t>
      </w:r>
    </w:p>
    <w:p>
      <w:pPr>
        <w:spacing w:after="0" w:line="181"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8.02. Notices of Material Events. </w:t>
      </w:r>
      <w:r>
        <w:rPr>
          <w:rFonts w:ascii="Times New Roman" w:cs="Times New Roman" w:eastAsia="Times New Roman" w:hAnsi="Times New Roman"/>
          <w:sz w:val="22"/>
          <w:szCs w:val="22"/>
          <w:color w:val="auto"/>
        </w:rPr>
        <w:t>It will furnish to the Administrative Agent for distribution to the Lenders written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of the following promptly after a Responsible Officer of Borrower and its Subsidiaries first learns of the existence of:</w:t>
      </w:r>
    </w:p>
    <w:p>
      <w:pPr>
        <w:spacing w:after="0" w:line="194" w:lineRule="exact"/>
        <w:rPr>
          <w:sz w:val="20"/>
          <w:szCs w:val="20"/>
          <w:color w:val="auto"/>
        </w:rPr>
      </w:pPr>
    </w:p>
    <w:p>
      <w:pPr>
        <w:ind w:left="1940" w:hanging="435"/>
        <w:spacing w:after="0"/>
        <w:tabs>
          <w:tab w:leader="none" w:pos="19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occurrence of any Default or Event of Default;</w:t>
      </w:r>
    </w:p>
    <w:p>
      <w:pPr>
        <w:spacing w:after="0" w:line="24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three (3) Business Days after the occurrence of any Casualty Event with respect to any Obligor’s Property resulting in a Loss, to the extent not covered by insurance, aggregating $250,000 or more;</w:t>
      </w:r>
    </w:p>
    <w:p>
      <w:pPr>
        <w:spacing w:after="0" w:line="185" w:lineRule="exact"/>
        <w:rPr>
          <w:rFonts w:ascii="Times New Roman" w:cs="Times New Roman" w:eastAsia="Times New Roman" w:hAnsi="Times New Roman"/>
          <w:sz w:val="22"/>
          <w:szCs w:val="22"/>
          <w:color w:val="auto"/>
        </w:rPr>
      </w:pPr>
    </w:p>
    <w:p>
      <w:pPr>
        <w:jc w:val="both"/>
        <w:ind w:left="760" w:firstLine="745"/>
        <w:spacing w:after="0" w:line="247" w:lineRule="auto"/>
        <w:tabs>
          <w:tab w:leader="none" w:pos="1941"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prior to the execution of a definitive agreement for any proposed Acquisition by any Obligor that would reasonably be expected to result in environmental liability under Environmental Laws in excess of $250,000, and (ii) in each case, to the extent that any of the following would reasonably be expected to result in liability in excess of $1,000,000: (A) spillage, leakage, discharge, disposal, leaching, migration or release of any Hazardous Material required to be reported to any Governmental Authority under applicable Environmental Laws, and (B) all actions, suits, Claims, notices of violation, hearings, investigations or proceedings pending, or threatened in writing against or affecting any Obligor or any of its Subsidiaries or with respect to the ownership, use, maintenance and operation of their respective businesses, operations or properties, relating to Environmental Laws or Hazardous Material;</w:t>
      </w:r>
    </w:p>
    <w:p>
      <w:pPr>
        <w:spacing w:after="0" w:line="212" w:lineRule="exact"/>
        <w:rPr>
          <w:rFonts w:ascii="Times New Roman" w:cs="Times New Roman" w:eastAsia="Times New Roman" w:hAnsi="Times New Roman"/>
          <w:sz w:val="21"/>
          <w:szCs w:val="21"/>
          <w:color w:val="auto"/>
        </w:rPr>
      </w:pPr>
    </w:p>
    <w:p>
      <w:pPr>
        <w:jc w:val="both"/>
        <w:ind w:left="760" w:firstLine="745"/>
        <w:spacing w:after="0" w:line="253" w:lineRule="exact"/>
        <w:tabs>
          <w:tab w:leader="none" w:pos="194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three (3) Business Days of obtaining written notice or knowledge thereof, the assertion of any environmental matter by any Person in writing against, or with respect to the activities of, any Obligor or any of its Subsidiaries and any alleged violation of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compliance with any Environmental Laws or any Permits, licenses or authorizations, in each case, which would reasonably be expected to (either individually or in the aggregate) have a Material Adverse Effect;</w:t>
      </w:r>
    </w:p>
    <w:p>
      <w:pPr>
        <w:spacing w:after="0" w:line="220" w:lineRule="exact"/>
        <w:rPr>
          <w:rFonts w:ascii="Times New Roman" w:cs="Times New Roman" w:eastAsia="Times New Roman" w:hAnsi="Times New Roman"/>
          <w:sz w:val="22"/>
          <w:szCs w:val="22"/>
          <w:color w:val="auto"/>
        </w:rPr>
      </w:pPr>
    </w:p>
    <w:p>
      <w:pPr>
        <w:jc w:val="both"/>
        <w:ind w:left="760" w:firstLine="745"/>
        <w:spacing w:after="0" w:line="261" w:lineRule="auto"/>
        <w:tabs>
          <w:tab w:leader="none" w:pos="1941"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three (3) Business Days of obtaining notice to an Obligor of the filing or commencement of any action, suit or proceeding by or before any arbitrator or Governmental Authority against or directly affecting any Obligor or any of its Subsidiaries, in each case, that would reasonably be expected to result in a Material Adverse Effect;</w:t>
      </w:r>
    </w:p>
    <w:p>
      <w:pPr>
        <w:spacing w:after="0" w:line="184" w:lineRule="exact"/>
        <w:rPr>
          <w:rFonts w:ascii="Times New Roman" w:cs="Times New Roman" w:eastAsia="Times New Roman" w:hAnsi="Times New Roman"/>
          <w:sz w:val="21"/>
          <w:szCs w:val="21"/>
          <w:color w:val="auto"/>
        </w:rPr>
      </w:pPr>
    </w:p>
    <w:p>
      <w:pPr>
        <w:jc w:val="both"/>
        <w:ind w:left="760" w:firstLine="745"/>
        <w:spacing w:after="0" w:line="236" w:lineRule="auto"/>
        <w:tabs>
          <w:tab w:leader="none" w:pos="2003"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within ten (10) days after receipt by any Obligor from the PBGC of a notice of intent to terminate any Title IV Plan or to have a trustee appointed to administer any Title IV Plan, a copy of such notice and (ii) promptly, and in any event within ten (10) days, after any Responsible Officer of any Obligor knows or has reason to know that a request for a minimum funding waiver under Section 412 of the Code has been filed with respect to any Title IV Plan or Multiemployer Plan, a notice (which may be made by telephone if promptly confirmed in writing) describing such waiver request, together with a copy of any notice filed with the PBGC or the IRS pertaining thereto;</w:t>
      </w:r>
    </w:p>
    <w:p>
      <w:pPr>
        <w:spacing w:after="0" w:line="32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25" w:lineRule="exact"/>
        <w:rPr>
          <w:sz w:val="20"/>
          <w:szCs w:val="20"/>
          <w:color w:val="auto"/>
        </w:rPr>
      </w:pPr>
    </w:p>
    <w:p>
      <w:pPr>
        <w:jc w:val="both"/>
        <w:ind w:left="-360" w:firstLine="745"/>
        <w:spacing w:after="0" w:line="234" w:lineRule="auto"/>
        <w:tabs>
          <w:tab w:leader="none" w:pos="82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ten (10) Business Days of obtaining written notice or knowledge thereof, (i) the termination of any Material Agreement (other than in the Ordinary Course of Business); (ii) the receipt by any Obligor or any of its Subsidiaries of a written notice under any Material Agreement (and a copy thereof) asserting a default by such Obligor or any of its Subsidiaries where such alleged default would permit such counterparty to terminate such Material Agreement; (iii) the entering into any new Material Agreement by an Obligor (and a copy thereof, solely to the extent such Material Agreement is not made publicly available on “EDGAR”); or (iv) any amendment to a Material Agreement that would be materially adverse to the Lenders (and a copy thereof) (which includes, but is not limited to, any amendments to provisions relating to pricing and term);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notices required under this subsection (g) may be delivered with the next Compliance Certificate unless any of the foregoing events would reasonably be expected to have a Material Adverse Effect;</w:t>
      </w:r>
    </w:p>
    <w:p>
      <w:pPr>
        <w:spacing w:after="0" w:line="206"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2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three (3) Business Days of obtaining written notice or knowledge thereof, any product recalls, safety alerts, corrections, withdrawals, marketing suspensions, removals or the like conducted, to be undertaken or issued by any Obligor or any of its Subsidiaries, whether or not at the request, demand or order of any Governmental Authority or otherwise with respect to any Product;</w:t>
      </w:r>
    </w:p>
    <w:p>
      <w:pPr>
        <w:spacing w:after="0" w:line="220"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any infringement or other violation by any Person of any Obligor Intellectual Property that would reasonably be expected to result in a Material Adverse Effect;</w:t>
      </w:r>
    </w:p>
    <w:p>
      <w:pPr>
        <w:spacing w:after="0" w:line="213"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2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a material licensing agreement or arrangement entered into by any Obligor or any of its Subsidiaries in connection with any infringement or alleged infringement of the Intellectual Property of another Person that would reasonably be expected to have a Material Adverse Effect;</w:t>
      </w:r>
    </w:p>
    <w:p>
      <w:pPr>
        <w:spacing w:after="0" w:line="207"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2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any written Claim by any Person that the conduct of any Obligor’s (or any Subsidiary thereof) business, including the development, manufacture, use, sale or other commercialization of any Product, infringes any Intellectual Property of such Person, except to the extent any such Claim would not reasonably be expected to result in a Material Adverse Effect;</w:t>
      </w:r>
    </w:p>
    <w:p>
      <w:pPr>
        <w:spacing w:after="0" w:line="220"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distribution of reports and notices as and when required by the Security Documents;</w:t>
      </w:r>
    </w:p>
    <w:p>
      <w:pPr>
        <w:spacing w:after="0" w:line="246"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of the date thereof, or, if earlier, on the date of delivery of any financial statements pursuant to Section 8.01, notice of any material change in accounting policies or financial reporting practices by the Obligors;</w:t>
      </w:r>
    </w:p>
    <w:p>
      <w:pPr>
        <w:spacing w:after="0" w:line="200" w:lineRule="exact"/>
        <w:rPr>
          <w:rFonts w:ascii="Times New Roman" w:cs="Times New Roman" w:eastAsia="Times New Roman" w:hAnsi="Times New Roman"/>
          <w:sz w:val="22"/>
          <w:szCs w:val="22"/>
          <w:color w:val="auto"/>
        </w:rPr>
      </w:pPr>
    </w:p>
    <w:p>
      <w:pPr>
        <w:ind w:left="-360" w:right="40" w:firstLine="745"/>
        <w:spacing w:after="0" w:line="258" w:lineRule="auto"/>
        <w:tabs>
          <w:tab w:leader="none" w:pos="82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the occurrence thereof, notice of any labor controversy resulting in or threatening to result in any strike, work stoppage, boycott,</w:t>
      </w:r>
    </w:p>
    <w:p>
      <w:pPr>
        <w:spacing w:after="0" w:line="299"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10" w:name="page211"/>
    <w:bookmarkEnd w:id="210"/>
    <w:p>
      <w:pPr>
        <w:spacing w:after="0" w:line="225"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shutdown or other labor disruption against or involving an Obligor (or any Subsidiary thereof) that would reasonably be expected to have a Material Adverse Effect;</w:t>
      </w:r>
    </w:p>
    <w:p>
      <w:pPr>
        <w:spacing w:after="0" w:line="185" w:lineRule="exact"/>
        <w:rPr>
          <w:sz w:val="20"/>
          <w:szCs w:val="20"/>
          <w:color w:val="auto"/>
        </w:rPr>
      </w:pPr>
    </w:p>
    <w:p>
      <w:pPr>
        <w:ind w:left="760" w:right="20" w:firstLine="745"/>
        <w:spacing w:after="0" w:line="258" w:lineRule="auto"/>
        <w:tabs>
          <w:tab w:leader="none" w:pos="194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any other failure to pay or any other development that results in, or would reasonably be expected to result in, a Material Adverse Effect;</w:t>
      </w:r>
    </w:p>
    <w:p>
      <w:pPr>
        <w:spacing w:after="0" w:line="19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the acceleration of the maturity of any Material Indebtedness owed by any Obligor or of any default by Obligors under any indenture, mortgage, agreement, contract or other instrument to which any of them is a party or by which any of them or any of their properties is bound, if such acceleration or default could, in the reasonable opinion of the Borrower, cause a Material Adverse Effect;</w:t>
      </w:r>
    </w:p>
    <w:p>
      <w:pPr>
        <w:spacing w:after="0" w:line="220"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the failure to pay any Taxes or obligations that are not paid in accordance with Section 8.04;</w:t>
      </w:r>
    </w:p>
    <w:p>
      <w:pPr>
        <w:spacing w:after="0" w:line="185"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delivery of financial statements under Section 8.01, the creation or other acquisition of any Intellectual Property by any Obligor or any Subsidiary after the date hereof and during such prior fiscal year which is registered or becomes registered or the subject of an application for registration with the United States Copyright Office or the United States Patent and Trademark Office, as applicable, or with any other equivalent foreign Governmental Authority; and</w:t>
      </w:r>
    </w:p>
    <w:p>
      <w:pPr>
        <w:spacing w:after="0" w:line="217"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five (5) Business Days prior to any change to any Obligor’s ownership of Deposit Accounts, Securities Accounts and Commodity Accounts, by delivering to the Lenders an updated Schedule 7 to the Security Agreement setting forth a complete and correct list of all such accounts as of the date of such change.</w:t>
      </w:r>
    </w:p>
    <w:p>
      <w:pPr>
        <w:spacing w:after="0" w:line="214"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specified time periods in this Section 8.02 shall begin accruing after a Responsible Officer of an Obligor first learns of the existence of a circumstance requiring notice.</w:t>
      </w:r>
    </w:p>
    <w:p>
      <w:pPr>
        <w:spacing w:after="0" w:line="18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Each notice delivered under this Section 8.02 shall be accompanied by a statement of a Responsible Officer of the Borrower setting forth in reasonable detail the event or development requiring such notice and any action taken or proposed to be taken with respect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Borrower is a Publicly Reporting Company, the Borrower’s filing of notice of any such event with the SEC shall be deemed to satisfy the requirements of this Section 8.02 on the date on which such report is first available via the SEC’s EDGAR system or a successor system related thereto.</w:t>
      </w:r>
    </w:p>
    <w:p>
      <w:pPr>
        <w:spacing w:after="0" w:line="21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Notwithstanding any contrary provision of this Agreement or any other Loan Document (including, without limitation, Sections 8.01 and 8.02), so long as the Borrower is a Publicly Reporting Company, in the event that the Administrative Agent provides notice to the Borrower that it no longer desires to receive any information that constitutes material non-public information, the Obligors shall not be required to provide any information pursuant to the terms hereof or thereof unless the Borrower is disclosing such information pursuant to a filing with the</w:t>
      </w:r>
    </w:p>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the Obligors shall at all times comply with Section 8.01(c) and 8.02(a).</w:t>
      </w:r>
    </w:p>
    <w:p>
      <w:pPr>
        <w:spacing w:after="0" w:line="23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Notwithstanding anything to the contrary herein, neither the Borrower nor any Subsidiary shall be required to deliver, disclose, permit the inspection, examination or making of copies of or excerpts from, or any discussion of, any document, information, or other matter (i) in respect of which disclosure to the Administrative Agent (or any Lender (or their respective representatives or contractors)) is prohibited by applicable law, (ii) that is subject to attorney-client or similar privilege or constitutes attorney work product or (iii) with respect to which any Loan Party owes confidentiality obligations (to the extent not created in contemplation of such Loan Party’s Obligations under this Section 8.02) to any third party.</w:t>
      </w:r>
    </w:p>
    <w:p>
      <w:pPr>
        <w:spacing w:after="0" w:line="218"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8.03.</w:t>
      </w:r>
      <w:r>
        <w:rPr>
          <w:sz w:val="20"/>
          <w:szCs w:val="20"/>
          <w:color w:val="auto"/>
        </w:rPr>
        <w:tab/>
      </w:r>
      <w:r>
        <w:rPr>
          <w:rFonts w:ascii="Times New Roman" w:cs="Times New Roman" w:eastAsia="Times New Roman" w:hAnsi="Times New Roman"/>
          <w:sz w:val="21"/>
          <w:szCs w:val="21"/>
          <w:i w:val="1"/>
          <w:iCs w:val="1"/>
          <w:color w:val="auto"/>
        </w:rPr>
        <w:t>Existence; Maintenance of Properties.</w:t>
      </w:r>
    </w:p>
    <w:p>
      <w:pPr>
        <w:spacing w:after="0" w:line="251" w:lineRule="exact"/>
        <w:rPr>
          <w:sz w:val="20"/>
          <w:szCs w:val="20"/>
          <w:color w:val="auto"/>
        </w:rPr>
      </w:pPr>
    </w:p>
    <w:p>
      <w:pPr>
        <w:jc w:val="both"/>
        <w:ind w:left="760" w:firstLine="745"/>
        <w:spacing w:after="0" w:line="244"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will, and will cause each of its Subsidiaries to, do or cause to be done all things necessary to preserve, renew and keep in full force and effect its legal existence;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prohibit any merger, amalgamation, plan of arrangement, consolidation, liquidation or dissolution permitted under Section 9.03.</w:t>
      </w:r>
    </w:p>
    <w:p>
      <w:pPr>
        <w:spacing w:after="0" w:line="200"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41"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Obligor shall, and shall cause each of its Subsidiaries to, maintain and preserve all rights, licenses, Permits, privileges and franchises material to the conduct of its business, and maintain and preserve all of its assets and properties, including all Product Assets, necessary to the conduct of its business in good working order and condition, except for ordinary wear and tear and damage from casualty or condemnation and, with respect to Intellectual Property, abandonment, lapse or other disposition of Intellectual Property in the Ordinary Course of Business that is, in the reasonable good faith judgment of such Obligor, immaterial to the business of such Obligor, no longer economically practicable or commercially desirable to maintain or used or useful in the business of such Obligor, or the expiration of such Intellectual Property is in accordance with its statutory term (provided that such term is not renewable), except to the extent the failure to do so would not reasonably be expected to result in a Material Adverse Effect.</w:t>
      </w:r>
    </w:p>
    <w:p>
      <w:pPr>
        <w:spacing w:after="0" w:line="215" w:lineRule="exact"/>
        <w:rPr>
          <w:rFonts w:ascii="Times New Roman" w:cs="Times New Roman" w:eastAsia="Times New Roman" w:hAnsi="Times New Roman"/>
          <w:sz w:val="21"/>
          <w:szCs w:val="21"/>
          <w:color w:val="auto"/>
        </w:rPr>
      </w:pPr>
    </w:p>
    <w:p>
      <w:pPr>
        <w:jc w:val="both"/>
        <w:ind w:left="760" w:firstLine="745"/>
        <w:spacing w:after="0" w:line="239"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shall use commercially reasonable efforts to cause each new employee and each contractor with access to Material Intellectual Property to execute and deliver a customary confidentiality, non-disclosure and Intellectual Property assignment agreement that includes a waiver or moral rights to the extent permitted by Law and such agreements are customary in the applicable jurisdiction.</w:t>
      </w:r>
    </w:p>
    <w:p>
      <w:pPr>
        <w:spacing w:after="0" w:line="22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maintain sufficient authorized but unissued share capital to satisfy in full, without the need for the passing of any further resolutions of its shareholders, the outstanding rights represented by the Warrant Certificates.</w:t>
      </w:r>
    </w:p>
    <w:p>
      <w:pPr>
        <w:spacing w:after="0" w:line="196"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8.04. Payment of Obligations. </w:t>
      </w:r>
      <w:r>
        <w:rPr>
          <w:rFonts w:ascii="Times New Roman" w:cs="Times New Roman" w:eastAsia="Times New Roman" w:hAnsi="Times New Roman"/>
          <w:sz w:val="22"/>
          <w:szCs w:val="22"/>
          <w:color w:val="auto"/>
        </w:rPr>
        <w:t>It will, and will cause each of its Subsidiaries to, pay and discharge (a) all federal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and other material Taxes, fees, assessments and governmental charges or levies imposed upon it or upon its properties or assets prior to the date on which penalties attach thereto, and all lawful Claims for labor, materials and supplies which, if</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2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unpaid, might become a Lien (other than a Permitted Lien) upon any properties or assets of any Obligor, except to the extent such Taxes, fees, assessments or governmental charges or levies, or such Claims, are being contested in good faith by appropriate proceedings and are adequately reserved against substantially in accordance with GAAP, (b) all lawful Claims which, if unpaid, would by Law become a Lien upon its Property not constituting a Permitted Lien and (c) all other obligations if the failure to discharge such obligation would reasonably be expected to result in a Material Adverse Effect.</w:t>
      </w:r>
    </w:p>
    <w:p>
      <w:pPr>
        <w:spacing w:after="0" w:line="200" w:lineRule="exact"/>
        <w:rPr>
          <w:sz w:val="20"/>
          <w:szCs w:val="20"/>
          <w:color w:val="auto"/>
        </w:rPr>
      </w:pPr>
    </w:p>
    <w:p>
      <w:pPr>
        <w:jc w:val="both"/>
        <w:ind w:firstLine="459"/>
        <w:spacing w:after="0" w:line="243" w:lineRule="auto"/>
        <w:rPr>
          <w:sz w:val="20"/>
          <w:szCs w:val="20"/>
          <w:color w:val="auto"/>
        </w:rPr>
      </w:pPr>
      <w:r>
        <w:rPr>
          <w:rFonts w:ascii="Times New Roman" w:cs="Times New Roman" w:eastAsia="Times New Roman" w:hAnsi="Times New Roman"/>
          <w:sz w:val="21"/>
          <w:szCs w:val="21"/>
          <w:i w:val="1"/>
          <w:iCs w:val="1"/>
          <w:color w:val="auto"/>
        </w:rPr>
        <w:t xml:space="preserve">Section 8.05. Insurance. </w:t>
      </w:r>
      <w:r>
        <w:rPr>
          <w:rFonts w:ascii="Times New Roman" w:cs="Times New Roman" w:eastAsia="Times New Roman" w:hAnsi="Times New Roman"/>
          <w:sz w:val="21"/>
          <w:szCs w:val="21"/>
          <w:color w:val="auto"/>
        </w:rPr>
        <w:t>At its own cost and expense, it will, and will cause each of its Subsidiaries, to obtain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maintain, with financially sound and reputable insurers, insurance of the kinds, and in the amounts, as are consistent with customary practices and standards of its industry in the same or similar locations, it being understood and agreed that the insurance held by the Obligors on the Closing Date is deemed to fulfill this requirement on the date hereof. All of the insurance policies required pursuant to this Section 8.05 will name the Administrative Agent as a “lender’s loss payee,” “additional insured” or “mortgagee,” as applicable and as its interests may appear. The Borrower will use its commercially reasonable efforts to ensure, or to cause others to ensure, that all insurance policies required pursuant to this Section 8.05 shall provide that they shall not be terminated or cancelled nor shall any policy be materially changed in a manner adverse to the insured Person without at least thirty (30) days’ written notice (or ten (10) days’ written notice if termination is due to non-payment) to the insured Person and the Administrative Agent. Receipt of notice of termination or cancellation of any such insurance policies shall entitle the Administrative Agent to renew any such policies, all in accordance with the first sentence of this Section 8.05 or otherwise to obtain similar insurance in place of such policies, in each case at the expense of the Borrower (payable within three</w:t>
      </w:r>
    </w:p>
    <w:p>
      <w:pPr>
        <w:spacing w:after="0" w:line="10" w:lineRule="exact"/>
        <w:rPr>
          <w:sz w:val="20"/>
          <w:szCs w:val="20"/>
          <w:color w:val="auto"/>
        </w:rPr>
      </w:pPr>
    </w:p>
    <w:p>
      <w:pPr>
        <w:jc w:val="both"/>
        <w:ind w:firstLine="8"/>
        <w:spacing w:after="0" w:line="244" w:lineRule="auto"/>
        <w:tabs>
          <w:tab w:leader="none" w:pos="331"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of the Borrower’s receipt of written demand therefor) and, unless an Event of Default has occurred and is continuing, with the prior written consent of the Borrower (such consent not to be unreasonably withheld). The amount of any such expenses shall accrue interest at the Default Rate if not paid when due and shall constitute “Obligations.” All of the insurance policies required hereby will be evidenced by one or more certificates of insurance, together with appropriate lender’s loss payee or additional insured clauses or endorsements in favor of the Administrative Agent as required by this Section 8.05, delivered to the Administrative Agent on or before the Closing Date (or, with respect to such endorsements, within the time period set forth in Section 8.18) and at such other times as the Administrative Agent may request from time to time.</w:t>
      </w:r>
    </w:p>
    <w:p>
      <w:pPr>
        <w:spacing w:after="0" w:line="211" w:lineRule="exact"/>
        <w:rPr>
          <w:sz w:val="20"/>
          <w:szCs w:val="20"/>
          <w:color w:val="auto"/>
        </w:rPr>
      </w:pPr>
    </w:p>
    <w:p>
      <w:pPr>
        <w:jc w:val="both"/>
        <w:ind w:firstLine="432"/>
        <w:spacing w:after="0" w:line="249" w:lineRule="exact"/>
        <w:rPr>
          <w:sz w:val="20"/>
          <w:szCs w:val="20"/>
          <w:color w:val="auto"/>
        </w:rPr>
      </w:pPr>
      <w:r>
        <w:rPr>
          <w:rFonts w:ascii="Times New Roman" w:cs="Times New Roman" w:eastAsia="Times New Roman" w:hAnsi="Times New Roman"/>
          <w:sz w:val="22"/>
          <w:szCs w:val="22"/>
          <w:i w:val="1"/>
          <w:iCs w:val="1"/>
          <w:color w:val="auto"/>
        </w:rPr>
        <w:t xml:space="preserve">Section 8.06. Books and Records; Inspection Rights. </w:t>
      </w:r>
      <w:r>
        <w:rPr>
          <w:rFonts w:ascii="Times New Roman" w:cs="Times New Roman" w:eastAsia="Times New Roman" w:hAnsi="Times New Roman"/>
          <w:sz w:val="22"/>
          <w:szCs w:val="22"/>
          <w:color w:val="auto"/>
        </w:rPr>
        <w:t>It will, and will cause each of its Subsidiaries to, keep proper books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record and account in which full, true and correct entries are made of all dealings and transactions in relation to its business and activities. It will, and will cause each of its Subsidiaries to, permit any representatives designated by the Administrative Agent, upon reasonable prior notice and at reasonable times, to visit and inspect its properties, to examine and make extracts from its books and records, and to discuss its affairs, finances and condition with its officers and independent accountants, all at such reasonable times during normal business hours and with reasonable advance notice as the Administrative Agent may request. It will, and will cause each of its Subsidiaries to, pay all reasonable and documented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incurred by the Administrative Agent (a) so long as no Default has occurred and is continuing, for no more than two (2) such inspections each calendar year and (b) during a continuing Default, all such inspections.</w:t>
      </w:r>
    </w:p>
    <w:p>
      <w:pPr>
        <w:spacing w:after="0" w:line="323"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225" w:lineRule="exact"/>
        <w:rPr>
          <w:sz w:val="20"/>
          <w:szCs w:val="20"/>
          <w:color w:val="auto"/>
        </w:rPr>
      </w:pPr>
    </w:p>
    <w:p>
      <w:pPr>
        <w:jc w:val="both"/>
        <w:ind w:firstLine="1181"/>
        <w:spacing w:after="0" w:line="233" w:lineRule="auto"/>
        <w:rPr>
          <w:sz w:val="20"/>
          <w:szCs w:val="20"/>
          <w:color w:val="auto"/>
        </w:rPr>
      </w:pPr>
      <w:r>
        <w:rPr>
          <w:rFonts w:ascii="Times New Roman" w:cs="Times New Roman" w:eastAsia="Times New Roman" w:hAnsi="Times New Roman"/>
          <w:sz w:val="22"/>
          <w:szCs w:val="22"/>
          <w:color w:val="auto"/>
        </w:rPr>
        <w:t>During the course any inspections, audits and other visits and discussions permitted under this Section 8.06 or elsewhere under the Loan Documents, representatives of the Administrative Agent (or any Lender (or their respective representatives or contractors)) may encounter individually identifiable healthcare information as defined under HIPAA, or other confidential information relating to healthcare patients (collectively, the “</w:t>
      </w:r>
      <w:r>
        <w:rPr>
          <w:rFonts w:ascii="Times New Roman" w:cs="Times New Roman" w:eastAsia="Times New Roman" w:hAnsi="Times New Roman"/>
          <w:sz w:val="22"/>
          <w:szCs w:val="22"/>
          <w:i w:val="1"/>
          <w:iCs w:val="1"/>
          <w:color w:val="auto"/>
        </w:rPr>
        <w:t>Confidential Healthcare Information</w:t>
      </w:r>
      <w:r>
        <w:rPr>
          <w:rFonts w:ascii="Times New Roman" w:cs="Times New Roman" w:eastAsia="Times New Roman" w:hAnsi="Times New Roman"/>
          <w:sz w:val="22"/>
          <w:szCs w:val="22"/>
          <w:color w:val="auto"/>
        </w:rPr>
        <w:t>”). Unless otherwise required by any applicable laws, the Administrative Agent, the Lenders and their representatives shall not require or perform any act that would cause the Borrower or any other Person to violate any Healthcare Laws, including HIPAA, including, without limitation, as a result of the disclosure of any Confidential Healthcare Information. In the event that the Administrative Agent (or any Lender (or their respective representatives or contractors)) proposes to undertake activities that the Borrower reasonably believes would constitute services of a “business associate” under HIPAA, including the disclosure of any protected Confidential Healthcare Information, the parties hereto agree to review the matter and, where appropriate, the Administrative Agent (or applicable Lender (or such respective representatives or contractors)) may take action to comply with HIPAA, and shall, upon the Borrower’s reasonable request and at the Borrower’s expense, execute a business associate agreement with the applicable Person.</w:t>
      </w:r>
    </w:p>
    <w:p>
      <w:pPr>
        <w:spacing w:after="0" w:line="20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Notwithstanding anything to the contrary herein, neither the Borrower nor any Subsidiary shall be required to deliver, disclose, permit the inspection, examination or making of copies of or excerpts from, or any discussion of, any document, information, or other matter (i) in respect of which disclosure to the Administrative Agent (or any Lender (or their respective representatives or contractors)) is prohibited by applicable law, (ii) that is subject to attorney-client or similar privilege or constitutes attorney work product or (iii) with respect to which any Loan Party owes confidentiality obligations (to the extent not created in contemplation of such Loan Party’s Obligations under this Section 8.06) to any third party.</w:t>
      </w:r>
    </w:p>
    <w:p>
      <w:pPr>
        <w:spacing w:after="0" w:line="218"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8.07.</w:t>
      </w:r>
      <w:r>
        <w:rPr>
          <w:sz w:val="20"/>
          <w:szCs w:val="20"/>
          <w:color w:val="auto"/>
        </w:rPr>
        <w:tab/>
      </w:r>
      <w:r>
        <w:rPr>
          <w:rFonts w:ascii="Times New Roman" w:cs="Times New Roman" w:eastAsia="Times New Roman" w:hAnsi="Times New Roman"/>
          <w:sz w:val="21"/>
          <w:szCs w:val="21"/>
          <w:i w:val="1"/>
          <w:iCs w:val="1"/>
          <w:color w:val="auto"/>
        </w:rPr>
        <w:t>Compliance with Laws.</w:t>
      </w:r>
    </w:p>
    <w:p>
      <w:pPr>
        <w:spacing w:after="0" w:line="251" w:lineRule="exact"/>
        <w:rPr>
          <w:sz w:val="20"/>
          <w:szCs w:val="20"/>
          <w:color w:val="auto"/>
        </w:rPr>
      </w:pPr>
    </w:p>
    <w:p>
      <w:pPr>
        <w:jc w:val="both"/>
        <w:ind w:left="760" w:firstLine="745"/>
        <w:spacing w:after="0" w:line="238" w:lineRule="auto"/>
        <w:tabs>
          <w:tab w:leader="none" w:pos="194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and will cause each of its Subsidiaries to, (i) comply in all material respects with all Requirements of Law (including Healthcare Laws and Environmental Laws) and (ii) comply in all material respects with all terms of outstanding Indebtedness and all Material Agreements, except (other than with respect to Material Intellectual Property) where the failure to do so, individually or in the aggregate, would not reasonably be expected to result in a Material Adverse Effect.</w:t>
      </w:r>
    </w:p>
    <w:p>
      <w:pPr>
        <w:spacing w:after="0" w:line="20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will maintain, and will cause each of its Subsidiaries to maintain, all records required to be maintained by a Governmental Authority or otherwise under any applicable Healthcare Law, except where failure to do so, individually or in the aggregate, would not reasonably be expected to have a Material Adverse Effect.</w:t>
      </w:r>
    </w:p>
    <w:p>
      <w:pPr>
        <w:spacing w:after="0" w:line="21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will maintain, and will cause each of its Subsidiaries to maintain, in all material respects, a Health Care Compliance Program, which will be reviewed and updated annually, as necessary.</w:t>
      </w:r>
    </w:p>
    <w:p>
      <w:pPr>
        <w:spacing w:after="0" w:line="29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21"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8.08. Licenses. </w:t>
      </w:r>
      <w:r>
        <w:rPr>
          <w:rFonts w:ascii="Times New Roman" w:cs="Times New Roman" w:eastAsia="Times New Roman" w:hAnsi="Times New Roman"/>
          <w:sz w:val="22"/>
          <w:szCs w:val="22"/>
          <w:color w:val="auto"/>
        </w:rPr>
        <w:t>It will, and will cause each of its Subsidiaries to, obtain and maintain all licenses, authorizations,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consents, filings, exemptions, registrations and other Governmental Approvals necessary in connection with the execution, delivery and performance of the Loan Documents, the consummation of the Transactions or the operation and conduct of its business and ownership of its properties, except where failure to do so would not reasonably be expected to have a Material Adverse Effect.</w:t>
      </w:r>
    </w:p>
    <w:p>
      <w:pPr>
        <w:spacing w:after="0" w:line="204"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Section 8.09. Action under Environmental Laws. </w:t>
      </w:r>
      <w:r>
        <w:rPr>
          <w:rFonts w:ascii="Times New Roman" w:cs="Times New Roman" w:eastAsia="Times New Roman" w:hAnsi="Times New Roman"/>
          <w:sz w:val="21"/>
          <w:szCs w:val="21"/>
          <w:color w:val="auto"/>
        </w:rPr>
        <w:t>It will, and will cause each of its Subsidiaries to, upon a Responsible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Officer becoming aware of the release of any Hazardous Materials in violation of any applicable Environmental Laws or the existence of any environmental liability under applicable Environmental Laws with respect to their respective businesses, operations or properties, take all actions, at their cost and expense, as shall be required by applicable Law to investigate and clean up the condition of their respective businesses, operations or properties, including all required removal, containment and remedial actions, and restore their respective businesses, operations or properties to a condition, except where failure to do so would not reasonably be expected to have a Material Adverse Effect;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neither an Obligor nor any Subsidiary shall be required to undertake any such investigation, clean up, removal, containment, remediation or other corrective action required by Environmental Laws to the extent that its obligation to do so is being contested in good faith and by proper proceedings and appropriate reserves are being maintained with respect to such circumstances in accordance with GAAP.</w:t>
      </w:r>
    </w:p>
    <w:p>
      <w:pPr>
        <w:spacing w:after="0" w:line="211"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8.10. Use of Proceeds. </w:t>
      </w:r>
      <w:r>
        <w:rPr>
          <w:rFonts w:ascii="Times New Roman" w:cs="Times New Roman" w:eastAsia="Times New Roman" w:hAnsi="Times New Roman"/>
          <w:sz w:val="22"/>
          <w:szCs w:val="22"/>
          <w:color w:val="auto"/>
        </w:rPr>
        <w:t>The proceeds of the Term Loans will be used only as provided in Section 2.05. No part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proceeds of the Term Loans will be used, whether directly or indirectly, for any purpose that violates any of the Regulations of the Board of Governors of the Federal Reserve System, including Regulations T, U and X.</w:t>
      </w:r>
    </w:p>
    <w:p>
      <w:pPr>
        <w:spacing w:after="0" w:line="208"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8.11.</w:t>
      </w:r>
      <w:r>
        <w:rPr>
          <w:sz w:val="20"/>
          <w:szCs w:val="20"/>
          <w:color w:val="auto"/>
        </w:rPr>
        <w:tab/>
      </w:r>
      <w:r>
        <w:rPr>
          <w:rFonts w:ascii="Times New Roman" w:cs="Times New Roman" w:eastAsia="Times New Roman" w:hAnsi="Times New Roman"/>
          <w:sz w:val="21"/>
          <w:szCs w:val="21"/>
          <w:i w:val="1"/>
          <w:iCs w:val="1"/>
          <w:color w:val="auto"/>
        </w:rPr>
        <w:t>Certain Obligations Respecting Subsidiaries; Further Assurances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760" w:firstLine="745"/>
        <w:spacing w:after="0" w:line="238" w:lineRule="auto"/>
        <w:tabs>
          <w:tab w:leader="none" w:pos="194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Subsidiaries. </w:t>
      </w:r>
      <w:r>
        <w:rPr>
          <w:rFonts w:ascii="Times New Roman" w:cs="Times New Roman" w:eastAsia="Times New Roman" w:hAnsi="Times New Roman"/>
          <w:sz w:val="22"/>
          <w:szCs w:val="22"/>
          <w:color w:val="auto"/>
        </w:rPr>
        <w:t>It will take such action, and will cause each of its Subsidiaries to take such action, from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time as shall be necessary to ensure that all Subsidiaries are “Guarantors” hereunder. Without limiting the generality of the foregoing, in the event that any Obligor shall form or acquire any new Subsidiary, it and its Subsidiaries will promptly and in any event within thirty (30) days (or such longer time as consented to by the Administrative Agent in writing) of the formation or Acquisition of such Subsidiary:</w:t>
      </w:r>
    </w:p>
    <w:p>
      <w:pPr>
        <w:spacing w:after="0" w:line="221" w:lineRule="exact"/>
        <w:rPr>
          <w:rFonts w:ascii="Times New Roman" w:cs="Times New Roman" w:eastAsia="Times New Roman" w:hAnsi="Times New Roman"/>
          <w:sz w:val="22"/>
          <w:szCs w:val="22"/>
          <w:color w:val="auto"/>
        </w:rPr>
      </w:pPr>
    </w:p>
    <w:p>
      <w:pPr>
        <w:ind w:left="1500" w:right="60" w:firstLine="754"/>
        <w:spacing w:after="0" w:line="258" w:lineRule="auto"/>
        <w:tabs>
          <w:tab w:leader="none" w:pos="3113"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such new Subsidiary to become a “Guarantor” hereunder, and a “Grantor” under the Security Documents, pursuant to a Guarantee Assumption Agreement;</w:t>
      </w:r>
    </w:p>
    <w:p>
      <w:pPr>
        <w:spacing w:after="0" w:line="198"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3113"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 or cause such Subsidiary to take such action (including delivering originals of any certificated Equity Interests of such Subsidiary, together with original, executed, undated transfer powers executed in blank and originals of any intercompany notes with undated endorsements executed in blank) as shall be necessary to create and perfect valid and enforceable first priority (subject to Permitted Liens) Liens on substantially all of the personal</w:t>
      </w:r>
    </w:p>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Property of such new Subsidiary as collateral security for the obligations of such new Subsidiary hereunder;</w:t>
      </w:r>
    </w:p>
    <w:p>
      <w:pPr>
        <w:spacing w:after="0" w:line="233" w:lineRule="exact"/>
        <w:rPr>
          <w:sz w:val="20"/>
          <w:szCs w:val="20"/>
          <w:color w:val="auto"/>
        </w:rPr>
      </w:pPr>
    </w:p>
    <w:p>
      <w:pPr>
        <w:jc w:val="both"/>
        <w:ind w:left="1500" w:firstLine="754"/>
        <w:spacing w:after="0" w:line="239" w:lineRule="auto"/>
        <w:tabs>
          <w:tab w:leader="none" w:pos="3113"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parent of such Subsidiary is not a party to the Security Documents or has not otherwise pledged Equity Interests in its Subsidiaries in accordance with the terms of the Security Documents and this Agreement, cause the parent of such Subsidiary to execute and deliver a pledge agreement in favor of the Lenders, in respect of all outstanding issued shares of such Subsidiary; and</w:t>
      </w:r>
    </w:p>
    <w:p>
      <w:pPr>
        <w:spacing w:after="0" w:line="220"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3113"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such proof of corporate action, incumbency of officers, opinions of counsel and other documents as is consistent with those delivered by each Obligor pursuant to Section 6.01 or as the Majority Lenders shall have requested.</w:t>
      </w:r>
    </w:p>
    <w:p>
      <w:pPr>
        <w:spacing w:after="0" w:line="209"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Further Assurances. </w:t>
      </w:r>
      <w:r>
        <w:rPr>
          <w:rFonts w:ascii="Times New Roman" w:cs="Times New Roman" w:eastAsia="Times New Roman" w:hAnsi="Times New Roman"/>
          <w:sz w:val="22"/>
          <w:szCs w:val="22"/>
          <w:color w:val="auto"/>
        </w:rPr>
        <w:t>It will, and will cause each of its Subsidiaries to, take such action from time to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as shall reasonably be requested in writing by the Majority Lenders to effectuate the purposes and objectives of this Agreement. Without limiting the generality of the foregoing, it will, and will cause each Person that is required to be a Guarantor to, take such action from time to time (including executing and delivering such assignments, security agreements, control agreements and other instruments) as shall be reasonably requested in writing by the Majority Lenders to create, in favor of the Lenders, perfected security interests and Liens (subject to Permitted Liens) in substantially all of the personal Property of such Obligor as collateral security for the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security interest or Lien shall be subject to the relevant requirements of the Security Documents.</w:t>
      </w:r>
    </w:p>
    <w:p>
      <w:pPr>
        <w:spacing w:after="0" w:line="205"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6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Intellectual Property</w:t>
      </w:r>
      <w:r>
        <w:rPr>
          <w:rFonts w:ascii="Times New Roman" w:cs="Times New Roman" w:eastAsia="Times New Roman" w:hAnsi="Times New Roman"/>
          <w:sz w:val="22"/>
          <w:szCs w:val="22"/>
          <w:color w:val="auto"/>
        </w:rPr>
        <w:t>. In the event that any Obligor creates, develops or acquires Obligor Intellectual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Property during the term of this Agreement, then the provisions of this Agreement shall automatically apply thereto and any such Obligor Intellectual Property shall automatically constitute part of the Collateral under the Security Documents, without further action by any party, in each case from and after the date of such creation, development or acquisition (except that any representations or warranties of any Obligor shall apply to any such Obligor Intellectual Property only from and after the date, if any, subsequent to such acquisition that such representations and warranties are brought down or made anew as provided herein). In the event that any Obligor holds or acquires Obligor Intellectual Property during the term of this Agreement, then, upon the request of the Administrative Agent, such Obligor shall take any action as shall be reasonably necessary and reasonably requested by the Administrative Agent to ensure that the provisions of this Agreement and the Security Agreement shall apply thereto and any such Obligor Intellectual Property shall constitute part of the Collateral under the Security Documents.</w:t>
      </w:r>
    </w:p>
    <w:p>
      <w:pPr>
        <w:spacing w:after="0" w:line="186" w:lineRule="exact"/>
        <w:rPr>
          <w:sz w:val="20"/>
          <w:szCs w:val="20"/>
          <w:color w:val="auto"/>
        </w:rPr>
      </w:pPr>
    </w:p>
    <w:p>
      <w:pPr>
        <w:jc w:val="both"/>
        <w:ind w:firstLine="432"/>
        <w:spacing w:after="0" w:line="272" w:lineRule="exact"/>
        <w:rPr>
          <w:sz w:val="20"/>
          <w:szCs w:val="20"/>
          <w:color w:val="auto"/>
        </w:rPr>
      </w:pPr>
      <w:r>
        <w:rPr>
          <w:rFonts w:ascii="Times New Roman" w:cs="Times New Roman" w:eastAsia="Times New Roman" w:hAnsi="Times New Roman"/>
          <w:sz w:val="22"/>
          <w:szCs w:val="22"/>
          <w:i w:val="1"/>
          <w:iCs w:val="1"/>
          <w:color w:val="auto"/>
        </w:rPr>
        <w:t>Section 8.12. Termination of 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Permitted Liens. </w:t>
      </w:r>
      <w:r>
        <w:rPr>
          <w:rFonts w:ascii="Times New Roman" w:cs="Times New Roman" w:eastAsia="Times New Roman" w:hAnsi="Times New Roman"/>
          <w:sz w:val="22"/>
          <w:szCs w:val="22"/>
          <w:color w:val="auto"/>
        </w:rPr>
        <w:t>In the event that any Responsible Officer of any Obligor shall become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aware or be notified by the Lenders of the existence of any outstanding Lien against any Property of any Obligor or any of its Subsidiaries, which Lien is not</w:t>
      </w:r>
    </w:p>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Permitted Lien, such Obligor shall use its best efforts to promptly terminate or cause the termination of such Lien.</w:t>
      </w:r>
    </w:p>
    <w:p>
      <w:pPr>
        <w:spacing w:after="0" w:line="229"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8.13. Non-Consolidation. </w:t>
      </w:r>
      <w:r>
        <w:rPr>
          <w:rFonts w:ascii="Times New Roman" w:cs="Times New Roman" w:eastAsia="Times New Roman" w:hAnsi="Times New Roman"/>
          <w:sz w:val="22"/>
          <w:szCs w:val="22"/>
          <w:color w:val="auto"/>
        </w:rPr>
        <w:t>The Borrower will cause each of its Subsidiaries (other than an Obligor) to, (a) maintain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entity records and books of account separate from those of any other entity which is an Affiliate of such entity and (b) not commingle its funds or assets with those of any other entity which is an Affiliate of such entity.</w:t>
      </w:r>
    </w:p>
    <w:p>
      <w:pPr>
        <w:spacing w:after="0" w:line="177" w:lineRule="exact"/>
        <w:rPr>
          <w:sz w:val="20"/>
          <w:szCs w:val="20"/>
          <w:color w:val="auto"/>
        </w:rPr>
      </w:pPr>
    </w:p>
    <w:p>
      <w:pPr>
        <w:jc w:val="both"/>
        <w:ind w:firstLine="445"/>
        <w:spacing w:after="0" w:line="258" w:lineRule="exact"/>
        <w:rPr>
          <w:sz w:val="20"/>
          <w:szCs w:val="20"/>
          <w:color w:val="auto"/>
        </w:rPr>
      </w:pPr>
      <w:r>
        <w:rPr>
          <w:rFonts w:ascii="Times New Roman" w:cs="Times New Roman" w:eastAsia="Times New Roman" w:hAnsi="Times New Roman"/>
          <w:sz w:val="22"/>
          <w:szCs w:val="22"/>
          <w:i w:val="1"/>
          <w:iCs w:val="1"/>
          <w:color w:val="auto"/>
        </w:rPr>
        <w:t>Section 8.14. 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Terrorism and 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Corruption Laws </w:t>
      </w:r>
      <w:r>
        <w:rPr>
          <w:rFonts w:ascii="Times New Roman" w:cs="Times New Roman" w:eastAsia="Times New Roman" w:hAnsi="Times New Roman"/>
          <w:sz w:val="22"/>
          <w:szCs w:val="22"/>
          <w:color w:val="auto"/>
        </w:rPr>
        <w:t>. No Obligor shall engage in any transaction that violates any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applicable prohibitions set forth in any Economic Sanctions Law,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 or any Anti-Corruption Law. None of the funds or assets of such Obligor or any Subsidiary that are used to repay the Term Loans shall constitute property of, or shall be beneficially owned by, any Designated Person or, to such Obligor’s knowledge, be the direct proceeds derived from any transactions that violate the prohibitions set forth in any applicable Economic Sanctions Law, and no Designated Person shall have any direct or indirect interest in such Obligor insofar as such interest would violate any Economic Sanctions Laws applicable to such Obligor.</w:t>
      </w:r>
    </w:p>
    <w:p>
      <w:pPr>
        <w:spacing w:after="0" w:line="215"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8.15.</w:t>
      </w:r>
      <w:r>
        <w:rPr>
          <w:sz w:val="20"/>
          <w:szCs w:val="20"/>
          <w:color w:val="auto"/>
        </w:rPr>
        <w:tab/>
      </w:r>
      <w:r>
        <w:rPr>
          <w:rFonts w:ascii="Times New Roman" w:cs="Times New Roman" w:eastAsia="Times New Roman" w:hAnsi="Times New Roman"/>
          <w:sz w:val="21"/>
          <w:szCs w:val="21"/>
          <w:i w:val="1"/>
          <w:iCs w:val="1"/>
          <w:color w:val="auto"/>
        </w:rPr>
        <w:t>Financial Covenants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480" w:firstLine="1027"/>
        <w:spacing w:after="0" w:line="262" w:lineRule="auto"/>
        <w:tabs>
          <w:tab w:leader="none" w:pos="194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Minimum Liquidity. </w:t>
      </w:r>
      <w:r>
        <w:rPr>
          <w:rFonts w:ascii="Times New Roman" w:cs="Times New Roman" w:eastAsia="Times New Roman" w:hAnsi="Times New Roman"/>
          <w:sz w:val="22"/>
          <w:szCs w:val="22"/>
          <w:color w:val="auto"/>
        </w:rPr>
        <w:t>The Borrower shall ensure that the Obligors shall have aggregate Unrestricted Cash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less than $2,500,000 at all times.</w:t>
      </w:r>
    </w:p>
    <w:p>
      <w:pPr>
        <w:spacing w:after="0" w:line="190" w:lineRule="exact"/>
        <w:rPr>
          <w:rFonts w:ascii="Times New Roman" w:cs="Times New Roman" w:eastAsia="Times New Roman" w:hAnsi="Times New Roman"/>
          <w:sz w:val="22"/>
          <w:szCs w:val="22"/>
          <w:color w:val="auto"/>
        </w:rPr>
      </w:pPr>
    </w:p>
    <w:p>
      <w:pPr>
        <w:jc w:val="both"/>
        <w:ind w:left="480" w:firstLine="1027"/>
        <w:spacing w:after="0" w:line="246" w:lineRule="auto"/>
        <w:tabs>
          <w:tab w:leader="none" w:pos="194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Minimum Net Revenue</w:t>
      </w:r>
      <w:r>
        <w:rPr>
          <w:rFonts w:ascii="Times New Roman" w:cs="Times New Roman" w:eastAsia="Times New Roman" w:hAnsi="Times New Roman"/>
          <w:sz w:val="22"/>
          <w:szCs w:val="22"/>
          <w:color w:val="auto"/>
        </w:rPr>
        <w:t>. As of the end of the fiscal quarter ended March 31, 2023, and each fiscal quarter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thereafter, the Obligors shall maintain, on a consolidated basis, Net Revenue as agreed to in writing between the Borrower and the Administrative Agent from time to time.</w:t>
      </w:r>
    </w:p>
    <w:p>
      <w:pPr>
        <w:spacing w:after="0" w:line="208"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8.16. Maintenance of Regulatory Approvals, Contracts and Intellectual Property. </w:t>
      </w:r>
      <w:r>
        <w:rPr>
          <w:rFonts w:ascii="Times New Roman" w:cs="Times New Roman" w:eastAsia="Times New Roman" w:hAnsi="Times New Roman"/>
          <w:sz w:val="22"/>
          <w:szCs w:val="22"/>
          <w:color w:val="auto"/>
        </w:rPr>
        <w:t>Each Obligor will, and will cause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of its Subsidiaries (to the extent applicable) to:</w:t>
      </w:r>
    </w:p>
    <w:p>
      <w:pPr>
        <w:spacing w:after="0" w:line="181" w:lineRule="exact"/>
        <w:rPr>
          <w:sz w:val="20"/>
          <w:szCs w:val="20"/>
          <w:color w:val="auto"/>
        </w:rPr>
      </w:pPr>
    </w:p>
    <w:p>
      <w:pPr>
        <w:jc w:val="both"/>
        <w:ind w:left="760" w:firstLine="745"/>
        <w:spacing w:after="0" w:line="239" w:lineRule="auto"/>
        <w:tabs>
          <w:tab w:leader="none" w:pos="194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in full force and effect all CLIA laboratory certifications or accreditations, Regulatory Approvals (including the Product Authorizations), Material Agreements, or other rights necessary for the current operations of such Obligor’s or such Subsidiary’s business, as the case may be, except where failure to do so, individually or in the aggregate, would not reasonably be expected to have a Material Adverse Effect;</w:t>
      </w:r>
    </w:p>
    <w:p>
      <w:pPr>
        <w:spacing w:after="0" w:line="22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in full force and effect all Material Intellectual Property that is used in and necessary for current operations; and</w:t>
      </w:r>
    </w:p>
    <w:p>
      <w:pPr>
        <w:spacing w:after="0" w:line="19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pursue and maintain in full force and effect legal protection for all new, Material Intellectual Property that is used in and necessary in connection with any Product Development and Commercialization Activities by such Obligor relating to any such Product.</w:t>
      </w:r>
    </w:p>
    <w:p>
      <w:pPr>
        <w:spacing w:after="0" w:line="31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221"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8.17.</w:t>
      </w:r>
      <w:r>
        <w:rPr>
          <w:sz w:val="20"/>
          <w:szCs w:val="20"/>
          <w:color w:val="auto"/>
        </w:rPr>
        <w:tab/>
      </w:r>
      <w:r>
        <w:rPr>
          <w:rFonts w:ascii="Times New Roman" w:cs="Times New Roman" w:eastAsia="Times New Roman" w:hAnsi="Times New Roman"/>
          <w:sz w:val="21"/>
          <w:szCs w:val="21"/>
          <w:i w:val="1"/>
          <w:iCs w:val="1"/>
          <w:color w:val="auto"/>
        </w:rPr>
        <w:t>Cash Management</w:t>
      </w:r>
      <w:r>
        <w:rPr>
          <w:rFonts w:ascii="Times New Roman" w:cs="Times New Roman" w:eastAsia="Times New Roman" w:hAnsi="Times New Roman"/>
          <w:sz w:val="21"/>
          <w:szCs w:val="21"/>
          <w:color w:val="auto"/>
        </w:rPr>
        <w:t>. It will, and will cause each of their Subsidiaries to:</w:t>
      </w:r>
    </w:p>
    <w:p>
      <w:pPr>
        <w:spacing w:after="0" w:line="237" w:lineRule="exact"/>
        <w:rPr>
          <w:sz w:val="20"/>
          <w:szCs w:val="20"/>
          <w:color w:val="auto"/>
        </w:rPr>
      </w:pPr>
    </w:p>
    <w:p>
      <w:pPr>
        <w:jc w:val="both"/>
        <w:ind w:left="760" w:firstLine="745"/>
        <w:spacing w:after="0" w:line="255" w:lineRule="auto"/>
        <w:tabs>
          <w:tab w:leader="none" w:pos="1941"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Section 8.18, maintain all Deposit Accounts, Securities Accounts, Commodity Accounts and lockboxes (other than Excluded Accounts) with a bank or financial institution that has executed and delivered to the Administrative Agent an account control agreement, in form and substance reasonably acceptable to the Administrative Agent (each such Deposit Account, Securities Account, Commodity Account and lockbox, a </w:t>
      </w:r>
      <w:r>
        <w:rPr>
          <w:rFonts w:ascii="Times New Roman" w:cs="Times New Roman" w:eastAsia="Times New Roman" w:hAnsi="Times New Roman"/>
          <w:sz w:val="21"/>
          <w:szCs w:val="21"/>
          <w:i w:val="1"/>
          <w:iCs w:val="1"/>
          <w:color w:val="auto"/>
        </w:rPr>
        <w:t>“Controlled Account”</w:t>
      </w:r>
      <w:r>
        <w:rPr>
          <w:rFonts w:ascii="Times New Roman" w:cs="Times New Roman" w:eastAsia="Times New Roman" w:hAnsi="Times New Roman"/>
          <w:sz w:val="21"/>
          <w:szCs w:val="21"/>
          <w:color w:val="auto"/>
        </w:rPr>
        <w:t>);</w:t>
      </w:r>
    </w:p>
    <w:p>
      <w:pPr>
        <w:spacing w:after="0" w:line="202" w:lineRule="exact"/>
        <w:rPr>
          <w:rFonts w:ascii="Times New Roman" w:cs="Times New Roman" w:eastAsia="Times New Roman" w:hAnsi="Times New Roman"/>
          <w:sz w:val="21"/>
          <w:szCs w:val="21"/>
          <w:color w:val="auto"/>
        </w:rPr>
      </w:pPr>
    </w:p>
    <w:p>
      <w:pPr>
        <w:jc w:val="both"/>
        <w:ind w:left="760" w:firstLine="745"/>
        <w:spacing w:after="0" w:line="239" w:lineRule="auto"/>
        <w:tabs>
          <w:tab w:leader="none" w:pos="194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8.18, deposit promptly, and in any event no later than five (5) Business Days after the date of receipt thereof, all cash, checks, drafts or other similar items of payment relating to or constituting payments greater than $75,000 in the aggregate at any time made in respect of any and all accounts and other rights and interests into Controlled Accounts; and</w:t>
      </w:r>
    </w:p>
    <w:p>
      <w:pPr>
        <w:spacing w:after="0" w:line="220"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shall deposit any funds to a Segregated Health Care Account or direct or permit any other Person to deposit any funds to a Segregated Health Care Account, other than funds received from third-party payer payments pertaining to clinical diagnostic testing claims including those received from Federal Health Care Programs. Subject to Section 8.18, the Obligors shall cause all amounts deposited into the Segregated Health Care Accounts to be automatically swept on a daily basis to a Controlled Account pursuant to a Sweep Agreement. Any such Sweep Agreement will require such depository bank to waive all of its existing and future rights of recoupment and set-off and banker’s lien against any Segregated Health Care Accounts, but shall permit such depository bank to maintain its existing and future rights of recoupment and set-off and banker’s lien against any Controlled Account.</w:t>
      </w:r>
    </w:p>
    <w:p>
      <w:pPr>
        <w:spacing w:after="0" w:line="201"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8.18. Post-Funding Obligations </w:t>
      </w:r>
      <w:r>
        <w:rPr>
          <w:rFonts w:ascii="Times New Roman" w:cs="Times New Roman" w:eastAsia="Times New Roman" w:hAnsi="Times New Roman"/>
          <w:sz w:val="22"/>
          <w:szCs w:val="22"/>
          <w:color w:val="auto"/>
        </w:rPr>
        <w:t>. The Obligors will provide the items set forth in Schedule 8.18 within the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periods set forth therein.</w:t>
      </w: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egative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ovenants</w:t>
      </w:r>
    </w:p>
    <w:p>
      <w:pPr>
        <w:spacing w:after="0" w:line="25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Obligor covenants and agrees with the Administrative Agent and the Lenders that, commencing on the Funding Date and until the Commitments have expired or been terminated and all Obligations (other than the Warrant Obligations and contingent and unmatured indemnity and expense reimbursement obligations) have been paid in full in cash:</w:t>
      </w:r>
    </w:p>
    <w:p>
      <w:pPr>
        <w:spacing w:after="0" w:line="210"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9.01. Indebtedness. </w:t>
      </w:r>
      <w:r>
        <w:rPr>
          <w:rFonts w:ascii="Times New Roman" w:cs="Times New Roman" w:eastAsia="Times New Roman" w:hAnsi="Times New Roman"/>
          <w:sz w:val="22"/>
          <w:szCs w:val="22"/>
          <w:color w:val="auto"/>
        </w:rPr>
        <w:t>It will not, and will not permit any of its Subsidiaries to, create, incur, assume or permit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exist any Indebtedness, whether directly or indirectly, except:</w:t>
      </w:r>
    </w:p>
    <w:p>
      <w:pPr>
        <w:spacing w:after="0" w:line="181" w:lineRule="exact"/>
        <w:rPr>
          <w:sz w:val="20"/>
          <w:szCs w:val="20"/>
          <w:color w:val="auto"/>
        </w:rPr>
      </w:pPr>
    </w:p>
    <w:p>
      <w:pPr>
        <w:ind w:left="1940" w:hanging="435"/>
        <w:spacing w:after="0"/>
        <w:tabs>
          <w:tab w:leader="none" w:pos="194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w:t>
      </w:r>
    </w:p>
    <w:p>
      <w:pPr>
        <w:spacing w:after="0" w:line="24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existing on the date hereof and set forth in Schedule 7.13A;</w:t>
      </w:r>
    </w:p>
    <w:p>
      <w:pPr>
        <w:spacing w:after="0" w:line="347"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225" w:lineRule="exact"/>
        <w:rPr>
          <w:sz w:val="20"/>
          <w:szCs w:val="20"/>
          <w:color w:val="auto"/>
        </w:rPr>
      </w:pPr>
    </w:p>
    <w:p>
      <w:pPr>
        <w:ind w:left="-360" w:right="20" w:firstLine="745"/>
        <w:spacing w:after="0" w:line="258" w:lineRule="auto"/>
        <w:tabs>
          <w:tab w:leader="none" w:pos="82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payable to trade creditors for goods and services and current operating liabilities (not the result of the borrowing of money) incurred in the Ordinary Course of Business;</w:t>
      </w:r>
    </w:p>
    <w:p>
      <w:pPr>
        <w:spacing w:after="0" w:line="185"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82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guarantees resulting from endorsement of negotiable instruments for collection by an Obligor or any of its Subsidiaries in the Ordinary Course of Business;</w:t>
      </w:r>
    </w:p>
    <w:p>
      <w:pPr>
        <w:spacing w:after="0" w:line="194" w:lineRule="exact"/>
        <w:rPr>
          <w:rFonts w:ascii="Times New Roman" w:cs="Times New Roman" w:eastAsia="Times New Roman" w:hAnsi="Times New Roman"/>
          <w:sz w:val="22"/>
          <w:szCs w:val="22"/>
          <w:color w:val="auto"/>
        </w:rPr>
      </w:pPr>
    </w:p>
    <w:p>
      <w:pPr>
        <w:jc w:val="both"/>
        <w:ind w:left="-360" w:firstLine="745"/>
        <w:spacing w:after="0" w:line="263" w:lineRule="auto"/>
        <w:tabs>
          <w:tab w:leader="none" w:pos="821"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unsecured Indebtedness of an Obligor to any other Obligor;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such Indebtedness is pledged to the Administrative Agent for the benefit of the Lenders under the Security Agreement and otherwise subordinate in right of payment to the Obligations on terms reasonably satisfactory to the Administrative Agent in its reasonable discretion;</w:t>
      </w:r>
    </w:p>
    <w:p>
      <w:pPr>
        <w:spacing w:after="0" w:line="195" w:lineRule="exact"/>
        <w:rPr>
          <w:rFonts w:ascii="Times New Roman" w:cs="Times New Roman" w:eastAsia="Times New Roman" w:hAnsi="Times New Roman"/>
          <w:sz w:val="21"/>
          <w:szCs w:val="21"/>
          <w:color w:val="auto"/>
        </w:rPr>
      </w:pPr>
    </w:p>
    <w:p>
      <w:pPr>
        <w:ind w:left="820" w:hanging="435"/>
        <w:spacing w:after="0"/>
        <w:tabs>
          <w:tab w:leader="none" w:pos="82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any Obligor of Indebtedness of any other Obligor;</w:t>
      </w:r>
    </w:p>
    <w:p>
      <w:pPr>
        <w:spacing w:after="0" w:line="229"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82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money Indebtedness and Capital Lease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if secured, the collateral therefor consists solely of the assets being financed, the products and proceeds thereof and books and records related thereto, (ii) in the case of purchase money Indebtedness, such Indebtedness shall not constitute less than 75% of the aggregate consideration paid with respect to such asset and (iii) the aggregate outstanding principal amount of such Indebtedness does not exceed $3,000,000 at any time;</w:t>
      </w:r>
    </w:p>
    <w:p>
      <w:pPr>
        <w:spacing w:after="0" w:line="221"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2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(other than any non-consensual Liens) workers’ compensation Claims, payment obligations in connection with health, disability or other types of social security or other employee related benefits, unemployment or other insurance obligations (including premiums related thereto), reclamation and statutory obligations, in each case incurred in the Ordinary Course of Business;</w:t>
      </w:r>
    </w:p>
    <w:p>
      <w:pPr>
        <w:spacing w:after="0" w:line="220"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82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unfunded pension fund and other employee benefit plan obligations and liabilities incurred in the Ordinary Course of Business;</w:t>
      </w:r>
    </w:p>
    <w:p>
      <w:pPr>
        <w:spacing w:after="0" w:line="185"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Hedging Agreements permitted pursuant to Section 9.05(f);</w:t>
      </w:r>
    </w:p>
    <w:p>
      <w:pPr>
        <w:spacing w:after="0" w:line="246"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approved in advance in writing by the Majority Lenders;</w:t>
      </w:r>
    </w:p>
    <w:p>
      <w:pPr>
        <w:spacing w:after="0" w:line="246" w:lineRule="exact"/>
        <w:rPr>
          <w:rFonts w:ascii="Times New Roman" w:cs="Times New Roman" w:eastAsia="Times New Roman" w:hAnsi="Times New Roman"/>
          <w:sz w:val="22"/>
          <w:szCs w:val="22"/>
          <w:color w:val="auto"/>
        </w:rPr>
      </w:pPr>
    </w:p>
    <w:p>
      <w:pPr>
        <w:ind w:left="-360" w:firstLine="745"/>
        <w:spacing w:after="0" w:line="258" w:lineRule="auto"/>
        <w:tabs>
          <w:tab w:leader="none" w:pos="82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and its Subsidiaries with respect to overdrafts or corporate credit cards not to exceed $250,000 at any time outstanding;</w:t>
      </w:r>
    </w:p>
    <w:p>
      <w:pPr>
        <w:spacing w:after="0" w:line="185"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Milestone Payments together with any interest accruing with respect thereto;</w:t>
      </w:r>
    </w:p>
    <w:p>
      <w:pPr>
        <w:spacing w:after="0" w:line="246" w:lineRule="exact"/>
        <w:rPr>
          <w:rFonts w:ascii="Times New Roman" w:cs="Times New Roman" w:eastAsia="Times New Roman" w:hAnsi="Times New Roman"/>
          <w:sz w:val="22"/>
          <w:szCs w:val="22"/>
          <w:color w:val="auto"/>
        </w:rPr>
      </w:pPr>
    </w:p>
    <w:p>
      <w:pPr>
        <w:jc w:val="both"/>
        <w:ind w:left="-360" w:right="20" w:firstLine="745"/>
        <w:spacing w:after="0" w:line="244" w:lineRule="auto"/>
        <w:tabs>
          <w:tab w:leader="none" w:pos="82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shall have occurred and is continuing at the time of such Indebtedness is incurred, or after giving effect thereto, other unsecured Indebtedness in an aggregate principal amount not to exceed $1,000,000 at any time outstanding;</w:t>
      </w:r>
    </w:p>
    <w:p>
      <w:pPr>
        <w:spacing w:after="0" w:line="314"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19" w:name="page220"/>
    <w:bookmarkEnd w:id="219"/>
    <w:p>
      <w:pPr>
        <w:spacing w:after="0" w:line="225" w:lineRule="exact"/>
        <w:rPr>
          <w:sz w:val="20"/>
          <w:szCs w:val="20"/>
          <w:color w:val="auto"/>
        </w:rPr>
      </w:pPr>
    </w:p>
    <w:p>
      <w:pPr>
        <w:jc w:val="both"/>
        <w:ind w:left="760" w:firstLine="745"/>
        <w:spacing w:after="0" w:line="236" w:lineRule="auto"/>
        <w:tabs>
          <w:tab w:leader="none" w:pos="194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Borrower and/or any Subsidiary (i) pursuant to tenders, statutory obligations (including health, safety and environmental obligations), bids, leases, governmental contracts, trade contracts, surety, indemnity, stay, customs, judgment, appeal, performance, completion and/or return of money bonds or guaranties, contract manufacturer obligations or other similar obligations incurred in the Ordinary Course of Business, and (ii) in respect of letters of credit, bank guaranties, surety bonds, performance bonds or similar instruments to support any of the foregoing items in the Ordinary Course of Business;</w:t>
      </w:r>
    </w:p>
    <w:p>
      <w:pPr>
        <w:spacing w:after="0" w:line="20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any agreement providing for treasury, depositary or cash management services, including in connection with any automated clearing house transfers of funds or any similar transfers, netting services, overdraft protections and other cash management and similar arrangements, in each case, in the Ordinary Course of Business;</w:t>
      </w:r>
    </w:p>
    <w:p>
      <w:pPr>
        <w:spacing w:after="0" w:line="22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deposits and advance payments received in the Ordinary Course of Business from customers for goods and services purchased in the Ordinary Course of Business;</w:t>
      </w:r>
    </w:p>
    <w:p>
      <w:pPr>
        <w:spacing w:after="0" w:line="19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the deferred obligations to pay insurance premiums in respect of insurance policies pursuant to Section 8.05 insuring assets or businesses of an Obligor written or arranged in such Obligor’s Ordinary Course of Business and which are payable within one (1) year;</w:t>
      </w:r>
    </w:p>
    <w:p>
      <w:pPr>
        <w:spacing w:after="0" w:line="20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connection with letters of credit that are secured solely by cash or Permitted Cash Equivalent Investments and issued on behalf of the Borrower in the Ordinary Course of Business in an aggregate amount outstanding not to exceed $1,000,000 at any time;</w:t>
      </w:r>
    </w:p>
    <w:p>
      <w:pPr>
        <w:spacing w:after="0" w:line="21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constituting of deposits or prepayments received from customers in the Ordinary Course of Business; and</w:t>
      </w:r>
    </w:p>
    <w:p>
      <w:pPr>
        <w:spacing w:after="0" w:line="19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Refinancings of any of the foregoing clauses (b) through (t).</w:t>
      </w:r>
    </w:p>
    <w:p>
      <w:pPr>
        <w:spacing w:after="0" w:line="229"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9.02.</w:t>
        <w:tab/>
        <w:t xml:space="preserve">Liens.  </w:t>
      </w:r>
      <w:r>
        <w:rPr>
          <w:rFonts w:ascii="Times New Roman" w:cs="Times New Roman" w:eastAsia="Times New Roman" w:hAnsi="Times New Roman"/>
          <w:sz w:val="22"/>
          <w:szCs w:val="22"/>
          <w:color w:val="auto"/>
        </w:rPr>
        <w:t>It will not, and will not permit any of its Subsidiaries to, create, incur, assume or permit to exist 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Lien on any Property now owned by it, except:</w:t>
      </w:r>
    </w:p>
    <w:p>
      <w:pPr>
        <w:spacing w:after="0" w:line="223" w:lineRule="exact"/>
        <w:rPr>
          <w:sz w:val="20"/>
          <w:szCs w:val="20"/>
          <w:color w:val="auto"/>
        </w:rPr>
      </w:pPr>
    </w:p>
    <w:p>
      <w:pPr>
        <w:ind w:left="1940" w:hanging="435"/>
        <w:spacing w:after="0"/>
        <w:tabs>
          <w:tab w:leader="none" w:pos="194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the Obligations;</w:t>
      </w:r>
    </w:p>
    <w:p>
      <w:pPr>
        <w:spacing w:after="0" w:line="24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Property of any Obligor existing on the date hereof and set forth in Schedule 7.13B;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 no such Lien shall extend to any other Property of such Obligor and (ii) any such Lien shall secure only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those obligations which it secures on the date hereof and extensions, renewals and replacements thereof that do not increase the outstanding principal amount thereof;</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221" w:lineRule="exact"/>
        <w:rPr>
          <w:sz w:val="20"/>
          <w:szCs w:val="20"/>
          <w:color w:val="auto"/>
        </w:rPr>
      </w:pPr>
    </w:p>
    <w:p>
      <w:pPr>
        <w:ind w:left="-360" w:right="20" w:firstLine="745"/>
        <w:spacing w:after="0" w:line="262" w:lineRule="auto"/>
        <w:tabs>
          <w:tab w:leader="none" w:pos="82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Section 9.01(g);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are restricted solely to the collateral described in Section 9.01(g);</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82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which were incurred in the Ordinary Course of Business, including (but not limited to) carriers’, warehousemen’s, landlords’ and mechanics’ Liens, Liens relating to leasehold improvements and other similar liens arising in the Ordinary Course of Business and which (i) do not in the aggregate materially detract from the value of the Property subject thereto or materially impair the use thereof in the operations of the business of such Person or (ii) are being contested in good faith by appropriate proceedings, which proceedings have the effect of preventing the forfeiture or sale of the Property subject to such Liens and for which adequate reserves have been made if required substantially in accordance with GAAP;</w:t>
      </w:r>
    </w:p>
    <w:p>
      <w:pPr>
        <w:spacing w:after="0" w:line="223"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pledges or deposits made in the Ordinary Course of Business in connection with bids, grant applications, Contracts, leases, surety, performance and appeal bonds, workers’ compensation, unemployment insurance or other similar social security or employment Laws;</w:t>
      </w:r>
    </w:p>
    <w:p>
      <w:pPr>
        <w:spacing w:after="0" w:line="213" w:lineRule="exact"/>
        <w:rPr>
          <w:rFonts w:ascii="Times New Roman" w:cs="Times New Roman" w:eastAsia="Times New Roman" w:hAnsi="Times New Roman"/>
          <w:sz w:val="22"/>
          <w:szCs w:val="22"/>
          <w:color w:val="auto"/>
        </w:rPr>
      </w:pPr>
    </w:p>
    <w:p>
      <w:pPr>
        <w:jc w:val="both"/>
        <w:ind w:left="-360" w:right="20" w:firstLine="745"/>
        <w:spacing w:after="0" w:line="244" w:lineRule="auto"/>
        <w:tabs>
          <w:tab w:leader="none" w:pos="82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w:t>
      </w:r>
    </w:p>
    <w:p>
      <w:pPr>
        <w:spacing w:after="0" w:line="200"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82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materially interfere with the ordinary conduct of the business of any of the Obligors;</w:t>
      </w:r>
    </w:p>
    <w:p>
      <w:pPr>
        <w:spacing w:after="0" w:line="217" w:lineRule="exact"/>
        <w:rPr>
          <w:rFonts w:ascii="Times New Roman" w:cs="Times New Roman" w:eastAsia="Times New Roman" w:hAnsi="Times New Roman"/>
          <w:sz w:val="22"/>
          <w:szCs w:val="22"/>
          <w:color w:val="auto"/>
        </w:rPr>
      </w:pPr>
    </w:p>
    <w:p>
      <w:pPr>
        <w:ind w:left="-360" w:firstLine="745"/>
        <w:spacing w:after="0" w:line="239" w:lineRule="auto"/>
        <w:tabs>
          <w:tab w:leader="none" w:pos="1253"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bankers’ Liens, rights of setoff and similar Liens incurred on deposits in the Ordinary Course of Business or otherwise arising in connection with the Obligors’ Deposit Accounts or Securities Accounts or credit card programs held at financial institutions to secure payment of fees and similar costs and expenses of such financial institutions with respect to such accounts or programs;</w:t>
      </w:r>
    </w:p>
    <w:p>
      <w:pPr>
        <w:spacing w:after="0" w:line="220" w:lineRule="exact"/>
        <w:rPr>
          <w:rFonts w:ascii="Times New Roman" w:cs="Times New Roman" w:eastAsia="Times New Roman" w:hAnsi="Times New Roman"/>
          <w:sz w:val="22"/>
          <w:szCs w:val="22"/>
          <w:color w:val="auto"/>
        </w:rPr>
      </w:pPr>
    </w:p>
    <w:p>
      <w:pPr>
        <w:ind w:left="1240" w:hanging="855"/>
        <w:spacing w:after="0"/>
        <w:tabs>
          <w:tab w:leader="none" w:pos="124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connection with transfers permitted under Section 9.09;</w:t>
      </w:r>
    </w:p>
    <w:p>
      <w:pPr>
        <w:spacing w:after="0" w:line="233" w:lineRule="exact"/>
        <w:rPr>
          <w:rFonts w:ascii="Times New Roman" w:cs="Times New Roman" w:eastAsia="Times New Roman" w:hAnsi="Times New Roman"/>
          <w:sz w:val="22"/>
          <w:szCs w:val="22"/>
          <w:color w:val="auto"/>
        </w:rPr>
      </w:pPr>
    </w:p>
    <w:p>
      <w:pPr>
        <w:ind w:left="1240" w:hanging="855"/>
        <w:spacing w:after="0"/>
        <w:tabs>
          <w:tab w:leader="none" w:pos="124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judgment Lien or Lien arising from decrees or attachments not constituting an Event of Default;</w:t>
      </w:r>
    </w:p>
    <w:p>
      <w:pPr>
        <w:spacing w:after="0" w:line="246"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1253"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or subleases of real property granted in the Ordinary Course of Business, and leases, subleases, nonexclusive licenses or sublicenses of personal property (other than Intellectual Property) granted in the Ordinary Course of Business;</w:t>
      </w:r>
    </w:p>
    <w:p>
      <w:pPr>
        <w:spacing w:after="0" w:line="314"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21" w:name="page222"/>
    <w:bookmarkEnd w:id="221"/>
    <w:p>
      <w:pPr>
        <w:spacing w:after="0" w:line="225" w:lineRule="exact"/>
        <w:rPr>
          <w:sz w:val="20"/>
          <w:szCs w:val="20"/>
          <w:color w:val="auto"/>
        </w:rPr>
      </w:pPr>
    </w:p>
    <w:p>
      <w:pPr>
        <w:jc w:val="both"/>
        <w:ind w:left="760" w:right="20" w:firstLine="745"/>
        <w:spacing w:after="0" w:line="244" w:lineRule="auto"/>
        <w:tabs>
          <w:tab w:leader="none" w:pos="2373"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the payment of custom duties in connection with the importation of goods, not securing an amount in the aggregate in excess of $500,000 at any given time;</w:t>
      </w:r>
    </w:p>
    <w:p>
      <w:pPr>
        <w:spacing w:after="0" w:line="20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373"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 Deposit Account of the Obligors and the cash and Permitted Cash Equivalent Investments therein, in each case, securing Indebtedness described in Section 9.01(l);</w:t>
      </w:r>
    </w:p>
    <w:p>
      <w:pPr>
        <w:spacing w:after="0" w:line="198" w:lineRule="exact"/>
        <w:rPr>
          <w:rFonts w:ascii="Times New Roman" w:cs="Times New Roman" w:eastAsia="Times New Roman" w:hAnsi="Times New Roman"/>
          <w:sz w:val="22"/>
          <w:szCs w:val="22"/>
          <w:color w:val="auto"/>
        </w:rPr>
      </w:pPr>
    </w:p>
    <w:p>
      <w:pPr>
        <w:ind w:left="760" w:right="100" w:firstLine="745"/>
        <w:spacing w:after="0" w:line="258" w:lineRule="auto"/>
        <w:tabs>
          <w:tab w:leader="none" w:pos="2373"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collateral securing reimbursement obligations in respect of Indebtedness permitted under Section 9.01(s);</w:t>
      </w:r>
    </w:p>
    <w:p>
      <w:pPr>
        <w:spacing w:after="0" w:line="198"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insurance policies and the proceeds thereof securing the financing of the premiums with</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respect thereto;</w:t>
      </w:r>
    </w:p>
    <w:p>
      <w:pPr>
        <w:spacing w:after="0" w:line="209" w:lineRule="exact"/>
        <w:rPr>
          <w:rFonts w:ascii="Times New Roman" w:cs="Times New Roman" w:eastAsia="Times New Roman" w:hAnsi="Times New Roman"/>
          <w:sz w:val="22"/>
          <w:szCs w:val="22"/>
          <w:color w:val="auto"/>
        </w:rPr>
      </w:pPr>
    </w:p>
    <w:p>
      <w:pPr>
        <w:ind w:left="760" w:right="80" w:firstLine="745"/>
        <w:spacing w:after="0" w:line="258" w:lineRule="auto"/>
        <w:tabs>
          <w:tab w:leader="none" w:pos="2373"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securing other obligations to the extent permitted hereby not to exceed $500,000 in an aggregate principal amount at any time outstanding; and</w:t>
      </w:r>
    </w:p>
    <w:p>
      <w:pPr>
        <w:spacing w:after="0" w:line="198"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Licenses;</w:t>
      </w:r>
    </w:p>
    <w:p>
      <w:pPr>
        <w:spacing w:after="0" w:line="24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Lien otherwise permitted under any of the foregoing Sections 9.02 (excluding Sections 9.02(a), 9.02(b)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9.02(q)) shall apply to any Material Intellectual Property.</w:t>
      </w:r>
    </w:p>
    <w:p>
      <w:pPr>
        <w:spacing w:after="0" w:line="177"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9.03.</w:t>
      </w:r>
      <w:r>
        <w:rPr>
          <w:sz w:val="20"/>
          <w:szCs w:val="20"/>
          <w:color w:val="auto"/>
        </w:rPr>
        <w:tab/>
      </w:r>
      <w:r>
        <w:rPr>
          <w:rFonts w:ascii="Times New Roman" w:cs="Times New Roman" w:eastAsia="Times New Roman" w:hAnsi="Times New Roman"/>
          <w:sz w:val="21"/>
          <w:szCs w:val="21"/>
          <w:i w:val="1"/>
          <w:iCs w:val="1"/>
          <w:color w:val="auto"/>
        </w:rPr>
        <w:t xml:space="preserve">Fundamental Changes and Acquisitions. </w:t>
      </w:r>
      <w:r>
        <w:rPr>
          <w:rFonts w:ascii="Times New Roman" w:cs="Times New Roman" w:eastAsia="Times New Roman" w:hAnsi="Times New Roman"/>
          <w:sz w:val="21"/>
          <w:szCs w:val="21"/>
          <w:color w:val="auto"/>
        </w:rPr>
        <w:t>It will not, and will not permit any of its Subsidiaries to:</w:t>
      </w:r>
    </w:p>
    <w:p>
      <w:pPr>
        <w:spacing w:after="0" w:line="251" w:lineRule="exact"/>
        <w:rPr>
          <w:sz w:val="20"/>
          <w:szCs w:val="20"/>
          <w:color w:val="auto"/>
        </w:rPr>
      </w:pPr>
    </w:p>
    <w:p>
      <w:pPr>
        <w:ind w:left="760" w:firstLine="745"/>
        <w:spacing w:after="0" w:line="261" w:lineRule="exact"/>
        <w:tabs>
          <w:tab w:leader="none" w:pos="2373"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or consummate any transaction of merger, amalgamation, plan of arrangement or consolidation, including without limitation, a reverse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triangular merger, or other similar transaction or series of related transactions;</w:t>
      </w:r>
    </w:p>
    <w:p>
      <w:pPr>
        <w:spacing w:after="0" w:line="217"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44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liquidate, wind up or dissolve itself (or suffer any liquidation, wind up or dissolution) (including in connection with any division or plan of division under Delaware law or any comparable event under a different jurisdiction’s laws); or</w:t>
      </w:r>
    </w:p>
    <w:p>
      <w:pPr>
        <w:spacing w:after="0" w:line="200"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consummate any Acquisition or sell or issue any Disqualified Equity Interests, except, in</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case:</w:t>
      </w:r>
    </w:p>
    <w:p>
      <w:pPr>
        <w:spacing w:after="0" w:line="222"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permitted under Section 9.05;</w:t>
      </w:r>
    </w:p>
    <w:p>
      <w:pPr>
        <w:spacing w:after="0" w:line="24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3113"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 for (A) aggregate cash consideration not to exceed $2,000,000 and total consideration not to exceed $5,000,000, in each case, for the duration of this Agreement or (B) such greater amount as agreed to from time to time by the Administrative Agent in its reasonable discretion;</w:t>
      </w:r>
    </w:p>
    <w:p>
      <w:pPr>
        <w:spacing w:after="0" w:line="200"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3113"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merger, amalgamation or consolidation of any Obligor with or into any other Obligor,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if the Borrower is a party to such merger, amalgamation or consolidation, the Borrower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surviving entity;</w:t>
      </w:r>
    </w:p>
    <w:p>
      <w:pPr>
        <w:spacing w:after="0" w:line="31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225" w:lineRule="exact"/>
        <w:rPr>
          <w:sz w:val="20"/>
          <w:szCs w:val="20"/>
          <w:color w:val="auto"/>
        </w:rPr>
      </w:pPr>
    </w:p>
    <w:p>
      <w:pPr>
        <w:ind w:left="2680" w:hanging="426"/>
        <w:spacing w:after="0"/>
        <w:tabs>
          <w:tab w:leader="none" w:pos="26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by any Obligor of any or all of its property to any other</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Obligor; and</w:t>
      </w:r>
    </w:p>
    <w:p>
      <w:pPr>
        <w:spacing w:after="0" w:line="209"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and other transfers permitted under Section 9.09.</w:t>
      </w:r>
    </w:p>
    <w:p>
      <w:pPr>
        <w:spacing w:after="0" w:line="243"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9.04. Lines of Business. </w:t>
      </w:r>
      <w:r>
        <w:rPr>
          <w:rFonts w:ascii="Times New Roman" w:cs="Times New Roman" w:eastAsia="Times New Roman" w:hAnsi="Times New Roman"/>
          <w:sz w:val="22"/>
          <w:szCs w:val="22"/>
          <w:color w:val="auto"/>
        </w:rPr>
        <w:t>It will not, and will not permit any of its Subsidiaries to, engage to any material extent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business other than the business engaged in on the date hereof by such Obligor, or a business reasonably related, incidental or complementary thereto or reasonable extensions thereof.</w:t>
      </w:r>
    </w:p>
    <w:p>
      <w:pPr>
        <w:spacing w:after="0" w:line="208"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9.05. Investments. </w:t>
      </w:r>
      <w:r>
        <w:rPr>
          <w:rFonts w:ascii="Times New Roman" w:cs="Times New Roman" w:eastAsia="Times New Roman" w:hAnsi="Times New Roman"/>
          <w:sz w:val="22"/>
          <w:szCs w:val="22"/>
          <w:color w:val="auto"/>
        </w:rPr>
        <w:t>It will not, and will not permit any of its Subsidiaries to, make, directly or indirectly, or permit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remain outstanding any Investments except:</w:t>
      </w:r>
    </w:p>
    <w:p>
      <w:pPr>
        <w:spacing w:after="0" w:line="181" w:lineRule="exact"/>
        <w:rPr>
          <w:sz w:val="20"/>
          <w:szCs w:val="20"/>
          <w:color w:val="auto"/>
        </w:rPr>
      </w:pPr>
    </w:p>
    <w:p>
      <w:pPr>
        <w:ind w:left="760" w:right="100" w:firstLine="745"/>
        <w:spacing w:after="0" w:line="258" w:lineRule="auto"/>
        <w:tabs>
          <w:tab w:leader="none" w:pos="237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outstanding on the date hereof and identified in Schedule 9.05 and any modification, replacement, renewal or extension thereof to the extent not involving new or additional Investments;</w:t>
      </w:r>
    </w:p>
    <w:p>
      <w:pPr>
        <w:spacing w:after="0" w:line="198" w:lineRule="exact"/>
        <w:rPr>
          <w:rFonts w:ascii="Times New Roman" w:cs="Times New Roman" w:eastAsia="Times New Roman" w:hAnsi="Times New Roman"/>
          <w:sz w:val="22"/>
          <w:szCs w:val="22"/>
          <w:color w:val="auto"/>
        </w:rPr>
      </w:pPr>
    </w:p>
    <w:p>
      <w:pPr>
        <w:ind w:left="760" w:right="160" w:firstLine="745"/>
        <w:spacing w:after="0" w:line="258" w:lineRule="auto"/>
        <w:tabs>
          <w:tab w:leader="none" w:pos="237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Deposit Accounts, Securities Accounts or Commodity Accounts with banks or other financial institutions;</w:t>
      </w:r>
    </w:p>
    <w:p>
      <w:pPr>
        <w:spacing w:after="0" w:line="198"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237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extensions of credit in the nature of accounts receivable, notes receivable of, or prepaid royalties and other credit extensions to, customers and suppliers in the Ordinary Course of Business;</w:t>
      </w:r>
    </w:p>
    <w:p>
      <w:pPr>
        <w:spacing w:after="0" w:line="185"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and Permitted Cash Equivalent Investments;</w:t>
      </w:r>
    </w:p>
    <w:p>
      <w:pPr>
        <w:spacing w:after="0" w:line="24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44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Investments consisting of 100% of the ownership of the Equity Interests of its Subsidiaries, (ii) intercompany Investments by Borrower or a Subsidiary in any Guarantor or (iii) Investments by Borrower or any Subsidiary acquired in connection with a Permitted Acquisition;</w:t>
      </w:r>
    </w:p>
    <w:p>
      <w:pPr>
        <w:spacing w:after="0" w:line="21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37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Agreements (i) entered into in the ordinary course of any Obligor’s financial planning solely to hedge interest rate risks or foreign currency exchange risks (and not, in either case, for speculative purposes) and in an aggregate net exposure amount for all such Hedging Agreements not in excess of $500,000 or (ii) entered into to hedge interest rate risks in respect of the Obligations hereunder;</w:t>
      </w:r>
    </w:p>
    <w:p>
      <w:pPr>
        <w:spacing w:after="0" w:line="207" w:lineRule="exact"/>
        <w:rPr>
          <w:rFonts w:ascii="Times New Roman" w:cs="Times New Roman" w:eastAsia="Times New Roman" w:hAnsi="Times New Roman"/>
          <w:sz w:val="22"/>
          <w:szCs w:val="22"/>
          <w:color w:val="auto"/>
        </w:rPr>
      </w:pPr>
    </w:p>
    <w:p>
      <w:pPr>
        <w:ind w:left="760" w:firstLine="745"/>
        <w:spacing w:after="0" w:line="244" w:lineRule="auto"/>
        <w:tabs>
          <w:tab w:leader="none" w:pos="237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prepaid expenses, negotiable instruments held for collection or deposit, security deposits with utilities, landlords and other like Persons, and deposits in connection with workers’ compensation and similar deposits, in each case made in the Ordinary Course of Business;</w:t>
      </w:r>
    </w:p>
    <w:p>
      <w:pPr>
        <w:spacing w:after="0" w:line="213" w:lineRule="exact"/>
        <w:rPr>
          <w:rFonts w:ascii="Times New Roman" w:cs="Times New Roman" w:eastAsia="Times New Roman" w:hAnsi="Times New Roman"/>
          <w:sz w:val="22"/>
          <w:szCs w:val="22"/>
          <w:color w:val="auto"/>
        </w:rPr>
      </w:pPr>
    </w:p>
    <w:p>
      <w:pPr>
        <w:ind w:left="760" w:firstLine="745"/>
        <w:spacing w:after="0" w:line="244" w:lineRule="auto"/>
        <w:tabs>
          <w:tab w:leader="none" w:pos="237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received in connection with any Insolvency Proceedings in respect of any customers, suppliers or clients and in settlement of delinquent obligations of, and other disputes with, customers, suppliers or clients;</w:t>
      </w:r>
    </w:p>
    <w:p>
      <w:pPr>
        <w:spacing w:after="0" w:line="31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225" w:lineRule="exact"/>
        <w:rPr>
          <w:sz w:val="20"/>
          <w:szCs w:val="20"/>
          <w:color w:val="auto"/>
        </w:rPr>
      </w:pPr>
    </w:p>
    <w:p>
      <w:pPr>
        <w:ind w:left="2360" w:hanging="855"/>
        <w:spacing w:after="0"/>
        <w:tabs>
          <w:tab w:leader="none" w:pos="23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permitted under Section 9.01(e) and Section 9.03;</w:t>
      </w:r>
    </w:p>
    <w:p>
      <w:pPr>
        <w:spacing w:after="0" w:line="233" w:lineRule="exact"/>
        <w:rPr>
          <w:rFonts w:ascii="Times New Roman" w:cs="Times New Roman" w:eastAsia="Times New Roman" w:hAnsi="Times New Roman"/>
          <w:sz w:val="22"/>
          <w:szCs w:val="22"/>
          <w:color w:val="auto"/>
        </w:rPr>
      </w:pPr>
    </w:p>
    <w:p>
      <w:pPr>
        <w:ind w:left="760" w:right="120" w:firstLine="745"/>
        <w:spacing w:after="0" w:line="258" w:lineRule="auto"/>
        <w:tabs>
          <w:tab w:leader="none" w:pos="2373"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notes receivable of, or prepaid royalties and other credit extensions, to customers and suppliers who are not Affiliates, in the Ordinary Course of Business;</w:t>
      </w:r>
    </w:p>
    <w:p>
      <w:pPr>
        <w:spacing w:after="0" w:line="19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373"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(i) travel advances and employee relocation loans and other employee loans and advances in the Ordinary Course of Business, and (ii) loans to employees, officers or directors relating to the purchase of equity securities of the Borrower or its Subsidiaries pursuant to employee stock purchase plans or agreements approved by the Borrower’s Board in an aggregate amount not to exceed $100,000 for subclauses (i) and (ii) in any fiscal year;</w:t>
      </w:r>
    </w:p>
    <w:p>
      <w:pPr>
        <w:spacing w:after="0" w:line="217"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373"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or Event of Default shall have occurred and is continuing at the time of such Investment, or after giving effect thereto, Investments not to exceed $1,000,000 at any time outstanding in joint ventures and counterparties to collaboration and license agreements; and</w:t>
      </w:r>
    </w:p>
    <w:p>
      <w:pPr>
        <w:spacing w:after="0" w:line="200"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2373"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or Event of Default shall have occurred and is continuing at the time of such Investment, or after giving effect thereto, other Investments in an amount not to exceed $1,000,000 in any fiscal year.</w:t>
      </w:r>
    </w:p>
    <w:p>
      <w:pPr>
        <w:spacing w:after="0" w:line="195"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9.06. Restricted Payments. </w:t>
      </w:r>
      <w:r>
        <w:rPr>
          <w:rFonts w:ascii="Times New Roman" w:cs="Times New Roman" w:eastAsia="Times New Roman" w:hAnsi="Times New Roman"/>
          <w:sz w:val="22"/>
          <w:szCs w:val="22"/>
          <w:color w:val="auto"/>
        </w:rPr>
        <w:t>It will not, and will not permit any of its Subsidiaries to, declare or make, or agree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 or make, directly or indirectly, any Restricted Payment, other than:</w:t>
      </w:r>
    </w:p>
    <w:p>
      <w:pPr>
        <w:spacing w:after="0" w:line="194" w:lineRule="exact"/>
        <w:rPr>
          <w:sz w:val="20"/>
          <w:szCs w:val="20"/>
          <w:color w:val="auto"/>
        </w:rPr>
      </w:pPr>
    </w:p>
    <w:p>
      <w:pPr>
        <w:ind w:left="760" w:right="40" w:firstLine="745"/>
        <w:spacing w:after="0" w:line="258" w:lineRule="auto"/>
        <w:tabs>
          <w:tab w:leader="none" w:pos="237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stock splits or distributions with respect to any Equity Interests of the Borrower or any of its Subsidiaries payable solely in additional units or shares of its Qualified Equity Interests;</w:t>
      </w:r>
    </w:p>
    <w:p>
      <w:pPr>
        <w:spacing w:after="0" w:line="185"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Payment by an Obligor or a Subsidiary of an Obligor to an Obligor;</w:t>
      </w:r>
    </w:p>
    <w:p>
      <w:pPr>
        <w:spacing w:after="0" w:line="24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37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redemption, retirement, or other Acquisition by the Borrower or any of its Subsidiaries of shares of its capital stock or other Equity Interests with the proceeds received from a substantially concurrent issue of new shares of its capital stock or other Equity Interests;</w:t>
      </w:r>
    </w:p>
    <w:p>
      <w:pPr>
        <w:spacing w:after="0" w:line="213"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paid by any Obligor to any other Obligor;</w:t>
      </w:r>
    </w:p>
    <w:p>
      <w:pPr>
        <w:spacing w:after="0" w:line="233"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cashless exercises of options and warrants;</w:t>
      </w:r>
    </w:p>
    <w:p>
      <w:pPr>
        <w:spacing w:after="0" w:line="246" w:lineRule="exact"/>
        <w:rPr>
          <w:rFonts w:ascii="Times New Roman" w:cs="Times New Roman" w:eastAsia="Times New Roman" w:hAnsi="Times New Roman"/>
          <w:sz w:val="22"/>
          <w:szCs w:val="22"/>
          <w:color w:val="auto"/>
        </w:rPr>
      </w:pPr>
    </w:p>
    <w:p>
      <w:pPr>
        <w:ind w:left="760" w:firstLine="745"/>
        <w:spacing w:after="0" w:line="244" w:lineRule="auto"/>
        <w:tabs>
          <w:tab w:leader="none" w:pos="237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pursuant to the terms of employee stock purchase plans, employee restricted stock agreements, stockholder rights plans, director or consultant stock option plans, or similar plans in an aggregate amount not to exceed $100,000 in any fiscal year;</w:t>
      </w:r>
    </w:p>
    <w:p>
      <w:pPr>
        <w:spacing w:after="0" w:line="31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225" w:lineRule="exact"/>
        <w:rPr>
          <w:sz w:val="20"/>
          <w:szCs w:val="20"/>
          <w:color w:val="auto"/>
        </w:rPr>
      </w:pPr>
    </w:p>
    <w:p>
      <w:pPr>
        <w:ind w:left="760" w:firstLine="745"/>
        <w:spacing w:after="0" w:line="244" w:lineRule="auto"/>
        <w:tabs>
          <w:tab w:leader="none" w:pos="237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of cash payments in lieu of the issuance of fractional shares upon the conversion of convertible securities (or in connection with the exercise of warrants or similar securities) not to exceed $25,000 in any fiscal year; and</w:t>
      </w:r>
    </w:p>
    <w:p>
      <w:pPr>
        <w:spacing w:after="0" w:line="200"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237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the Warrant Certificates and cash payments made to redeem, purchase, repurchase or retire the Warrant Obligations in accordance with the terms of the Warrant Certificates.</w:t>
      </w:r>
    </w:p>
    <w:p>
      <w:pPr>
        <w:spacing w:after="0" w:line="195" w:lineRule="exact"/>
        <w:rPr>
          <w:sz w:val="20"/>
          <w:szCs w:val="20"/>
          <w:color w:val="auto"/>
        </w:rPr>
      </w:pPr>
    </w:p>
    <w:p>
      <w:pPr>
        <w:jc w:val="both"/>
        <w:ind w:firstLine="472"/>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9.07. Payments of Indebtedness and Milestone Payments. </w:t>
      </w:r>
      <w:r>
        <w:rPr>
          <w:rFonts w:ascii="Times New Roman" w:cs="Times New Roman" w:eastAsia="Times New Roman" w:hAnsi="Times New Roman"/>
          <w:sz w:val="22"/>
          <w:szCs w:val="22"/>
          <w:color w:val="auto"/>
        </w:rPr>
        <w:t>(a) It will not, and will not permit any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to, make any payments in respect of any Material Indebtedness (other than the Milestone Payments) except (i) payments of the Obligations and (ii) so long as no Default has occurred and is continuing or would result therefrom, scheduled payments of Permitted Indebtedness and repayment of intercompany Indebtedness permitted in reliance upon Section 9.01(e) (subject in each case to any subordination agreement entered into in connection therewith).</w:t>
      </w:r>
    </w:p>
    <w:p>
      <w:pPr>
        <w:spacing w:after="0" w:line="221" w:lineRule="exact"/>
        <w:rPr>
          <w:sz w:val="20"/>
          <w:szCs w:val="20"/>
          <w:color w:val="auto"/>
        </w:rPr>
      </w:pPr>
    </w:p>
    <w:p>
      <w:pPr>
        <w:jc w:val="both"/>
        <w:ind w:left="760" w:firstLine="745"/>
        <w:spacing w:after="0" w:line="238" w:lineRule="auto"/>
        <w:tabs>
          <w:tab w:leader="none" w:pos="194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and will not permit any of its Subsidiaries to, make any Milestone Payments except (i) prior to December 31, 2023, so long as no Default has occurred and is continuing or would result therefrom, scheduled Milestone Payments and accrued interest payable with respect thereto and (ii) commencing January 1, 2024 and thereafter, so long as (A) no Default has occurred and is continuing or would result therefrom and (B) consented to by the Administrative Agent, scheduled Milestone Payments and accrued interest payable with respect thereto.</w:t>
      </w:r>
    </w:p>
    <w:p>
      <w:pPr>
        <w:spacing w:after="0" w:line="200" w:lineRule="exact"/>
        <w:rPr>
          <w:sz w:val="20"/>
          <w:szCs w:val="20"/>
          <w:color w:val="auto"/>
        </w:rPr>
      </w:pPr>
    </w:p>
    <w:p>
      <w:pPr>
        <w:jc w:val="both"/>
        <w:ind w:firstLine="445"/>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Section 9.08. Change in Fiscal Year. </w:t>
      </w:r>
      <w:r>
        <w:rPr>
          <w:rFonts w:ascii="Times New Roman" w:cs="Times New Roman" w:eastAsia="Times New Roman" w:hAnsi="Times New Roman"/>
          <w:sz w:val="21"/>
          <w:szCs w:val="21"/>
          <w:color w:val="auto"/>
        </w:rPr>
        <w:t>It will not, and will not permit any of its Subsidiaries to, change the last day of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fiscal year from that in effect on the date hereof, without prior written notice to the Administrative Agent, except to change the fiscal year of a Subsidiary acquired in connection with a Permitted Acquisition to conform its fiscal year to that of the Borrower.</w:t>
      </w:r>
    </w:p>
    <w:p>
      <w:pPr>
        <w:spacing w:after="0" w:line="192"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Section 9.09. Sales of Assets. </w:t>
      </w:r>
      <w:r>
        <w:rPr>
          <w:rFonts w:ascii="Times New Roman" w:cs="Times New Roman" w:eastAsia="Times New Roman" w:hAnsi="Times New Roman"/>
          <w:sz w:val="21"/>
          <w:szCs w:val="21"/>
          <w:color w:val="auto"/>
        </w:rPr>
        <w:t>It will not, and will not permit any of its Subsidiaries to, sell, lease, exclusively license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terms of geography or field of use) as a licensor, transfer (including in connection with any division or plan of division under Delaware law or any comparable event under a different jurisdiction’s laws) or otherwise dispose of any of its Property (including accounts receivable and Equity Interests of Subsidiaries), or forgive, release or compromise any amount owed to an Obligor or any of its Subsidiaries, in each case, in one transaction or series of transactions (any thereof, an </w:t>
      </w:r>
      <w:r>
        <w:rPr>
          <w:rFonts w:ascii="Times New Roman" w:cs="Times New Roman" w:eastAsia="Times New Roman" w:hAnsi="Times New Roman"/>
          <w:sz w:val="21"/>
          <w:szCs w:val="21"/>
          <w:i w:val="1"/>
          <w:iCs w:val="1"/>
          <w:color w:val="auto"/>
        </w:rPr>
        <w:t>“Asset Sale”</w:t>
      </w:r>
      <w:r>
        <w:rPr>
          <w:rFonts w:ascii="Times New Roman" w:cs="Times New Roman" w:eastAsia="Times New Roman" w:hAnsi="Times New Roman"/>
          <w:sz w:val="21"/>
          <w:szCs w:val="21"/>
          <w:color w:val="auto"/>
        </w:rPr>
        <w:t>), except:</w:t>
      </w:r>
    </w:p>
    <w:p>
      <w:pPr>
        <w:spacing w:after="0" w:line="208" w:lineRule="exact"/>
        <w:rPr>
          <w:sz w:val="20"/>
          <w:szCs w:val="20"/>
          <w:color w:val="auto"/>
        </w:rPr>
      </w:pPr>
    </w:p>
    <w:p>
      <w:pPr>
        <w:ind w:left="760" w:right="40" w:firstLine="745"/>
        <w:spacing w:after="0" w:line="258" w:lineRule="auto"/>
        <w:tabs>
          <w:tab w:leader="none" w:pos="237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cash or Permitted Cash Equivalent Investments in the Ordinary Course of Business in a manner not prohibited by the terms of this Agreement;</w:t>
      </w:r>
    </w:p>
    <w:p>
      <w:pPr>
        <w:spacing w:after="0" w:line="185"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or leases of inventory, products or services in the Ordinary Course of Business;</w:t>
      </w:r>
    </w:p>
    <w:p>
      <w:pPr>
        <w:spacing w:after="0" w:line="246"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forgiveness, release or compromise of any amount owed to any Obligor in the Ordinary Course of</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Business;</w:t>
      </w:r>
    </w:p>
    <w:p>
      <w:pPr>
        <w:spacing w:after="0" w:line="323"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225" w:lineRule="exact"/>
        <w:rPr>
          <w:sz w:val="20"/>
          <w:szCs w:val="20"/>
          <w:color w:val="auto"/>
        </w:rPr>
      </w:pPr>
    </w:p>
    <w:p>
      <w:pPr>
        <w:ind w:left="1600" w:hanging="855"/>
        <w:spacing w:after="0"/>
        <w:tabs>
          <w:tab w:leader="none" w:pos="16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entering into, or becoming bound, by a Permitted License to the extent not otherwise prohibited by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w:t>
      </w:r>
    </w:p>
    <w:p>
      <w:pPr>
        <w:spacing w:after="0" w:line="209" w:lineRule="exact"/>
        <w:rPr>
          <w:rFonts w:ascii="Times New Roman" w:cs="Times New Roman" w:eastAsia="Times New Roman" w:hAnsi="Times New Roman"/>
          <w:sz w:val="22"/>
          <w:szCs w:val="22"/>
          <w:color w:val="auto"/>
        </w:rPr>
      </w:pPr>
    </w:p>
    <w:p>
      <w:pPr>
        <w:jc w:val="both"/>
        <w:ind w:firstLine="745"/>
        <w:spacing w:after="0" w:line="238" w:lineRule="auto"/>
        <w:tabs>
          <w:tab w:leader="none" w:pos="161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development and other collaborative arrangements where such arrangements provide for the license or disclosure of Patents, Trademarks, Copyrights or other Intellectual Property rights of any Obligor or any of its Subsidiaries in the Ordinary Course of Business and consistent with general market practices;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licenses must be true licenses that do not result in a legal transfer of title of the licensed Property or otherwise constitute sales transactions in substance;</w:t>
      </w:r>
    </w:p>
    <w:p>
      <w:pPr>
        <w:spacing w:after="0" w:line="217" w:lineRule="exact"/>
        <w:rPr>
          <w:rFonts w:ascii="Times New Roman" w:cs="Times New Roman" w:eastAsia="Times New Roman" w:hAnsi="Times New Roman"/>
          <w:sz w:val="22"/>
          <w:szCs w:val="22"/>
          <w:color w:val="auto"/>
        </w:rPr>
      </w:pPr>
    </w:p>
    <w:p>
      <w:pPr>
        <w:ind w:firstLine="745"/>
        <w:spacing w:after="0" w:line="235" w:lineRule="auto"/>
        <w:tabs>
          <w:tab w:leader="none" w:pos="161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sale, lease, exclusive license, transfer or other disposition (including by way of abandonment, cancellation or trade-in) of any Property that is obsolete, worn out, surplus or no longer used or useful in connection with the business of the Obligors or with respect to which a newer and improved version is available, and with respect to Intellectual Property, the conveyance, sale, lease, license, abandonment, lapse or other disposition in the Ordinary Course of Business that is, in the reasonable good faith judgment of such Obligor, immaterial to the business of such Obligor, no longer economically practicable or commercially desirable to maintain or used or useful in the business of such Obligor, or the expiration of such Intellectual Property is in accordance with its statutory term (provided that such term is not renewable);</w:t>
      </w:r>
    </w:p>
    <w:p>
      <w:pPr>
        <w:spacing w:after="0" w:line="218" w:lineRule="exact"/>
        <w:rPr>
          <w:rFonts w:ascii="Times New Roman" w:cs="Times New Roman" w:eastAsia="Times New Roman" w:hAnsi="Times New Roman"/>
          <w:sz w:val="22"/>
          <w:szCs w:val="22"/>
          <w:color w:val="auto"/>
        </w:rPr>
      </w:pPr>
    </w:p>
    <w:p>
      <w:pPr>
        <w:ind w:left="1600" w:hanging="855"/>
        <w:spacing w:after="0"/>
        <w:tabs>
          <w:tab w:leader="none" w:pos="16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resulting from Casualty Events;</w:t>
      </w:r>
    </w:p>
    <w:p>
      <w:pPr>
        <w:spacing w:after="0" w:line="233" w:lineRule="exact"/>
        <w:rPr>
          <w:rFonts w:ascii="Times New Roman" w:cs="Times New Roman" w:eastAsia="Times New Roman" w:hAnsi="Times New Roman"/>
          <w:sz w:val="22"/>
          <w:szCs w:val="22"/>
          <w:color w:val="auto"/>
        </w:rPr>
      </w:pPr>
    </w:p>
    <w:p>
      <w:pPr>
        <w:ind w:left="1600" w:hanging="855"/>
        <w:spacing w:after="0"/>
        <w:tabs>
          <w:tab w:leader="none" w:pos="16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permitted under Section 9.02, 9.03, 9.05, 9.06, 9.15 and 9.20;</w:t>
      </w:r>
    </w:p>
    <w:p>
      <w:pPr>
        <w:spacing w:after="0" w:line="246" w:lineRule="exact"/>
        <w:rPr>
          <w:rFonts w:ascii="Times New Roman" w:cs="Times New Roman" w:eastAsia="Times New Roman" w:hAnsi="Times New Roman"/>
          <w:sz w:val="22"/>
          <w:szCs w:val="22"/>
          <w:color w:val="auto"/>
        </w:rPr>
      </w:pPr>
    </w:p>
    <w:p>
      <w:pPr>
        <w:jc w:val="both"/>
        <w:ind w:firstLine="745"/>
        <w:spacing w:after="0" w:line="244" w:lineRule="auto"/>
        <w:tabs>
          <w:tab w:leader="none" w:pos="161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or Event of Default shall have occurred and is continuing at the time of such Asset Sale, or after giving effect thereto, Asset Sales of other property not to exceed $1,000,000 in the aggregate per fiscal year;</w:t>
      </w:r>
    </w:p>
    <w:p>
      <w:pPr>
        <w:spacing w:after="0" w:line="213" w:lineRule="exact"/>
        <w:rPr>
          <w:rFonts w:ascii="Times New Roman" w:cs="Times New Roman" w:eastAsia="Times New Roman" w:hAnsi="Times New Roman"/>
          <w:sz w:val="22"/>
          <w:szCs w:val="22"/>
          <w:color w:val="auto"/>
        </w:rPr>
      </w:pPr>
    </w:p>
    <w:p>
      <w:pPr>
        <w:ind w:left="1600" w:hanging="855"/>
        <w:spacing w:after="0"/>
        <w:tabs>
          <w:tab w:leader="none" w:pos="16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to customers of Equipment located at a customer’s site for research and collaboration;</w:t>
      </w:r>
    </w:p>
    <w:p>
      <w:pPr>
        <w:spacing w:after="0" w:line="233" w:lineRule="exact"/>
        <w:rPr>
          <w:rFonts w:ascii="Times New Roman" w:cs="Times New Roman" w:eastAsia="Times New Roman" w:hAnsi="Times New Roman"/>
          <w:sz w:val="22"/>
          <w:szCs w:val="22"/>
          <w:color w:val="auto"/>
        </w:rPr>
      </w:pPr>
    </w:p>
    <w:p>
      <w:pPr>
        <w:ind w:left="1600" w:hanging="855"/>
        <w:spacing w:after="0"/>
        <w:tabs>
          <w:tab w:leader="none" w:pos="16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issuance of any Equity Interests of the Borrower permitted under this Agreement;</w:t>
      </w:r>
    </w:p>
    <w:p>
      <w:pPr>
        <w:spacing w:after="0" w:line="246" w:lineRule="exact"/>
        <w:rPr>
          <w:rFonts w:ascii="Times New Roman" w:cs="Times New Roman" w:eastAsia="Times New Roman" w:hAnsi="Times New Roman"/>
          <w:sz w:val="22"/>
          <w:szCs w:val="22"/>
          <w:color w:val="auto"/>
        </w:rPr>
      </w:pPr>
    </w:p>
    <w:p>
      <w:pPr>
        <w:ind w:left="1600" w:hanging="855"/>
        <w:spacing w:after="0"/>
        <w:tabs>
          <w:tab w:leader="none" w:pos="16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assets or property by any Obligor to any other Obligor;</w:t>
      </w:r>
    </w:p>
    <w:p>
      <w:pPr>
        <w:spacing w:after="0" w:line="246" w:lineRule="exact"/>
        <w:rPr>
          <w:rFonts w:ascii="Times New Roman" w:cs="Times New Roman" w:eastAsia="Times New Roman" w:hAnsi="Times New Roman"/>
          <w:sz w:val="22"/>
          <w:szCs w:val="22"/>
          <w:color w:val="auto"/>
        </w:rPr>
      </w:pPr>
    </w:p>
    <w:p>
      <w:pPr>
        <w:jc w:val="both"/>
        <w:ind w:right="20" w:firstLine="745"/>
        <w:spacing w:after="0" w:line="244" w:lineRule="auto"/>
        <w:tabs>
          <w:tab w:leader="none" w:pos="161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non-exclusive licenses or sublicenses of Intellectual Property or software (including the rights to royalty payments and the provision of software under an open source license) in the Ordinary Course of Business;</w:t>
      </w:r>
    </w:p>
    <w:p>
      <w:pPr>
        <w:spacing w:after="0" w:line="200" w:lineRule="exact"/>
        <w:rPr>
          <w:rFonts w:ascii="Times New Roman" w:cs="Times New Roman" w:eastAsia="Times New Roman" w:hAnsi="Times New Roman"/>
          <w:sz w:val="22"/>
          <w:szCs w:val="22"/>
          <w:color w:val="auto"/>
        </w:rPr>
      </w:pPr>
    </w:p>
    <w:p>
      <w:pPr>
        <w:jc w:val="both"/>
        <w:ind w:firstLine="745"/>
        <w:spacing w:after="0" w:line="261" w:lineRule="auto"/>
        <w:tabs>
          <w:tab w:leader="none" w:pos="1613"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abandonments, cancellations or lapses of Intellectual Property rights or issuances or registrations, or applications for issuances or registrations, of Intellectual Property rights in the Ordinary Course of Business, which, in the good faith determination of Borrower, are not material to the conduct of the business of Borrower or its Subsidiaries;</w:t>
      </w:r>
    </w:p>
    <w:p>
      <w:pPr>
        <w:spacing w:after="0" w:line="298" w:lineRule="exact"/>
        <w:rPr>
          <w:sz w:val="20"/>
          <w:szCs w:val="20"/>
          <w:color w:val="auto"/>
        </w:rPr>
      </w:pPr>
    </w:p>
    <w:p>
      <w:pPr>
        <w:ind w:left="46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508635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226" w:name="page227"/>
    <w:bookmarkEnd w:id="226"/>
    <w:p>
      <w:pPr>
        <w:spacing w:after="0" w:line="225" w:lineRule="exact"/>
        <w:rPr>
          <w:sz w:val="20"/>
          <w:szCs w:val="20"/>
          <w:color w:val="auto"/>
        </w:rPr>
      </w:pPr>
    </w:p>
    <w:p>
      <w:pPr>
        <w:ind w:left="2360" w:hanging="855"/>
        <w:spacing w:after="0"/>
        <w:tabs>
          <w:tab w:leader="none" w:pos="236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leasing or subleasing of real property in the Ordinary Course of Business;</w:t>
      </w:r>
    </w:p>
    <w:p>
      <w:pPr>
        <w:spacing w:after="0" w:line="233" w:lineRule="exact"/>
        <w:rPr>
          <w:rFonts w:ascii="Times New Roman" w:cs="Times New Roman" w:eastAsia="Times New Roman" w:hAnsi="Times New Roman"/>
          <w:sz w:val="22"/>
          <w:szCs w:val="22"/>
          <w:color w:val="auto"/>
        </w:rPr>
      </w:pPr>
    </w:p>
    <w:p>
      <w:pPr>
        <w:ind w:left="760" w:firstLine="745"/>
        <w:spacing w:after="0" w:line="238" w:lineRule="auto"/>
        <w:tabs>
          <w:tab w:leader="none" w:pos="2373"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and/or terminations of, or constituting, leases, subleases, licenses, sublicenses or cross-licenses (including the provision of software under any open source license and any related transfer of improvements made to leased real property resulting therefrom), the transfers or terminations of which (i) do not materially interfere with the business of the Borrower and its Subsidiaries or (ii) relate to closed facilities or the discontinuation of any product line, and in each case are made in the Ordinary Course of Business;</w:t>
      </w:r>
    </w:p>
    <w:p>
      <w:pPr>
        <w:spacing w:after="0" w:line="217" w:lineRule="exact"/>
        <w:rPr>
          <w:rFonts w:ascii="Times New Roman" w:cs="Times New Roman" w:eastAsia="Times New Roman" w:hAnsi="Times New Roman"/>
          <w:sz w:val="22"/>
          <w:szCs w:val="22"/>
          <w:color w:val="auto"/>
        </w:rPr>
      </w:pPr>
    </w:p>
    <w:p>
      <w:pPr>
        <w:ind w:left="760" w:right="80" w:firstLine="745"/>
        <w:spacing w:after="0" w:line="258" w:lineRule="auto"/>
        <w:tabs>
          <w:tab w:leader="none" w:pos="2373"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surrender or waiver of contractual rights or the settlement, release or surrender of contractual rights or litigation claims (including in tort) in the Ordinary Course of Business;</w:t>
      </w:r>
    </w:p>
    <w:p>
      <w:pPr>
        <w:spacing w:after="0" w:line="198"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2373"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licenses for the use of the Borrower’s or any Subsidiary’s Intellectual Property entered into in the Ordinary Course of Business;</w:t>
      </w:r>
    </w:p>
    <w:p>
      <w:pPr>
        <w:spacing w:after="0" w:line="185" w:lineRule="exact"/>
        <w:rPr>
          <w:rFonts w:ascii="Times New Roman" w:cs="Times New Roman" w:eastAsia="Times New Roman" w:hAnsi="Times New Roman"/>
          <w:sz w:val="22"/>
          <w:szCs w:val="22"/>
          <w:color w:val="auto"/>
        </w:rPr>
      </w:pPr>
    </w:p>
    <w:p>
      <w:pPr>
        <w:jc w:val="both"/>
        <w:ind w:left="760" w:firstLine="745"/>
        <w:spacing w:after="0" w:line="249" w:lineRule="auto"/>
        <w:tabs>
          <w:tab w:leader="none" w:pos="2373"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exclusive licenses for the use of non-material and non-core Intellectual Property owned or co-owned by the Borrower or any Subsidiary, which in the good faith business judgment of the Borrower is expected to remain non-material and non-core to the Borrower in perpetuity, entered into in the Ordinary Course of Business;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 w:lineRule="exact"/>
        <w:rPr>
          <w:rFonts w:ascii="Times New Roman" w:cs="Times New Roman" w:eastAsia="Times New Roman" w:hAnsi="Times New Roman"/>
          <w:sz w:val="21"/>
          <w:szCs w:val="21"/>
          <w:color w:val="auto"/>
        </w:rPr>
      </w:pPr>
    </w:p>
    <w:p>
      <w:pPr>
        <w:jc w:val="both"/>
        <w:ind w:left="760" w:hanging="3"/>
        <w:spacing w:after="0" w:line="233" w:lineRule="auto"/>
        <w:tabs>
          <w:tab w:leader="none" w:pos="101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must deliver ten (10) days’ prior written notice and a brief summary of the terms of the proposed license to the Administrative Agent and deliver to the Administrative Agent copies of the final executed licensing documents in connection with the exclusive license promptly upon consummation thereof, and (ii) any such license could not result in a legal transfer of title of the licensed property but may be exclusive in respects other than territory and may be exclusive as to territory only as to discrete geographical areas outside of the United States; and</w:t>
      </w:r>
    </w:p>
    <w:p>
      <w:pPr>
        <w:spacing w:after="0" w:line="219" w:lineRule="exact"/>
        <w:rPr>
          <w:rFonts w:ascii="Times New Roman" w:cs="Times New Roman" w:eastAsia="Times New Roman" w:hAnsi="Times New Roman"/>
          <w:sz w:val="22"/>
          <w:szCs w:val="22"/>
          <w:color w:val="auto"/>
        </w:rPr>
      </w:pPr>
    </w:p>
    <w:p>
      <w:pPr>
        <w:jc w:val="both"/>
        <w:ind w:left="760" w:firstLine="745"/>
        <w:spacing w:after="0" w:line="248" w:lineRule="auto"/>
        <w:tabs>
          <w:tab w:leader="none" w:pos="2373"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transfers or sales of licenses or Intellectual Property and other related assets or rights to a third party, or solely to the extent formed in connection with such transaction, a wholly owned Subsidiary of the Borrower, so long as such Subsidiary is thereafter sold, merged with or acquired by such third party within thirty (30) days of formation;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(i) the aggregate amount of all such transfers, sales or licenses during the term of this Agreement shall not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exceed $2,500,000 (or such greater amount that may be consented to by the Administrative Agent) and (ii) any royalty payments or other such payments owing to the Borrower pursuant to such sale shall be Collateral in which the Administrative Agent for the benefit of the Lenders has been granted a security interest under the Security Documents.</w:t>
      </w:r>
    </w:p>
    <w:p>
      <w:pPr>
        <w:spacing w:after="0" w:line="207"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9.10. Transactions with Affiliates. </w:t>
      </w:r>
      <w:r>
        <w:rPr>
          <w:rFonts w:ascii="Times New Roman" w:cs="Times New Roman" w:eastAsia="Times New Roman" w:hAnsi="Times New Roman"/>
          <w:sz w:val="22"/>
          <w:szCs w:val="22"/>
          <w:color w:val="auto"/>
        </w:rPr>
        <w:t>It will not, and will not permit any of its Subsidiaries to, sell, lease, license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transfer any assets to, or purchase, lease, license</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otherwise acquire any assets from, or otherwise engage in any other transactions with, any of its Affiliates, except:</w:t>
      </w:r>
    </w:p>
    <w:p>
      <w:pPr>
        <w:spacing w:after="0" w:line="233" w:lineRule="exact"/>
        <w:rPr>
          <w:sz w:val="20"/>
          <w:szCs w:val="20"/>
          <w:color w:val="auto"/>
        </w:rPr>
      </w:pPr>
    </w:p>
    <w:p>
      <w:pPr>
        <w:ind w:left="2360" w:hanging="855"/>
        <w:spacing w:after="0"/>
        <w:tabs>
          <w:tab w:leader="none" w:pos="23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the Obligors;</w:t>
      </w:r>
    </w:p>
    <w:p>
      <w:pPr>
        <w:spacing w:after="0" w:line="246"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permitted under Section 9.01, 9.03, 9.05, 9.06 or 9.09;</w:t>
      </w:r>
    </w:p>
    <w:p>
      <w:pPr>
        <w:spacing w:after="0" w:line="24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37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compensation and indemnification of, and other employment arrangements with, directors, officers and employees of any Obligor in the Ordinary Course of Business;</w:t>
      </w:r>
    </w:p>
    <w:p>
      <w:pPr>
        <w:spacing w:after="0" w:line="185" w:lineRule="exact"/>
        <w:rPr>
          <w:rFonts w:ascii="Times New Roman" w:cs="Times New Roman" w:eastAsia="Times New Roman" w:hAnsi="Times New Roman"/>
          <w:sz w:val="22"/>
          <w:szCs w:val="22"/>
          <w:color w:val="auto"/>
        </w:rPr>
      </w:pPr>
    </w:p>
    <w:p>
      <w:pPr>
        <w:ind w:left="760" w:firstLine="745"/>
        <w:spacing w:after="0" w:line="236" w:lineRule="auto"/>
        <w:tabs>
          <w:tab w:leader="none" w:pos="237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transaction is (i) on fair, reasonable and arm’s-length terms that are no less favorable (including with respect to the amount of cash or other consideration receivable or payable in connection therewith) to such Obligor or any such Subsidiary than it could obtain in a transaction with a Person that is not an Affiliate of such Obligor or any such Subsidiary, as applicable, and (ii) of the kind which would be entered into by a prudent Person in the position of such Obligor or any such Subsidiary with another Person that is not an Affiliate of such Obligor or any such Subsidiary, as applicable;</w:t>
      </w:r>
    </w:p>
    <w:p>
      <w:pPr>
        <w:spacing w:after="0" w:line="221" w:lineRule="exact"/>
        <w:rPr>
          <w:rFonts w:ascii="Times New Roman" w:cs="Times New Roman" w:eastAsia="Times New Roman" w:hAnsi="Times New Roman"/>
          <w:sz w:val="22"/>
          <w:szCs w:val="22"/>
          <w:color w:val="auto"/>
        </w:rPr>
      </w:pPr>
    </w:p>
    <w:p>
      <w:pPr>
        <w:ind w:left="760" w:right="60" w:firstLine="745"/>
        <w:spacing w:after="0" w:line="285" w:lineRule="exact"/>
        <w:tabs>
          <w:tab w:leader="none" w:pos="237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upon fair and reasonable terms that are no less favorable to any Obligor than would be obtained in a comparable arm’s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length transaction with a Person not an Affiliate; and</w:t>
      </w:r>
    </w:p>
    <w:p>
      <w:pPr>
        <w:spacing w:after="0" w:line="186"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set forth on Schedule 9.10.</w:t>
      </w:r>
    </w:p>
    <w:p>
      <w:pPr>
        <w:spacing w:after="0" w:line="229"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9.11. Restrictive Agreements. </w:t>
      </w:r>
      <w:r>
        <w:rPr>
          <w:rFonts w:ascii="Times New Roman" w:cs="Times New Roman" w:eastAsia="Times New Roman" w:hAnsi="Times New Roman"/>
          <w:sz w:val="22"/>
          <w:szCs w:val="22"/>
          <w:color w:val="auto"/>
        </w:rPr>
        <w:t>It will not, and will not permit any of its Subsidiaries to, directly or indirectly, enter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into, incur or permit to exist any Restrictive Agreement other than (a) restrictions and conditions imposed by Law or by the Loan Documents, (b) Restrictive Agreements listed on Schedule 7.15, (c) any stockholder agreement, investor rights agreement, charter, bylaws or other Organizational Documents of an Obligor as in effect on the date hereof, (d) limitations associated with Permitted Liens or with any transaction permitted under Section 9.01, 9.03, 9.05, 9.06 or 9.09, (e) restrictions on cash (or Permitted Cash Equivalent Investments) or other deposits imposed by agreements entered into with customers in the Ordinary Course of Business (or other restrictions on cash or deposits constituting Permitted Liens), (f) customary provisions in leases and other agreements restricting the assignment thereof, (g) any restrictions and conditions imposed by any agreement relating to Indebtedness of any Subsidiary in existence at the time such Subsidiary became a Subsidiary (and any extension, renewal, amendment, modification or replacement thereof, expect to the extent any such amendment, modification or replacement materially expands the scope of any such restriction or condition), (h) in the case of any Subsidiary that is not a wholly-owned Subsidiary, restrictions and conditions imposed by its organizational documents or any related joint venture or similar agreements;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restrictions and conditions apply only to such Subsidiary and to the Equity Interests of such Subsidiary, (i) restrictions and conditions imposed by any agreement relating to secured Indebtedness permitted by Section 9.01(g) if such restrictions and conditions apply only to the assets securing such Indebtedness and (j) customary restrictions and conditions (and any</w:t>
      </w:r>
    </w:p>
    <w:p>
      <w:pPr>
        <w:spacing w:after="0" w:line="31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extension, renewal, amendment, modification or replacement thereof, except to the extent any such amendment, modification or replacement expands the scope of any such restriction or condition) contained in agreements relating to the sale of a Subsidiary or any assets of the Borrower or any Subsidiary, in each case pending such sale;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restrictions and conditions apply only to such Subsidiary or the assets that are to be sole and, in each case, such sale is permitted hereunder.</w:t>
      </w:r>
    </w:p>
    <w:p>
      <w:pPr>
        <w:spacing w:after="0" w:line="203"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9.12.</w:t>
      </w:r>
      <w:r>
        <w:rPr>
          <w:sz w:val="20"/>
          <w:szCs w:val="20"/>
          <w:color w:val="auto"/>
        </w:rPr>
        <w:tab/>
      </w:r>
      <w:r>
        <w:rPr>
          <w:rFonts w:ascii="Times New Roman" w:cs="Times New Roman" w:eastAsia="Times New Roman" w:hAnsi="Times New Roman"/>
          <w:sz w:val="21"/>
          <w:szCs w:val="21"/>
          <w:i w:val="1"/>
          <w:iCs w:val="1"/>
          <w:color w:val="auto"/>
        </w:rPr>
        <w:t>Organizational Documents, Material Agreements</w:t>
      </w:r>
      <w:r>
        <w:rPr>
          <w:rFonts w:ascii="Times New Roman" w:cs="Times New Roman" w:eastAsia="Times New Roman" w:hAnsi="Times New Roman"/>
          <w:sz w:val="21"/>
          <w:szCs w:val="21"/>
          <w:color w:val="auto"/>
        </w:rPr>
        <w:t>.</w:t>
      </w:r>
    </w:p>
    <w:p>
      <w:pPr>
        <w:spacing w:after="0" w:line="251" w:lineRule="exact"/>
        <w:rPr>
          <w:sz w:val="20"/>
          <w:szCs w:val="20"/>
          <w:color w:val="auto"/>
        </w:rPr>
      </w:pPr>
    </w:p>
    <w:p>
      <w:pPr>
        <w:jc w:val="both"/>
        <w:ind w:left="760" w:right="20" w:firstLine="745"/>
        <w:spacing w:after="0" w:line="244" w:lineRule="auto"/>
        <w:tabs>
          <w:tab w:leader="none" w:pos="237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and will not permit any of its Subsidiaries to, enter into any amendment to or modification of any Organizational Document that would be reasonably expected to adversely affect the Lenders in any material respect, without the prior written consent of the Administrative Agent.</w:t>
      </w:r>
    </w:p>
    <w:p>
      <w:pPr>
        <w:spacing w:after="0" w:line="213"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237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and will not permit any of its Subsidiaries to (i) enter into any material waiver, amendment or modification of any Material Agreement (including, but not limited to, any amendments to provisions relating to pricing and term) that would be reasonably expected to materially and adversely affect the Lenders in any material respect or (ii) take or omit to take any action that results in the termination of, or permits any other Person to terminate, any Material Agreement or Material Intellectual Property that would be reasonably expected to have a Material Adverse Effect, without, in each case, the prior written consent of the Administrative Agent. For the avoidance of doubt, with respect to the Indi Purchase Agreement, (A) increasing interest rates payable by the Obligors, (B) increasing or adding fees or charges payable by the Obligors and (C) changing (to earlier dates) any dates upon which payments by the Obligors are due shall be deemed to adversely affect the Lenders in a material respect.</w:t>
      </w:r>
    </w:p>
    <w:p>
      <w:pPr>
        <w:spacing w:after="0" w:line="206"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i w:val="1"/>
          <w:iCs w:val="1"/>
          <w:color w:val="auto"/>
        </w:rPr>
        <w:t>Section 9.13.</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9.14. Sales and Leasebacks. </w:t>
      </w:r>
      <w:r>
        <w:rPr>
          <w:rFonts w:ascii="Times New Roman" w:cs="Times New Roman" w:eastAsia="Times New Roman" w:hAnsi="Times New Roman"/>
          <w:sz w:val="22"/>
          <w:szCs w:val="22"/>
          <w:color w:val="auto"/>
        </w:rPr>
        <w:t>Except as permitted by Section 9.01(g), it will not, and will not permit any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to, become liable, directly or indirectly, with respect to any lease, whether an operating lease or a Capital Lease Obligation, of any Property (whether real, personal, or mixed), whether now owned or hereafter acquired, which (a) any Obligor has sold or transferred or is to sell or transfer to any other Person and (b) any Obligor intends to use for substantially the same purposes as Property which has been or is to be sold or transferred.</w:t>
      </w:r>
    </w:p>
    <w:p>
      <w:pPr>
        <w:spacing w:after="0" w:line="217"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9.15. Hazardous Material. </w:t>
      </w:r>
      <w:r>
        <w:rPr>
          <w:rFonts w:ascii="Times New Roman" w:cs="Times New Roman" w:eastAsia="Times New Roman" w:hAnsi="Times New Roman"/>
          <w:sz w:val="22"/>
          <w:szCs w:val="22"/>
          <w:color w:val="auto"/>
        </w:rPr>
        <w:t>It will not, and will not permit any of its Subsidiaries to, use, generate, manufacture,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install, treat, release, store or dispose of any Hazardous Material, except in compliance with all applicable Environmental Laws or where the failure to comply would not reasonably be expected to result in a Material Adverse Change.</w:t>
      </w:r>
    </w:p>
    <w:p>
      <w:pPr>
        <w:spacing w:after="0" w:line="194"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9.16. Accounting Changes. </w:t>
      </w:r>
      <w:r>
        <w:rPr>
          <w:rFonts w:ascii="Times New Roman" w:cs="Times New Roman" w:eastAsia="Times New Roman" w:hAnsi="Times New Roman"/>
          <w:sz w:val="22"/>
          <w:szCs w:val="22"/>
          <w:color w:val="auto"/>
        </w:rPr>
        <w:t>It will not, and will not permit any of its Subsidiaries to, make any significant 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accounting treatment, except as required or permitted by GAAP, without the consent of the Lenders, such consent not to be unreasonably withheld or delayed.</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21"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9.17. Compliance with ERISA. </w:t>
      </w:r>
      <w:r>
        <w:rPr>
          <w:rFonts w:ascii="Times New Roman" w:cs="Times New Roman" w:eastAsia="Times New Roman" w:hAnsi="Times New Roman"/>
          <w:sz w:val="22"/>
          <w:szCs w:val="22"/>
          <w:color w:val="auto"/>
        </w:rPr>
        <w:t>No Obligor or ERISA Affiliate shall cause or suffer to exist (a) any event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would result in the imposition of a Lien with respect to any Title IV Plan or Multiemployer Plan or (b) any other ERISA Event, in the case of (a) and (b), that would, in the aggregate, have a Material Adverse Effect.</w:t>
      </w:r>
    </w:p>
    <w:p>
      <w:pPr>
        <w:spacing w:after="0" w:line="194"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9.18. Deposit Accounts. </w:t>
      </w:r>
      <w:r>
        <w:rPr>
          <w:rFonts w:ascii="Times New Roman" w:cs="Times New Roman" w:eastAsia="Times New Roman" w:hAnsi="Times New Roman"/>
          <w:sz w:val="22"/>
          <w:szCs w:val="22"/>
          <w:color w:val="auto"/>
        </w:rPr>
        <w:t>It will not, and will not permit any of its Subsidiaries to, establish or maintain any bank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 that is not a Controlled Account (other than an Excluded Account) and will not, and will not permit any of its Subsidiaries to, deposit proceeds in a bank account that is not a Controlled Account.</w:t>
      </w:r>
    </w:p>
    <w:p>
      <w:pPr>
        <w:spacing w:after="0" w:line="208"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9.19. Outbound Licenses. </w:t>
      </w:r>
      <w:r>
        <w:rPr>
          <w:rFonts w:ascii="Times New Roman" w:cs="Times New Roman" w:eastAsia="Times New Roman" w:hAnsi="Times New Roman"/>
          <w:sz w:val="22"/>
          <w:szCs w:val="22"/>
          <w:color w:val="auto"/>
        </w:rPr>
        <w:t>It will not, and will not permit any of its Subsidiaries to, enter into or become bound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outbound license or agreement unless such outbound license or agreement is a Permitted License.</w:t>
      </w:r>
    </w:p>
    <w:p>
      <w:pPr>
        <w:spacing w:after="0" w:line="190" w:lineRule="exact"/>
        <w:rPr>
          <w:sz w:val="20"/>
          <w:szCs w:val="20"/>
          <w:color w:val="auto"/>
        </w:rPr>
      </w:pPr>
    </w:p>
    <w:p>
      <w:pPr>
        <w:jc w:val="both"/>
        <w:ind w:firstLine="432"/>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9.20. Inbound Licenses. </w:t>
      </w:r>
      <w:r>
        <w:rPr>
          <w:rFonts w:ascii="Times New Roman" w:cs="Times New Roman" w:eastAsia="Times New Roman" w:hAnsi="Times New Roman"/>
          <w:sz w:val="22"/>
          <w:szCs w:val="22"/>
          <w:color w:val="auto"/>
        </w:rPr>
        <w:t>It will not, and will not permit any of its Subsidiaries to, enter into or become bound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inbound license or agreement (other than Permitted Licenses) unless (a) no Default has occurred and is continuing, (b) such Obligor has provided written notice to the Administrative Agent of the material terms of such license or agreement with a description of its anticipated and projected impact on such Obligor’s business or financial condition and (c) such Obligor has taken such commercially reasonable actions as the Administrative Agent may reasonably request to obtain the consent of, or waiver by, any Person whose consent or waiver is necessary for the Administrative Agent to be granted a valid and perfected security interest in such license or agreement and to allow the Administrative Agent to fully exercise its rights under any of the Loan Documents in the event of a disposition or liquidation of the rights, assets or property that is the subject of such license or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amounts to be paid under all such inbound licenses pursuant to this Section 9.20 shall not exceed an amount equal to $2,000,000 per fiscal year.</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10</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vents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efault</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 xml:space="preserve">Section 10.01. Events of Default. </w:t>
      </w:r>
      <w:r>
        <w:rPr>
          <w:rFonts w:ascii="Times New Roman" w:cs="Times New Roman" w:eastAsia="Times New Roman" w:hAnsi="Times New Roman"/>
          <w:sz w:val="22"/>
          <w:szCs w:val="22"/>
          <w:color w:val="auto"/>
        </w:rPr>
        <w:t>Each of the following events shall constitute an</w:t>
      </w:r>
      <w:r>
        <w:rPr>
          <w:rFonts w:ascii="Times New Roman" w:cs="Times New Roman" w:eastAsia="Times New Roman" w:hAnsi="Times New Roman"/>
          <w:sz w:val="22"/>
          <w:szCs w:val="22"/>
          <w:i w:val="1"/>
          <w:iCs w:val="1"/>
          <w:color w:val="auto"/>
        </w:rPr>
        <w:t xml:space="preserve"> “Event of Default”</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760" w:right="60" w:firstLine="745"/>
        <w:spacing w:after="0" w:line="258" w:lineRule="auto"/>
        <w:tabs>
          <w:tab w:leader="none" w:pos="2373"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principal on the Term Loans when and as the same shall become due and payable at the due date thereof; or</w:t>
      </w:r>
    </w:p>
    <w:p>
      <w:pPr>
        <w:spacing w:after="0" w:line="19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373"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fail to pay any Obligation (other than an amount referred to in Section 10.01(a)) when and as the same shall become due and payable, and such failure shall continue unremedied for a period of three (3) Business Days; or</w:t>
      </w:r>
    </w:p>
    <w:p>
      <w:pPr>
        <w:spacing w:after="0" w:line="200" w:lineRule="exact"/>
        <w:rPr>
          <w:rFonts w:ascii="Times New Roman" w:cs="Times New Roman" w:eastAsia="Times New Roman" w:hAnsi="Times New Roman"/>
          <w:sz w:val="22"/>
          <w:szCs w:val="22"/>
          <w:color w:val="auto"/>
        </w:rPr>
      </w:pPr>
    </w:p>
    <w:p>
      <w:pPr>
        <w:jc w:val="both"/>
        <w:ind w:left="760" w:firstLine="745"/>
        <w:spacing w:after="0" w:line="261" w:lineRule="auto"/>
        <w:tabs>
          <w:tab w:leader="none" w:pos="2373"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representation or warranty made in writing by or on behalf of an Obligor or any of its Subsidiaries in or in connection with this Agreement or any other Loan Document or any amendment or modification hereof or thereof, or in any report, certificate, financial statement or other document furnished pursuant to or in connection</w:t>
      </w:r>
    </w:p>
    <w:p>
      <w:pPr>
        <w:spacing w:after="0" w:line="29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 this Agreement or any other Loan Document or any amendment or modification hereof or thereof, shall: (i) prove to have been incorrect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 or</w:t>
      </w:r>
    </w:p>
    <w:p>
      <w:pPr>
        <w:spacing w:after="0" w:line="204" w:lineRule="exact"/>
        <w:rPr>
          <w:sz w:val="20"/>
          <w:szCs w:val="20"/>
          <w:color w:val="auto"/>
        </w:rPr>
      </w:pPr>
    </w:p>
    <w:p>
      <w:pPr>
        <w:ind w:firstLine="745"/>
        <w:spacing w:after="0" w:line="244" w:lineRule="auto"/>
        <w:tabs>
          <w:tab w:leader="none" w:pos="1613"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fail to observe or perform any covenant, condition or agreement contained in Sections 8.01(a)-(d), 8.02(a), 8.02(b), 8.03(a) (with respect to such Obligor’s existence), 8.10, 8.11, 8.15, 8.18 or Article 9; or</w:t>
      </w:r>
    </w:p>
    <w:p>
      <w:pPr>
        <w:spacing w:after="0" w:line="213" w:lineRule="exact"/>
        <w:rPr>
          <w:rFonts w:ascii="Times New Roman" w:cs="Times New Roman" w:eastAsia="Times New Roman" w:hAnsi="Times New Roman"/>
          <w:sz w:val="22"/>
          <w:szCs w:val="22"/>
          <w:color w:val="auto"/>
        </w:rPr>
      </w:pPr>
    </w:p>
    <w:p>
      <w:pPr>
        <w:ind w:firstLine="745"/>
        <w:spacing w:after="0" w:line="244" w:lineRule="auto"/>
        <w:tabs>
          <w:tab w:leader="none" w:pos="1613"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fail to observe or perform any covenant, condition or agreement contained in Section 8.01 (other than in clauses (a)-(d) and 8.02 (other than in clauses (a) and (b)), and in the case of any failure that is capable of cure, such failure shall continue unremedied for a period of five (5) or more days; or</w:t>
      </w:r>
    </w:p>
    <w:p>
      <w:pPr>
        <w:spacing w:after="0" w:line="213" w:lineRule="exact"/>
        <w:rPr>
          <w:rFonts w:ascii="Times New Roman" w:cs="Times New Roman" w:eastAsia="Times New Roman" w:hAnsi="Times New Roman"/>
          <w:sz w:val="22"/>
          <w:szCs w:val="22"/>
          <w:color w:val="auto"/>
        </w:rPr>
      </w:pPr>
    </w:p>
    <w:p>
      <w:pPr>
        <w:jc w:val="both"/>
        <w:ind w:firstLine="745"/>
        <w:spacing w:after="0" w:line="239" w:lineRule="auto"/>
        <w:tabs>
          <w:tab w:leader="none" w:pos="1613"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fail to observe or perform any covenant, condition or agreement contained in this Agreement (other than those specified in Section 10.01(a), (b), (d) or (e)) or any other Loan Document, and, in the case of any failure that is capable of cure, such failure shall continue unremedied for a period of thirty (30) or more days, after actual knowledge by a Responsible Office or receipt of notice from the Administrative Agent; or</w:t>
      </w:r>
    </w:p>
    <w:p>
      <w:pPr>
        <w:spacing w:after="0" w:line="207" w:lineRule="exact"/>
        <w:rPr>
          <w:rFonts w:ascii="Times New Roman" w:cs="Times New Roman" w:eastAsia="Times New Roman" w:hAnsi="Times New Roman"/>
          <w:sz w:val="22"/>
          <w:szCs w:val="22"/>
          <w:color w:val="auto"/>
        </w:rPr>
      </w:pPr>
    </w:p>
    <w:p>
      <w:pPr>
        <w:jc w:val="both"/>
        <w:ind w:firstLine="745"/>
        <w:spacing w:after="0" w:line="244" w:lineRule="auto"/>
        <w:tabs>
          <w:tab w:leader="none" w:pos="1613"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fail to make any payment (whether of principal or interest and regardless of amount) in respect of any Material Indebtedness, when and as the same shall become due and payable after giving effect to any applicable grace or cure period as originally provided by the terms of such Indebtedness; or</w:t>
      </w:r>
    </w:p>
    <w:p>
      <w:pPr>
        <w:spacing w:after="0" w:line="213" w:lineRule="exact"/>
        <w:rPr>
          <w:rFonts w:ascii="Times New Roman" w:cs="Times New Roman" w:eastAsia="Times New Roman" w:hAnsi="Times New Roman"/>
          <w:sz w:val="22"/>
          <w:szCs w:val="22"/>
          <w:color w:val="auto"/>
        </w:rPr>
      </w:pPr>
    </w:p>
    <w:p>
      <w:pPr>
        <w:jc w:val="both"/>
        <w:ind w:firstLine="745"/>
        <w:spacing w:after="0" w:line="234" w:lineRule="auto"/>
        <w:tabs>
          <w:tab w:leader="none" w:pos="1682"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material breach of, or “event of default” or similar event under, the Contract governing any Material Indebtedness shall occur and such breach or “event of default” or similar event shall continue unremedied, uncured or unwaived after a period of five (5) Business Days after the expiration of any cure period thereunder, or (ii) any event or condition occurs (A) that results in any Material Indebtedness becoming due prior to its scheduled maturity or (B)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this Section 10.01(h) shall not apply to secured Indebtedness that becomes due as a result of the voluntary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sale or transfer of the Property securing such Material Indebtedness; or</w:t>
      </w:r>
    </w:p>
    <w:p>
      <w:pPr>
        <w:spacing w:after="0" w:line="223" w:lineRule="exact"/>
        <w:rPr>
          <w:rFonts w:ascii="Times New Roman" w:cs="Times New Roman" w:eastAsia="Times New Roman" w:hAnsi="Times New Roman"/>
          <w:sz w:val="22"/>
          <w:szCs w:val="22"/>
          <w:color w:val="auto"/>
        </w:rPr>
      </w:pPr>
    </w:p>
    <w:p>
      <w:pPr>
        <w:ind w:left="1600" w:hanging="855"/>
        <w:spacing w:after="0"/>
        <w:tabs>
          <w:tab w:leader="none" w:pos="16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or any of its Subsidiaries:</w:t>
      </w:r>
    </w:p>
    <w:p>
      <w:pPr>
        <w:spacing w:after="0" w:line="233" w:lineRule="exact"/>
        <w:rPr>
          <w:rFonts w:ascii="Times New Roman" w:cs="Times New Roman" w:eastAsia="Times New Roman" w:hAnsi="Times New Roman"/>
          <w:sz w:val="22"/>
          <w:szCs w:val="22"/>
          <w:color w:val="auto"/>
        </w:rPr>
      </w:pPr>
    </w:p>
    <w:p>
      <w:pPr>
        <w:ind w:left="740" w:firstLine="754"/>
        <w:spacing w:after="0" w:line="244" w:lineRule="auto"/>
        <w:tabs>
          <w:tab w:leader="none" w:pos="2353"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ceases to be Solvent, or generally does not or becomes unable to pay its debts or meet its liabilities as the same become due, or admits in writing its inability to pay its debts generally, or declares any general moratorium</w:t>
      </w:r>
    </w:p>
    <w:p>
      <w:pPr>
        <w:spacing w:after="0" w:line="314" w:lineRule="exact"/>
        <w:rPr>
          <w:sz w:val="20"/>
          <w:szCs w:val="20"/>
          <w:color w:val="auto"/>
        </w:rPr>
      </w:pPr>
    </w:p>
    <w:p>
      <w:pPr>
        <w:ind w:left="46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508635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231" w:name="page232"/>
    <w:bookmarkEnd w:id="231"/>
    <w:p>
      <w:pPr>
        <w:spacing w:after="0" w:line="225" w:lineRule="exact"/>
        <w:rPr>
          <w:sz w:val="20"/>
          <w:szCs w:val="20"/>
          <w:color w:val="auto"/>
        </w:rPr>
      </w:pPr>
    </w:p>
    <w:p>
      <w:pPr>
        <w:ind w:left="380" w:right="20"/>
        <w:spacing w:after="0" w:line="258" w:lineRule="auto"/>
        <w:rPr>
          <w:sz w:val="20"/>
          <w:szCs w:val="20"/>
          <w:color w:val="auto"/>
        </w:rPr>
      </w:pPr>
      <w:r>
        <w:rPr>
          <w:rFonts w:ascii="Times New Roman" w:cs="Times New Roman" w:eastAsia="Times New Roman" w:hAnsi="Times New Roman"/>
          <w:sz w:val="22"/>
          <w:szCs w:val="22"/>
          <w:color w:val="auto"/>
        </w:rPr>
        <w:t>on its Indebtedness, or proposes a compromise or arrangement or deed of company arrangement between it and any class of its creditors; or</w:t>
      </w:r>
    </w:p>
    <w:p>
      <w:pPr>
        <w:spacing w:after="0" w:line="185" w:lineRule="exact"/>
        <w:rPr>
          <w:sz w:val="20"/>
          <w:szCs w:val="20"/>
          <w:color w:val="auto"/>
        </w:rPr>
      </w:pPr>
    </w:p>
    <w:p>
      <w:pPr>
        <w:ind w:left="380" w:firstLine="754"/>
        <w:spacing w:after="0" w:line="235" w:lineRule="auto"/>
        <w:tabs>
          <w:tab w:leader="none" w:pos="1993"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(A) voluntarily commence any proceeding or file any petition seeking liquidation, reorganization or other relief under any Federal, state or foreign bankruptcy, insolvency, receivership or similar law now or hereafter in effect, (B) consent to the institution of, or fail to contest in a timely and appropriate manner, any proceeding or petition described in Section 10.01(j), (C) apply for or consent to the appointment of a receiver, trustee, custodian, sequestrator, conservator or similar official for an Obligor or for a substantial part of its assets, (D) file an answer admitting the material allegations of a petition filed against it in any such proceeding, (E) make a general assignment for the benefit of creditors or (F) take any action for the purpose of effecting any of the foregoing; or</w:t>
      </w:r>
    </w:p>
    <w:p>
      <w:pPr>
        <w:spacing w:after="0" w:line="218"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125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proceeding shall be commenced or an involuntary petition shall be filed seeking (i) liquidation, reorganization or other relief in respect of an Obligor or any Subsidiary of an Obligor or its debts, or of a substantial part of its assets, under any Federal, state or foreign bankruptcy, insolvency, receivership or similar law now or hereafter in effect or (ii) the appointment of a receiver, trustee, custodian, sequestrator, conservator or similar official for an Obligor or any Subsidiary of an Obligor or for a substantial part of its assets, and, in any such case, such proceeding or petition shall continue undismissed for sixty (60) days or an order or decree approving or ordering any of the foregoing shall be entered; or</w:t>
      </w:r>
    </w:p>
    <w:p>
      <w:pPr>
        <w:spacing w:after="0" w:line="223" w:lineRule="exact"/>
        <w:rPr>
          <w:rFonts w:ascii="Times New Roman" w:cs="Times New Roman" w:eastAsia="Times New Roman" w:hAnsi="Times New Roman"/>
          <w:sz w:val="22"/>
          <w:szCs w:val="22"/>
          <w:color w:val="auto"/>
        </w:rPr>
      </w:pPr>
    </w:p>
    <w:p>
      <w:pPr>
        <w:ind w:left="-360" w:firstLine="745"/>
        <w:spacing w:after="0" w:line="238" w:lineRule="auto"/>
        <w:tabs>
          <w:tab w:leader="none" w:pos="125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for the payment of money in an aggregate amount in excess of $500,000 (excluding any amounts covered by insurance as to which the applicable carrier has not denied coverage) shall be rendered against any Obligor or any combination thereof and the same shall remain undischarged for a period of forty-five (45) consecutive days during which execution shall not be effectively stayed, or any action shall be legally taken by a judgment creditor to attach or levy upon any assets of any Obligor to enforce any such judgment; or</w:t>
      </w:r>
    </w:p>
    <w:p>
      <w:pPr>
        <w:spacing w:after="0" w:line="203" w:lineRule="exact"/>
        <w:rPr>
          <w:rFonts w:ascii="Times New Roman" w:cs="Times New Roman" w:eastAsia="Times New Roman" w:hAnsi="Times New Roman"/>
          <w:sz w:val="22"/>
          <w:szCs w:val="22"/>
          <w:color w:val="auto"/>
        </w:rPr>
      </w:pPr>
    </w:p>
    <w:p>
      <w:pPr>
        <w:ind w:left="-360" w:firstLine="745"/>
        <w:spacing w:after="0" w:line="244" w:lineRule="auto"/>
        <w:tabs>
          <w:tab w:leader="none" w:pos="125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that, in the reasonable opinion of the Lenders, when taken together with all other ERISA Events that have occurred, would reasonably be expected to have a Material Adverse Effect; or</w:t>
      </w:r>
    </w:p>
    <w:p>
      <w:pPr>
        <w:spacing w:after="0" w:line="213" w:lineRule="exact"/>
        <w:rPr>
          <w:rFonts w:ascii="Times New Roman" w:cs="Times New Roman" w:eastAsia="Times New Roman" w:hAnsi="Times New Roman"/>
          <w:sz w:val="22"/>
          <w:szCs w:val="22"/>
          <w:color w:val="auto"/>
        </w:rPr>
      </w:pPr>
    </w:p>
    <w:p>
      <w:pPr>
        <w:ind w:left="1240" w:hanging="855"/>
        <w:spacing w:after="0"/>
        <w:tabs>
          <w:tab w:leader="none" w:pos="12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shall have occurred; or</w:t>
      </w:r>
    </w:p>
    <w:p>
      <w:pPr>
        <w:spacing w:after="0" w:line="246" w:lineRule="exact"/>
        <w:rPr>
          <w:rFonts w:ascii="Times New Roman" w:cs="Times New Roman" w:eastAsia="Times New Roman" w:hAnsi="Times New Roman"/>
          <w:sz w:val="22"/>
          <w:szCs w:val="22"/>
          <w:color w:val="auto"/>
        </w:rPr>
      </w:pPr>
    </w:p>
    <w:p>
      <w:pPr>
        <w:ind w:left="1240" w:hanging="855"/>
        <w:spacing w:after="0"/>
        <w:tabs>
          <w:tab w:leader="none" w:pos="12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or</w:t>
      </w:r>
    </w:p>
    <w:p>
      <w:pPr>
        <w:spacing w:after="0" w:line="233" w:lineRule="exact"/>
        <w:rPr>
          <w:rFonts w:ascii="Times New Roman" w:cs="Times New Roman" w:eastAsia="Times New Roman" w:hAnsi="Times New Roman"/>
          <w:sz w:val="22"/>
          <w:szCs w:val="22"/>
          <w:color w:val="auto"/>
        </w:rPr>
      </w:pPr>
    </w:p>
    <w:p>
      <w:pPr>
        <w:ind w:left="1240" w:hanging="855"/>
        <w:spacing w:after="0"/>
        <w:tabs>
          <w:tab w:leader="none" w:pos="12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Adverse Change shall have occurred; or</w:t>
      </w:r>
    </w:p>
    <w:p>
      <w:pPr>
        <w:spacing w:after="0" w:line="246"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132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Lien created by any of the Security Documents shall at any time not constitute a valid and perfected Lien in favor of the Administrative Agent on Collateral with an aggregate value in excess of $250,000, free and clear of all other Liens (other than Permitted Liens) except due to the action or inaction of the Administrative</w:t>
      </w:r>
    </w:p>
    <w:p>
      <w:pPr>
        <w:spacing w:after="0" w:line="314" w:lineRule="exact"/>
        <w:rPr>
          <w:sz w:val="20"/>
          <w:szCs w:val="20"/>
          <w:color w:val="auto"/>
        </w:rPr>
      </w:pPr>
    </w:p>
    <w:p>
      <w:pPr>
        <w:ind w:left="432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32" w:name="page233"/>
    <w:bookmarkEnd w:id="232"/>
    <w:p>
      <w:pPr>
        <w:spacing w:after="0" w:line="225" w:lineRule="exact"/>
        <w:rPr>
          <w:sz w:val="20"/>
          <w:szCs w:val="20"/>
          <w:color w:val="auto"/>
        </w:rPr>
      </w:pPr>
    </w:p>
    <w:p>
      <w:pPr>
        <w:jc w:val="both"/>
        <w:ind w:left="320"/>
        <w:spacing w:after="0" w:line="238" w:lineRule="auto"/>
        <w:rPr>
          <w:sz w:val="20"/>
          <w:szCs w:val="20"/>
          <w:color w:val="auto"/>
        </w:rPr>
      </w:pPr>
      <w:r>
        <w:rPr>
          <w:rFonts w:ascii="Times New Roman" w:cs="Times New Roman" w:eastAsia="Times New Roman" w:hAnsi="Times New Roman"/>
          <w:sz w:val="22"/>
          <w:szCs w:val="22"/>
          <w:color w:val="auto"/>
        </w:rPr>
        <w:t>Agent or any Lender(s), (ii) except for expiration in accordance with its terms and except due to the action or inaction of the Administrative Agent or any Lender(s), any material provision of the Security Documents or any Guarantee of any of the Obligations shall for whatever reason cease to be in full force and effect, or (iii) any of the Security Documents or any Guarantee of any of the Obligations, or the enforceability thereof, shall be repudiated or contested by any Obligor; or</w:t>
      </w:r>
    </w:p>
    <w:p>
      <w:pPr>
        <w:spacing w:after="0" w:line="204" w:lineRule="exact"/>
        <w:rPr>
          <w:sz w:val="20"/>
          <w:szCs w:val="20"/>
          <w:color w:val="auto"/>
        </w:rPr>
      </w:pPr>
    </w:p>
    <w:p>
      <w:pPr>
        <w:ind w:left="320" w:right="40" w:firstLine="745"/>
        <w:spacing w:after="0" w:line="258" w:lineRule="auto"/>
        <w:tabs>
          <w:tab w:leader="none" w:pos="1933"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injunction, whether temporary or permanent, shall be rendered against any Obligor that prevents the Obligors from selling or manufacturing any Product that has a Material Adverse Effect; or</w:t>
      </w:r>
    </w:p>
    <w:p>
      <w:pPr>
        <w:spacing w:after="0" w:line="198" w:lineRule="exact"/>
        <w:rPr>
          <w:rFonts w:ascii="Times New Roman" w:cs="Times New Roman" w:eastAsia="Times New Roman" w:hAnsi="Times New Roman"/>
          <w:sz w:val="22"/>
          <w:szCs w:val="22"/>
          <w:color w:val="auto"/>
        </w:rPr>
      </w:pPr>
    </w:p>
    <w:p>
      <w:pPr>
        <w:jc w:val="both"/>
        <w:ind w:left="320" w:firstLine="745"/>
        <w:spacing w:after="0" w:line="243" w:lineRule="auto"/>
        <w:tabs>
          <w:tab w:leader="none" w:pos="1987"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FDA or any other Governmental Authority (A) issues a letter or other communication asserting that any Product lacks a required Product Authorization (other than the revocation of any emergency use authorization issued pursuant to Section 564 of the FD&amp;C Act), including in respect of CE marks or 510(k)s or (B) initiates enforcement action against, or issues a warning letter with respect to, any Obligor, or any of their Products or the manufacturing facilities therefor, that causes any Obligor thereof to discontinue marketing or withdraw any of its Products, or causes a delay in the manufacture of any of its Products, which discontinuance, withdrawal or delay would reasonably be expected to last for more than ninety (90) days, (ii) any material Permit (including all Product Authorizations or clinical laboratory Permits), or any of the Obligors’ material rights or interests thereunder, is terminated, adversely amended or otherwise determined to be ineffective in any manner materially adverse to any of the Obligors, in each case, for more than ninety (90) days, (iii) there is a recall of any Product in any territory in the case of</w:t>
      </w:r>
    </w:p>
    <w:p>
      <w:pPr>
        <w:spacing w:after="0" w:line="9" w:lineRule="exact"/>
        <w:rPr>
          <w:rFonts w:ascii="Times New Roman" w:cs="Times New Roman" w:eastAsia="Times New Roman" w:hAnsi="Times New Roman"/>
          <w:sz w:val="21"/>
          <w:szCs w:val="21"/>
          <w:color w:val="auto"/>
        </w:rPr>
      </w:pPr>
    </w:p>
    <w:p>
      <w:pPr>
        <w:jc w:val="both"/>
        <w:ind w:left="320" w:hanging="3"/>
        <w:spacing w:after="0" w:line="233" w:lineRule="auto"/>
        <w:tabs>
          <w:tab w:leader="none" w:pos="595"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(ii) that would reasonably be expected to result in a loss of revenue equal to at least $3,000,000 over the twelve (12) month period following such event or (iv) any Obligor is required to pay a fine, penalty, settlement amount or other payment to any Governmental Authority which individually or in the aggregate is in excess of $1,500,000 (except to the extent covered by insurance as to which the insurer does not dispute coverage) for any violation or alleged violation of any Healthcare Law.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Section 10.02. Remedies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left="320" w:firstLine="745"/>
        <w:spacing w:after="0" w:line="246" w:lineRule="auto"/>
        <w:tabs>
          <w:tab w:leader="none" w:pos="1933"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any Event of Default, then, and in every such event (other than an Event of Default described in Section 10.01(i) or (j)), and at any time thereafter during the continuance of such event, the Majority Lenders may, by notice to the Borrower, take either or both of the following actions, at the same or different times: (i) terminate the Commitments, and thereupon the Commitments shall terminate immediately, and (ii) declare the Term Loans then outstanding to be due and payable in whole (or in part, in which case any principal not so declared to be due and payable may thereafter be declared to be due and payable), and thereupon the principal of the Term Loans so declared to be due and payable, together with accrued interest thereon and all fees and other Obligations, shall become due and payable immediately (in the case of the Term Loans, at the Redemption Price therefor), without presentment, demand, protest or other notice of any kind, all of which are hereby waived by each Obligor.</w:t>
      </w:r>
    </w:p>
    <w:p>
      <w:pPr>
        <w:spacing w:after="0" w:line="316" w:lineRule="exact"/>
        <w:rPr>
          <w:sz w:val="20"/>
          <w:szCs w:val="20"/>
          <w:color w:val="auto"/>
        </w:rPr>
      </w:pPr>
    </w:p>
    <w:p>
      <w:pPr>
        <w:jc w:val="center"/>
        <w:ind w:right="4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233" w:name="page234"/>
    <w:bookmarkEnd w:id="233"/>
    <w:p>
      <w:pPr>
        <w:spacing w:after="0" w:line="225" w:lineRule="exact"/>
        <w:rPr>
          <w:sz w:val="20"/>
          <w:szCs w:val="20"/>
          <w:color w:val="auto"/>
        </w:rPr>
      </w:pPr>
    </w:p>
    <w:p>
      <w:pPr>
        <w:jc w:val="both"/>
        <w:ind w:left="760" w:firstLine="745"/>
        <w:spacing w:after="0" w:line="238" w:lineRule="auto"/>
        <w:tabs>
          <w:tab w:leader="none" w:pos="2373"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any Event of Default described in Section 10.01(i) or (j), the Commitments shall automatically terminate and the principal amount of the Term Loans then outstanding, together with accrued interest thereon and all fees and other Obligations, shall automatically become due and payable immediately (in the case of the Term Loan, at the Redemption Price therefor), without presentment, demand, protest or other notice of any kind, all of which are hereby waived by each Obligor.</w:t>
      </w:r>
    </w:p>
    <w:p>
      <w:pPr>
        <w:spacing w:after="0" w:line="20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373"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collects any money or property pursuant to this Article 10, they shall pay out the money or property in the order set forth in Section 4.01(b).</w:t>
      </w:r>
    </w:p>
    <w:p>
      <w:pPr>
        <w:spacing w:after="0" w:line="195"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10.03. Prepayment Premium and Redemption Price. </w:t>
      </w:r>
      <w:r>
        <w:rPr>
          <w:rFonts w:ascii="Times New Roman" w:cs="Times New Roman" w:eastAsia="Times New Roman" w:hAnsi="Times New Roman"/>
          <w:sz w:val="22"/>
          <w:szCs w:val="22"/>
          <w:color w:val="auto"/>
        </w:rPr>
        <w:t>For the avoidance of doubt, if any Prepayment Premium (as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component of the Redemption Price) shall be due and payable at any time the Term Loans become due and payable prior to the Stated Maturity Date for any reason, whether due to acceleration pursuant to the terms of this Agreement (in which case it shall be due immediately, upon the giving of notice to Borrower in accordance with Section 10.02(a), or automatically, in accordance with Section 10.02(b)), by operation of law or otherwise (including, without limitation,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any Prepayment Premium shall be due and payable upon such date. Each Obligor hereby waives any defense to payment, whether such defense may be based in public policy, ambiguity, or otherwise. The Obligors and the Lenders acknowledge and agree that any Prepayment Premium due and payable in accordance with this Agreement shall not constitute unmatured interest, whether under Section 502(b)(3) of the Bankruptcy Code or otherwise. Each Obligor further acknowledges and agrees, and waives any argument to the contrary, that payment of such amount does not constitute a penalty or an otherwise unenforceable or invalid obligation.</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uarantee</w:t>
      </w:r>
    </w:p>
    <w:p>
      <w:pPr>
        <w:spacing w:after="0" w:line="247" w:lineRule="exact"/>
        <w:rPr>
          <w:sz w:val="20"/>
          <w:szCs w:val="20"/>
          <w:color w:val="auto"/>
        </w:rPr>
      </w:pPr>
    </w:p>
    <w:p>
      <w:pPr>
        <w:jc w:val="both"/>
        <w:ind w:firstLine="432"/>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11.01. The Guarantee. </w:t>
      </w:r>
      <w:r>
        <w:rPr>
          <w:rFonts w:ascii="Times New Roman" w:cs="Times New Roman" w:eastAsia="Times New Roman" w:hAnsi="Times New Roman"/>
          <w:sz w:val="22"/>
          <w:szCs w:val="22"/>
          <w:color w:val="auto"/>
        </w:rPr>
        <w:t>The Guarantors hereby jointly and severally guarantee to the Administrative Agent and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Lender, and its successors and assigns, the prompt payment in full when due (whether at stated maturity, by acceleration or otherwise) of the principal of and interest on the Term Loans, all fees and other amounts and Obligations from time to time owing to the Administrative Agent and any Lender by the Borrower under this Agreement or under any other Loan Document and by any other Obligor under any of the Loan Documents, in each case strictly in accordance with the terms thereof (such obligations being herein collectively called the </w:t>
      </w:r>
      <w:r>
        <w:rPr>
          <w:rFonts w:ascii="Times New Roman" w:cs="Times New Roman" w:eastAsia="Times New Roman" w:hAnsi="Times New Roman"/>
          <w:sz w:val="22"/>
          <w:szCs w:val="22"/>
          <w:i w:val="1"/>
          <w:iCs w:val="1"/>
          <w:color w:val="auto"/>
        </w:rPr>
        <w:t>“Guaranteed Obligations”</w:t>
      </w:r>
      <w:r>
        <w:rPr>
          <w:rFonts w:ascii="Times New Roman" w:cs="Times New Roman" w:eastAsia="Times New Roman" w:hAnsi="Times New Roman"/>
          <w:sz w:val="22"/>
          <w:szCs w:val="22"/>
          <w:color w:val="auto"/>
        </w:rPr>
        <w:t>). The Guarantors hereby further jointly and severally agree that if the Borrower shall fail to pay in full when due (whether at stated maturity, by acceleration or otherwise) any of the Guaranteed Obligations, the Guarantors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221" w:lineRule="exact"/>
        <w:rPr>
          <w:sz w:val="20"/>
          <w:szCs w:val="20"/>
          <w:color w:val="auto"/>
        </w:rPr>
      </w:pPr>
    </w:p>
    <w:p>
      <w:pPr>
        <w:jc w:val="both"/>
        <w:ind w:firstLine="486"/>
        <w:spacing w:after="0" w:line="234" w:lineRule="auto"/>
        <w:rPr>
          <w:sz w:val="20"/>
          <w:szCs w:val="20"/>
          <w:color w:val="auto"/>
        </w:rPr>
      </w:pPr>
      <w:r>
        <w:rPr>
          <w:rFonts w:ascii="Times New Roman" w:cs="Times New Roman" w:eastAsia="Times New Roman" w:hAnsi="Times New Roman"/>
          <w:sz w:val="22"/>
          <w:szCs w:val="22"/>
          <w:i w:val="1"/>
          <w:iCs w:val="1"/>
          <w:color w:val="auto"/>
        </w:rPr>
        <w:t>Section 11.02. Obligations Unconditional.</w:t>
      </w:r>
      <w:r>
        <w:rPr>
          <w:rFonts w:ascii="Times New Roman" w:cs="Times New Roman" w:eastAsia="Times New Roman" w:hAnsi="Times New Roman"/>
          <w:sz w:val="22"/>
          <w:szCs w:val="22"/>
          <w:color w:val="auto"/>
        </w:rPr>
        <w:t>The Obligations of the Guarantors under Section 11.01 are irrevocable,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continuing, absolute and unconditional, joint and several, irrespective of the value, genuineness, validity, regularity or enforceability of the obligations of the Borrower under this Agreement or any other agreement or instrument referred to 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it being the intent of this Section 11.02 that the Obligations of the Guarantors hereunder shall be absolute and unconditional, joint and several, under any and all circumstances. Without limiting the generality of the foregoing, other than the defense of the payment in full of the Obligations, it is agreed that the occurrence of any one or more of the following shall not alter or impair the liability of the Guarantors hereunder, which shall remain absolute and unconditional as described above:</w:t>
      </w:r>
    </w:p>
    <w:p>
      <w:pPr>
        <w:spacing w:after="0" w:line="210" w:lineRule="exact"/>
        <w:rPr>
          <w:sz w:val="20"/>
          <w:szCs w:val="20"/>
          <w:color w:val="auto"/>
        </w:rPr>
      </w:pPr>
    </w:p>
    <w:p>
      <w:pPr>
        <w:jc w:val="both"/>
        <w:ind w:left="760" w:firstLine="745"/>
        <w:spacing w:after="0" w:line="244" w:lineRule="auto"/>
        <w:tabs>
          <w:tab w:leader="none" w:pos="237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or from time to time, without notice to the Guarantors, the time for any performance of or compliance with any of the Guaranteed Obligations shall be extended, or such performance or compliance shall be waived;</w:t>
      </w:r>
    </w:p>
    <w:p>
      <w:pPr>
        <w:spacing w:after="0" w:line="213" w:lineRule="exact"/>
        <w:rPr>
          <w:rFonts w:ascii="Times New Roman" w:cs="Times New Roman" w:eastAsia="Times New Roman" w:hAnsi="Times New Roman"/>
          <w:sz w:val="22"/>
          <w:szCs w:val="22"/>
          <w:color w:val="auto"/>
        </w:rPr>
      </w:pPr>
    </w:p>
    <w:p>
      <w:pPr>
        <w:ind w:left="760" w:right="100" w:firstLine="745"/>
        <w:spacing w:after="0" w:line="258" w:lineRule="auto"/>
        <w:tabs>
          <w:tab w:leader="none" w:pos="237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acts mentioned in any of the provisions of this Agreement or any other agreement or instrument referred to herein shall be done or omitted;</w:t>
      </w:r>
    </w:p>
    <w:p>
      <w:pPr>
        <w:spacing w:after="0" w:line="198" w:lineRule="exact"/>
        <w:rPr>
          <w:rFonts w:ascii="Times New Roman" w:cs="Times New Roman" w:eastAsia="Times New Roman" w:hAnsi="Times New Roman"/>
          <w:sz w:val="22"/>
          <w:szCs w:val="22"/>
          <w:color w:val="auto"/>
        </w:rPr>
      </w:pPr>
    </w:p>
    <w:p>
      <w:pPr>
        <w:ind w:left="760" w:firstLine="745"/>
        <w:spacing w:after="0" w:line="235" w:lineRule="auto"/>
        <w:tabs>
          <w:tab w:leader="none" w:pos="237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of any of the Guaranteed Obligations shall be accelerated, or any of the Guaranteed Obligations shall be modified, supplemented or amended in any respect (including, without limitation, any modification, supplement, or amendment that results in any increase in the Guaranteed Obligations, any change in the interest or fees payable, any renewal, extension, amendment, rescission, waiver, release, discharge, indulgence, compromise, arrangement, or any other variation in connection with the Guaranteed Obligations, any Loan Document, or any other agreement), or any right under this Agreement or any other agreement or instrument referred to herein shall be waived or any other Guarantee of any of the Guaranteed Obligations or any security therefor shall be released or exchanged in whole or in part or otherwise dealt with;</w:t>
      </w:r>
    </w:p>
    <w:p>
      <w:pPr>
        <w:spacing w:after="0" w:line="205" w:lineRule="exact"/>
        <w:rPr>
          <w:rFonts w:ascii="Times New Roman" w:cs="Times New Roman" w:eastAsia="Times New Roman" w:hAnsi="Times New Roman"/>
          <w:sz w:val="22"/>
          <w:szCs w:val="22"/>
          <w:color w:val="auto"/>
        </w:rPr>
      </w:pPr>
    </w:p>
    <w:p>
      <w:pPr>
        <w:ind w:left="760" w:firstLine="745"/>
        <w:spacing w:after="0" w:line="244" w:lineRule="auto"/>
        <w:tabs>
          <w:tab w:leader="none" w:pos="237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or security interest granted to, or in favor of, any Lender as security for any of the Guaranteed Obligations shall fail to be perfected or otherwise be taken, exchanged, substituted, varied, released, impaired, or subordinated;</w:t>
      </w:r>
    </w:p>
    <w:p>
      <w:pPr>
        <w:spacing w:after="0" w:line="213"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237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of the Guaranteed Obligations shall be taken, released, impaired, amended, waived or otherwise modified;</w:t>
      </w:r>
    </w:p>
    <w:p>
      <w:pPr>
        <w:spacing w:after="0" w:line="198" w:lineRule="exact"/>
        <w:rPr>
          <w:rFonts w:ascii="Times New Roman" w:cs="Times New Roman" w:eastAsia="Times New Roman" w:hAnsi="Times New Roman"/>
          <w:sz w:val="22"/>
          <w:szCs w:val="22"/>
          <w:color w:val="auto"/>
        </w:rPr>
      </w:pPr>
    </w:p>
    <w:p>
      <w:pPr>
        <w:ind w:left="760" w:right="140" w:firstLine="745"/>
        <w:spacing w:after="0" w:line="258" w:lineRule="auto"/>
        <w:tabs>
          <w:tab w:leader="none" w:pos="237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Guaranteed Obligations, any Loan Document, or any related agreement, security, or instrument shall be illegal, invalid or unenforceable for any reason whatsoever;</w:t>
      </w:r>
    </w:p>
    <w:p>
      <w:pPr>
        <w:spacing w:after="0" w:line="185"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37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Collateral or other assets shall be sold or disposed, and/or the proceeds of such sale or disposition applied, to satisfy all or part of the Guaranteed Obligations;</w:t>
      </w:r>
    </w:p>
    <w:p>
      <w:pPr>
        <w:spacing w:after="0" w:line="29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225" w:lineRule="exact"/>
        <w:rPr>
          <w:sz w:val="20"/>
          <w:szCs w:val="20"/>
          <w:color w:val="auto"/>
        </w:rPr>
      </w:pPr>
    </w:p>
    <w:p>
      <w:pPr>
        <w:ind w:left="760" w:right="40" w:firstLine="745"/>
        <w:spacing w:after="0" w:line="258" w:lineRule="auto"/>
        <w:tabs>
          <w:tab w:leader="none" w:pos="237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security or Collateral held for the Guaranteed Obligations shall lose or diminish in value, whether such loss or diminution arises from any act or omission of the Administrative Agent or any Lender;</w:t>
      </w:r>
    </w:p>
    <w:p>
      <w:pPr>
        <w:spacing w:after="0" w:line="185"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237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any Default, failure, or delay, willful or otherwise, in the payment and/or performance of the Guaranteed Obligations;</w:t>
      </w:r>
    </w:p>
    <w:p>
      <w:pPr>
        <w:spacing w:after="0" w:line="198" w:lineRule="exact"/>
        <w:rPr>
          <w:rFonts w:ascii="Times New Roman" w:cs="Times New Roman" w:eastAsia="Times New Roman" w:hAnsi="Times New Roman"/>
          <w:sz w:val="22"/>
          <w:szCs w:val="22"/>
          <w:color w:val="auto"/>
        </w:rPr>
      </w:pPr>
    </w:p>
    <w:p>
      <w:pPr>
        <w:ind w:left="760" w:firstLine="745"/>
        <w:spacing w:after="0" w:line="239" w:lineRule="auto"/>
        <w:tabs>
          <w:tab w:leader="none" w:pos="237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any change, restructuring or termination of the corporate structure, ownership or existence of any Obligor or any of its Subsidiaries or any insolvency, bankruptcy, reorganization or other similar proceeding affecting any Obligor or its assets or any resulting restructuring, compromise, release or discharge of any Guaranteed Obligations;</w:t>
      </w:r>
    </w:p>
    <w:p>
      <w:pPr>
        <w:spacing w:after="0" w:line="22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37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any failure of any of the Administrative Agent or any Lender to disclose to any Obligor any information relating to the business, condition (financial or otherwise), operations, performance, properties or prospects of any other Obligor, or any other information now or hereafter known to the Administrative Agent or such Lender;</w:t>
      </w:r>
    </w:p>
    <w:p>
      <w:pPr>
        <w:spacing w:after="0" w:line="207"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37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shall fail to execute or deliver this Agreement (including the Guarantee in this Article 11) or any other Guarantee or agreement or the release or reduction of liability of any Obligor or surety with respect to the Guaranteed Obligations;</w:t>
      </w:r>
    </w:p>
    <w:p>
      <w:pPr>
        <w:spacing w:after="0" w:line="21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37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Administrative Agent or any Lender shall fail to assert any claim or demand or to exercise or enforce any right or remedy under the provisions of any Loan Document or otherwise;</w:t>
      </w:r>
    </w:p>
    <w:p>
      <w:pPr>
        <w:spacing w:after="0" w:line="198" w:lineRule="exact"/>
        <w:rPr>
          <w:rFonts w:ascii="Times New Roman" w:cs="Times New Roman" w:eastAsia="Times New Roman" w:hAnsi="Times New Roman"/>
          <w:sz w:val="22"/>
          <w:szCs w:val="22"/>
          <w:color w:val="auto"/>
        </w:rPr>
      </w:pPr>
    </w:p>
    <w:p>
      <w:pPr>
        <w:ind w:left="760" w:firstLine="745"/>
        <w:spacing w:after="0" w:line="244" w:lineRule="auto"/>
        <w:tabs>
          <w:tab w:leader="none" w:pos="237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assert any defense, set-off or counterclaim (other than a defense of payment or performance) that may at any time be available to, or be asserted by, such against any of the Administrative Agent or any Lender; or</w:t>
      </w:r>
    </w:p>
    <w:p>
      <w:pPr>
        <w:spacing w:after="0" w:line="200" w:lineRule="exact"/>
        <w:rPr>
          <w:rFonts w:ascii="Times New Roman" w:cs="Times New Roman" w:eastAsia="Times New Roman" w:hAnsi="Times New Roman"/>
          <w:sz w:val="22"/>
          <w:szCs w:val="22"/>
          <w:color w:val="auto"/>
        </w:rPr>
      </w:pPr>
    </w:p>
    <w:p>
      <w:pPr>
        <w:ind w:left="760" w:firstLine="745"/>
        <w:spacing w:after="0" w:line="239" w:lineRule="auto"/>
        <w:tabs>
          <w:tab w:leader="none" w:pos="237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(including, without limitation, any statute of limitations) or manner of administering the Guaranteed Obligations shall exist or occur, or any of the Administrative Agent or any Lender shall rely on any representation, in each case, that might vary the risk of any Obligor or otherwise operate as a defense available to, or a legal or equitable discharge of, any Obligor or surety.</w:t>
      </w:r>
    </w:p>
    <w:p>
      <w:pPr>
        <w:spacing w:after="0" w:line="22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Guarantors hereby expressly waive diligence, presentment, demand of payment, protest and all notices whatsoever, and any requirement that the Administrative Agent or any Lender exhaust any right, power or remedy or proceed against the Borrower under this Agreement or any other agreement or instrument referred to herein, or against any other Person under any other Guarantee of, or security for, any of the Guaranteed Obligations.</w:t>
      </w:r>
    </w:p>
    <w:p>
      <w:pPr>
        <w:spacing w:after="0" w:line="217"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11.03. Reinstatement. </w:t>
      </w:r>
      <w:r>
        <w:rPr>
          <w:rFonts w:ascii="Times New Roman" w:cs="Times New Roman" w:eastAsia="Times New Roman" w:hAnsi="Times New Roman"/>
          <w:sz w:val="22"/>
          <w:szCs w:val="22"/>
          <w:color w:val="auto"/>
        </w:rPr>
        <w:t>The obligations of the Guarantors under this Article 11 shall be automatically reinstated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to the extent that for any reason any payment by or on behalf of the Borrower in respect of the Guaranteed Obligations is rescinded or must be otherwise restored</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by any holder of any of the Guaranteed Obligations, whether as a result of any proceedings in bankruptcy or reorganization or otherwise, and the Guarantors jointly and severally agree that they will indemnify the Administrative Agent and each Lender on demand for all reasonable costs and expenses (including reasonable and documented out-of-pocket fees of counsel) incurred by such Persons in connection with such rescission or restoration, including any such reasonable costs and expenses incurred in defending against any Claim alleging that such payment constituted a preference, fraudulent transfer or similar payment under any bankruptcy, insolvency or similar Law.</w:t>
      </w:r>
    </w:p>
    <w:p>
      <w:pPr>
        <w:spacing w:after="0" w:line="204" w:lineRule="exact"/>
        <w:rPr>
          <w:sz w:val="20"/>
          <w:szCs w:val="20"/>
          <w:color w:val="auto"/>
        </w:rPr>
      </w:pPr>
    </w:p>
    <w:p>
      <w:pPr>
        <w:jc w:val="both"/>
        <w:ind w:firstLine="445"/>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11.04. Subrogation. </w:t>
      </w:r>
      <w:r>
        <w:rPr>
          <w:rFonts w:ascii="Times New Roman" w:cs="Times New Roman" w:eastAsia="Times New Roman" w:hAnsi="Times New Roman"/>
          <w:sz w:val="22"/>
          <w:szCs w:val="22"/>
          <w:color w:val="auto"/>
        </w:rPr>
        <w:t>The Guarantors hereby jointly and severally agree that, until the payment and satisfaction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full of all Guaranteed Obligations (other than the Warrant Obligations and contingent and unmatured indemnity and expense reimbursement obligations) and the expiration and termination of the Commitments and the repayment, satisfaction or discharge of all Obligations under any Loan Document, they shall not exercise any right or remedy arising by reason of any performance by them of their Guarantee in Section 11.01, whether by subrogation or otherwise, against the Borrower or any other guarantor of any of the Guaranteed Obligations or any security for any of the Guaranteed Obligations.</w:t>
      </w:r>
    </w:p>
    <w:p>
      <w:pPr>
        <w:spacing w:after="0" w:line="216"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11.05. Remedies. </w:t>
      </w:r>
      <w:r>
        <w:rPr>
          <w:rFonts w:ascii="Times New Roman" w:cs="Times New Roman" w:eastAsia="Times New Roman" w:hAnsi="Times New Roman"/>
          <w:sz w:val="22"/>
          <w:szCs w:val="22"/>
          <w:color w:val="auto"/>
        </w:rPr>
        <w:t>The Guarantors jointly and severally agree that, as between the Guarantors, on one hand,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on the other hand, the obligations of the Borrower under this Agreement and under the other Loan Documents may be declared to be forthwith due and payable as provided in Article 10 (and shall be deemed to have become automatically due and payable in the circumstances provided in Article 10) for purposes of Section 11.01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Section 11.01.</w:t>
      </w:r>
    </w:p>
    <w:p>
      <w:pPr>
        <w:spacing w:after="0" w:line="219" w:lineRule="exact"/>
        <w:rPr>
          <w:sz w:val="20"/>
          <w:szCs w:val="20"/>
          <w:color w:val="auto"/>
        </w:rPr>
      </w:pPr>
    </w:p>
    <w:p>
      <w:pPr>
        <w:jc w:val="both"/>
        <w:ind w:firstLine="459"/>
        <w:spacing w:after="0" w:line="241" w:lineRule="auto"/>
        <w:rPr>
          <w:sz w:val="20"/>
          <w:szCs w:val="20"/>
          <w:color w:val="auto"/>
        </w:rPr>
      </w:pPr>
      <w:r>
        <w:rPr>
          <w:rFonts w:ascii="Times New Roman" w:cs="Times New Roman" w:eastAsia="Times New Roman" w:hAnsi="Times New Roman"/>
          <w:sz w:val="22"/>
          <w:szCs w:val="22"/>
          <w:i w:val="1"/>
          <w:iCs w:val="1"/>
          <w:color w:val="auto"/>
        </w:rPr>
        <w:t>Section 11.06. Instrument for the Payment of Money</w:t>
      </w:r>
      <w:r>
        <w:rPr>
          <w:rFonts w:ascii="Times New Roman" w:cs="Times New Roman" w:eastAsia="Times New Roman" w:hAnsi="Times New Roman"/>
          <w:sz w:val="22"/>
          <w:szCs w:val="22"/>
          <w:color w:val="auto"/>
        </w:rPr>
        <w:t>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Guarantor hereby acknowledges that the Guarantee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Article 11 constitutes an instrument for the payment of money, and consents and agrees that each Lender, at its sole option, in the event of a dispute by such Guarantor in the payment of any moneys due hereunder, shall have the right to proceed by motion for summary judgment in lieu of complaint pursuant to N.Y. Civ. Prac. L&amp;R § 3213.</w:t>
      </w:r>
    </w:p>
    <w:p>
      <w:pPr>
        <w:spacing w:after="0" w:line="199"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Section 11.07. Continuing Guarantee. </w:t>
      </w:r>
      <w:r>
        <w:rPr>
          <w:rFonts w:ascii="Times New Roman" w:cs="Times New Roman" w:eastAsia="Times New Roman" w:hAnsi="Times New Roman"/>
          <w:sz w:val="21"/>
          <w:szCs w:val="21"/>
          <w:color w:val="auto"/>
        </w:rPr>
        <w:t>The Guarantee in this Article 11 is a continuing guarantee, and shall apply to 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Guaranteed Obligations whenever arising. Without limiting the generality of the foregoing, the Guarantors hereby unconditionally and irrevocably waive any right to revoke this Guarantee in this Article 11 and acknowledge that the Guarantee in this Article 11 is continuing in nature, shall guarantee any ultimate balance owing to any of the Administrative Agent or any Lender, and applies to all presently existing and future Guaranteed Obligations, until the complete, irrevocable and indefeasible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payment and satisfaction in full of the Guaranteed Obligations. The Guarantee in this Article 11 shall continue to apply to all Guaranteed Obligations owing to the Administrative Agent and the Lenders by any entity resulting from any Obligor merging, amalgamating, or otherwise entering into any other business combination transaction with one or more other entities.</w:t>
      </w:r>
    </w:p>
    <w:p>
      <w:pPr>
        <w:spacing w:after="0" w:line="312"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221" w:lineRule="exact"/>
        <w:rPr>
          <w:sz w:val="20"/>
          <w:szCs w:val="20"/>
          <w:color w:val="auto"/>
        </w:rPr>
      </w:pPr>
    </w:p>
    <w:p>
      <w:pPr>
        <w:jc w:val="both"/>
        <w:ind w:firstLine="445"/>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11.08. Rights of Contribution. </w:t>
      </w:r>
      <w:r>
        <w:rPr>
          <w:rFonts w:ascii="Times New Roman" w:cs="Times New Roman" w:eastAsia="Times New Roman" w:hAnsi="Times New Roman"/>
          <w:sz w:val="22"/>
          <w:szCs w:val="22"/>
          <w:color w:val="auto"/>
        </w:rPr>
        <w:t>The Guarantors hereby agree, as between themselves, that if any Guarantor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become an Excess Funding Guarantor (as defined below) by reason of the payment by such Guarantor of any Guaranteed Obligations, each other Guarantor shall, on demand of such Excess Funding Guarantor (but subject to the next sentence), pay to such Excess Funding Guarantor an amount equal to such Guarantor’s Pro Rata Share (as defined below and determined, for this purpose, without reference to the properties, debts and liabilities of such Excess Funding Guarantor) of the Excess Payment (as defined below) in respect of such Guaranteed Obligations. The payment obligation of a Guarantor to any Excess Funding Guarantor under this Section 11.08 shall be subordinate and subject in right of payment to the prior payment in full of the obligations of such Guarantor under the other provisions of this Article 11 and such Excess Funding Guarantor shall not exercise any right or remedy with respect to such excess until payment and satisfaction in full of all of such obligations.</w:t>
      </w:r>
    </w:p>
    <w:p>
      <w:pPr>
        <w:spacing w:after="0" w:line="20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For purposes of this Section 11.08, (a) </w:t>
      </w:r>
      <w:r>
        <w:rPr>
          <w:rFonts w:ascii="Times New Roman" w:cs="Times New Roman" w:eastAsia="Times New Roman" w:hAnsi="Times New Roman"/>
          <w:sz w:val="22"/>
          <w:szCs w:val="22"/>
          <w:i w:val="1"/>
          <w:iCs w:val="1"/>
          <w:color w:val="auto"/>
        </w:rPr>
        <w:t>“Excess Funding Guarantor”</w:t>
      </w:r>
      <w:r>
        <w:rPr>
          <w:rFonts w:ascii="Times New Roman" w:cs="Times New Roman" w:eastAsia="Times New Roman" w:hAnsi="Times New Roman"/>
          <w:sz w:val="22"/>
          <w:szCs w:val="22"/>
          <w:color w:val="auto"/>
        </w:rPr>
        <w:t xml:space="preserve"> means, in respect of any Guaranteed Obligations, a Guarantor that has paid an amount in excess of its Pro Rata Share of such Guaranteed Obligations, (b) </w:t>
      </w:r>
      <w:r>
        <w:rPr>
          <w:rFonts w:ascii="Times New Roman" w:cs="Times New Roman" w:eastAsia="Times New Roman" w:hAnsi="Times New Roman"/>
          <w:sz w:val="22"/>
          <w:szCs w:val="22"/>
          <w:i w:val="1"/>
          <w:iCs w:val="1"/>
          <w:color w:val="auto"/>
        </w:rPr>
        <w:t>“Excess Payment”</w:t>
      </w:r>
      <w:r>
        <w:rPr>
          <w:rFonts w:ascii="Times New Roman" w:cs="Times New Roman" w:eastAsia="Times New Roman" w:hAnsi="Times New Roman"/>
          <w:sz w:val="22"/>
          <w:szCs w:val="22"/>
          <w:color w:val="auto"/>
        </w:rPr>
        <w:t xml:space="preserve"> means, in respect of any Guaranteed Obligations, the amount paid by an Excess Funding Guarantor in excess of its Pro Rata Share of such Guaranteed Obligations and (c) </w:t>
      </w:r>
      <w:r>
        <w:rPr>
          <w:rFonts w:ascii="Times New Roman" w:cs="Times New Roman" w:eastAsia="Times New Roman" w:hAnsi="Times New Roman"/>
          <w:sz w:val="22"/>
          <w:szCs w:val="22"/>
          <w:i w:val="1"/>
          <w:iCs w:val="1"/>
          <w:color w:val="auto"/>
        </w:rPr>
        <w:t>“Pro Rata Share”</w:t>
      </w:r>
      <w:r>
        <w:rPr>
          <w:rFonts w:ascii="Times New Roman" w:cs="Times New Roman" w:eastAsia="Times New Roman" w:hAnsi="Times New Roman"/>
          <w:sz w:val="22"/>
          <w:szCs w:val="22"/>
          <w:color w:val="auto"/>
        </w:rPr>
        <w:t xml:space="preserve"> means, as of the date of determination, for any Guarantor, the ratio (expressed as a percentage) of (i) the amount by which the aggregate present fair saleable value of all properties of such Guarantor (excluding any shares of stock of any other Guarantor) exceeds the amount of all the debts and liabilities of such Guarantor (including contingent, subordinated, unmatured and unliquidated liabilities, but excluding the obligations of such Guarantor hereunder and any obligations of any other Guarantor that have been guaranteed by such Guarantor) to (ii) the amount by which the aggregate fair saleable value of all properties of all of the Guarantors exceeds the amount of all the debts and liabilities (including contingent, subordinated, unmatured and unliquidated liabilities, but excluding the obligations of the Borrower and the Guarantors hereunder and under the other Loan Documents) of all of the Guarantors, determined (A) with respect to any Guarantor that is a party hereto on the Closing Date, as of such date, and (B) with respect to any other Guarantor, as of the date such Guarantor becomes a Guarantor hereunder.</w:t>
      </w:r>
    </w:p>
    <w:p>
      <w:pPr>
        <w:spacing w:after="0" w:line="223" w:lineRule="exact"/>
        <w:rPr>
          <w:sz w:val="20"/>
          <w:szCs w:val="20"/>
          <w:color w:val="auto"/>
        </w:rPr>
      </w:pPr>
    </w:p>
    <w:p>
      <w:pPr>
        <w:jc w:val="both"/>
        <w:ind w:firstLine="472"/>
        <w:spacing w:after="0" w:line="247" w:lineRule="auto"/>
        <w:rPr>
          <w:sz w:val="20"/>
          <w:szCs w:val="20"/>
          <w:color w:val="auto"/>
        </w:rPr>
      </w:pPr>
      <w:r>
        <w:rPr>
          <w:rFonts w:ascii="Times New Roman" w:cs="Times New Roman" w:eastAsia="Times New Roman" w:hAnsi="Times New Roman"/>
          <w:sz w:val="21"/>
          <w:szCs w:val="21"/>
          <w:i w:val="1"/>
          <w:iCs w:val="1"/>
          <w:color w:val="auto"/>
        </w:rPr>
        <w:t>Section 11.09. General Limitation on Guarantee Obligations</w:t>
      </w:r>
      <w:r>
        <w:rPr>
          <w:rFonts w:ascii="Times New Roman" w:cs="Times New Roman" w:eastAsia="Times New Roman" w:hAnsi="Times New Roman"/>
          <w:sz w:val="21"/>
          <w:szCs w:val="21"/>
          <w:color w:val="auto"/>
        </w:rPr>
        <w:t>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action or proceeding involving any provincial,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territorial or state corporate Law, or any state, federal, provincial, territorial or foreign bankruptcy, insolvency, reorganization or other Law affecting the rights of creditors generally, if the obligations of any Guarantor under Section 11.01 would otherwise, taking into account the provisions of Section 11.08, be held or determined to be void, invalid or unenforceable, or subordinated to the Claims of any other creditors, on account of the amount of its liability under Section 11.01, then, notwithstanding any other provision hereof to the contrary, the amount of such liability shall, without any further action by such Guarantor, the Administrative Agent, the Lenders or any other Person, be automatically limited and reduced to the highest amount that is valid and enforceable and not subordinated to the Claims of other creditors as determined in such action or proceeding.</w:t>
      </w:r>
    </w:p>
    <w:p>
      <w:pPr>
        <w:spacing w:after="0" w:line="317"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dministrative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gent</w:t>
      </w:r>
    </w:p>
    <w:p>
      <w:pPr>
        <w:spacing w:after="0" w:line="247" w:lineRule="exact"/>
        <w:rPr>
          <w:sz w:val="20"/>
          <w:szCs w:val="20"/>
          <w:color w:val="auto"/>
        </w:rPr>
      </w:pPr>
    </w:p>
    <w:p>
      <w:pPr>
        <w:jc w:val="both"/>
        <w:ind w:firstLine="472"/>
        <w:spacing w:after="0" w:line="248" w:lineRule="exact"/>
        <w:rPr>
          <w:sz w:val="20"/>
          <w:szCs w:val="20"/>
          <w:color w:val="auto"/>
        </w:rPr>
      </w:pPr>
      <w:r>
        <w:rPr>
          <w:rFonts w:ascii="Times New Roman" w:cs="Times New Roman" w:eastAsia="Times New Roman" w:hAnsi="Times New Roman"/>
          <w:sz w:val="22"/>
          <w:szCs w:val="22"/>
          <w:i w:val="1"/>
          <w:iCs w:val="1"/>
          <w:color w:val="auto"/>
        </w:rPr>
        <w:t>Section 12.01. Appointment</w:t>
      </w:r>
      <w:r>
        <w:rPr>
          <w:rFonts w:ascii="Times New Roman" w:cs="Times New Roman" w:eastAsia="Times New Roman" w:hAnsi="Times New Roman"/>
          <w:sz w:val="22"/>
          <w:szCs w:val="22"/>
          <w:color w:val="auto"/>
        </w:rPr>
        <w:t>.Each of the Lenders hereby irrevocably appoints Perceptive to act on its behalf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12 (other than as set forth in Section 12.06) are solely for the benefit of the Administrative Agent and the Lenders, and neither the Borrower nor any other Obligor will have rights as a third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9"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i w:val="1"/>
          <w:iCs w:val="1"/>
          <w:color w:val="auto"/>
        </w:rPr>
        <w:t>Section 12.02. Rights as a Lender</w:t>
      </w:r>
      <w:r>
        <w:rPr>
          <w:rFonts w:ascii="Times New Roman" w:cs="Times New Roman" w:eastAsia="Times New Roman" w:hAnsi="Times New Roman"/>
          <w:sz w:val="22"/>
          <w:szCs w:val="22"/>
          <w:color w:val="auto"/>
        </w:rPr>
        <w:t>. The Person serving as the Administrative Agent hereunder will have the same rights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powers in its capacity as a Lender as any other Lender and may exercise the same as though it were not the Administrative Agent, and the term “Lender” or “Lenders” will, unless otherwise expressly indicated or unless the context otherwise requires, include the Person serving as the Administrative Agent hereunder in its individual capacity to the extent such Person is a Lender. The Lenders acknowledge and agree that such Person and its Affiliates may accept deposits from, lend money to, own securities of, act as the financial advisor or in any other advisory capacity for, and generally engage in any kind of business with, the Borrower, the other Obligors or any other Subsidiaries or Affiliates of the Obligors as if such Person were not the Administrative Agent hereunder and without any duty to account therefor to the Lenders.</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Section 12.03. Exculpatory Provisions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760" w:firstLine="745"/>
        <w:spacing w:after="0" w:line="244" w:lineRule="auto"/>
        <w:tabs>
          <w:tab w:leader="none" w:pos="2373"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have any duties or obligations except those expressly set forth herein and in the other Loan Documents, and its duties hereunder are administrative in nature. Without limiting the generality of the foregoing, the Administrative Agent:</w:t>
      </w:r>
    </w:p>
    <w:p>
      <w:pPr>
        <w:spacing w:after="0" w:line="200" w:lineRule="exact"/>
        <w:rPr>
          <w:rFonts w:ascii="Times New Roman" w:cs="Times New Roman" w:eastAsia="Times New Roman" w:hAnsi="Times New Roman"/>
          <w:sz w:val="22"/>
          <w:szCs w:val="22"/>
          <w:color w:val="auto"/>
        </w:rPr>
      </w:pPr>
    </w:p>
    <w:p>
      <w:pPr>
        <w:ind w:left="1500" w:right="60" w:firstLine="754"/>
        <w:spacing w:after="0" w:line="258" w:lineRule="auto"/>
        <w:tabs>
          <w:tab w:leader="none" w:pos="3113"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be subject to any fiduciary or other implied duties, regardless of whether a Default has occurred and is continuing;</w:t>
      </w:r>
    </w:p>
    <w:p>
      <w:pPr>
        <w:spacing w:after="0" w:line="198"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3113"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Lenders (or such other number or percentage of the Lenders as will be expressly provided for herein or in the other Loan Documents);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Administrative Agent will not</w:t>
      </w:r>
    </w:p>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225"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be required to take any action that, in its opinion or the opinion of its counsel, may expose the Administrative Agent to liability or that is contrary to any Loan Document or applicable Law, including any action that may be in violation of the automatic stay under any Insolvency Proceeding; and</w:t>
      </w:r>
    </w:p>
    <w:p>
      <w:pPr>
        <w:spacing w:after="0" w:line="200" w:lineRule="exact"/>
        <w:rPr>
          <w:sz w:val="20"/>
          <w:szCs w:val="20"/>
          <w:color w:val="auto"/>
        </w:rPr>
      </w:pPr>
    </w:p>
    <w:p>
      <w:pPr>
        <w:jc w:val="both"/>
        <w:ind w:left="1500" w:firstLine="754"/>
        <w:spacing w:after="0" w:line="239" w:lineRule="auto"/>
        <w:tabs>
          <w:tab w:leader="none" w:pos="3113" w:val="left"/>
        </w:tabs>
        <w:numPr>
          <w:ilvl w:val="2"/>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except as expressly set forth herein and in the other Loan Documents, have any duty to disclose, and will not be liable for the failure to disclose, any information relating to the Obligors or any of its Subsidiaries or Affiliates that is communicated to or obtained by the Person serving as the Administrative Agent or any of its Affiliates in any capacity.</w:t>
      </w:r>
    </w:p>
    <w:p>
      <w:pPr>
        <w:spacing w:after="0" w:line="220" w:lineRule="exact"/>
        <w:rPr>
          <w:rFonts w:ascii="Times New Roman" w:cs="Times New Roman" w:eastAsia="Times New Roman" w:hAnsi="Times New Roman"/>
          <w:sz w:val="22"/>
          <w:szCs w:val="22"/>
          <w:color w:val="auto"/>
        </w:rPr>
      </w:pPr>
    </w:p>
    <w:p>
      <w:pPr>
        <w:jc w:val="both"/>
        <w:ind w:left="760" w:firstLine="745"/>
        <w:spacing w:after="0" w:line="252" w:lineRule="exact"/>
        <w:tabs>
          <w:tab w:leader="none" w:pos="2373"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will not be liable for any action taken or not taken by it (i) with the consent or at the request of the Majority Lenders (or such other number or percentage of the Lenders as will be necessary, or as the Administrative Agent believes in good faith will be necessary, under the circumstances), or (ii) in the absence of its own gross negligence or willful misconduct as determined by a court of competent jurisdiction by final and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appealable judgment. The Administrative Agent will be deemed not to have knowledge of any Default unless and until notice describing such Default is given to the Administrative Agent in writing by the Borrower or a Lender.</w:t>
      </w:r>
    </w:p>
    <w:p>
      <w:pPr>
        <w:spacing w:after="0" w:line="218" w:lineRule="exact"/>
        <w:rPr>
          <w:rFonts w:ascii="Times New Roman" w:cs="Times New Roman" w:eastAsia="Times New Roman" w:hAnsi="Times New Roman"/>
          <w:sz w:val="21"/>
          <w:szCs w:val="21"/>
          <w:color w:val="auto"/>
        </w:rPr>
      </w:pPr>
    </w:p>
    <w:p>
      <w:pPr>
        <w:jc w:val="both"/>
        <w:ind w:left="760" w:right="20" w:firstLine="745"/>
        <w:spacing w:after="0" w:line="241" w:lineRule="auto"/>
        <w:tabs>
          <w:tab w:leader="none" w:pos="2373"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be responsible for or have any duty to ascertain or inquire into (i) any statement, warranty or representation made in or in connection with this Agreement or any other Loan Document,</w:t>
      </w:r>
    </w:p>
    <w:p>
      <w:pPr>
        <w:spacing w:after="0" w:line="1" w:lineRule="exact"/>
        <w:rPr>
          <w:rFonts w:ascii="Times New Roman" w:cs="Times New Roman" w:eastAsia="Times New Roman" w:hAnsi="Times New Roman"/>
          <w:sz w:val="22"/>
          <w:szCs w:val="22"/>
          <w:color w:val="auto"/>
        </w:rPr>
      </w:pPr>
    </w:p>
    <w:p>
      <w:pPr>
        <w:jc w:val="both"/>
        <w:ind w:left="760" w:hanging="3"/>
        <w:spacing w:after="0" w:line="232" w:lineRule="auto"/>
        <w:tabs>
          <w:tab w:leader="none" w:pos="1083"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6 or elsewhere herein, other than to confirm receipt of items expressly required to be delivered to the Administrative Agent.</w:t>
      </w:r>
    </w:p>
    <w:p>
      <w:pPr>
        <w:spacing w:after="0" w:line="206" w:lineRule="exact"/>
        <w:rPr>
          <w:sz w:val="20"/>
          <w:szCs w:val="20"/>
          <w:color w:val="auto"/>
        </w:rPr>
      </w:pPr>
    </w:p>
    <w:p>
      <w:pPr>
        <w:jc w:val="both"/>
        <w:ind w:firstLine="432"/>
        <w:spacing w:after="0" w:line="234" w:lineRule="auto"/>
        <w:rPr>
          <w:sz w:val="20"/>
          <w:szCs w:val="20"/>
          <w:color w:val="auto"/>
        </w:rPr>
      </w:pPr>
      <w:r>
        <w:rPr>
          <w:rFonts w:ascii="Times New Roman" w:cs="Times New Roman" w:eastAsia="Times New Roman" w:hAnsi="Times New Roman"/>
          <w:sz w:val="22"/>
          <w:szCs w:val="22"/>
          <w:i w:val="1"/>
          <w:iCs w:val="1"/>
          <w:color w:val="auto"/>
        </w:rPr>
        <w:t>Section 12.04. Reliance by Administrative Agent</w:t>
      </w:r>
      <w:r>
        <w:rPr>
          <w:rFonts w:ascii="Times New Roman" w:cs="Times New Roman" w:eastAsia="Times New Roman" w:hAnsi="Times New Roman"/>
          <w:sz w:val="22"/>
          <w:szCs w:val="22"/>
          <w:color w:val="auto"/>
        </w:rPr>
        <w:t>. The Administrative Agent will be entitled to rely upon, and will not incur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will not incur any liability for relying thereon. In determining compliance with any condition hereunder to the making of the Term Loans that by its terms must be fulfilled to the satisfaction of a Lender, the Administrative Agent may presume that such condition is satisfactory to such Lender unless the Administrative Agent has received notice to the contrary from such Lender prior to the making of the Term Loans. The Administrative Agent may consult with legal counsel (who may be counsel for the Borrower), independent accountants and other experts selected by it, and will not be liable for any action taken or not taken by it in accordance with the advice of any such counsel, accountants or experts.</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221" w:lineRule="exact"/>
        <w:rPr>
          <w:sz w:val="20"/>
          <w:szCs w:val="20"/>
          <w:color w:val="auto"/>
        </w:rPr>
      </w:pPr>
    </w:p>
    <w:p>
      <w:pPr>
        <w:jc w:val="both"/>
        <w:ind w:firstLine="432"/>
        <w:spacing w:after="0" w:line="261" w:lineRule="exact"/>
        <w:rPr>
          <w:sz w:val="20"/>
          <w:szCs w:val="20"/>
          <w:color w:val="auto"/>
        </w:rPr>
      </w:pPr>
      <w:r>
        <w:rPr>
          <w:rFonts w:ascii="Times New Roman" w:cs="Times New Roman" w:eastAsia="Times New Roman" w:hAnsi="Times New Roman"/>
          <w:sz w:val="22"/>
          <w:szCs w:val="22"/>
          <w:i w:val="1"/>
          <w:iCs w:val="1"/>
          <w:color w:val="auto"/>
        </w:rPr>
        <w:t>Section 12.05. Delegation of Duties</w:t>
      </w:r>
      <w:r>
        <w:rPr>
          <w:rFonts w:ascii="Times New Roman" w:cs="Times New Roman" w:eastAsia="Times New Roman" w:hAnsi="Times New Roman"/>
          <w:sz w:val="22"/>
          <w:szCs w:val="22"/>
          <w:color w:val="auto"/>
        </w:rPr>
        <w:t>. The Administrative Agent may perform any and all of its duties and exercise its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powers hereunder or under any other Loan Document by or through any one or more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 appointed by the Administrative Agent. The Administrative Agent and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may perform any and all of its duties and exercise its rights and powers by or through their respective Affiliates. The exculpatory provisions of this Article 12 will apply to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and to the Affiliates of the Administrative Agent and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and will apply to their respective activities in connection with the syndication of the facility as well as activities as Administrative Agent. The Administrative Agent will not be responsible for the negligence or misconduct of any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 except to the extent that a court of competent jurisdiction determines in a final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appealable judgment that the Administrative Agent acted with gross negligence or willful misconduct in the selection of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Section 12.06. Resignation of Agent</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760" w:firstLine="745"/>
        <w:spacing w:after="0" w:line="251" w:lineRule="exact"/>
        <w:tabs>
          <w:tab w:leader="none" w:pos="2373"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may at any time give notice of its resignation to the Lenders and the Borrower, which notice shall set forth the effective date of such resignation (the </w:t>
      </w:r>
      <w:r>
        <w:rPr>
          <w:rFonts w:ascii="Times New Roman" w:cs="Times New Roman" w:eastAsia="Times New Roman" w:hAnsi="Times New Roman"/>
          <w:sz w:val="21"/>
          <w:szCs w:val="21"/>
          <w:i w:val="1"/>
          <w:iCs w:val="1"/>
          <w:color w:val="auto"/>
        </w:rPr>
        <w:t>“Resignation Effective Date”</w:t>
      </w:r>
      <w:r>
        <w:rPr>
          <w:rFonts w:ascii="Times New Roman" w:cs="Times New Roman" w:eastAsia="Times New Roman" w:hAnsi="Times New Roman"/>
          <w:sz w:val="21"/>
          <w:szCs w:val="21"/>
          <w:color w:val="auto"/>
        </w:rPr>
        <w:t>), such date not to be earlier than the thirtieth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date of such notice. The Majority Lenders and the Borrower shall mutually agree upon a successor to the Administrative Agent. If the Majority Lenders and the Borrower are unable to so mutually agree and no successor shall have been appointed within twenty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five (25) days after the retiring Administrative Agent gives notice of its resignation, then the retiring Administrative Agent may (but will not be obligated to), on behalf of the Lenders, appoint a successor Administrative Agent it shall designate (in its reasonable discretion after consultation with the Borrower and the Majority Lenders). Whether or not a successor has been appointed, such resignation will become effective in accordance with such notice on the Resignation Effective Date.</w:t>
      </w:r>
    </w:p>
    <w:p>
      <w:pPr>
        <w:spacing w:after="0" w:line="218" w:lineRule="exact"/>
        <w:rPr>
          <w:rFonts w:ascii="Times New Roman" w:cs="Times New Roman" w:eastAsia="Times New Roman" w:hAnsi="Times New Roman"/>
          <w:sz w:val="21"/>
          <w:szCs w:val="21"/>
          <w:color w:val="auto"/>
        </w:rPr>
      </w:pPr>
    </w:p>
    <w:p>
      <w:pPr>
        <w:ind w:left="760" w:firstLine="745"/>
        <w:spacing w:after="0" w:line="233" w:lineRule="auto"/>
        <w:tabs>
          <w:tab w:leader="none" w:pos="237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effect from the Resignation Effective Date (i) the retiring Administrative Agent will be discharged from its duties and obligations hereunder and under the other Loan Documents (except that in the case of any Collateral held by the Administrative Agent on behalf of the Lenders under any of the Loan Documents, the retiring Administrative Agent will continue to hold such Collateral until such time as a successor Administrative Agent is appointed) and (ii) except for any indemnity payments owed to the retiring Administrative Agent, all payments, communications and determinations provided to be made by, to or through the Administrative Agent will instead be made by or to each Lender directly, until such time, if any, as the Majority Lenders appoint a successor Administrative Agent as provided for above. Upon the acceptance of a successor’s appointment as Administrative Agent hereunder, such successor will succeed to and become vested with all of the rights, powers, privileges and duties of the retiring Administrative Agent (other than any rights to indemnity payments owed to the retiring Administrative Agent), and the retiring Administrative Agent will be discharged from all of its duties and obligations hereunder or under the other Loan Documents. The fees payable by the Borrower to a successor Administrative Agent will be the same as those payable to its predecessor unless otherwise agreed between the Borrower and such successor. After the retiring Administrative Agent’s resignation hereunder and under the other Loan Documents, the provisions of this Article 12 and Sections 13.03 and 13.06 will</w:t>
      </w:r>
    </w:p>
    <w:p>
      <w:pPr>
        <w:spacing w:after="0" w:line="318"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91" w:lineRule="exact"/>
        <w:rPr>
          <w:sz w:val="20"/>
          <w:szCs w:val="20"/>
          <w:color w:val="auto"/>
        </w:rPr>
      </w:pPr>
    </w:p>
    <w:p>
      <w:pPr>
        <w:jc w:val="both"/>
        <w:ind w:left="760"/>
        <w:spacing w:after="0" w:line="272" w:lineRule="exact"/>
        <w:rPr>
          <w:sz w:val="20"/>
          <w:szCs w:val="20"/>
          <w:color w:val="auto"/>
        </w:rPr>
      </w:pPr>
      <w:r>
        <w:rPr>
          <w:rFonts w:ascii="Times New Roman" w:cs="Times New Roman" w:eastAsia="Times New Roman" w:hAnsi="Times New Roman"/>
          <w:sz w:val="22"/>
          <w:szCs w:val="22"/>
          <w:color w:val="auto"/>
        </w:rPr>
        <w:t>continue in effect for the benefit of such retiring Administrative Agent, its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 and their respective Affiliates in respect of any actions taken or omitted to be taken by any of them while the retiring Administrative Agent was acting as Administrative Agent.</w:t>
      </w:r>
    </w:p>
    <w:p>
      <w:pPr>
        <w:spacing w:after="0" w:line="170" w:lineRule="exact"/>
        <w:rPr>
          <w:sz w:val="20"/>
          <w:szCs w:val="20"/>
          <w:color w:val="auto"/>
        </w:rPr>
      </w:pPr>
    </w:p>
    <w:p>
      <w:pPr>
        <w:jc w:val="both"/>
        <w:ind w:firstLine="486"/>
        <w:spacing w:after="0" w:line="256" w:lineRule="exact"/>
        <w:rPr>
          <w:sz w:val="20"/>
          <w:szCs w:val="20"/>
          <w:color w:val="auto"/>
        </w:rPr>
      </w:pPr>
      <w:r>
        <w:rPr>
          <w:rFonts w:ascii="Times New Roman" w:cs="Times New Roman" w:eastAsia="Times New Roman" w:hAnsi="Times New Roman"/>
          <w:sz w:val="22"/>
          <w:szCs w:val="22"/>
          <w:i w:val="1"/>
          <w:iCs w:val="1"/>
          <w:color w:val="auto"/>
        </w:rPr>
        <w:t>Section 12.07. 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Reliance on Administrative Agent and Other Lenders</w:t>
      </w:r>
      <w:r>
        <w:rPr>
          <w:rFonts w:ascii="Times New Roman" w:cs="Times New Roman" w:eastAsia="Times New Roman" w:hAnsi="Times New Roman"/>
          <w:sz w:val="22"/>
          <w:szCs w:val="22"/>
          <w:color w:val="auto"/>
        </w:rPr>
        <w:t>. Each Lender acknowledges that it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independently and without reliance upon the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Affiliates and based on such documents and information as it will from time to time deem appropriate, continue to make its own decisions in taking or not taking action under or based upon this Agreement, any other Loan Document or any related agreement or any document furnished hereunder or thereunder.</w:t>
      </w:r>
    </w:p>
    <w:p>
      <w:pPr>
        <w:spacing w:after="0" w:line="216"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12.08. Administrative Agent May File Proofs of Claim </w:t>
      </w:r>
      <w:r>
        <w:rPr>
          <w:rFonts w:ascii="Times New Roman" w:cs="Times New Roman" w:eastAsia="Times New Roman" w:hAnsi="Times New Roman"/>
          <w:sz w:val="22"/>
          <w:szCs w:val="22"/>
          <w:color w:val="auto"/>
        </w:rPr>
        <w:t>. In case of the pendency of any Insolvency Proceeding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other judicial proceeding relative to the Borrower, the Administrative Agent (irrespective of whether the principal of the Term Loans will then be due and payable as herein expressed or by declaration or otherwise and irrespective of whether the Administrative Agent has made any demand on the Borrower) will be entitled and empowered (but not obligated), by intervention in such proceeding or otherwise:</w:t>
      </w:r>
    </w:p>
    <w:p>
      <w:pPr>
        <w:spacing w:after="0" w:line="221" w:lineRule="exact"/>
        <w:rPr>
          <w:sz w:val="20"/>
          <w:szCs w:val="20"/>
          <w:color w:val="auto"/>
        </w:rPr>
      </w:pPr>
    </w:p>
    <w:p>
      <w:pPr>
        <w:ind w:left="760" w:firstLine="745"/>
        <w:spacing w:after="0" w:line="235" w:lineRule="auto"/>
        <w:tabs>
          <w:tab w:leader="none" w:pos="237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Term Loans and all other Obligations that are owing and unpaid hereunder or under any other Loan Document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this Agreement or any other Loan Document) allowed in such judicial proceeding; and</w:t>
      </w:r>
    </w:p>
    <w:p>
      <w:pPr>
        <w:spacing w:after="0" w:line="21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37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 same.</w:t>
      </w:r>
    </w:p>
    <w:p>
      <w:pPr>
        <w:spacing w:after="0" w:line="19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Any custodian, receiver, assignee, trustee, liquidator, sequestrator or other similar official in any such judicial proceeding is hereby authorized by each Lender to make any payments of the type described above in this Section 12.08 to the Administrative Agent and, in the event that the Administrative Agent consents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this Agreement or any other Loan Document.</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Section 12.09. Collateral and Guaranty Matters; Appointment of Collateral Agent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5380" w:right="1000" w:hanging="3875"/>
        <w:spacing w:after="0" w:line="481" w:lineRule="exact"/>
        <w:tabs>
          <w:tab w:leader="none" w:pos="2368"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provisions of Section 12.08, the Lenders irrevocably agree as follows: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440055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225" w:lineRule="exact"/>
        <w:rPr>
          <w:sz w:val="20"/>
          <w:szCs w:val="20"/>
          <w:color w:val="auto"/>
        </w:rPr>
      </w:pPr>
    </w:p>
    <w:p>
      <w:pPr>
        <w:jc w:val="both"/>
        <w:ind w:left="1500" w:firstLine="754"/>
        <w:spacing w:after="0" w:line="235" w:lineRule="auto"/>
        <w:tabs>
          <w:tab w:leader="none" w:pos="3113"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authorized, at its option and in its discretion, to release any Lien on any property granted to or held by the Administrative Agent under any Loan Document (A) on the date when all Obligations have been satisfied in full in cash (other than Warrant Obligations and contingent obligations as to which no Claims have been asserted), (B) that is sold or otherwise disposed of or to be sold or otherwise disposed of as part of or in connection with any sale or other disposition permitted under the Loan Documents, or (C) subject to Sections 13.01 and 13.04, if approved, authorized or ratified in writing by the Majority Lenders; and</w:t>
      </w:r>
    </w:p>
    <w:p>
      <w:pPr>
        <w:spacing w:after="0" w:line="210"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3113"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authorized, at its option and discretion, to release any Guarantor from its obligations hereunder if such Person ceases to be a Subsidiary as a result of a transaction permitted under the Loan Documents.</w:t>
      </w:r>
    </w:p>
    <w:p>
      <w:pPr>
        <w:spacing w:after="0" w:line="21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Upon request by the Administrative Agent at any time, each Lender will confirm in writing the Administrative Agent’s authority to release or subordinate its interest in particular types or items of Collateral, or to release any Guarantor from its obligations under its guaranty pursuant to this Section 12.09.</w:t>
      </w:r>
    </w:p>
    <w:p>
      <w:pPr>
        <w:spacing w:after="0" w:line="214" w:lineRule="exact"/>
        <w:rPr>
          <w:sz w:val="20"/>
          <w:szCs w:val="20"/>
          <w:color w:val="auto"/>
        </w:rPr>
      </w:pPr>
    </w:p>
    <w:p>
      <w:pPr>
        <w:jc w:val="both"/>
        <w:ind w:left="760" w:firstLine="745"/>
        <w:spacing w:after="0" w:line="238" w:lineRule="auto"/>
        <w:tabs>
          <w:tab w:leader="none" w:pos="2373"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Obligor in connection therewith, nor will the Administrative Agent be responsible or liable to the Lenders for any failure to monitor or maintain any portion of the Collateral.</w:t>
      </w:r>
    </w:p>
    <w:p>
      <w:pPr>
        <w:spacing w:after="0" w:line="203" w:lineRule="exact"/>
        <w:rPr>
          <w:rFonts w:ascii="Times New Roman" w:cs="Times New Roman" w:eastAsia="Times New Roman" w:hAnsi="Times New Roman"/>
          <w:sz w:val="22"/>
          <w:szCs w:val="22"/>
          <w:color w:val="auto"/>
        </w:rPr>
      </w:pPr>
    </w:p>
    <w:p>
      <w:pPr>
        <w:ind w:left="760" w:firstLine="745"/>
        <w:spacing w:after="0" w:line="247" w:lineRule="exact"/>
        <w:tabs>
          <w:tab w:leader="none" w:pos="2373"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appoints the Administrative Agent as its collateral agent under each of the Security Documents and agrees that, in so acting, the Administrative Agent will have all of the rights, protections, exculpations, indemnities and other benefits provided to the Administrative Agent under this Agreement, and hereby authorizes and directs the Administrative Agent, on behalf of such Lender and all Lenders, without the necessity of any notice to or further consent from any of the Lenders, from time to time to (i) take any action with respect to any Collateral or any Security Document which may be necessary to perfect and maintain perfected the Liens on the Collateral granted pursuant to any such Security Document or protect and preserve the Administrative Agent’s ability to enforce the Liens or realize upon the Collateral, (ii) act as collateral agent for each Lender for purposes of acquiring, holding, enforcing and perfecting all Liens created by the Loan Documents and all other purposes stated therein, (iii) enter into intercreditor or subordination agreements, as the case may be, in connection with Indebtedness permitted pursuant to Sections 9.01(e), (iv) enter into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disturbance or similar agreements in connection with licensing agreements and arrangements permitted by this Agreement and the other Loan Documents and (v) otherwise to take or refrain from taking any and all action that the Administrative Agent shall deem necessary or advisable in fulfilling its role as collateral agent under any of the Security Documents.</w:t>
      </w:r>
    </w:p>
    <w:p>
      <w:pPr>
        <w:spacing w:after="0" w:line="319"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13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iscellaneous</w:t>
      </w:r>
    </w:p>
    <w:p>
      <w:pPr>
        <w:spacing w:after="0" w:line="247"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13.01. No Waiver. </w:t>
      </w:r>
      <w:r>
        <w:rPr>
          <w:rFonts w:ascii="Times New Roman" w:cs="Times New Roman" w:eastAsia="Times New Roman" w:hAnsi="Times New Roman"/>
          <w:sz w:val="22"/>
          <w:szCs w:val="22"/>
          <w:color w:val="auto"/>
        </w:rPr>
        <w:t>No failure on the part of the Administrative Agent or the Lenders to exercise and no delay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spacing w:after="0" w:line="204" w:lineRule="exact"/>
        <w:rPr>
          <w:sz w:val="20"/>
          <w:szCs w:val="20"/>
          <w:color w:val="auto"/>
        </w:rPr>
      </w:pPr>
    </w:p>
    <w:p>
      <w:pPr>
        <w:jc w:val="both"/>
        <w:ind w:firstLine="472"/>
        <w:spacing w:after="0" w:line="236" w:lineRule="auto"/>
        <w:rPr>
          <w:sz w:val="20"/>
          <w:szCs w:val="20"/>
          <w:color w:val="auto"/>
        </w:rPr>
      </w:pPr>
      <w:r>
        <w:rPr>
          <w:rFonts w:ascii="Times New Roman" w:cs="Times New Roman" w:eastAsia="Times New Roman" w:hAnsi="Times New Roman"/>
          <w:sz w:val="22"/>
          <w:szCs w:val="22"/>
          <w:i w:val="1"/>
          <w:iCs w:val="1"/>
          <w:color w:val="auto"/>
        </w:rPr>
        <w:t>Section 13.02. Notices</w:t>
      </w:r>
      <w:r>
        <w:rPr>
          <w:rFonts w:ascii="Times New Roman" w:cs="Times New Roman" w:eastAsia="Times New Roman" w:hAnsi="Times New Roman"/>
          <w:sz w:val="22"/>
          <w:szCs w:val="22"/>
          <w:color w:val="auto"/>
        </w:rPr>
        <w:t>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notices, requests, instructions, directions and other communications provided for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any modifications of, or waivers, requests or consents under, the Loan Documents) shall be given or made in writing (including by telecopy or electronic mail) delivered, if to the Borrower, another Obligor, the Administrative Agent or the Lenders, to its address specified on Schedule 2 hereto or its Guarantee Assumption Agreement, as the case may be, or at such other address as shall be designated by such party in a written notice to the other parties. Except as otherwise provided in this Agreement, all such communications shall be deemed to have been duly given upon receipt of a legible copy thereof, in each case given or addressed as aforesaid.</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Section 13.03. Expenses and Indemnification.</w:t>
      </w:r>
    </w:p>
    <w:p>
      <w:pPr>
        <w:spacing w:after="0" w:line="247" w:lineRule="exact"/>
        <w:rPr>
          <w:sz w:val="20"/>
          <w:szCs w:val="20"/>
          <w:color w:val="auto"/>
        </w:rPr>
      </w:pPr>
    </w:p>
    <w:p>
      <w:pPr>
        <w:jc w:val="both"/>
        <w:ind w:left="760" w:firstLine="745"/>
        <w:spacing w:after="0" w:line="249" w:lineRule="exact"/>
        <w:tabs>
          <w:tab w:leader="none" w:pos="2373"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w:t>
      </w:r>
      <w:r>
        <w:rPr>
          <w:rFonts w:ascii="Times New Roman" w:cs="Times New Roman" w:eastAsia="Times New Roman" w:hAnsi="Times New Roman"/>
          <w:sz w:val="22"/>
          <w:szCs w:val="22"/>
          <w:color w:val="auto"/>
        </w:rPr>
        <w:t>The Borrower agrees to pay or reimburse (i) the Administrative Agent and the Lenders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all of their reasonable and documented out of pocket costs and expenses (including the reasonable and documented fees and expenses of Chapman and Cutler LLP, counsel to the Administrative Agent) in connection with (A) the negotiation, preparation, execution and delivery of this Agreement and the other Loan Documents and the making of the Term Loans (exclusive of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funding costs);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Borrowing of the Tranche A Loan is made, such fees shall be credited against the Expense Deposit paid by the Borrower, (B)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funding costs and (C) the negotiation or preparation of any amendment, modification, supplement or waiver of any of the terms of this Agreement or any of the other Loan Documents (whether or not consummated) and (ii) the Administrative Agent and the Lenders for all of their reasonable and documented out of pocket costs and expenses (including the reasonable and documented out of pocket fees and expenses of legal counsel) in connection with any enforcement or collection proceedings resulting from the occurrence and continuance of an Event of Default.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2373"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w:t>
      </w:r>
      <w:r>
        <w:rPr>
          <w:rFonts w:ascii="Times New Roman" w:cs="Times New Roman" w:eastAsia="Times New Roman" w:hAnsi="Times New Roman"/>
          <w:sz w:val="22"/>
          <w:szCs w:val="22"/>
          <w:color w:val="auto"/>
        </w:rPr>
        <w:t>Each Obligor hereby indemnifies the Administrative Agent, the Lenders,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respective Affiliates, and their respective directors, officers, employees, attorneys, agents and advisors (each, an </w:t>
      </w:r>
      <w:r>
        <w:rPr>
          <w:rFonts w:ascii="Times New Roman" w:cs="Times New Roman" w:eastAsia="Times New Roman" w:hAnsi="Times New Roman"/>
          <w:sz w:val="22"/>
          <w:szCs w:val="22"/>
          <w:i w:val="1"/>
          <w:iCs w:val="1"/>
          <w:color w:val="auto"/>
        </w:rPr>
        <w:t>“Indemnified Party”</w:t>
      </w:r>
      <w:r>
        <w:rPr>
          <w:rFonts w:ascii="Times New Roman" w:cs="Times New Roman" w:eastAsia="Times New Roman" w:hAnsi="Times New Roman"/>
          <w:sz w:val="22"/>
          <w:szCs w:val="22"/>
          <w:color w:val="auto"/>
        </w:rPr>
        <w:t>) from and against, and agrees to hold them harmless against, any and all Claims and Losses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kind (including reasonable and documented out of pocket fees and disbursements of counsel), joint or several, that is incurred by or asserted or awarded against any Indemnified Party, in each case arising out of or in connection with or relating</w:t>
      </w:r>
    </w:p>
    <w:p>
      <w:pPr>
        <w:spacing w:after="0" w:line="320"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225" w:lineRule="exact"/>
        <w:rPr>
          <w:sz w:val="20"/>
          <w:szCs w:val="20"/>
          <w:color w:val="auto"/>
        </w:rPr>
      </w:pPr>
    </w:p>
    <w:p>
      <w:pPr>
        <w:jc w:val="both"/>
        <w:ind w:left="760"/>
        <w:spacing w:after="0" w:line="246" w:lineRule="exact"/>
        <w:rPr>
          <w:sz w:val="20"/>
          <w:szCs w:val="20"/>
          <w:color w:val="auto"/>
        </w:rPr>
      </w:pPr>
      <w:r>
        <w:rPr>
          <w:rFonts w:ascii="Times New Roman" w:cs="Times New Roman" w:eastAsia="Times New Roman" w:hAnsi="Times New Roman"/>
          <w:sz w:val="21"/>
          <w:szCs w:val="21"/>
          <w:color w:val="auto"/>
        </w:rPr>
        <w:t>to any investigation, litigation or proceeding or the preparation of any defense with respect thereto arising out of or in connection with or relating to this Agreement or any of the other Loan Documents or the Transactions or any use made or proposed to be made with the proceeds of the Term Loans, whether or not such investigation, litigation or proceeding is brought by an Obligor, any of its shareholders or creditors, an Indemnified Party or any other Person, or an Indemnified Party is otherwise a party thereto, and whether or not any of the conditions precedent set forth in Article 6 are satisfied or the other Transactions contemplated by this Agreement are consummated, except to the extent such Claim or Loss (x) is found in a final,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appealable judgment by a court of competent jurisdiction to have resulted from any Indemnified Party’s gross negligence, willful misconduct, (y) results from a Claim brought by an Obligor against an Indemnified Party for breach of such Indemnified Party’s obligations hereunder or under any other Loan Document, if such Obligor has obtained a final and non-appealable judgment in its favor on such Claim as determined by a court of competent jurisdiction or (z) results from a Claim not involving an act or omission of an Obligor and that is brought by an Indemnified Party against another Indemnified Party (other than against the Administrative Agent in its capacity as such).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Term Loans. This Section 13.03(b) shall not apply to Taxes other than Taxes relating to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Tax Claim or Loss governed by this Section</w:t>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13.03(b).</w:t>
      </w:r>
    </w:p>
    <w:p>
      <w:pPr>
        <w:spacing w:after="0" w:line="205" w:lineRule="exact"/>
        <w:rPr>
          <w:sz w:val="20"/>
          <w:szCs w:val="20"/>
          <w:color w:val="auto"/>
        </w:rPr>
      </w:pPr>
    </w:p>
    <w:p>
      <w:pPr>
        <w:jc w:val="both"/>
        <w:ind w:right="20" w:firstLine="43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13.04. Amendments. </w:t>
      </w:r>
      <w:r>
        <w:rPr>
          <w:rFonts w:ascii="Times New Roman" w:cs="Times New Roman" w:eastAsia="Times New Roman" w:hAnsi="Times New Roman"/>
          <w:sz w:val="22"/>
          <w:szCs w:val="22"/>
          <w:color w:val="auto"/>
        </w:rPr>
        <w:t>Except as otherwise expressly provided in this Agreement, any provision of this Agreement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other Loan Document (except for the Warrant Certificates, which may be amended, modified, waived or supplemented in accordance with the terms thereof) may be amended, modified, waived or supplemented only by an instrument in writing signed by the Borrower, the Administrative Agent and the Majority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216" w:lineRule="exact"/>
        <w:rPr>
          <w:sz w:val="20"/>
          <w:szCs w:val="20"/>
          <w:color w:val="auto"/>
        </w:rPr>
      </w:pPr>
    </w:p>
    <w:p>
      <w:pPr>
        <w:ind w:left="760" w:right="80" w:firstLine="745"/>
        <w:spacing w:after="0" w:line="258" w:lineRule="auto"/>
        <w:tabs>
          <w:tab w:leader="none" w:pos="2373"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unless in writing and signed by all of the Lenders and the Borrower, do any of the following at any time:</w:t>
      </w:r>
    </w:p>
    <w:p>
      <w:pPr>
        <w:spacing w:after="0" w:line="198" w:lineRule="exact"/>
        <w:rPr>
          <w:rFonts w:ascii="Times New Roman" w:cs="Times New Roman" w:eastAsia="Times New Roman" w:hAnsi="Times New Roman"/>
          <w:sz w:val="22"/>
          <w:szCs w:val="22"/>
          <w:color w:val="auto"/>
        </w:rPr>
      </w:pPr>
    </w:p>
    <w:p>
      <w:pPr>
        <w:ind w:left="1500" w:firstLine="754"/>
        <w:spacing w:after="0" w:line="239" w:lineRule="auto"/>
        <w:tabs>
          <w:tab w:leader="none" w:pos="3113"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the number of Lenders or the percentage of (A) the Commitments or (B) the aggregate unpaid principal amount of the Term Loans that, in each case, shall be required for the Lenders or any of them to take any action hereunder (including pursuant to any change to the definition of </w:t>
      </w:r>
      <w:r>
        <w:rPr>
          <w:rFonts w:ascii="Times New Roman" w:cs="Times New Roman" w:eastAsia="Times New Roman" w:hAnsi="Times New Roman"/>
          <w:sz w:val="22"/>
          <w:szCs w:val="22"/>
          <w:i w:val="1"/>
          <w:iCs w:val="1"/>
          <w:color w:val="auto"/>
        </w:rPr>
        <w:t>“Majority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jc w:val="both"/>
        <w:ind w:left="1500" w:right="20" w:firstLine="754"/>
        <w:spacing w:after="0" w:line="244" w:lineRule="auto"/>
        <w:tabs>
          <w:tab w:leader="none" w:pos="3113"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one or more Guarantors (or otherwise limit such Guarantors’ liability with respect to the Obligations owing to the Lenders under the Guarantees) if such release or limitation is in respect of all or substantially all of the value represented by the Guarantees to the Lenders;</w:t>
      </w:r>
    </w:p>
    <w:p>
      <w:pPr>
        <w:spacing w:after="0" w:line="21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3113"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or subordinate the Lenders’ Liens in, all or substantially all of the Collateral in any transaction or series of related transactions (other than in connection with any sale of Collateral permitted herein);</w:t>
      </w:r>
    </w:p>
    <w:p>
      <w:pPr>
        <w:spacing w:after="0" w:line="314"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225" w:lineRule="exact"/>
        <w:rPr>
          <w:sz w:val="20"/>
          <w:szCs w:val="20"/>
          <w:color w:val="auto"/>
        </w:rPr>
      </w:pPr>
    </w:p>
    <w:p>
      <w:pPr>
        <w:ind w:left="2680" w:hanging="866"/>
        <w:spacing w:after="0"/>
        <w:tabs>
          <w:tab w:leader="none" w:pos="268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provision of this Section 13.04; or</w:t>
      </w:r>
    </w:p>
    <w:p>
      <w:pPr>
        <w:spacing w:after="0" w:line="233" w:lineRule="exact"/>
        <w:rPr>
          <w:rFonts w:ascii="Times New Roman" w:cs="Times New Roman" w:eastAsia="Times New Roman" w:hAnsi="Times New Roman"/>
          <w:sz w:val="22"/>
          <w:szCs w:val="22"/>
          <w:color w:val="auto"/>
        </w:rPr>
      </w:pPr>
    </w:p>
    <w:p>
      <w:pPr>
        <w:ind w:left="2580" w:hanging="766"/>
        <w:spacing w:after="0"/>
        <w:tabs>
          <w:tab w:leader="none" w:pos="258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terms of the Fee Letter.</w:t>
      </w:r>
    </w:p>
    <w:p>
      <w:pPr>
        <w:spacing w:after="0" w:line="246" w:lineRule="exact"/>
        <w:rPr>
          <w:rFonts w:ascii="Times New Roman" w:cs="Times New Roman" w:eastAsia="Times New Roman" w:hAnsi="Times New Roman"/>
          <w:sz w:val="22"/>
          <w:szCs w:val="22"/>
          <w:color w:val="auto"/>
        </w:rPr>
      </w:pPr>
    </w:p>
    <w:p>
      <w:pPr>
        <w:ind w:left="320" w:firstLine="745"/>
        <w:spacing w:after="0" w:line="258" w:lineRule="auto"/>
        <w:tabs>
          <w:tab w:leader="none" w:pos="1933"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unless in writing and signed by the Borrower and each Lender specified below for such amendment, waiver or consent:</w:t>
      </w:r>
    </w:p>
    <w:p>
      <w:pPr>
        <w:spacing w:after="0" w:line="198" w:lineRule="exact"/>
        <w:rPr>
          <w:rFonts w:ascii="Times New Roman" w:cs="Times New Roman" w:eastAsia="Times New Roman" w:hAnsi="Times New Roman"/>
          <w:sz w:val="22"/>
          <w:szCs w:val="22"/>
          <w:color w:val="auto"/>
        </w:rPr>
      </w:pPr>
    </w:p>
    <w:p>
      <w:pPr>
        <w:ind w:left="2680" w:hanging="866"/>
        <w:spacing w:after="0"/>
        <w:tabs>
          <w:tab w:leader="none" w:pos="268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Commitments of a Lender without the consent of such Lender;</w:t>
      </w:r>
    </w:p>
    <w:p>
      <w:pPr>
        <w:spacing w:after="0" w:line="233" w:lineRule="exact"/>
        <w:rPr>
          <w:rFonts w:ascii="Times New Roman" w:cs="Times New Roman" w:eastAsia="Times New Roman" w:hAnsi="Times New Roman"/>
          <w:sz w:val="22"/>
          <w:szCs w:val="22"/>
          <w:color w:val="auto"/>
        </w:rPr>
      </w:pPr>
    </w:p>
    <w:p>
      <w:pPr>
        <w:jc w:val="both"/>
        <w:ind w:left="1060" w:right="20" w:firstLine="754"/>
        <w:spacing w:after="0" w:line="244" w:lineRule="auto"/>
        <w:tabs>
          <w:tab w:leader="none" w:pos="2673"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of, or stated rate of interest on, or any Prepayment Premium payable on, the Term Loans owed to a Lender or any fees or other amounts stated to be payable hereunder or under the other Loan Documents to such Lender without the consent of such Lender;</w:t>
      </w:r>
    </w:p>
    <w:p>
      <w:pPr>
        <w:spacing w:after="0" w:line="213" w:lineRule="exact"/>
        <w:rPr>
          <w:rFonts w:ascii="Times New Roman" w:cs="Times New Roman" w:eastAsia="Times New Roman" w:hAnsi="Times New Roman"/>
          <w:sz w:val="22"/>
          <w:szCs w:val="22"/>
          <w:color w:val="auto"/>
        </w:rPr>
      </w:pPr>
    </w:p>
    <w:p>
      <w:pPr>
        <w:jc w:val="both"/>
        <w:ind w:left="1060" w:firstLine="754"/>
        <w:spacing w:after="0" w:line="239" w:lineRule="auto"/>
        <w:tabs>
          <w:tab w:leader="none" w:pos="2673"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scheduled for any payment of principal of, or interest on, the Term Loans, any date scheduled for payment or for any date fixed for any payment of fees hereunder (excluding the due date of any mandatory prepayment of a Term Loan), in each case payable to a Lender without the consent of such Lender;</w:t>
      </w:r>
    </w:p>
    <w:p>
      <w:pPr>
        <w:spacing w:after="0" w:line="220" w:lineRule="exact"/>
        <w:rPr>
          <w:rFonts w:ascii="Times New Roman" w:cs="Times New Roman" w:eastAsia="Times New Roman" w:hAnsi="Times New Roman"/>
          <w:sz w:val="22"/>
          <w:szCs w:val="22"/>
          <w:color w:val="auto"/>
        </w:rPr>
      </w:pPr>
    </w:p>
    <w:p>
      <w:pPr>
        <w:jc w:val="both"/>
        <w:ind w:left="1060" w:firstLine="754"/>
        <w:spacing w:after="0" w:line="255" w:lineRule="auto"/>
        <w:tabs>
          <w:tab w:leader="none" w:pos="2673"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the order of application of prepayment of the Term Loans from the application thereof set forth in the applicable provisions of Section 4.01(b) in any manner that adversely affects the Lenders without the consent of holders of a majority of the Commitments or Term Loans outstanding or otherwise change any provision requiring the pro rata distributions hereunder among the Lenders without all Lenders’ consent; or</w:t>
      </w:r>
    </w:p>
    <w:p>
      <w:pPr>
        <w:spacing w:after="0" w:line="188" w:lineRule="exact"/>
        <w:rPr>
          <w:rFonts w:ascii="Times New Roman" w:cs="Times New Roman" w:eastAsia="Times New Roman" w:hAnsi="Times New Roman"/>
          <w:sz w:val="21"/>
          <w:szCs w:val="21"/>
          <w:color w:val="auto"/>
        </w:rPr>
      </w:pPr>
    </w:p>
    <w:p>
      <w:pPr>
        <w:ind w:left="2680" w:hanging="866"/>
        <w:spacing w:after="0"/>
        <w:tabs>
          <w:tab w:leader="none" w:pos="268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Section 2.02 without the consent of each Lender directly and adversely affected</w:t>
      </w:r>
    </w:p>
    <w:p>
      <w:pPr>
        <w:spacing w:after="0" w:line="14" w:lineRule="exact"/>
        <w:rPr>
          <w:rFonts w:ascii="Times New Roman" w:cs="Times New Roman" w:eastAsia="Times New Roman" w:hAnsi="Times New Roman"/>
          <w:sz w:val="22"/>
          <w:szCs w:val="22"/>
          <w:color w:val="auto"/>
        </w:rPr>
      </w:pPr>
    </w:p>
    <w:p>
      <w:pPr>
        <w:ind w:left="10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thereby.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Section 13.05. Successors and Assigns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320" w:firstLine="745"/>
        <w:spacing w:after="0" w:line="247" w:lineRule="auto"/>
        <w:tabs>
          <w:tab w:leader="none" w:pos="1933"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General. </w:t>
      </w:r>
      <w:r>
        <w:rPr>
          <w:rFonts w:ascii="Times New Roman" w:cs="Times New Roman" w:eastAsia="Times New Roman" w:hAnsi="Times New Roman"/>
          <w:sz w:val="21"/>
          <w:szCs w:val="21"/>
          <w:color w:val="auto"/>
        </w:rPr>
        <w:t>The provisions of this Agreement shall be binding upon and inure to the benefit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parties hereto and their respective successors and assigns permitted hereby, except that (i) no Obligor may assign or otherwise transfer any of its rights or obligations hereunder without the prior written consent of the Administrative Agent and each Lender (and any attempted assignment or transfer by such Obligor without such consent shall be null and void) and (ii) no Lender may assign or otherwise transfer its rights or obligations hereunder except in accordance with this Section 13.05. Nothing in this Agreement, expressed or implied, shall be construed to confer upon any Person (other than the parties hereto, their respective successors and assigns permitted hereby, Participants (to the extent provided in paragraph (e) of this Section 13.05) and, to the extent expressly contemplated hereby, the Indemnified Parties of the Lenders) any legal or equitable right, remedy or Claim under or by reason of this Agreement.</w:t>
      </w:r>
    </w:p>
    <w:p>
      <w:pPr>
        <w:spacing w:after="0" w:line="311" w:lineRule="exact"/>
        <w:rPr>
          <w:sz w:val="20"/>
          <w:szCs w:val="20"/>
          <w:color w:val="auto"/>
        </w:rPr>
      </w:pPr>
    </w:p>
    <w:p>
      <w:pPr>
        <w:jc w:val="center"/>
        <w:ind w:right="4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246" w:name="page247"/>
    <w:bookmarkEnd w:id="246"/>
    <w:p>
      <w:pPr>
        <w:spacing w:after="0" w:line="221" w:lineRule="exact"/>
        <w:rPr>
          <w:sz w:val="20"/>
          <w:szCs w:val="20"/>
          <w:color w:val="auto"/>
        </w:rPr>
      </w:pPr>
    </w:p>
    <w:p>
      <w:pPr>
        <w:jc w:val="both"/>
        <w:ind w:left="-360" w:firstLine="745"/>
        <w:spacing w:after="0" w:line="238" w:lineRule="auto"/>
        <w:tabs>
          <w:tab w:leader="none" w:pos="1253"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Amendments to Loan Documents. </w:t>
      </w:r>
      <w:r>
        <w:rPr>
          <w:rFonts w:ascii="Times New Roman" w:cs="Times New Roman" w:eastAsia="Times New Roman" w:hAnsi="Times New Roman"/>
          <w:sz w:val="22"/>
          <w:szCs w:val="22"/>
          <w:color w:val="auto"/>
        </w:rPr>
        <w:t>Each of the Lenders and the Obligors agrees to enter into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amendments to the Loan Documents, and such additional Security Documents and other instruments and agreements, in each case in form and substance reasonably acceptable to the Lenders and the Obligors, as shall reasonably be necessary to implement and give effect to any assignment made by any Lender (or any direct or indirect assignee thereof) from time to time under this Section 13.05.</w:t>
      </w:r>
    </w:p>
    <w:p>
      <w:pPr>
        <w:spacing w:after="0" w:line="203" w:lineRule="exact"/>
        <w:rPr>
          <w:rFonts w:ascii="Times New Roman" w:cs="Times New Roman" w:eastAsia="Times New Roman" w:hAnsi="Times New Roman"/>
          <w:sz w:val="22"/>
          <w:szCs w:val="22"/>
          <w:color w:val="auto"/>
        </w:rPr>
      </w:pPr>
    </w:p>
    <w:p>
      <w:pPr>
        <w:ind w:left="1240" w:hanging="855"/>
        <w:spacing w:after="0"/>
        <w:tabs>
          <w:tab w:leader="none" w:pos="124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Assignments by Lenders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left="380" w:firstLine="754"/>
        <w:spacing w:after="0" w:line="236" w:lineRule="auto"/>
        <w:tabs>
          <w:tab w:leader="none" w:pos="1993"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conditions set forth in paragraph (c)(ii) below, any Lender may assign to one or more Persons (other than an Ineligible Assignee) all or a portion of its rights and obligations under the Loan Documents (including all or a portion of its Commitment and the Term Loans at the time owing to it) with the prior written consent (such consent not to be unreasonably withheld) of the Administrative Agent, provided that no consent of the Administrative Agent shall be required for an assignment of any Commitment or of all or any portion of a Term Loan to a Lender, an Affiliate of a Lender or an Approved Fund.</w:t>
      </w:r>
    </w:p>
    <w:p>
      <w:pPr>
        <w:spacing w:after="0" w:line="221" w:lineRule="exact"/>
        <w:rPr>
          <w:rFonts w:ascii="Times New Roman" w:cs="Times New Roman" w:eastAsia="Times New Roman" w:hAnsi="Times New Roman"/>
          <w:sz w:val="22"/>
          <w:szCs w:val="22"/>
          <w:color w:val="auto"/>
        </w:rPr>
      </w:pPr>
    </w:p>
    <w:p>
      <w:pPr>
        <w:ind w:left="2000" w:hanging="866"/>
        <w:spacing w:after="0"/>
        <w:tabs>
          <w:tab w:leader="none" w:pos="2000"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73" w:lineRule="exact"/>
        <w:rPr>
          <w:rFonts w:ascii="Times New Roman" w:cs="Times New Roman" w:eastAsia="Times New Roman" w:hAnsi="Times New Roman"/>
          <w:sz w:val="22"/>
          <w:szCs w:val="22"/>
          <w:color w:val="auto"/>
        </w:rPr>
      </w:pPr>
    </w:p>
    <w:p>
      <w:pPr>
        <w:jc w:val="both"/>
        <w:ind w:left="1140" w:firstLine="743"/>
        <w:spacing w:after="0" w:line="236" w:lineRule="auto"/>
        <w:tabs>
          <w:tab w:leader="none" w:pos="2321" w:val="left"/>
        </w:tabs>
        <w:numPr>
          <w:ilvl w:val="2"/>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an assignment to a Lender or an Affiliate of a Lender or an assignment of the entire remaining amount of the assigning Lender’s Commitment or Term Loans, the amount of the Commitment or Term Loans of the assigning Lender subject to each such assignment (determined as of the date the Assignment Agreement with respect to such assignment is delivered to the Administrative Agent) shall not be less than $500,000, unless the Administrative Agent otherwise consents;</w:t>
      </w:r>
    </w:p>
    <w:p>
      <w:pPr>
        <w:spacing w:after="0" w:line="248" w:lineRule="exact"/>
        <w:rPr>
          <w:rFonts w:ascii="Times New Roman" w:cs="Times New Roman" w:eastAsia="Times New Roman" w:hAnsi="Times New Roman"/>
          <w:sz w:val="22"/>
          <w:szCs w:val="22"/>
          <w:color w:val="auto"/>
        </w:rPr>
      </w:pPr>
    </w:p>
    <w:p>
      <w:pPr>
        <w:ind w:left="1140" w:right="20" w:firstLine="743"/>
        <w:spacing w:after="0" w:line="258" w:lineRule="auto"/>
        <w:tabs>
          <w:tab w:leader="none" w:pos="2321" w:val="left"/>
        </w:tabs>
        <w:numPr>
          <w:ilvl w:val="2"/>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 and the other Loan Documents; and</w:t>
      </w:r>
    </w:p>
    <w:p>
      <w:pPr>
        <w:spacing w:after="0" w:line="239" w:lineRule="exact"/>
        <w:rPr>
          <w:rFonts w:ascii="Times New Roman" w:cs="Times New Roman" w:eastAsia="Times New Roman" w:hAnsi="Times New Roman"/>
          <w:sz w:val="22"/>
          <w:szCs w:val="22"/>
          <w:color w:val="auto"/>
        </w:rPr>
      </w:pPr>
    </w:p>
    <w:p>
      <w:pPr>
        <w:jc w:val="both"/>
        <w:ind w:left="1140" w:firstLine="743"/>
        <w:spacing w:after="0" w:line="239" w:lineRule="auto"/>
        <w:tabs>
          <w:tab w:leader="none" w:pos="2321" w:val="left"/>
        </w:tabs>
        <w:numPr>
          <w:ilvl w:val="2"/>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to each assignment shall execute and deliver to the Administrative Agent (with a copy to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to give such copy to the Borrower shall not affect the validity of such Assignment Agreement) an Assignment Agreement in form and substance reasonably satisfactory to the Administrative Agent.</w:t>
      </w:r>
    </w:p>
    <w:p>
      <w:pPr>
        <w:spacing w:after="0" w:line="207" w:lineRule="exact"/>
        <w:rPr>
          <w:rFonts w:ascii="Times New Roman" w:cs="Times New Roman" w:eastAsia="Times New Roman" w:hAnsi="Times New Roman"/>
          <w:sz w:val="22"/>
          <w:szCs w:val="22"/>
          <w:color w:val="auto"/>
        </w:rPr>
      </w:pPr>
    </w:p>
    <w:p>
      <w:pPr>
        <w:jc w:val="both"/>
        <w:ind w:left="380" w:right="20" w:firstLine="754"/>
        <w:spacing w:after="0" w:line="239" w:lineRule="auto"/>
        <w:tabs>
          <w:tab w:leader="none" w:pos="1993"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acceptance and recording thereof pursuant to paragraph (d) of this Section 13.05, from and after the effective date specified in each Assignment Agreement, the assignee thereunder shall be a party hereto and, to the extent of the interest assigned by such Assignment Agreement, have the rights and obligations of a Lender under the Loan Documents, and the assigning</w:t>
      </w:r>
    </w:p>
    <w:p>
      <w:pPr>
        <w:spacing w:after="0" w:line="321" w:lineRule="exact"/>
        <w:rPr>
          <w:sz w:val="20"/>
          <w:szCs w:val="20"/>
          <w:color w:val="auto"/>
        </w:rPr>
      </w:pPr>
    </w:p>
    <w:p>
      <w:pPr>
        <w:ind w:left="426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47" w:name="page248"/>
    <w:bookmarkEnd w:id="247"/>
    <w:p>
      <w:pPr>
        <w:spacing w:after="0" w:line="225"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Lender thereunder shall, to the extent of the interest assigned by such Assignment Agreement, be released from its obligations under the Loan Documents (and, in the case of an Assignment Agreement covering all of the assigning Lender’s rights and obligations under the Loan Documents, such Lender shall cease to be a party hereto). Any assignment or transfer by a Lender of rights or obligations under the Loan Documents that does not comply with this Section 13.05 shall be treated for purposes of the Loan Documents as a sale by such Lender of a participation in such rights and obligations in accordance with paragraph (e) of this Section 13.05.</w:t>
      </w:r>
    </w:p>
    <w:p>
      <w:pPr>
        <w:spacing w:after="0" w:line="174" w:lineRule="exact"/>
        <w:rPr>
          <w:sz w:val="20"/>
          <w:szCs w:val="20"/>
          <w:color w:val="auto"/>
        </w:rPr>
      </w:pPr>
    </w:p>
    <w:p>
      <w:pPr>
        <w:jc w:val="both"/>
        <w:ind w:left="-360" w:firstLine="745"/>
        <w:spacing w:after="0" w:line="251" w:lineRule="exact"/>
        <w:tabs>
          <w:tab w:leader="none" w:pos="1253"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Register. </w:t>
      </w:r>
      <w:r>
        <w:rPr>
          <w:rFonts w:ascii="Times New Roman" w:cs="Times New Roman" w:eastAsia="Times New Roman" w:hAnsi="Times New Roman"/>
          <w:sz w:val="22"/>
          <w:szCs w:val="22"/>
          <w:color w:val="auto"/>
        </w:rPr>
        <w:t>The Administrative Agent, acting for this purpose as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fiduciary agent of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maintain at one of its offices a copy of each Assignment Agreement delivered to it and a register for the recordation of the names and addresses of the Lenders, and the Commitment of, and principal amount (and stated interest) of the Term Loans owing to, each Lender pursuant to the terms hereof from time to time (the “</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No assignment shall be effective for purposes of this Agreement unless (i) it has been recorded in the Register as provided in this paragraph and (ii) any written consent to such assignment required by paragraph (a) of this Section 13.05 has been obtained.</w:t>
      </w:r>
    </w:p>
    <w:p>
      <w:pPr>
        <w:spacing w:after="0" w:line="213" w:lineRule="exact"/>
        <w:rPr>
          <w:rFonts w:ascii="Times New Roman" w:cs="Times New Roman" w:eastAsia="Times New Roman" w:hAnsi="Times New Roman"/>
          <w:sz w:val="22"/>
          <w:szCs w:val="22"/>
          <w:color w:val="auto"/>
        </w:rPr>
      </w:pPr>
    </w:p>
    <w:p>
      <w:pPr>
        <w:jc w:val="both"/>
        <w:ind w:left="-360" w:firstLine="745"/>
        <w:spacing w:after="0" w:line="237" w:lineRule="auto"/>
        <w:tabs>
          <w:tab w:leader="none" w:pos="1253"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Participations. </w:t>
      </w:r>
      <w:r>
        <w:rPr>
          <w:rFonts w:ascii="Times New Roman" w:cs="Times New Roman" w:eastAsia="Times New Roman" w:hAnsi="Times New Roman"/>
          <w:sz w:val="22"/>
          <w:szCs w:val="22"/>
          <w:color w:val="auto"/>
        </w:rPr>
        <w:t>Any Lender may at any time, without the consent of, or notice to, the Borrower, sell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participations to any Person (a “</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xml:space="preserve">”), other than an Ineligible Assignee, in all or a portion of such Lender’s rights and obligations under the Loan Documents (including all or a portion of its Commitment and the Term Loans owing 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Lender’s obligations under the Loan Documents shall remain unchanged, (ii) such Lender shall remain solely responsible to the other parties hereto for the performance of such obligations and (iii) the Borrower shall continue to deal solely and directly with such Lender in connection therewith.</w:t>
      </w:r>
    </w:p>
    <w:p>
      <w:pPr>
        <w:spacing w:after="0" w:line="219" w:lineRule="exact"/>
        <w:rPr>
          <w:rFonts w:ascii="Times New Roman" w:cs="Times New Roman" w:eastAsia="Times New Roman" w:hAnsi="Times New Roman"/>
          <w:sz w:val="22"/>
          <w:szCs w:val="22"/>
          <w:color w:val="auto"/>
        </w:rPr>
      </w:pPr>
    </w:p>
    <w:p>
      <w:pPr>
        <w:jc w:val="both"/>
        <w:ind w:left="-360" w:firstLine="745"/>
        <w:spacing w:after="0" w:line="234" w:lineRule="auto"/>
        <w:tabs>
          <w:tab w:leader="none" w:pos="126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modification or waiver that would (i) increase or extend the term of such Lender’s Commitment, (ii) extend the date fixed for the payment of principal of or interest on the Term Loans or any portion of any fee hereunder payable to the Participant, (iii) reduce the amount of any such payment of principal, or (iv) reduce the rate at which interest is payable thereon to a level below the rate at which the Participant is entitled to receive such interest. The Borrower agrees that each Participant shall be entitled to the benefits of Section 5.03 (subject to the requirements and limitations therein, including the requirements under Section 5.03(f) (it being understood that the documentation required under Section 5.03(f) shall be delivered to the</w:t>
      </w:r>
    </w:p>
    <w:p>
      <w:pPr>
        <w:spacing w:after="0" w:line="320" w:lineRule="exact"/>
        <w:rPr>
          <w:sz w:val="20"/>
          <w:szCs w:val="20"/>
          <w:color w:val="auto"/>
        </w:rPr>
      </w:pPr>
    </w:p>
    <w:p>
      <w:pPr>
        <w:ind w:left="426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48" w:name="page249"/>
    <w:bookmarkEnd w:id="248"/>
    <w:p>
      <w:pPr>
        <w:spacing w:after="0" w:line="225" w:lineRule="exact"/>
        <w:rPr>
          <w:sz w:val="20"/>
          <w:szCs w:val="20"/>
          <w:color w:val="auto"/>
        </w:rPr>
      </w:pPr>
    </w:p>
    <w:p>
      <w:pPr>
        <w:jc w:val="both"/>
        <w:ind w:left="760"/>
        <w:spacing w:after="0" w:line="247" w:lineRule="exact"/>
        <w:rPr>
          <w:sz w:val="20"/>
          <w:szCs w:val="20"/>
          <w:color w:val="auto"/>
        </w:rPr>
      </w:pPr>
      <w:r>
        <w:rPr>
          <w:rFonts w:ascii="Times New Roman" w:cs="Times New Roman" w:eastAsia="Times New Roman" w:hAnsi="Times New Roman"/>
          <w:sz w:val="22"/>
          <w:szCs w:val="22"/>
          <w:color w:val="auto"/>
        </w:rPr>
        <w:t xml:space="preserve">Borrower and the participating Lender)) to the same extent as if it were a Lender and had acquired its interest by assignment pursuant to Section 13.05(a),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Participant (A) agrees to be subject to the provisions of Section 5.03(h) as if it were an assignee under Section 13.05(a); and (B) shall not be entitled to receive any greater payment under Section 5.03, with respect to any participation, than its participating Lender would have been entitled to receive, unless the sale of the participation to such Participant is made with the Borrower’s prior written consent. To the extent permitted by Law, each Participant also shall be entitled to the benefits of Section 4.04(a) as though it were a Lender. Each Lender that sells a participation shall, acting solely for this purpose as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fiduciary agent of the Borrower, maintain a register on which it enters the name and address of each Participant and the principal amounts (and stated interest) of each Participant’s interest in the Term Loans or other obligations under the Loan Documents (the </w:t>
      </w:r>
      <w:r>
        <w:rPr>
          <w:rFonts w:ascii="Times New Roman" w:cs="Times New Roman" w:eastAsia="Times New Roman" w:hAnsi="Times New Roman"/>
          <w:sz w:val="22"/>
          <w:szCs w:val="22"/>
          <w:i w:val="1"/>
          <w:iCs w:val="1"/>
          <w:color w:val="auto"/>
        </w:rPr>
        <w:t>“Participant Register”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that no Lender shall have any obligation to disclose all or any portion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204" w:lineRule="exact"/>
        <w:rPr>
          <w:sz w:val="20"/>
          <w:szCs w:val="20"/>
          <w:color w:val="auto"/>
        </w:rPr>
      </w:pPr>
    </w:p>
    <w:p>
      <w:pPr>
        <w:jc w:val="both"/>
        <w:ind w:left="760" w:firstLine="745"/>
        <w:spacing w:after="0" w:line="238" w:lineRule="auto"/>
        <w:tabs>
          <w:tab w:leader="none" w:pos="2373"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Certain Pledges. </w:t>
      </w:r>
      <w:r>
        <w:rPr>
          <w:rFonts w:ascii="Times New Roman" w:cs="Times New Roman" w:eastAsia="Times New Roman" w:hAnsi="Times New Roman"/>
          <w:sz w:val="22"/>
          <w:szCs w:val="22"/>
          <w:color w:val="auto"/>
        </w:rPr>
        <w:t>Subject to Section 13.05(d), the Lenders may at any time pledge or assign a security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interest in all or any portion of its rights under this Agreement and any other Loan Document to secure obligations of the Lenders, including any pledge or assignment to secure obligations to a Federal Reserve Bank or another central bank;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such pledge or assignment shall release the Lenders from any of their obligations hereunder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substitute any such pledgee or assignee for the Lenders as a party hereto.</w:t>
      </w:r>
    </w:p>
    <w:p>
      <w:pPr>
        <w:spacing w:after="0" w:line="217"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13.06. Survival. </w:t>
      </w:r>
      <w:r>
        <w:rPr>
          <w:rFonts w:ascii="Times New Roman" w:cs="Times New Roman" w:eastAsia="Times New Roman" w:hAnsi="Times New Roman"/>
          <w:sz w:val="22"/>
          <w:szCs w:val="22"/>
          <w:color w:val="auto"/>
        </w:rPr>
        <w:t>The obligations of the Borrower under Sections 5.01, 5.02, 5.03, 13.03, 13.05, 13.09, 13.10, 13.11,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13.12, 13.13, 13.14 and Article 11 (solely to the extent guaranteeing any of the obligations under the foregoing Sections) shall survive the repayment of the Obligations and the termination of the Commitments and, in the case of any Lender’s assignment of any interest in the Commitments or the Term Loans hereunder, shall survive, in the case of any event or circumstance that occurred prior to the effective date of such assignment, the making of such assignment, notwithstanding that such Lenders may cease to be a “Lender” hereunder. In addition, each representation and warranty made, or deemed to be made by a notice of the Term Loans, herein or pursuant hereto shall survive the making of such representation and warranty.</w:t>
      </w:r>
    </w:p>
    <w:p>
      <w:pPr>
        <w:spacing w:after="0" w:line="216"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13.07. Captions. </w:t>
      </w:r>
      <w:r>
        <w:rPr>
          <w:rFonts w:ascii="Times New Roman" w:cs="Times New Roman" w:eastAsia="Times New Roman" w:hAnsi="Times New Roman"/>
          <w:sz w:val="22"/>
          <w:szCs w:val="22"/>
          <w:color w:val="auto"/>
        </w:rPr>
        <w:t>The table of contents and captions and section headings appearing herein are included solely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convenience of reference and are not intended to affect the interpretation of any provision of this Agreement.</w:t>
      </w:r>
    </w:p>
    <w:p>
      <w:pPr>
        <w:spacing w:after="0" w:line="295"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221"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Section 13.08. Counterparts. </w:t>
      </w:r>
      <w:r>
        <w:rPr>
          <w:rFonts w:ascii="Times New Roman" w:cs="Times New Roman" w:eastAsia="Times New Roman" w:hAnsi="Times New Roman"/>
          <w:sz w:val="21"/>
          <w:szCs w:val="21"/>
          <w:color w:val="auto"/>
        </w:rPr>
        <w:t>This Agreement may be executed in any number of counterparts, all of which taken together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constitute one 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any Assignment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3"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13.09. GOVERNING LAW. </w:t>
      </w:r>
      <w:r>
        <w:rPr>
          <w:rFonts w:ascii="Times New Roman" w:cs="Times New Roman" w:eastAsia="Times New Roman" w:hAnsi="Times New Roman"/>
          <w:sz w:val="22"/>
          <w:szCs w:val="22"/>
          <w:color w:val="auto"/>
        </w:rPr>
        <w:t>THIS AGREEMENT AND THE OTHER LOAN DOCUMENTS, THE RIGHTS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OF THE PARTIES HEREUNDER AND THEREUNDER, AND ALL CLAIMS, DISPUTES AND MATTERS ARISING HEREUNDER OR THEREUNDER OR RELATED HERETO OR THERETO,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Section 13.10. Jurisdiction, Service of Process and Venue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760" w:firstLine="745"/>
        <w:spacing w:after="0" w:line="236" w:lineRule="auto"/>
        <w:tabs>
          <w:tab w:leader="none" w:pos="2373"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SUBMISSION TO JURISDICTION. </w:t>
      </w:r>
      <w:r>
        <w:rPr>
          <w:rFonts w:ascii="Times New Roman" w:cs="Times New Roman" w:eastAsia="Times New Roman" w:hAnsi="Times New Roman"/>
          <w:sz w:val="22"/>
          <w:szCs w:val="22"/>
          <w:color w:val="auto"/>
        </w:rPr>
        <w:t>EACH OBLIGOR AGREES THAT ANY SUIT, ACTION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PROCEEDING WITH RESPECT TO THIS AGREEMENT OR ANY OTHER LOAN DOCUMENT TO WHICH IT IS A PARTY OR ANY JUDGMENT ENTERED BY ANY COURT IN RESPECT THEREOF SHALL BE BROUGHT IN THE SUPREME COURT OF THE STATE OF NEW YORK SITTING IN NEW YORK COUNTY OR IN THE UNITED STATES DISTRICT COURT FOR THE SOUTHERN DISTRICT OF NEW YORK AND IRREVOCABLY SUBMITS TO THE EXCLUSIVE JURISDICTION OF EACH SUCH COURT FOR THE PURPOSE OF ANY SUCH SUIT, ACTION, PROCEEDING OR JUDGMENT.</w:t>
      </w:r>
    </w:p>
    <w:p>
      <w:pPr>
        <w:spacing w:after="0" w:line="202" w:lineRule="exact"/>
        <w:rPr>
          <w:rFonts w:ascii="Times New Roman" w:cs="Times New Roman" w:eastAsia="Times New Roman" w:hAnsi="Times New Roman"/>
          <w:sz w:val="22"/>
          <w:szCs w:val="22"/>
          <w:color w:val="auto"/>
        </w:rPr>
      </w:pPr>
    </w:p>
    <w:p>
      <w:pPr>
        <w:ind w:left="760" w:firstLine="745"/>
        <w:spacing w:after="0" w:line="262" w:lineRule="auto"/>
        <w:tabs>
          <w:tab w:leader="none" w:pos="2373"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Alternative Process. </w:t>
      </w:r>
      <w:r>
        <w:rPr>
          <w:rFonts w:ascii="Times New Roman" w:cs="Times New Roman" w:eastAsia="Times New Roman" w:hAnsi="Times New Roman"/>
          <w:sz w:val="22"/>
          <w:szCs w:val="22"/>
          <w:color w:val="auto"/>
        </w:rPr>
        <w:t>Nothing herein shall in any way be deemed to limit the ability of the Lenders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serve any such process or summonses in any other manner permitted by applicable Law.</w:t>
      </w:r>
    </w:p>
    <w:p>
      <w:pPr>
        <w:spacing w:after="0" w:line="190"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373"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WAIVER OF VENUE. </w:t>
      </w:r>
      <w:r>
        <w:rPr>
          <w:rFonts w:ascii="Times New Roman" w:cs="Times New Roman" w:eastAsia="Times New Roman" w:hAnsi="Times New Roman"/>
          <w:sz w:val="22"/>
          <w:szCs w:val="22"/>
          <w:color w:val="auto"/>
        </w:rPr>
        <w:t>EACH OBLIGOR IRREVOCABLY WAIVES TO THE FULLEST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225"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JUDGMENT (IN RESPECT OF WHICH TIME FOR ALL APPEALS HAS ELAPSED) IN ANY SUCH SUIT, ACTION OR PROCEEDING SHALL BE CONCLUSIVE AND MAY BE ENFORCED IN ANY COURT TO THE JURISDICTION OF WHICH SUCH OBLIGOR IS OR MAY BE SUBJECT, BY SUIT UPON JUDGMENT.</w:t>
      </w:r>
    </w:p>
    <w:p>
      <w:pPr>
        <w:spacing w:after="0" w:line="196" w:lineRule="exact"/>
        <w:rPr>
          <w:sz w:val="20"/>
          <w:szCs w:val="20"/>
          <w:color w:val="auto"/>
        </w:rPr>
      </w:pPr>
    </w:p>
    <w:p>
      <w:pPr>
        <w:jc w:val="both"/>
        <w:ind w:firstLine="459"/>
        <w:spacing w:after="0" w:line="241" w:lineRule="auto"/>
        <w:rPr>
          <w:sz w:val="20"/>
          <w:szCs w:val="20"/>
          <w:color w:val="auto"/>
        </w:rPr>
      </w:pPr>
      <w:r>
        <w:rPr>
          <w:rFonts w:ascii="Times New Roman" w:cs="Times New Roman" w:eastAsia="Times New Roman" w:hAnsi="Times New Roman"/>
          <w:sz w:val="22"/>
          <w:szCs w:val="22"/>
          <w:i w:val="1"/>
          <w:iCs w:val="1"/>
          <w:color w:val="auto"/>
        </w:rPr>
        <w:t>Section 13.11. WAIVER OF JURY TRIAL</w:t>
      </w:r>
      <w:r>
        <w:rPr>
          <w:rFonts w:ascii="Times New Roman" w:cs="Times New Roman" w:eastAsia="Times New Roman" w:hAnsi="Times New Roman"/>
          <w:sz w:val="22"/>
          <w:szCs w:val="22"/>
          <w:color w:val="auto"/>
        </w:rPr>
        <w:t>.EACH PARTY HERETO HEREBY IRREVOCABLY WAIVES,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FULLEST EXTENT PERMITTED BY APPLICABLE LAW, ANY AND ALL RIGHT TO TRIAL BY JURY IN ANY SUIT, ACTION OR PROCEEDING ARISING OUT OF OR RELATING TO THIS AGREEMENT, THE OTHER LOAN DOCUMENTS OR THE TRANSACTIONS CONTEMPLATED HEREBY OR THEREBY.</w:t>
      </w:r>
    </w:p>
    <w:p>
      <w:pPr>
        <w:spacing w:after="0" w:line="212"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i w:val="1"/>
          <w:iCs w:val="1"/>
          <w:color w:val="auto"/>
        </w:rPr>
        <w:t>Section 13.12. WAIVER OF IMMUNITY</w:t>
      </w:r>
      <w:r>
        <w:rPr>
          <w:rFonts w:ascii="Times New Roman" w:cs="Times New Roman" w:eastAsia="Times New Roman" w:hAnsi="Times New Roman"/>
          <w:sz w:val="22"/>
          <w:szCs w:val="22"/>
          <w:color w:val="auto"/>
        </w:rPr>
        <w:t>. TO THE EXTENT THAT ANY OBLIGOR MAY BE OR BECOME ENTITLED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w:t>
      </w:r>
    </w:p>
    <w:p>
      <w:pPr>
        <w:spacing w:after="0" w:line="219"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Section 13.13. Entire Agreement. </w:t>
      </w:r>
      <w:r>
        <w:rPr>
          <w:rFonts w:ascii="Times New Roman" w:cs="Times New Roman" w:eastAsia="Times New Roman" w:hAnsi="Times New Roman"/>
          <w:sz w:val="21"/>
          <w:szCs w:val="21"/>
          <w:color w:val="auto"/>
        </w:rPr>
        <w:t>This Agreement and the other Loan Documents constitute the entire agreement among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parties with respect to the subject matter hereof and thereof and supersede any and all previous agreements and understandings, oral or written, relating to the subject matter hereof.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the Lenders other than those expressly set forth in this Agreement and the other Loan Documents.</w:t>
      </w:r>
    </w:p>
    <w:p>
      <w:pPr>
        <w:spacing w:after="0" w:line="192"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13.14. Severability. </w:t>
      </w:r>
      <w:r>
        <w:rPr>
          <w:rFonts w:ascii="Times New Roman" w:cs="Times New Roman" w:eastAsia="Times New Roman" w:hAnsi="Times New Roman"/>
          <w:sz w:val="22"/>
          <w:szCs w:val="22"/>
          <w:color w:val="auto"/>
        </w:rPr>
        <w:t>If any provision hereof is found by a court to be invalid or unenforceable, to the fullest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permitted by applicable Law the parties agree that such invalidity or unenforceability shall not impair the validity or enforceability of any other provision hereof.</w:t>
      </w:r>
    </w:p>
    <w:p>
      <w:pPr>
        <w:spacing w:after="0" w:line="208"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13.15. No Fiduciary Relationship. </w:t>
      </w:r>
      <w:r>
        <w:rPr>
          <w:rFonts w:ascii="Times New Roman" w:cs="Times New Roman" w:eastAsia="Times New Roman" w:hAnsi="Times New Roman"/>
          <w:sz w:val="22"/>
          <w:szCs w:val="22"/>
          <w:color w:val="auto"/>
        </w:rPr>
        <w:t>The Administrative Agent, each Lender and their Affiliates (collectively, solely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for purposes of this paragraph, the </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xml:space="preserve">), may have economic interests that conflict with those of the Obligors, their stockholders or equity holders and/or their Affiliates (collectively, solely for purposes of this paragraph, the </w:t>
      </w:r>
      <w:r>
        <w:rPr>
          <w:rFonts w:ascii="Times New Roman" w:cs="Times New Roman" w:eastAsia="Times New Roman" w:hAnsi="Times New Roman"/>
          <w:sz w:val="22"/>
          <w:szCs w:val="22"/>
          <w:i w:val="1"/>
          <w:iCs w:val="1"/>
          <w:color w:val="auto"/>
        </w:rPr>
        <w:t>“Obligors”</w:t>
      </w:r>
      <w:r>
        <w:rPr>
          <w:rFonts w:ascii="Times New Roman" w:cs="Times New Roman" w:eastAsia="Times New Roman" w:hAnsi="Times New Roman"/>
          <w:sz w:val="22"/>
          <w:szCs w:val="22"/>
          <w:color w:val="auto"/>
        </w:rPr>
        <w:t>). The Obligors acknowledge that the Lenders have no fiduciary relationship with, or fiduciary duty to, any Obligor arising out of or in connection with this Agreement or the other Loan Documents, and the relationship between each Lender and each Obligor are solely that of creditors and debtors. This Agreement and the other Loan Documents do not create a joint venture among the parties.</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221"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13.16. USA Patriot Act </w:t>
      </w:r>
      <w:r>
        <w:rPr>
          <w:rFonts w:ascii="Times New Roman" w:cs="Times New Roman" w:eastAsia="Times New Roman" w:hAnsi="Times New Roman"/>
          <w:sz w:val="22"/>
          <w:szCs w:val="22"/>
          <w:color w:val="auto"/>
        </w:rPr>
        <w:t>. The Administrative Agent and the Lenders hereby notify the Obligors that pursuant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requirements of the Patriot Act and 31 C.F.R. § 1010.230 (the “</w:t>
      </w:r>
      <w:r>
        <w:rPr>
          <w:rFonts w:ascii="Times New Roman" w:cs="Times New Roman" w:eastAsia="Times New Roman" w:hAnsi="Times New Roman"/>
          <w:sz w:val="22"/>
          <w:szCs w:val="22"/>
          <w:i w:val="1"/>
          <w:iCs w:val="1"/>
          <w:color w:val="auto"/>
        </w:rPr>
        <w:t>Beneficial Ownership Regulation</w:t>
      </w:r>
      <w:r>
        <w:rPr>
          <w:rFonts w:ascii="Times New Roman" w:cs="Times New Roman" w:eastAsia="Times New Roman" w:hAnsi="Times New Roman"/>
          <w:sz w:val="22"/>
          <w:szCs w:val="22"/>
          <w:color w:val="auto"/>
        </w:rPr>
        <w:t>”), they are required to obtain, verify and record information that identifies the Obligors, which information includes the name and address of each Obligor and other information that will allow the Administrative Agent and such Lender to identify each Obligor in accordance with the Patriot Act and Beneficial Ownership Regulation, including a beneficial ownership certification in form and substance acceptable to the Administrative Agent.</w:t>
      </w:r>
    </w:p>
    <w:p>
      <w:pPr>
        <w:spacing w:after="0" w:line="202" w:lineRule="exact"/>
        <w:rPr>
          <w:sz w:val="20"/>
          <w:szCs w:val="20"/>
          <w:color w:val="auto"/>
        </w:rPr>
      </w:pPr>
    </w:p>
    <w:p>
      <w:pPr>
        <w:jc w:val="both"/>
        <w:ind w:firstLine="432"/>
        <w:spacing w:after="0" w:line="247" w:lineRule="exact"/>
        <w:rPr>
          <w:sz w:val="20"/>
          <w:szCs w:val="20"/>
          <w:color w:val="auto"/>
        </w:rPr>
      </w:pPr>
      <w:r>
        <w:rPr>
          <w:rFonts w:ascii="Times New Roman" w:cs="Times New Roman" w:eastAsia="Times New Roman" w:hAnsi="Times New Roman"/>
          <w:sz w:val="21"/>
          <w:szCs w:val="21"/>
          <w:i w:val="1"/>
          <w:iCs w:val="1"/>
          <w:color w:val="auto"/>
        </w:rPr>
        <w:t xml:space="preserve">Section 13.17. Treatment of Certain Information; Confidentiality. </w:t>
      </w:r>
      <w:r>
        <w:rPr>
          <w:rFonts w:ascii="Times New Roman" w:cs="Times New Roman" w:eastAsia="Times New Roman" w:hAnsi="Times New Roman"/>
          <w:sz w:val="21"/>
          <w:szCs w:val="21"/>
          <w:color w:val="auto"/>
        </w:rPr>
        <w:t>The Lenders agree to maintain the confidentiality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Information (as defined below), except that Information may be disclosed to (a) its Affiliates and to its and its Affiliates’ respective partners, directors, officers, employees, agents, trustees, advisors and representatives (collectively, </w:t>
      </w:r>
      <w:r>
        <w:rPr>
          <w:rFonts w:ascii="Times New Roman" w:cs="Times New Roman" w:eastAsia="Times New Roman" w:hAnsi="Times New Roman"/>
          <w:sz w:val="21"/>
          <w:szCs w:val="21"/>
          <w:i w:val="1"/>
          <w:iCs w:val="1"/>
          <w:color w:val="auto"/>
        </w:rPr>
        <w:t>“Representatives”</w:t>
      </w:r>
      <w:r>
        <w:rPr>
          <w:rFonts w:ascii="Times New Roman" w:cs="Times New Roman" w:eastAsia="Times New Roman" w:hAnsi="Times New Roman"/>
          <w:sz w:val="21"/>
          <w:szCs w:val="21"/>
          <w:color w:val="auto"/>
        </w:rPr>
        <w:t>)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regulatory authority, such as FINRA or the National Association of Insurance Commissioners) or any exchange, (c) to the extent required by the applicable Laws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in this Section 13.17, to</w:t>
      </w:r>
    </w:p>
    <w:p>
      <w:pPr>
        <w:spacing w:after="0" w:line="6" w:lineRule="exact"/>
        <w:rPr>
          <w:sz w:val="20"/>
          <w:szCs w:val="20"/>
          <w:color w:val="auto"/>
        </w:rPr>
      </w:pPr>
    </w:p>
    <w:p>
      <w:pPr>
        <w:jc w:val="both"/>
        <w:ind w:firstLine="8"/>
        <w:spacing w:after="0" w:line="231" w:lineRule="auto"/>
        <w:tabs>
          <w:tab w:leader="none" w:pos="27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assignee of or Participant in, or any prospective assignee of or Participant in, any of its rights or obligations under this Agreement or (ii) any actual or prospective counterparty (or its advisors) to any swap or derivative transaction relating to Borrower or any Guarantor and its obligation, (g) with the consent of Borrower or (h) to the extent such Information (i) becomes publicly available other than as a result of a breach of this Section 13.17 or (ii) becomes available to the Lender, or any of its respective Representatives on a nonconfidential basis from a source other than Borrower or any other Obligor. For purposes of this Section 13.17, </w:t>
      </w:r>
      <w:r>
        <w:rPr>
          <w:rFonts w:ascii="Times New Roman" w:cs="Times New Roman" w:eastAsia="Times New Roman" w:hAnsi="Times New Roman"/>
          <w:sz w:val="22"/>
          <w:szCs w:val="22"/>
          <w:i w:val="1"/>
          <w:iCs w:val="1"/>
          <w:color w:val="auto"/>
        </w:rPr>
        <w:t>“Information”</w:t>
      </w:r>
      <w:r>
        <w:rPr>
          <w:rFonts w:ascii="Times New Roman" w:cs="Times New Roman" w:eastAsia="Times New Roman" w:hAnsi="Times New Roman"/>
          <w:sz w:val="22"/>
          <w:szCs w:val="22"/>
          <w:color w:val="auto"/>
        </w:rPr>
        <w:t xml:space="preserve"> means all information received from an Obligor relating to such Obligor or its Subsidiary or any of their respective businesses, except that the term “Information” shall not include, and the Lenders shall not be subject to any confidentiality obligation with respect to any information that (A) is or becomes available to the Lender or any of its Representatives on a nonconfidential basis prior to disclosure by an Obligor, (B) becomes available to a Lender or any of its Representatives after disclosure by an Obligor or its Subsidiary from a source that, to the knowledge of such Lender, is not subject to a confidentiality obligation to such Obligor, (C) is or becomes publicly available other than as a result of a breach by such Lender, or (D) is developed by a Lender or any of its Representatives. Any Person required to maintain the confidentiality of Information as provided in this Section 13.17 shall be considered to have complied with its obligation to do so if such Person has exercised the same degree of care to maintain the confidentiality of such Information as such Person would accord to its own confidential information.</w:t>
      </w:r>
    </w:p>
    <w:p>
      <w:pPr>
        <w:spacing w:after="0" w:line="191" w:lineRule="exact"/>
        <w:rPr>
          <w:sz w:val="20"/>
          <w:szCs w:val="20"/>
          <w:color w:val="auto"/>
        </w:rPr>
      </w:pPr>
    </w:p>
    <w:p>
      <w:pPr>
        <w:jc w:val="both"/>
        <w:spacing w:after="0" w:line="271" w:lineRule="exact"/>
        <w:rPr>
          <w:sz w:val="20"/>
          <w:szCs w:val="20"/>
          <w:color w:val="auto"/>
        </w:rPr>
      </w:pPr>
      <w:r>
        <w:rPr>
          <w:rFonts w:ascii="Times New Roman" w:cs="Times New Roman" w:eastAsia="Times New Roman" w:hAnsi="Times New Roman"/>
          <w:sz w:val="22"/>
          <w:szCs w:val="22"/>
          <w:color w:val="auto"/>
        </w:rPr>
        <w:t>In the case of any Lender that has elected to receive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public information pursuant to Section 8.02, such Lender acknowledges that (a) the Information may include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public information concerning an Obligor or its Subsidiary, as the case may be, (b) it has developed compliance procedures regarding the use of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public information and (c) it will handle</w:t>
      </w:r>
    </w:p>
    <w:p>
      <w:pPr>
        <w:spacing w:after="0" w:line="320"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91" w:lineRule="exact"/>
        <w:rPr>
          <w:sz w:val="20"/>
          <w:szCs w:val="20"/>
          <w:color w:val="auto"/>
        </w:rPr>
      </w:pPr>
    </w:p>
    <w:p>
      <w:pPr>
        <w:spacing w:after="0" w:line="287" w:lineRule="exact"/>
        <w:rPr>
          <w:sz w:val="20"/>
          <w:szCs w:val="20"/>
          <w:color w:val="auto"/>
        </w:rPr>
      </w:pPr>
      <w:r>
        <w:rPr>
          <w:rFonts w:ascii="Times New Roman" w:cs="Times New Roman" w:eastAsia="Times New Roman" w:hAnsi="Times New Roman"/>
          <w:sz w:val="22"/>
          <w:szCs w:val="22"/>
          <w:color w:val="auto"/>
        </w:rPr>
        <w:t>such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public information in accordance with applicable Law, including United States federal and state securities Laws.</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Section 13.18. Releases of Guarantees and Liens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760" w:firstLine="745"/>
        <w:spacing w:after="0" w:line="235" w:lineRule="auto"/>
        <w:tabs>
          <w:tab w:leader="none" w:pos="2373"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or in any other Loan Document, each Lender agrees, and the Administrative Agent is hereby irrevocably authorized by each Lender and given a limited power of attorney by each Lender to perform the actions described hereafter in this Section 13.18 (without requirement of notice to or consent of any Lender except as expressly required by Section 13.04) to take any action reasonably requested by the Borrower having the effect of releasing any Collateral or Obligations (i) to the extent necessary to permit consummation of any transaction not prohibited by any Loan Document or that has been consented to by the Lenders or (ii) under the circumstances described in paragraph (b) below.</w:t>
      </w:r>
    </w:p>
    <w:p>
      <w:pPr>
        <w:spacing w:after="0" w:line="223"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373"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such time as the Term Loans and the other Obligations (other than the Warrant Obligations and contingent and unmatured indemnity and expense reimbursement obligations) under the Loan Documents shall have been paid in full in cash and the Commitments have been terminated, the Collateral shall be released from the Liens created by the Security Documents, and the Security Documents and all obligations (other than those expressly stated to survive such termination) of the Administrative Agent and each Obligor under the Security Documents shall terminate, all without delivery of any instrument or performance of any act by any Person.</w:t>
      </w:r>
    </w:p>
    <w:p>
      <w:pPr>
        <w:spacing w:after="0" w:line="174" w:lineRule="exact"/>
        <w:rPr>
          <w:sz w:val="20"/>
          <w:szCs w:val="20"/>
          <w:color w:val="auto"/>
        </w:rPr>
      </w:pPr>
    </w:p>
    <w:p>
      <w:pPr>
        <w:jc w:val="both"/>
        <w:ind w:firstLine="432"/>
        <w:spacing w:after="0" w:line="263" w:lineRule="exact"/>
        <w:rPr>
          <w:sz w:val="20"/>
          <w:szCs w:val="20"/>
          <w:color w:val="auto"/>
        </w:rPr>
      </w:pPr>
      <w:r>
        <w:rPr>
          <w:rFonts w:ascii="Times New Roman" w:cs="Times New Roman" w:eastAsia="Times New Roman" w:hAnsi="Times New Roman"/>
          <w:sz w:val="22"/>
          <w:szCs w:val="22"/>
          <w:i w:val="1"/>
          <w:iCs w:val="1"/>
          <w:color w:val="auto"/>
        </w:rPr>
        <w:t>Section 13.19. Acknowledgement and Consent to Bail</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In of Affected Financial Institutions</w:t>
      </w:r>
      <w:r>
        <w:rPr>
          <w:rFonts w:ascii="Times New Roman" w:cs="Times New Roman" w:eastAsia="Times New Roman" w:hAnsi="Times New Roman"/>
          <w:sz w:val="22"/>
          <w:szCs w:val="22"/>
          <w:color w:val="auto"/>
        </w:rPr>
        <w:t>. Notwithstanding anything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Down and Conversion Powers of the applicable Resolution Authority and agrees and consents to, and acknowledges and agrees to be bound by:</w:t>
      </w:r>
    </w:p>
    <w:p>
      <w:pPr>
        <w:spacing w:after="0" w:line="186" w:lineRule="exact"/>
        <w:rPr>
          <w:sz w:val="20"/>
          <w:szCs w:val="20"/>
          <w:color w:val="auto"/>
        </w:rPr>
      </w:pPr>
    </w:p>
    <w:p>
      <w:pPr>
        <w:jc w:val="both"/>
        <w:ind w:left="760" w:firstLine="745"/>
        <w:spacing w:after="0" w:line="272" w:lineRule="exact"/>
        <w:tabs>
          <w:tab w:leader="none" w:pos="2373"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Down and Conversion Powers by the applicable Resolution Authority to any such liabilities arising hereunder which may be payable to it by any party hereto that is an Affected Financial Institution; and</w:t>
      </w:r>
    </w:p>
    <w:p>
      <w:pPr>
        <w:spacing w:after="0" w:line="183" w:lineRule="exact"/>
        <w:rPr>
          <w:rFonts w:ascii="Times New Roman" w:cs="Times New Roman" w:eastAsia="Times New Roman" w:hAnsi="Times New Roman"/>
          <w:sz w:val="22"/>
          <w:szCs w:val="22"/>
          <w:color w:val="auto"/>
        </w:rPr>
      </w:pPr>
    </w:p>
    <w:p>
      <w:pPr>
        <w:ind w:left="2360" w:hanging="855"/>
        <w:spacing w:after="0" w:line="253" w:lineRule="exact"/>
        <w:tabs>
          <w:tab w:leader="none" w:pos="236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Action on any such liability, including, if applicable:</w:t>
      </w:r>
    </w:p>
    <w:p>
      <w:pPr>
        <w:spacing w:after="0" w:line="281"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46" w:lineRule="exact"/>
        <w:rPr>
          <w:rFonts w:ascii="Times New Roman" w:cs="Times New Roman" w:eastAsia="Times New Roman" w:hAnsi="Times New Roman"/>
          <w:sz w:val="22"/>
          <w:szCs w:val="22"/>
          <w:color w:val="auto"/>
        </w:rPr>
      </w:pPr>
    </w:p>
    <w:p>
      <w:pPr>
        <w:ind w:left="1500" w:firstLine="754"/>
        <w:spacing w:after="0" w:line="239" w:lineRule="auto"/>
        <w:tabs>
          <w:tab w:leader="none" w:pos="3113"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w:t>
      </w:r>
    </w:p>
    <w:p>
      <w:pPr>
        <w:spacing w:after="0" w:line="321" w:lineRule="exact"/>
        <w:rPr>
          <w:sz w:val="20"/>
          <w:szCs w:val="20"/>
          <w:color w:val="auto"/>
        </w:rPr>
      </w:pPr>
    </w:p>
    <w:p>
      <w:pPr>
        <w:jc w:val="cente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 lieu of any rights with respect to any such liability under this Agreement or any other Loan Document; or</w:t>
      </w:r>
    </w:p>
    <w:p>
      <w:pPr>
        <w:spacing w:after="0" w:line="210" w:lineRule="exact"/>
        <w:rPr>
          <w:sz w:val="20"/>
          <w:szCs w:val="20"/>
          <w:color w:val="auto"/>
        </w:rPr>
      </w:pPr>
    </w:p>
    <w:p>
      <w:pPr>
        <w:ind w:left="380" w:firstLine="754"/>
        <w:spacing w:after="0" w:line="287" w:lineRule="exact"/>
        <w:tabs>
          <w:tab w:leader="none" w:pos="1993"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Down and Conversion Powers of the applicable Resolution Authority.</w:t>
      </w:r>
    </w:p>
    <w:p>
      <w:pPr>
        <w:spacing w:after="0" w:line="21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i w:val="1"/>
          <w:iCs w:val="1"/>
          <w:color w:val="auto"/>
        </w:rPr>
        <w:t>[Signature Pages on File with Administrative Agent]</w:t>
      </w:r>
    </w:p>
    <w:p>
      <w:pPr>
        <w:spacing w:after="0" w:line="351" w:lineRule="exact"/>
        <w:rPr>
          <w:sz w:val="20"/>
          <w:szCs w:val="20"/>
          <w:color w:val="auto"/>
        </w:rPr>
      </w:pPr>
    </w:p>
    <w:p>
      <w:pPr>
        <w:ind w:left="426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508635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254" w:name="page255"/>
    <w:bookmarkEnd w:id="254"/>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chedule</w:t>
      </w:r>
      <w:r>
        <w:rPr>
          <w:rFonts w:ascii="Times New Roman" w:cs="Times New Roman" w:eastAsia="Times New Roman" w:hAnsi="Times New Roman"/>
          <w:sz w:val="22"/>
          <w:szCs w:val="22"/>
          <w:b w:val="1"/>
          <w:bCs w:val="1"/>
          <w:color w:val="auto"/>
        </w:rPr>
        <w:t xml:space="preserve"> 1</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redit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TRANCHE C LOAN COMMITMENTS</w:t>
      </w:r>
    </w:p>
    <w:p>
      <w:pPr>
        <w:spacing w:after="0" w:line="264" w:lineRule="exact"/>
        <w:rPr>
          <w:sz w:val="20"/>
          <w:szCs w:val="20"/>
          <w:color w:val="auto"/>
        </w:rPr>
      </w:pPr>
    </w:p>
    <w:tbl>
      <w:tblPr>
        <w:tblLayout w:type="fixed"/>
        <w:tblInd w:w="220" w:type="dxa"/>
        <w:tblCellMar>
          <w:top w:w="0" w:type="dxa"/>
          <w:left w:w="0" w:type="dxa"/>
          <w:bottom w:w="0" w:type="dxa"/>
          <w:right w:w="0" w:type="dxa"/>
        </w:tblCellMar>
      </w:tblPr>
      <w:tr>
        <w:trPr>
          <w:trHeight w:val="282"/>
        </w:trPr>
        <w:tc>
          <w:tcPr>
            <w:tcW w:w="6000" w:type="dxa"/>
            <w:vAlign w:val="bottom"/>
          </w:tcPr>
          <w:p>
            <w:pPr>
              <w:ind w:left="256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ender</w:t>
            </w:r>
          </w:p>
        </w:tc>
        <w:tc>
          <w:tcPr>
            <w:tcW w:w="4920" w:type="dxa"/>
            <w:vAlign w:val="bottom"/>
          </w:tcPr>
          <w:p>
            <w:pPr>
              <w:jc w:val="right"/>
              <w:ind w:right="2052"/>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ranche</w:t>
            </w:r>
            <w:r>
              <w:rPr>
                <w:rFonts w:ascii="Times New Roman" w:cs="Times New Roman" w:eastAsia="Times New Roman" w:hAnsi="Times New Roman"/>
                <w:sz w:val="22"/>
                <w:szCs w:val="22"/>
                <w:color w:val="auto"/>
              </w:rPr>
              <w:t xml:space="preserve"> C L</w:t>
            </w:r>
            <w:r>
              <w:rPr>
                <w:rFonts w:ascii="Times New Roman" w:cs="Times New Roman" w:eastAsia="Times New Roman" w:hAnsi="Times New Roman"/>
                <w:sz w:val="14"/>
                <w:szCs w:val="14"/>
                <w:color w:val="auto"/>
              </w:rPr>
              <w:t>oan</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ommitment</w:t>
            </w:r>
          </w:p>
        </w:tc>
      </w:tr>
      <w:tr>
        <w:trPr>
          <w:trHeight w:val="393"/>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Perceptive Credit Holdings IV, LP</w:t>
            </w:r>
          </w:p>
        </w:tc>
        <w:tc>
          <w:tcPr>
            <w:tcW w:w="4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$10,000,000</w:t>
            </w:r>
          </w:p>
        </w:tc>
      </w:tr>
      <w:tr>
        <w:trPr>
          <w:trHeight w:val="282"/>
        </w:trPr>
        <w:tc>
          <w:tcPr>
            <w:tcW w:w="6000" w:type="dxa"/>
            <w:vAlign w:val="bottom"/>
          </w:tcPr>
          <w:p>
            <w:pPr>
              <w:ind w:left="522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otal</w:t>
            </w:r>
          </w:p>
        </w:tc>
        <w:tc>
          <w:tcPr>
            <w:tcW w:w="4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$10,000,000</w:t>
            </w:r>
          </w:p>
        </w:tc>
      </w:tr>
      <w:tr>
        <w:trPr>
          <w:trHeight w:val="891"/>
        </w:trPr>
        <w:tc>
          <w:tcPr>
            <w:tcW w:w="10920" w:type="dxa"/>
            <w:vAlign w:val="bottom"/>
            <w:gridSpan w:val="2"/>
          </w:tcPr>
          <w:p>
            <w:pPr>
              <w:jc w:val="right"/>
              <w:ind w:right="3912"/>
              <w:spacing w:after="0"/>
              <w:rPr>
                <w:sz w:val="20"/>
                <w:szCs w:val="20"/>
                <w:color w:val="auto"/>
              </w:rPr>
            </w:pPr>
            <w:r>
              <w:rPr>
                <w:rFonts w:ascii="Times New Roman" w:cs="Times New Roman" w:eastAsia="Times New Roman" w:hAnsi="Times New Roman"/>
                <w:sz w:val="22"/>
                <w:szCs w:val="22"/>
                <w:b w:val="1"/>
                <w:bCs w:val="1"/>
                <w:color w:val="auto"/>
              </w:rPr>
              <w:t>INITIAL WARRANT SHARES</w:t>
            </w:r>
          </w:p>
        </w:tc>
      </w:tr>
      <w:tr>
        <w:trPr>
          <w:trHeight w:val="513"/>
        </w:trPr>
        <w:tc>
          <w:tcPr>
            <w:tcW w:w="600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ender</w:t>
            </w:r>
          </w:p>
        </w:tc>
        <w:tc>
          <w:tcPr>
            <w:tcW w:w="4920" w:type="dxa"/>
            <w:vAlign w:val="bottom"/>
          </w:tcPr>
          <w:p>
            <w:pPr>
              <w:jc w:val="right"/>
              <w:ind w:right="2092"/>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umber of</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hares</w:t>
            </w:r>
          </w:p>
        </w:tc>
      </w:tr>
      <w:tr>
        <w:trPr>
          <w:trHeight w:val="393"/>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Perceptive Credit Holdings IV, LP</w:t>
            </w:r>
          </w:p>
        </w:tc>
        <w:tc>
          <w:tcPr>
            <w:tcW w:w="4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3,000,000</w:t>
            </w:r>
          </w:p>
        </w:tc>
      </w:tr>
      <w:tr>
        <w:trPr>
          <w:trHeight w:val="282"/>
        </w:trPr>
        <w:tc>
          <w:tcPr>
            <w:tcW w:w="6000" w:type="dxa"/>
            <w:vAlign w:val="bottom"/>
          </w:tcPr>
          <w:p>
            <w:pPr>
              <w:ind w:left="528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otal</w:t>
            </w:r>
          </w:p>
        </w:tc>
        <w:tc>
          <w:tcPr>
            <w:tcW w:w="4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3,000,000</w:t>
            </w:r>
          </w:p>
        </w:tc>
      </w:tr>
      <w:tr>
        <w:trPr>
          <w:trHeight w:val="648"/>
        </w:trPr>
        <w:tc>
          <w:tcPr>
            <w:tcW w:w="10920" w:type="dxa"/>
            <w:vAlign w:val="bottom"/>
            <w:gridSpan w:val="2"/>
          </w:tcPr>
          <w:p>
            <w:pPr>
              <w:jc w:val="right"/>
              <w:ind w:right="3252"/>
              <w:spacing w:after="0"/>
              <w:rPr>
                <w:sz w:val="20"/>
                <w:szCs w:val="20"/>
                <w:color w:val="auto"/>
              </w:rPr>
            </w:pPr>
            <w:r>
              <w:rPr>
                <w:rFonts w:ascii="Times New Roman" w:cs="Times New Roman" w:eastAsia="Times New Roman" w:hAnsi="Times New Roman"/>
                <w:sz w:val="22"/>
                <w:szCs w:val="22"/>
                <w:b w:val="1"/>
                <w:bCs w:val="1"/>
                <w:color w:val="auto"/>
              </w:rPr>
              <w:t>SECOND TRANCHE WARRANT SHARES*</w:t>
            </w:r>
          </w:p>
        </w:tc>
      </w:tr>
      <w:tr>
        <w:trPr>
          <w:trHeight w:val="513"/>
        </w:trPr>
        <w:tc>
          <w:tcPr>
            <w:tcW w:w="600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ender</w:t>
            </w:r>
          </w:p>
        </w:tc>
        <w:tc>
          <w:tcPr>
            <w:tcW w:w="4920" w:type="dxa"/>
            <w:vAlign w:val="bottom"/>
          </w:tcPr>
          <w:p>
            <w:pPr>
              <w:jc w:val="right"/>
              <w:ind w:right="2092"/>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umber of</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hares</w:t>
            </w:r>
          </w:p>
        </w:tc>
      </w:tr>
      <w:tr>
        <w:trPr>
          <w:trHeight w:val="393"/>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Perceptive Credit Holdings IV, LP</w:t>
            </w:r>
          </w:p>
        </w:tc>
        <w:tc>
          <w:tcPr>
            <w:tcW w:w="4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1,000,000</w:t>
            </w:r>
          </w:p>
        </w:tc>
      </w:tr>
      <w:tr>
        <w:trPr>
          <w:trHeight w:val="282"/>
        </w:trPr>
        <w:tc>
          <w:tcPr>
            <w:tcW w:w="6000" w:type="dxa"/>
            <w:vAlign w:val="bottom"/>
          </w:tcPr>
          <w:p>
            <w:pPr>
              <w:ind w:left="528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otal</w:t>
            </w:r>
          </w:p>
        </w:tc>
        <w:tc>
          <w:tcPr>
            <w:tcW w:w="4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1,000,000</w:t>
            </w:r>
          </w:p>
        </w:tc>
      </w:tr>
    </w:tbl>
    <w:p>
      <w:pPr>
        <w:spacing w:after="0" w:line="200" w:lineRule="exact"/>
        <w:rPr>
          <w:sz w:val="20"/>
          <w:szCs w:val="20"/>
          <w:color w:val="auto"/>
        </w:rPr>
      </w:pP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 Issued on the Tranche B Loan Borrowing Date</w:t>
      </w: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THIRD TRANCHE WARRANT SHARES**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ender</w:t>
            </w:r>
          </w:p>
        </w:tc>
        <w:tc>
          <w:tcPr>
            <w:tcW w:w="4980" w:type="dxa"/>
            <w:vAlign w:val="bottom"/>
          </w:tcPr>
          <w:p>
            <w:pPr>
              <w:jc w:val="right"/>
              <w:ind w:right="2192"/>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umber of</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hares</w:t>
            </w:r>
          </w:p>
        </w:tc>
      </w:tr>
      <w:tr>
        <w:trPr>
          <w:trHeight w:val="393"/>
        </w:trPr>
        <w:tc>
          <w:tcPr>
            <w:tcW w:w="6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Perceptive Credit Holdings IV, LP</w:t>
            </w:r>
          </w:p>
        </w:tc>
        <w:tc>
          <w:tcPr>
            <w:tcW w:w="4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1,000,000</w:t>
            </w:r>
          </w:p>
        </w:tc>
      </w:tr>
      <w:tr>
        <w:trPr>
          <w:trHeight w:val="282"/>
        </w:trPr>
        <w:tc>
          <w:tcPr>
            <w:tcW w:w="6260" w:type="dxa"/>
            <w:vAlign w:val="bottom"/>
          </w:tcPr>
          <w:p>
            <w:pPr>
              <w:ind w:left="550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otal</w:t>
            </w:r>
          </w:p>
        </w:tc>
        <w:tc>
          <w:tcPr>
            <w:tcW w:w="4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1,000,000</w:t>
            </w:r>
          </w:p>
        </w:tc>
      </w:tr>
      <w:tr>
        <w:trPr>
          <w:trHeight w:val="670"/>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Issued on the Tranche C Loan Borrowing Date, if it occurs</w:t>
            </w:r>
          </w:p>
        </w:tc>
        <w:tc>
          <w:tcPr>
            <w:tcW w:w="4980" w:type="dxa"/>
            <w:vAlign w:val="bottom"/>
          </w:tcPr>
          <w:p>
            <w:pPr>
              <w:spacing w:after="0"/>
              <w:rPr>
                <w:sz w:val="24"/>
                <w:szCs w:val="24"/>
                <w:color w:val="auto"/>
              </w:rPr>
            </w:pPr>
          </w:p>
        </w:tc>
      </w:tr>
      <w:tr>
        <w:trPr>
          <w:trHeight w:val="720"/>
        </w:trPr>
        <w:tc>
          <w:tcPr>
            <w:tcW w:w="11240" w:type="dxa"/>
            <w:vAlign w:val="bottom"/>
            <w:gridSpan w:val="2"/>
          </w:tcPr>
          <w:p>
            <w:pPr>
              <w:ind w:left="3520"/>
              <w:spacing w:after="0"/>
              <w:rPr>
                <w:sz w:val="20"/>
                <w:szCs w:val="20"/>
                <w:color w:val="auto"/>
              </w:rPr>
            </w:pPr>
            <w:r>
              <w:rPr>
                <w:rFonts w:ascii="Times New Roman" w:cs="Times New Roman" w:eastAsia="Times New Roman" w:hAnsi="Times New Roman"/>
                <w:sz w:val="22"/>
                <w:szCs w:val="22"/>
                <w:b w:val="1"/>
                <w:bCs w:val="1"/>
                <w:color w:val="auto"/>
              </w:rPr>
              <w:t>FIRST AMENDMENT WARRANT SHARES</w:t>
            </w:r>
          </w:p>
        </w:tc>
      </w:tr>
      <w:tr>
        <w:trPr>
          <w:trHeight w:val="513"/>
        </w:trPr>
        <w:tc>
          <w:tcPr>
            <w:tcW w:w="6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ender</w:t>
            </w:r>
          </w:p>
        </w:tc>
        <w:tc>
          <w:tcPr>
            <w:tcW w:w="4980" w:type="dxa"/>
            <w:vAlign w:val="bottom"/>
          </w:tcPr>
          <w:p>
            <w:pPr>
              <w:jc w:val="right"/>
              <w:ind w:right="2192"/>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umber of</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hares</w:t>
            </w:r>
          </w:p>
        </w:tc>
      </w:tr>
      <w:tr>
        <w:trPr>
          <w:trHeight w:val="393"/>
        </w:trPr>
        <w:tc>
          <w:tcPr>
            <w:tcW w:w="6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Perceptive Credit Holdings IV, LP</w:t>
            </w:r>
          </w:p>
        </w:tc>
        <w:tc>
          <w:tcPr>
            <w:tcW w:w="4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500,000</w:t>
            </w:r>
          </w:p>
        </w:tc>
      </w:tr>
      <w:tr>
        <w:trPr>
          <w:trHeight w:val="282"/>
        </w:trPr>
        <w:tc>
          <w:tcPr>
            <w:tcW w:w="6260" w:type="dxa"/>
            <w:vAlign w:val="bottom"/>
          </w:tcPr>
          <w:p>
            <w:pPr>
              <w:ind w:left="550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otal</w:t>
            </w:r>
          </w:p>
        </w:tc>
        <w:tc>
          <w:tcPr>
            <w:tcW w:w="4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500,000</w:t>
            </w:r>
          </w:p>
        </w:tc>
      </w:tr>
      <w:tr>
        <w:trPr>
          <w:trHeight w:val="1615"/>
        </w:trPr>
        <w:tc>
          <w:tcPr>
            <w:tcW w:w="62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1927860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BIODESIX,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25146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97">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ntroduction</w:t>
      </w:r>
    </w:p>
    <w:p>
      <w:pPr>
        <w:spacing w:after="0" w:line="22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This policy determines acceptable transactions in the securities of Biodesix,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Biodesix</w:t>
      </w:r>
      <w:r>
        <w:rPr>
          <w:rFonts w:ascii="Times New Roman" w:cs="Times New Roman" w:eastAsia="Times New Roman" w:hAnsi="Times New Roman"/>
          <w:sz w:val="20"/>
          <w:szCs w:val="20"/>
          <w:color w:val="auto"/>
        </w:rPr>
        <w:t>”) by our employees, directors and consultants. During the course of your employment, directorship or consultancy with the Company, you may receive important information that is not yet publicly available (“</w:t>
      </w:r>
      <w:r>
        <w:rPr>
          <w:rFonts w:ascii="Times New Roman" w:cs="Times New Roman" w:eastAsia="Times New Roman" w:hAnsi="Times New Roman"/>
          <w:sz w:val="20"/>
          <w:szCs w:val="20"/>
          <w:b w:val="1"/>
          <w:bCs w:val="1"/>
          <w:i w:val="1"/>
          <w:iCs w:val="1"/>
          <w:color w:val="auto"/>
        </w:rPr>
        <w:t>inside information</w:t>
      </w:r>
      <w:r>
        <w:rPr>
          <w:rFonts w:ascii="Times New Roman" w:cs="Times New Roman" w:eastAsia="Times New Roman" w:hAnsi="Times New Roman"/>
          <w:sz w:val="20"/>
          <w:szCs w:val="20"/>
          <w:color w:val="auto"/>
        </w:rPr>
        <w:t>”), about the Company or about other publicly-traded companies with which the Company has business dealings. Because of your access to this inside information, you may be in a position to profit financially by buying, selling or disposing of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gifting), or in some other way dealing, in the Company’s stock, or stock of another publicly-traded company, or to disclose such information to a third party who does so profit (a “</w:t>
      </w:r>
      <w:r>
        <w:rPr>
          <w:rFonts w:ascii="Times New Roman" w:cs="Times New Roman" w:eastAsia="Times New Roman" w:hAnsi="Times New Roman"/>
          <w:sz w:val="20"/>
          <w:szCs w:val="20"/>
          <w:b w:val="1"/>
          <w:bCs w:val="1"/>
          <w:i w:val="1"/>
          <w:iCs w:val="1"/>
          <w:color w:val="auto"/>
        </w:rPr>
        <w:t>tippee</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Transactions</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Use of inside information by someone for personal gain, or to pass on, or “tip,” the inside information to someone who uses it for personal gain, is illegal, regardless of the quantity of shares, and is therefore prohibited. You can be held liable both for your own transactions and for transactions effected by a tippee, or even a tippee of a tippee. Furthermore, it is important that the appearance of insider trading in securities be avoided. Transactions directly with the Company,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option exercises or purchases under the Company’s employee stock purchase plan, are permitted. However, the subsequent sale (other than the sale of shares in a cashless exercise program, including through a broker or in sales other than to the Company) or other disposition of such stock is fully subject to these restrictions.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Inside Information</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As a practical matter, it is sometimes difficult to determine whether you possess inside information. The key to determining whether nonpublic information you possess about a public company is inside information is whether dissemination of the information would likely affect the market price of the company’s stock or would likely be considered important, or “material,” by investors who are considering trading in that company’s stock. Certainly, if the information makes you want to trade, it would probably have the same effect on others. Remember, both positive and negative information can be material. If you possess inside information, you may not trade in or gift a company’s stock, advise anyone else to do so or communicate the information to anyone else until you know that the information has been publicly disseminated. This policy also applies to all family members and other household members of those covered by this policy and all companies controlled by those covered by this policy. You may never recommend to another person that he or she buy, hold, sell or dispose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gift) our stock.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Times New Roman" w:cs="Times New Roman" w:eastAsia="Times New Roman" w:hAnsi="Times New Roman"/>
          <w:sz w:val="20"/>
          <w:szCs w:val="20"/>
          <w:b w:val="1"/>
          <w:bCs w:val="1"/>
          <w:i w:val="1"/>
          <w:iCs w:val="1"/>
          <w:color w:val="auto"/>
        </w:rPr>
        <w:t>Trading</w:t>
      </w:r>
      <w:r>
        <w:rPr>
          <w:rFonts w:ascii="Times New Roman" w:cs="Times New Roman" w:eastAsia="Times New Roman" w:hAnsi="Times New Roman"/>
          <w:sz w:val="20"/>
          <w:szCs w:val="20"/>
          <w:color w:val="auto"/>
        </w:rPr>
        <w:t>” includes engaging in short sales, transactions in put or call options, hedging transactions and other inherently speculative transactions.</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You may not participate in “chat rooms” or other electronic discussion groups or contribute to blogs, bulletin boards or social media forums on the Internet concerning the activities of Biodesix or other companies with which Biodesix does business, even if you do so anonymously, unless doing so is part of</w:t>
      </w:r>
    </w:p>
    <w:p>
      <w:pPr>
        <w:spacing w:after="0" w:line="200" w:lineRule="exact"/>
        <w:rPr>
          <w:sz w:val="20"/>
          <w:szCs w:val="20"/>
          <w:color w:val="auto"/>
        </w:rPr>
      </w:pPr>
    </w:p>
    <w:p>
      <w:pPr>
        <w:spacing w:after="0" w:line="37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257" w:name="page258"/>
    <w:bookmarkEnd w:id="257"/>
    <w:p>
      <w:pPr>
        <w:spacing w:after="0" w:line="269" w:lineRule="auto"/>
        <w:rPr>
          <w:sz w:val="20"/>
          <w:szCs w:val="20"/>
          <w:color w:val="auto"/>
        </w:rPr>
      </w:pPr>
      <w:r>
        <w:rPr>
          <w:rFonts w:ascii="Times New Roman" w:cs="Times New Roman" w:eastAsia="Times New Roman" w:hAnsi="Times New Roman"/>
          <w:sz w:val="20"/>
          <w:szCs w:val="20"/>
          <w:color w:val="auto"/>
        </w:rPr>
        <w:t>your job responsibilities and you have explicit authorization from the Company’s General Counsel, or if none, the Chief Financial Officer or their designee.</w:t>
      </w:r>
    </w:p>
    <w:p>
      <w:pPr>
        <w:spacing w:after="0" w:line="15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Although by no means an all-inclusive list, information about the following items may be considered to be inside information until it is publicly disseminated:</w:t>
      </w:r>
    </w:p>
    <w:p>
      <w:pPr>
        <w:spacing w:after="0" w:line="173" w:lineRule="exact"/>
        <w:rPr>
          <w:sz w:val="20"/>
          <w:szCs w:val="20"/>
          <w:color w:val="auto"/>
        </w:rPr>
      </w:pPr>
    </w:p>
    <w:p>
      <w:pPr>
        <w:ind w:left="1500" w:hanging="7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financial results or forecasts;</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major new products or processes;</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strategic plans;</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potential mergers, acquisitions, dispositions, tender offers or the sale of assets;</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line="245" w:lineRule="auto"/>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events regarding our securities (e.g., defaults on senior securities, calls of securities for redemption, repurchase plans, stock splits, public or private equity/debt offerings, or changes in our dividend policies or amounts);</w:t>
      </w:r>
    </w:p>
    <w:p>
      <w:pPr>
        <w:spacing w:after="0" w:line="195"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major contracts, orders, suppliers, customers or finance sources or the loss thereof;</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significant changes or developments in suppliers or vendors;</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line="245" w:lineRule="auto"/>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bankruptcies or receiverships of key collaborators, customers, vendors, suppliers, partners or the Company or its subsidiaries;</w:t>
      </w:r>
    </w:p>
    <w:p>
      <w:pPr>
        <w:spacing w:after="0" w:line="195"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significant changes or developments in technologies or other technological innovations or product enhancements;</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scientific, clinical or regulatory results;</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top management or control changes;</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significant writeoffs;</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line="245" w:lineRule="auto"/>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actual or threatened major litigation, SEC or other investigations, or a major development in or the resolution of any such litigation or investigation;</w:t>
      </w:r>
    </w:p>
    <w:p>
      <w:pPr>
        <w:spacing w:after="0" w:line="195"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pricing changes or discount policies;</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corporate partner relationships;</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communications with government agencies; and</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notice of issuance of patents.</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declaration of stock splits, dividends or changes in dividend policy.</w:t>
      </w:r>
    </w:p>
    <w:p>
      <w:pPr>
        <w:spacing w:after="0" w:line="19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prohibition on trading when you have inside information lifts once that information becomes publicly disseminated. For information to be considered publicly disseminated, it must be widely disclosed through a press release or SEC filing, and a sufficient amount of time must have passed to allow the</w:t>
      </w:r>
    </w:p>
    <w:p>
      <w:pPr>
        <w:spacing w:after="0" w:line="200" w:lineRule="exact"/>
        <w:rPr>
          <w:sz w:val="20"/>
          <w:szCs w:val="20"/>
          <w:color w:val="auto"/>
        </w:rPr>
      </w:pPr>
    </w:p>
    <w:p>
      <w:pPr>
        <w:spacing w:after="0" w:line="37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8" w:name="page259"/>
    <w:bookmarkEnd w:id="258"/>
    <w:p>
      <w:pPr>
        <w:jc w:val="both"/>
        <w:spacing w:after="0" w:line="254" w:lineRule="auto"/>
        <w:rPr>
          <w:sz w:val="20"/>
          <w:szCs w:val="20"/>
          <w:color w:val="auto"/>
        </w:rPr>
      </w:pPr>
      <w:r>
        <w:rPr>
          <w:rFonts w:ascii="Times New Roman" w:cs="Times New Roman" w:eastAsia="Times New Roman" w:hAnsi="Times New Roman"/>
          <w:sz w:val="20"/>
          <w:szCs w:val="20"/>
          <w:color w:val="auto"/>
        </w:rPr>
        <w:t>information to be fully disclosed. Generally speaking, information will be considered publicly disseminated after two full trading days have elapsed since the date of public disclosure of the information. For example, if an announcement of inside information of which you were aware was made prior to trading on Wednesday, then you may execute a transaction in the Company’s securities on Friday.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 by</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20"/>
          <w:szCs w:val="20"/>
          <w:b w:val="1"/>
          <w:bCs w:val="1"/>
          <w:color w:val="auto"/>
        </w:rPr>
        <w:t>, E</w:t>
      </w:r>
      <w:r>
        <w:rPr>
          <w:rFonts w:ascii="Times New Roman" w:cs="Times New Roman" w:eastAsia="Times New Roman" w:hAnsi="Times New Roman"/>
          <w:sz w:val="13"/>
          <w:szCs w:val="13"/>
          <w:b w:val="1"/>
          <w:bCs w:val="1"/>
          <w:color w:val="auto"/>
        </w:rPr>
        <w:t>mployees and</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onsultants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We require that all directors, employees and consultants limit their transactions in the Company’s stock to defined time periods following public dissemination of quarterly and annual financial results and notify, and receive approval from, the Company’s General Counsel, or if none, the Chief Financial Officer or their designee prior to engaging in transactions in the Company’s stock and observe other restrictions designed to minimize the risk of apparent or actual insider trading.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Covered Insiders</w:t>
      </w:r>
    </w:p>
    <w:p>
      <w:pPr>
        <w:spacing w:after="0" w:line="220"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20"/>
          <w:szCs w:val="20"/>
          <w:color w:val="auto"/>
        </w:rPr>
        <w:t>The provisions outlined in this stock trading policy apply to all directors, employees and consultants of the Company. Generally, any entities or family members or others whose trading activities are controlled or influenced by any of such persons should be considered to be subject to the same restrictions.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Window Period</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Generally, except as set forth in this policy, all directors, employees and consultants may buy, sell or dispose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gift) securities of the Company only during a “window period” that opens after two full trading days have elapsed after the public dissemination of the Company’s annual or quarterly financial results and closes five calendar days before the end of the next quarter. This window period may be closed early or may not open if, in the judgment of the Company’s (i) Chief Executive Officer and (ii) General Counsel, or if none, the Chief Financial Officer or their designee (the “</w:t>
      </w:r>
      <w:r>
        <w:rPr>
          <w:rFonts w:ascii="Times New Roman" w:cs="Times New Roman" w:eastAsia="Times New Roman" w:hAnsi="Times New Roman"/>
          <w:sz w:val="20"/>
          <w:szCs w:val="20"/>
          <w:b w:val="1"/>
          <w:bCs w:val="1"/>
          <w:i w:val="1"/>
          <w:iCs w:val="1"/>
          <w:color w:val="auto"/>
        </w:rPr>
        <w:t>Authorized Officers</w:t>
      </w:r>
      <w:r>
        <w:rPr>
          <w:rFonts w:ascii="Times New Roman" w:cs="Times New Roman" w:eastAsia="Times New Roman" w:hAnsi="Times New Roman"/>
          <w:sz w:val="20"/>
          <w:szCs w:val="20"/>
          <w:color w:val="auto"/>
        </w:rPr>
        <w:t>”), there exists undisclosed information that would make trades by the Company’s directors, employees and consultants inappropriate. Directors, employees and consultants may buy securities of the Company during a closed window period with the consent of any one of the Authorized Officers, if, in the judgment of such Authorized Officer, there exists no material undisclosed information such that if any such information existed, the trade would be inappropriate. It is important to note that the fact that the window period has closed early or has not opened should be considered inside information. A directors, employees or consultants who believes that special circumstances require him or her to trade outside the window period should consult with the Company’s General Counsel, or if none, the Chief Financial Officer or their designee who will consult with the Company’s outside counsel. Permission to trade outside the window period will be granted only where the circumstances are extenuating and there appears to be no significant risk that the trade may subsequently be questioned.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Exceptions to Window Period</w:t>
      </w:r>
    </w:p>
    <w:p>
      <w:pPr>
        <w:spacing w:after="0" w:line="229" w:lineRule="exact"/>
        <w:rPr>
          <w:sz w:val="20"/>
          <w:szCs w:val="20"/>
          <w:color w:val="auto"/>
        </w:rPr>
      </w:pPr>
    </w:p>
    <w:p>
      <w:pPr>
        <w:jc w:val="both"/>
        <w:ind w:firstLine="1505"/>
        <w:spacing w:after="0" w:line="241" w:lineRule="auto"/>
        <w:tabs>
          <w:tab w:leader="none" w:pos="2036"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i w:val="1"/>
          <w:iCs w:val="1"/>
          <w:color w:val="auto"/>
        </w:rPr>
        <w:t xml:space="preserve">ESPP/Option Exercises. </w:t>
      </w:r>
      <w:r>
        <w:rPr>
          <w:rFonts w:ascii="Times New Roman" w:cs="Times New Roman" w:eastAsia="Times New Roman" w:hAnsi="Times New Roman"/>
          <w:sz w:val="20"/>
          <w:szCs w:val="20"/>
          <w:color w:val="auto"/>
        </w:rPr>
        <w:t>Employees who are eligible to do so may purchase stock under the Company’s Employee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Purchase Plan (“</w:t>
      </w:r>
      <w:r>
        <w:rPr>
          <w:rFonts w:ascii="Times New Roman" w:cs="Times New Roman" w:eastAsia="Times New Roman" w:hAnsi="Times New Roman"/>
          <w:sz w:val="20"/>
          <w:szCs w:val="20"/>
          <w:b w:val="1"/>
          <w:bCs w:val="1"/>
          <w:i w:val="1"/>
          <w:iCs w:val="1"/>
          <w:color w:val="auto"/>
        </w:rPr>
        <w:t>ESPP</w:t>
      </w:r>
      <w:r>
        <w:rPr>
          <w:rFonts w:ascii="Times New Roman" w:cs="Times New Roman" w:eastAsia="Times New Roman" w:hAnsi="Times New Roman"/>
          <w:sz w:val="20"/>
          <w:szCs w:val="20"/>
          <w:color w:val="auto"/>
        </w:rPr>
        <w:t>”) on periodic designated dates in accordance with the ESPP without restriction to any particular period. Directors, employees and consultants may exercise options granted under the Company’s stock option plans without restriction to any particular period. However, the subsequent sale of the stock (including the sale of shares in a cashless exercise program through a broker or in sales to parties other than to the Company) acquired upon the exercise of options or pursuant to the ESPP is subject to all provisions of this policy.</w:t>
      </w:r>
    </w:p>
    <w:p>
      <w:pPr>
        <w:spacing w:after="0" w:line="197" w:lineRule="exact"/>
        <w:rPr>
          <w:rFonts w:ascii="Times New Roman" w:cs="Times New Roman" w:eastAsia="Times New Roman" w:hAnsi="Times New Roman"/>
          <w:sz w:val="22"/>
          <w:szCs w:val="22"/>
          <w:b w:val="1"/>
          <w:bCs w:val="1"/>
          <w:color w:val="auto"/>
        </w:rPr>
      </w:pPr>
    </w:p>
    <w:p>
      <w:pPr>
        <w:ind w:firstLine="1505"/>
        <w:spacing w:after="0" w:line="249" w:lineRule="auto"/>
        <w:tabs>
          <w:tab w:leader="none" w:pos="2036"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i w:val="1"/>
          <w:iCs w:val="1"/>
          <w:color w:val="auto"/>
        </w:rPr>
        <w:t xml:space="preserve">10b5-1 Automatic Trading Programs. </w:t>
      </w:r>
      <w:r>
        <w:rPr>
          <w:rFonts w:ascii="Times New Roman" w:cs="Times New Roman" w:eastAsia="Times New Roman" w:hAnsi="Times New Roman"/>
          <w:sz w:val="20"/>
          <w:szCs w:val="20"/>
          <w:color w:val="auto"/>
        </w:rPr>
        <w:t>In addition, purchases or sales of the Company’s securities made pursuant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and in compliance with, a written plan established by a director or</w:t>
      </w:r>
    </w:p>
    <w:p>
      <w:pPr>
        <w:spacing w:after="0" w:line="200" w:lineRule="exact"/>
        <w:rPr>
          <w:sz w:val="20"/>
          <w:szCs w:val="20"/>
          <w:color w:val="auto"/>
        </w:rPr>
      </w:pPr>
    </w:p>
    <w:p>
      <w:pPr>
        <w:spacing w:after="0" w:line="37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9" w:name="page260"/>
    <w:bookmarkEnd w:id="259"/>
    <w:p>
      <w:pPr>
        <w:jc w:val="both"/>
        <w:spacing w:after="0" w:line="247" w:lineRule="auto"/>
        <w:rPr>
          <w:sz w:val="20"/>
          <w:szCs w:val="20"/>
          <w:color w:val="auto"/>
        </w:rPr>
      </w:pPr>
      <w:r>
        <w:rPr>
          <w:rFonts w:ascii="Times New Roman" w:cs="Times New Roman" w:eastAsia="Times New Roman" w:hAnsi="Times New Roman"/>
          <w:sz w:val="20"/>
          <w:szCs w:val="20"/>
          <w:color w:val="auto"/>
        </w:rPr>
        <w:t>executive officer or other member of management that meets the requirements of Rule 10b5-1 under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b w:val="1"/>
          <w:bCs w:val="1"/>
          <w:i w:val="1"/>
          <w:iCs w:val="1"/>
          <w:color w:val="auto"/>
        </w:rPr>
        <w:t>Trading Plan</w:t>
      </w:r>
      <w:r>
        <w:rPr>
          <w:rFonts w:ascii="Times New Roman" w:cs="Times New Roman" w:eastAsia="Times New Roman" w:hAnsi="Times New Roman"/>
          <w:sz w:val="20"/>
          <w:szCs w:val="20"/>
          <w:color w:val="auto"/>
        </w:rPr>
        <w:t xml:space="preserve">”) may be </w:t>
      </w:r>
      <w:r>
        <w:rPr>
          <w:rFonts w:ascii="Times New Roman" w:cs="Times New Roman" w:eastAsia="Times New Roman" w:hAnsi="Times New Roman"/>
          <w:sz w:val="21"/>
          <w:szCs w:val="21"/>
          <w:color w:val="auto"/>
        </w:rPr>
        <w:t>entered into, terminated or amended</w:t>
      </w:r>
      <w:r>
        <w:rPr>
          <w:rFonts w:ascii="Times New Roman" w:cs="Times New Roman" w:eastAsia="Times New Roman" w:hAnsi="Times New Roman"/>
          <w:sz w:val="20"/>
          <w:szCs w:val="20"/>
          <w:color w:val="auto"/>
        </w:rPr>
        <w:t xml:space="preserve"> during a window period and provided that (i) the Trading Plan was established in good faith, in compliance with the requirements of Rule 10b5-1, at the time when such individual was not in possession of inside information about the Company and the Company had not imposed any trading blackout period, (ii) the Trading Plan was approved by the Company’s General Counsel, or if none, the Chief Financial Officer or their designee prior to establishment, solely to confirm compliance with this policy and the securities laws. The Company must be notified of the establishment of any such Trading Plan, any amendments to such Trading Plan and the termination of such Trading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Pre-Clearance and Advance Notice of Transactions</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In addition to the requirements above, directors and executive officers may not engage in any transaction in the Company’s securities, including any purchase or sale in the open market, loan, pledge, lend or other transfer of beneficial ownership. Officers and directors must first obtain pre-clearance of the transaction from (i) the Company’s General Counsel, or if none, the Chief Financial Officer or their designee (the “</w:t>
      </w:r>
      <w:r>
        <w:rPr>
          <w:rFonts w:ascii="Times New Roman" w:cs="Times New Roman" w:eastAsia="Times New Roman" w:hAnsi="Times New Roman"/>
          <w:sz w:val="20"/>
          <w:szCs w:val="20"/>
          <w:b w:val="1"/>
          <w:bCs w:val="1"/>
          <w:i w:val="1"/>
          <w:iCs w:val="1"/>
          <w:color w:val="auto"/>
        </w:rPr>
        <w:t>Clearing Officer</w:t>
      </w:r>
      <w:r>
        <w:rPr>
          <w:rFonts w:ascii="Times New Roman" w:cs="Times New Roman" w:eastAsia="Times New Roman" w:hAnsi="Times New Roman"/>
          <w:sz w:val="20"/>
          <w:szCs w:val="20"/>
          <w:color w:val="auto"/>
        </w:rPr>
        <w:t>”) and (ii) the Company’s Audit Committee of the Board of Directors (the “</w:t>
      </w:r>
      <w:r>
        <w:rPr>
          <w:rFonts w:ascii="Times New Roman" w:cs="Times New Roman" w:eastAsia="Times New Roman" w:hAnsi="Times New Roman"/>
          <w:sz w:val="20"/>
          <w:szCs w:val="20"/>
          <w:b w:val="1"/>
          <w:bCs w:val="1"/>
          <w:i w:val="1"/>
          <w:iCs w:val="1"/>
          <w:color w:val="auto"/>
        </w:rPr>
        <w:t>Audit Committee</w:t>
      </w:r>
      <w:r>
        <w:rPr>
          <w:rFonts w:ascii="Times New Roman" w:cs="Times New Roman" w:eastAsia="Times New Roman" w:hAnsi="Times New Roman"/>
          <w:sz w:val="20"/>
          <w:szCs w:val="20"/>
          <w:color w:val="auto"/>
        </w:rPr>
        <w:t>”) at least two business days in advance of the proposed transaction. The Clearing Officer and the Audit Committee will then determine whether the transaction may proceed and, if so, the Clearing Officer will direct the Compliance Officer (as identified in the Company’s Section 16 Compliance Program) to assist in complying with the reporting requirements under Section 16(a) of the Exchange Act, if any. Pre-cleared transactions not completed within five business days shall require new pre-clearance under the provisions of this paragraph. The Company may, at its discretion, shorten such period of time.</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Advance notice of gifts or an intent to exercise an outstanding stock option shall be given to a Clearing Officer. To the extent possible, advance notice of upcoming transactions to be effected pursuant to an established Trading Plan shall also be given to a Clearing Officer. Upon completion of any transaction, the directors, employees or consultants must immediately notify the Compliance Officer and any other individuals identified in Section 3 of the Company’s Section 16 Compliance Program so that the Company may assist in any Section 16 reporting obligations.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Prohibition of Speculative or Short-term Trading</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No director, employee or consultant to Biodesix may engage in short sales, transactions in put or call options, hedging transactions, margin accounts, pledges, or other inherently speculative transactions with respect to the Company’s stock at any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Short-Swing Trading/Control Stock/Section 16 Reports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uration of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pplicability</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continues to apply to your transactions in the Company’s stock or the stock of other public companies engaged in business transactions with the Company even after your employment, directorship or consultancy with the Company has terminated. If you are in possession of inside information when your relationship with the Company concludes, you may not trade in or gift the Company’s stock or</w:t>
      </w:r>
    </w:p>
    <w:p>
      <w:pPr>
        <w:spacing w:after="0" w:line="200" w:lineRule="exact"/>
        <w:rPr>
          <w:sz w:val="20"/>
          <w:szCs w:val="20"/>
          <w:color w:val="auto"/>
        </w:rPr>
      </w:pPr>
    </w:p>
    <w:p>
      <w:pPr>
        <w:spacing w:after="0" w:line="38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20"/>
          <w:szCs w:val="20"/>
          <w:color w:val="auto"/>
        </w:rPr>
        <w:t>the stock of such other company until the information has been publicly disseminated or is no longer material.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enalties</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An employee, director or consultant who has questions about this policy should contact his or her own attorney or the Company’s General Counsel, or if none, the Chief Financial Officer or their designee. Please also see Frequently Asked Questions attached hereto as </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CONSTRUCTION</w:t>
      </w:r>
    </w:p>
    <w:p>
      <w:pPr>
        <w:spacing w:after="0" w:line="215" w:lineRule="exact"/>
        <w:rPr>
          <w:sz w:val="20"/>
          <w:szCs w:val="20"/>
          <w:color w:val="auto"/>
        </w:rPr>
      </w:pPr>
    </w:p>
    <w:p>
      <w:pPr>
        <w:jc w:val="both"/>
        <w:ind w:firstLine="396"/>
        <w:spacing w:after="0" w:line="239" w:lineRule="auto"/>
        <w:rPr>
          <w:sz w:val="20"/>
          <w:szCs w:val="20"/>
          <w:color w:val="auto"/>
        </w:rPr>
      </w:pPr>
      <w:r>
        <w:rPr>
          <w:rFonts w:ascii="Times New Roman" w:cs="Times New Roman" w:eastAsia="Times New Roman" w:hAnsi="Times New Roman"/>
          <w:sz w:val="22"/>
          <w:szCs w:val="22"/>
          <w:color w:val="auto"/>
        </w:rPr>
        <w:t>For the avoidance of doubt, this policy shall apply in addition to any and all other policies or agreements that are in effect in respect of your employment, directorship or consultancy with the Company. In the event that any term of this policy conflicts with the terms of any other such policy or agreement, you are required to adhere to the most restrictive terms contained in such policy or agreement.</w:t>
      </w:r>
    </w:p>
    <w:p>
      <w:pPr>
        <w:spacing w:after="0" w:line="200" w:lineRule="exact"/>
        <w:rPr>
          <w:sz w:val="20"/>
          <w:szCs w:val="20"/>
          <w:color w:val="auto"/>
        </w:rPr>
      </w:pPr>
    </w:p>
    <w:p>
      <w:pPr>
        <w:spacing w:after="0" w:line="38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1" w:name="page262"/>
    <w:bookmarkEnd w:id="261"/>
    <w:p>
      <w:pPr>
        <w:jc w:val="center"/>
        <w:ind w:left="74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A</w:t>
      </w:r>
    </w:p>
    <w:p>
      <w:pPr>
        <w:spacing w:after="0" w:line="216" w:lineRule="exact"/>
        <w:rPr>
          <w:sz w:val="20"/>
          <w:szCs w:val="20"/>
          <w:color w:val="auto"/>
        </w:rPr>
      </w:pPr>
    </w:p>
    <w:p>
      <w:pPr>
        <w:ind w:left="4772"/>
        <w:spacing w:after="0"/>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requently</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sked</w:t>
      </w:r>
      <w:r>
        <w:rPr>
          <w:rFonts w:ascii="Times New Roman" w:cs="Times New Roman" w:eastAsia="Times New Roman" w:hAnsi="Times New Roman"/>
          <w:sz w:val="20"/>
          <w:szCs w:val="20"/>
          <w:b w:val="1"/>
          <w:bCs w:val="1"/>
          <w:color w:val="auto"/>
        </w:rPr>
        <w:t xml:space="preserve"> Q</w:t>
      </w:r>
      <w:r>
        <w:rPr>
          <w:rFonts w:ascii="Times New Roman" w:cs="Times New Roman" w:eastAsia="Times New Roman" w:hAnsi="Times New Roman"/>
          <w:sz w:val="13"/>
          <w:szCs w:val="13"/>
          <w:b w:val="1"/>
          <w:bCs w:val="1"/>
          <w:color w:val="auto"/>
        </w:rPr>
        <w:t>uestions</w:t>
      </w:r>
    </w:p>
    <w:p>
      <w:pPr>
        <w:spacing w:after="0" w:line="216" w:lineRule="exact"/>
        <w:rPr>
          <w:sz w:val="20"/>
          <w:szCs w:val="20"/>
          <w:color w:val="auto"/>
        </w:rPr>
      </w:pPr>
    </w:p>
    <w:p>
      <w:pPr>
        <w:ind w:left="512" w:hanging="512"/>
        <w:spacing w:after="0"/>
        <w:tabs>
          <w:tab w:leader="none" w:pos="512"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is insider trading?</w:t>
      </w:r>
    </w:p>
    <w:p>
      <w:pPr>
        <w:spacing w:after="0" w:line="215" w:lineRule="exact"/>
        <w:rPr>
          <w:rFonts w:ascii="Times New Roman" w:cs="Times New Roman" w:eastAsia="Times New Roman" w:hAnsi="Times New Roman"/>
          <w:sz w:val="20"/>
          <w:szCs w:val="20"/>
          <w:b w:val="1"/>
          <w:bCs w:val="1"/>
          <w:color w:val="auto"/>
        </w:rPr>
      </w:pPr>
    </w:p>
    <w:p>
      <w:pPr>
        <w:jc w:val="both"/>
        <w:ind w:left="-8" w:firstLine="757"/>
        <w:spacing w:after="0" w:line="250" w:lineRule="auto"/>
        <w:tabs>
          <w:tab w:leader="none" w:pos="1026" w:val="left"/>
        </w:tabs>
        <w:numPr>
          <w:ilvl w:val="1"/>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Insider trading is the buying, selling or disposing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gifting) of stocks, bonds, futures, or other securities by someone in possession of material, nonpublic information. Insider trading also includes trading in options (puts and calls) the price of which is linked to the underlying price of a company’s stock. It does not matter how many shares you buy, sell or dispose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gift), or whether it has an effect on the stock price – if you have material, nonpublic information and you trade, you have broken the law.</w:t>
      </w:r>
    </w:p>
    <w:p>
      <w:pPr>
        <w:spacing w:after="0" w:line="175" w:lineRule="exact"/>
        <w:rPr>
          <w:rFonts w:ascii="Times New Roman" w:cs="Times New Roman" w:eastAsia="Times New Roman" w:hAnsi="Times New Roman"/>
          <w:sz w:val="20"/>
          <w:szCs w:val="20"/>
          <w:b w:val="1"/>
          <w:bCs w:val="1"/>
          <w:color w:val="auto"/>
        </w:rPr>
      </w:pPr>
    </w:p>
    <w:p>
      <w:pPr>
        <w:ind w:left="512" w:hanging="512"/>
        <w:spacing w:after="0"/>
        <w:tabs>
          <w:tab w:leader="none" w:pos="512"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Why is insider trading illegal?</w:t>
      </w:r>
    </w:p>
    <w:p>
      <w:pPr>
        <w:spacing w:after="0" w:line="219" w:lineRule="exact"/>
        <w:rPr>
          <w:rFonts w:ascii="Times New Roman" w:cs="Times New Roman" w:eastAsia="Times New Roman" w:hAnsi="Times New Roman"/>
          <w:sz w:val="20"/>
          <w:szCs w:val="20"/>
          <w:b w:val="1"/>
          <w:bCs w:val="1"/>
          <w:color w:val="auto"/>
        </w:rPr>
      </w:pPr>
    </w:p>
    <w:p>
      <w:pPr>
        <w:jc w:val="both"/>
        <w:ind w:left="-8" w:firstLine="757"/>
        <w:spacing w:after="0" w:line="254" w:lineRule="auto"/>
        <w:tabs>
          <w:tab w:leader="none" w:pos="1013" w:val="left"/>
        </w:tabs>
        <w:numPr>
          <w:ilvl w:val="1"/>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company insiders are able to use their confidential knowledge to their financial advantage, other investors would not have confidence in the fairness and integrity of the marketplace. Requiring those who have such information to disclose (the information to the public) or abstain (from trading) ensures an even playing field.</w:t>
      </w:r>
    </w:p>
    <w:p>
      <w:pPr>
        <w:spacing w:after="0" w:line="170" w:lineRule="exact"/>
        <w:rPr>
          <w:rFonts w:ascii="Times New Roman" w:cs="Times New Roman" w:eastAsia="Times New Roman" w:hAnsi="Times New Roman"/>
          <w:sz w:val="20"/>
          <w:szCs w:val="20"/>
          <w:b w:val="1"/>
          <w:bCs w:val="1"/>
          <w:color w:val="auto"/>
        </w:rPr>
      </w:pPr>
    </w:p>
    <w:p>
      <w:pPr>
        <w:ind w:left="512" w:hanging="512"/>
        <w:spacing w:after="0"/>
        <w:tabs>
          <w:tab w:leader="none" w:pos="512"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is material, nonpublic information?</w:t>
      </w:r>
    </w:p>
    <w:p>
      <w:pPr>
        <w:spacing w:after="0" w:line="215" w:lineRule="exact"/>
        <w:rPr>
          <w:rFonts w:ascii="Times New Roman" w:cs="Times New Roman" w:eastAsia="Times New Roman" w:hAnsi="Times New Roman"/>
          <w:sz w:val="20"/>
          <w:szCs w:val="20"/>
          <w:b w:val="1"/>
          <w:bCs w:val="1"/>
          <w:color w:val="auto"/>
        </w:rPr>
      </w:pPr>
    </w:p>
    <w:p>
      <w:pPr>
        <w:jc w:val="both"/>
        <w:ind w:left="-8" w:firstLine="757"/>
        <w:spacing w:after="0" w:line="256" w:lineRule="auto"/>
        <w:tabs>
          <w:tab w:leader="none" w:pos="1013" w:val="left"/>
        </w:tabs>
        <w:numPr>
          <w:ilvl w:val="1"/>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Information is material if it would influence a reasonable investor to buy, sell or dispose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gift) a stock, bond or other security. This could mean many things – financial results, potential mergers, major contracts, etc. Information is nonpublic if it has not yet been released and disseminated to the public.</w:t>
      </w:r>
    </w:p>
    <w:p>
      <w:pPr>
        <w:spacing w:after="0" w:line="168" w:lineRule="exact"/>
        <w:rPr>
          <w:rFonts w:ascii="Times New Roman" w:cs="Times New Roman" w:eastAsia="Times New Roman" w:hAnsi="Times New Roman"/>
          <w:sz w:val="20"/>
          <w:szCs w:val="20"/>
          <w:b w:val="1"/>
          <w:bCs w:val="1"/>
          <w:color w:val="auto"/>
        </w:rPr>
      </w:pPr>
    </w:p>
    <w:p>
      <w:pPr>
        <w:ind w:left="512" w:hanging="512"/>
        <w:spacing w:after="0"/>
        <w:tabs>
          <w:tab w:leader="none" w:pos="512"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Who can be guilty of insider trading?</w:t>
      </w:r>
    </w:p>
    <w:p>
      <w:pPr>
        <w:spacing w:after="0" w:line="215" w:lineRule="exact"/>
        <w:rPr>
          <w:rFonts w:ascii="Times New Roman" w:cs="Times New Roman" w:eastAsia="Times New Roman" w:hAnsi="Times New Roman"/>
          <w:sz w:val="20"/>
          <w:szCs w:val="20"/>
          <w:b w:val="1"/>
          <w:bCs w:val="1"/>
          <w:color w:val="auto"/>
        </w:rPr>
      </w:pPr>
    </w:p>
    <w:p>
      <w:pPr>
        <w:jc w:val="both"/>
        <w:ind w:left="-8" w:firstLine="757"/>
        <w:spacing w:after="0" w:line="256" w:lineRule="auto"/>
        <w:tabs>
          <w:tab w:leader="none" w:pos="1013" w:val="left"/>
        </w:tabs>
        <w:numPr>
          <w:ilvl w:val="1"/>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Anyone who buys, sells or disposes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gifts) a security while in possession of material, nonpublic information. It does not matter if you are not an executive officer or director, or even if you do not work at Biodesix– if you know something material about the value of a security that not everyone else does, regardless of who you are, you can be found guilty of insider trading.</w:t>
      </w:r>
    </w:p>
    <w:p>
      <w:pPr>
        <w:spacing w:after="0" w:line="168" w:lineRule="exact"/>
        <w:rPr>
          <w:rFonts w:ascii="Times New Roman" w:cs="Times New Roman" w:eastAsia="Times New Roman" w:hAnsi="Times New Roman"/>
          <w:sz w:val="20"/>
          <w:szCs w:val="20"/>
          <w:b w:val="1"/>
          <w:bCs w:val="1"/>
          <w:color w:val="auto"/>
        </w:rPr>
      </w:pPr>
    </w:p>
    <w:p>
      <w:pPr>
        <w:ind w:left="512" w:hanging="512"/>
        <w:spacing w:after="0"/>
        <w:tabs>
          <w:tab w:leader="none" w:pos="512"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Does Biodesix have an insider trading policy?</w:t>
      </w:r>
    </w:p>
    <w:p>
      <w:pPr>
        <w:spacing w:after="0" w:line="219" w:lineRule="exact"/>
        <w:rPr>
          <w:rFonts w:ascii="Times New Roman" w:cs="Times New Roman" w:eastAsia="Times New Roman" w:hAnsi="Times New Roman"/>
          <w:sz w:val="20"/>
          <w:szCs w:val="20"/>
          <w:b w:val="1"/>
          <w:bCs w:val="1"/>
          <w:color w:val="auto"/>
        </w:rPr>
      </w:pPr>
    </w:p>
    <w:p>
      <w:pPr>
        <w:ind w:left="1012" w:hanging="263"/>
        <w:spacing w:after="0"/>
        <w:tabs>
          <w:tab w:leader="none" w:pos="1012" w:val="left"/>
        </w:tabs>
        <w:numPr>
          <w:ilvl w:val="1"/>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Yes.</w:t>
      </w:r>
    </w:p>
    <w:p>
      <w:pPr>
        <w:spacing w:after="0" w:line="211" w:lineRule="exact"/>
        <w:rPr>
          <w:rFonts w:ascii="Times New Roman" w:cs="Times New Roman" w:eastAsia="Times New Roman" w:hAnsi="Times New Roman"/>
          <w:sz w:val="20"/>
          <w:szCs w:val="20"/>
          <w:b w:val="1"/>
          <w:bCs w:val="1"/>
          <w:color w:val="auto"/>
        </w:rPr>
      </w:pPr>
    </w:p>
    <w:p>
      <w:pPr>
        <w:ind w:left="512" w:hanging="512"/>
        <w:spacing w:after="0"/>
        <w:tabs>
          <w:tab w:leader="none" w:pos="512"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work in a foreign office?</w:t>
      </w:r>
    </w:p>
    <w:p>
      <w:pPr>
        <w:spacing w:after="0" w:line="219" w:lineRule="exact"/>
        <w:rPr>
          <w:rFonts w:ascii="Times New Roman" w:cs="Times New Roman" w:eastAsia="Times New Roman" w:hAnsi="Times New Roman"/>
          <w:sz w:val="20"/>
          <w:szCs w:val="20"/>
          <w:b w:val="1"/>
          <w:bCs w:val="1"/>
          <w:color w:val="auto"/>
        </w:rPr>
      </w:pPr>
    </w:p>
    <w:p>
      <w:pPr>
        <w:jc w:val="both"/>
        <w:ind w:left="-8" w:firstLine="757"/>
        <w:spacing w:after="0" w:line="246" w:lineRule="auto"/>
        <w:tabs>
          <w:tab w:leader="none" w:pos="1026" w:val="left"/>
        </w:tabs>
        <w:numPr>
          <w:ilvl w:val="1"/>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 is no difference. The policy and law applies to you. Because our common stock trades on a United States securities exchange, the insider trading laws of the U.S. apply. The U.S. Securities and Exchange Commission (the SEC) (a U.S. government agency in charge of investor protection) and the Financial Industry Regulatory Authority (FINRA) (a private regulator that oversees U.S. exchanges) routinely investigate trading in a company’s securities conducted by internationally-based individuals and firms. In addition, as a Biodesix employee, our policies apply to you no matter where in the world you work.</w:t>
      </w:r>
    </w:p>
    <w:p>
      <w:pPr>
        <w:spacing w:after="0" w:line="180" w:lineRule="exact"/>
        <w:rPr>
          <w:rFonts w:ascii="Times New Roman" w:cs="Times New Roman" w:eastAsia="Times New Roman" w:hAnsi="Times New Roman"/>
          <w:sz w:val="20"/>
          <w:szCs w:val="20"/>
          <w:b w:val="1"/>
          <w:bCs w:val="1"/>
          <w:color w:val="auto"/>
        </w:rPr>
      </w:pPr>
    </w:p>
    <w:p>
      <w:pPr>
        <w:ind w:left="752" w:hanging="752"/>
        <w:spacing w:after="0" w:line="273" w:lineRule="auto"/>
        <w:tabs>
          <w:tab w:leader="none" w:pos="752"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don’t buy, sell or dispose (e.g., gift) anything, but I tell someone else the information and they buy, sell or dispose (e.g., gift)?</w:t>
      </w:r>
    </w:p>
    <w:p>
      <w:pPr>
        <w:spacing w:after="0" w:line="155" w:lineRule="exact"/>
        <w:rPr>
          <w:rFonts w:ascii="Times New Roman" w:cs="Times New Roman" w:eastAsia="Times New Roman" w:hAnsi="Times New Roman"/>
          <w:sz w:val="20"/>
          <w:szCs w:val="20"/>
          <w:b w:val="1"/>
          <w:bCs w:val="1"/>
          <w:color w:val="auto"/>
        </w:rPr>
      </w:pPr>
    </w:p>
    <w:p>
      <w:pPr>
        <w:ind w:left="-8" w:firstLine="757"/>
        <w:spacing w:after="0" w:line="269" w:lineRule="auto"/>
        <w:tabs>
          <w:tab w:leader="none" w:pos="1013" w:val="left"/>
        </w:tabs>
        <w:numPr>
          <w:ilvl w:val="1"/>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That is called “tipping.” You are the “tipper” and the other person is called the “tippee”. If the tippee buys, sells or disposes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gifts) based on that material, nonpublic information, you might still be</w:t>
      </w:r>
    </w:p>
    <w:p>
      <w:pPr>
        <w:spacing w:after="0" w:line="200" w:lineRule="exact"/>
        <w:rPr>
          <w:sz w:val="20"/>
          <w:szCs w:val="20"/>
          <w:color w:val="auto"/>
        </w:rPr>
      </w:pPr>
    </w:p>
    <w:p>
      <w:pPr>
        <w:spacing w:after="0" w:line="36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262" w:name="page263"/>
    <w:bookmarkEnd w:id="262"/>
    <w:p>
      <w:pPr>
        <w:jc w:val="both"/>
        <w:spacing w:after="0" w:line="249" w:lineRule="auto"/>
        <w:rPr>
          <w:sz w:val="20"/>
          <w:szCs w:val="20"/>
          <w:color w:val="auto"/>
        </w:rPr>
      </w:pPr>
      <w:r>
        <w:rPr>
          <w:rFonts w:ascii="Times New Roman" w:cs="Times New Roman" w:eastAsia="Times New Roman" w:hAnsi="Times New Roman"/>
          <w:sz w:val="20"/>
          <w:szCs w:val="20"/>
          <w:color w:val="auto"/>
        </w:rPr>
        <w:t>guilty of insider trading. In fact, if you tell family members who tell others and those people then trade on the information, those family members might be guilty of insider trading too. As a result, you may not discuss material, non-public information about Biodesix with anyone outside Biodesix, including spouses, family members, friends, or business associates. This includes anonymous discussion on the Internet about Biodesix or companies with which Biodesix does business.</w:t>
      </w:r>
    </w:p>
    <w:p>
      <w:pPr>
        <w:spacing w:after="0" w:line="176" w:lineRule="exact"/>
        <w:rPr>
          <w:sz w:val="20"/>
          <w:szCs w:val="20"/>
          <w:color w:val="auto"/>
        </w:rPr>
      </w:pPr>
    </w:p>
    <w:p>
      <w:pPr>
        <w:ind w:left="760" w:hanging="752"/>
        <w:spacing w:after="0"/>
        <w:tabs>
          <w:tab w:leader="none" w:pos="760" w:val="left"/>
        </w:tabs>
        <w:numPr>
          <w:ilvl w:val="0"/>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don’t tell them the information itself, I just tell them whether they should buy, sell or dispose (e.g., gift)?</w:t>
      </w:r>
    </w:p>
    <w:p>
      <w:pPr>
        <w:spacing w:after="0" w:line="219"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07" w:val="left"/>
        </w:tabs>
        <w:numPr>
          <w:ilvl w:val="1"/>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That is still tipping, and you can still be found guilty of insider trading. According to our policies, you may never recommend to another person that they buy hold, sell or dispose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gift) our common stock or any derivative security related to our common stock.</w:t>
      </w:r>
    </w:p>
    <w:p>
      <w:pPr>
        <w:spacing w:after="0" w:line="15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are the penalties if I trade on inside information, or tip off someone else?</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007" w:val="left"/>
        </w:tabs>
        <w:numPr>
          <w:ilvl w:val="1"/>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Anyone found liable in a civil case for trading on inside information may need to pay the U.S. government an amount equal to any profit made or any loss avoided and may also face a penalty of up to three times this amount. Persons found liable for tipping inside information, even if they did not trade themselves, may face a penalty of up to three times the amount of any profit gained or loss avoided by everyone in the chain of tippees. In addition, anyone convicted of criminal insider trading can face prison terms and additional fines.</w:t>
      </w:r>
    </w:p>
    <w:p>
      <w:pPr>
        <w:spacing w:after="0" w:line="17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is “loss avoided”?</w:t>
      </w:r>
    </w:p>
    <w:p>
      <w:pPr>
        <w:spacing w:after="0" w:line="219" w:lineRule="exact"/>
        <w:rPr>
          <w:rFonts w:ascii="Times New Roman" w:cs="Times New Roman" w:eastAsia="Times New Roman" w:hAnsi="Times New Roman"/>
          <w:sz w:val="20"/>
          <w:szCs w:val="20"/>
          <w:b w:val="1"/>
          <w:bCs w:val="1"/>
          <w:color w:val="auto"/>
        </w:rPr>
      </w:pPr>
    </w:p>
    <w:p>
      <w:pPr>
        <w:ind w:right="20" w:firstLine="757"/>
        <w:spacing w:after="0" w:line="269" w:lineRule="auto"/>
        <w:tabs>
          <w:tab w:leader="none" w:pos="1007" w:val="left"/>
        </w:tabs>
        <w:numPr>
          <w:ilvl w:val="1"/>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you sell or dispose (e.g., gift) a common stock or a related derivative security before the negative news is publicly announced, and as a result of the announcement the stock price declines, you have avoided the loss caused by the negative news.</w:t>
      </w:r>
    </w:p>
    <w:p>
      <w:pPr>
        <w:spacing w:after="0" w:line="155"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Am I restricted from trading securities of any companies except Biodesix (for example a customer or competitor of Biodesix)?</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07" w:val="left"/>
        </w:tabs>
        <w:numPr>
          <w:ilvl w:val="1"/>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Yes. U.S. insider trading laws restrict everyone from trading in a company’s securities based on material nonpublic information about that company, regardless of whether the person is directly connected with that company. Therefore, if you obtain material nonpublic information about another company, you should not trade in that company’s securities. You should be particularly conscious of this restriction if, through your position at Biodesix, you sometimes obtain sensitive, material information about other companies and their business dealings with Biodesix.</w:t>
      </w:r>
    </w:p>
    <w:p>
      <w:pPr>
        <w:spacing w:after="0" w:line="180" w:lineRule="exact"/>
        <w:rPr>
          <w:rFonts w:ascii="Times New Roman" w:cs="Times New Roman" w:eastAsia="Times New Roman" w:hAnsi="Times New Roman"/>
          <w:sz w:val="20"/>
          <w:szCs w:val="20"/>
          <w:b w:val="1"/>
          <w:bCs w:val="1"/>
          <w:color w:val="auto"/>
        </w:rPr>
      </w:pPr>
    </w:p>
    <w:p>
      <w:pPr>
        <w:ind w:left="760" w:hanging="752"/>
        <w:spacing w:after="0" w:line="273" w:lineRule="auto"/>
        <w:tabs>
          <w:tab w:leader="none" w:pos="760" w:val="left"/>
        </w:tabs>
        <w:numPr>
          <w:ilvl w:val="0"/>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So if I do not trade or gift Biodesix securities when I have material nonpublic information, and I don’t “tip” other people, I am in the clear, right?</w:t>
      </w:r>
    </w:p>
    <w:p>
      <w:pPr>
        <w:spacing w:after="0" w:line="155"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21" w:val="left"/>
        </w:tabs>
        <w:numPr>
          <w:ilvl w:val="1"/>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 necessarily. Even if you do not violate U.S. law, you may still violate our policies. Our policies are stricter than the law requires, so that we and our employees can avoid even the appearance of wrongdoing. Therefore, please review the entire policy carefully.</w:t>
      </w:r>
    </w:p>
    <w:p>
      <w:pPr>
        <w:spacing w:after="0" w:line="155" w:lineRule="exact"/>
        <w:rPr>
          <w:rFonts w:ascii="Times New Roman" w:cs="Times New Roman" w:eastAsia="Times New Roman" w:hAnsi="Times New Roman"/>
          <w:sz w:val="20"/>
          <w:szCs w:val="20"/>
          <w:b w:val="1"/>
          <w:bCs w:val="1"/>
          <w:color w:val="auto"/>
        </w:rPr>
      </w:pPr>
    </w:p>
    <w:p>
      <w:pPr>
        <w:ind w:left="760" w:right="20" w:hanging="752"/>
        <w:spacing w:after="0" w:line="273" w:lineRule="auto"/>
        <w:tabs>
          <w:tab w:leader="none" w:pos="760" w:val="left"/>
        </w:tabs>
        <w:numPr>
          <w:ilvl w:val="0"/>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If I am aware of new product or service developments that have not been announced to the public, do I possess material non-public information?</w:t>
      </w:r>
    </w:p>
    <w:p>
      <w:pPr>
        <w:spacing w:after="0" w:line="155"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07" w:val="left"/>
        </w:tabs>
        <w:numPr>
          <w:ilvl w:val="1"/>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most circumstances, Biodesix does not consider new product and service developments to be material information that would require the closing of the trading window with respect to those individuals that are aware of these developments. However, there are circumstances where a new product or service in</w:t>
      </w:r>
    </w:p>
    <w:p>
      <w:pPr>
        <w:spacing w:after="0" w:line="200" w:lineRule="exact"/>
        <w:rPr>
          <w:sz w:val="20"/>
          <w:szCs w:val="20"/>
          <w:color w:val="auto"/>
        </w:rPr>
      </w:pPr>
    </w:p>
    <w:p>
      <w:pPr>
        <w:spacing w:after="0" w:line="37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3" w:name="page264"/>
    <w:bookmarkEnd w:id="263"/>
    <w:p>
      <w:pPr>
        <w:spacing w:after="0" w:line="269" w:lineRule="auto"/>
        <w:rPr>
          <w:sz w:val="20"/>
          <w:szCs w:val="20"/>
          <w:color w:val="auto"/>
        </w:rPr>
      </w:pPr>
      <w:r>
        <w:rPr>
          <w:rFonts w:ascii="Times New Roman" w:cs="Times New Roman" w:eastAsia="Times New Roman" w:hAnsi="Times New Roman"/>
          <w:sz w:val="20"/>
          <w:szCs w:val="20"/>
          <w:color w:val="auto"/>
        </w:rPr>
        <w:t>development or issues with respect to current or past products or services could be so significant that it constitutes material non-public information. In these circumstances, you will be notified by email if the trading window is closed for you.</w:t>
      </w:r>
    </w:p>
    <w:p>
      <w:pPr>
        <w:spacing w:after="0" w:line="169" w:lineRule="exact"/>
        <w:rPr>
          <w:sz w:val="20"/>
          <w:szCs w:val="20"/>
          <w:color w:val="auto"/>
        </w:rPr>
      </w:pPr>
    </w:p>
    <w:p>
      <w:pPr>
        <w:ind w:left="520" w:hanging="512"/>
        <w:spacing w:after="0"/>
        <w:tabs>
          <w:tab w:leader="none" w:pos="520" w:val="left"/>
        </w:tabs>
        <w:numPr>
          <w:ilvl w:val="0"/>
          <w:numId w:val="2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So when can I buy, sell or dispose (e.g., gift) my Biodesix securities?</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47" w:lineRule="auto"/>
        <w:tabs>
          <w:tab w:leader="none" w:pos="1007" w:val="left"/>
        </w:tabs>
        <w:numPr>
          <w:ilvl w:val="1"/>
          <w:numId w:val="2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According to our policies, if you have material, nonpublic information, you may not buy, sell or dispose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gift) our common stock until the third trading day after that information is released or announced to the public. At that point, the information is considered public. </w:t>
      </w:r>
      <w:r>
        <w:rPr>
          <w:rFonts w:ascii="Times New Roman" w:cs="Times New Roman" w:eastAsia="Times New Roman" w:hAnsi="Times New Roman"/>
          <w:sz w:val="20"/>
          <w:szCs w:val="20"/>
          <w:b w:val="1"/>
          <w:bCs w:val="1"/>
          <w:u w:val="single" w:color="auto"/>
          <w:color w:val="auto"/>
        </w:rPr>
        <w:t>Even if you do not have material, nonpublic information</w:t>
      </w:r>
      <w:r>
        <w:rPr>
          <w:rFonts w:ascii="Times New Roman" w:cs="Times New Roman" w:eastAsia="Times New Roman" w:hAnsi="Times New Roman"/>
          <w:sz w:val="20"/>
          <w:szCs w:val="20"/>
          <w:b w:val="1"/>
          <w:bCs w:val="1"/>
          <w:color w:val="auto"/>
        </w:rPr>
        <w:t>, you may not trade in or gift our common stock during any trading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“blackout” period</w:t>
      </w:r>
      <w:r>
        <w:rPr>
          <w:rFonts w:ascii="Times New Roman" w:cs="Times New Roman" w:eastAsia="Times New Roman" w:hAnsi="Times New Roman"/>
          <w:sz w:val="20"/>
          <w:szCs w:val="20"/>
          <w:color w:val="auto"/>
        </w:rPr>
        <w:t>. (A list of current blackout periods can be obtained from the Company’s General Counsel, or if none, the Chief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or their designee and additional trading blackout periods may be announced by email.)</w:t>
      </w:r>
    </w:p>
    <w:p>
      <w:pPr>
        <w:spacing w:after="0" w:line="180" w:lineRule="exact"/>
        <w:rPr>
          <w:rFonts w:ascii="Times New Roman" w:cs="Times New Roman" w:eastAsia="Times New Roman" w:hAnsi="Times New Roman"/>
          <w:sz w:val="20"/>
          <w:szCs w:val="20"/>
          <w:b w:val="1"/>
          <w:bCs w:val="1"/>
          <w:color w:val="auto"/>
        </w:rPr>
      </w:pPr>
    </w:p>
    <w:p>
      <w:pPr>
        <w:ind w:left="760" w:hanging="752"/>
        <w:spacing w:after="0" w:line="273" w:lineRule="auto"/>
        <w:tabs>
          <w:tab w:leader="none" w:pos="760" w:val="left"/>
        </w:tabs>
        <w:numPr>
          <w:ilvl w:val="0"/>
          <w:numId w:val="2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If I have an open order to buy or sell Biodesix securities on the date the trading window closes, my broker will cancel the open order and won’t execute the trade, right?</w:t>
      </w:r>
    </w:p>
    <w:p>
      <w:pPr>
        <w:spacing w:after="0" w:line="155"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07" w:val="left"/>
        </w:tabs>
        <w:numPr>
          <w:ilvl w:val="1"/>
          <w:numId w:val="2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If you have any open orders at the time the trading window closes, it is your responsibility to cancel these orders with your broker. If you have an open order and it executes after the trading window closes, it is a violation of our insider trading policy and may also be a violation of the insider trading laws.</w:t>
      </w:r>
    </w:p>
    <w:p>
      <w:pPr>
        <w:spacing w:after="0" w:line="17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2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Am I allowed to trade derivative securities of Biodesix? Or, short Biodesix common stock?</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34" w:val="left"/>
        </w:tabs>
        <w:numPr>
          <w:ilvl w:val="1"/>
          <w:numId w:val="2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Under our policies, you may not trade in derivative securities related to our common stock, which includes, but is not limited to publicly-traded call and put options. In addition, under our policies, you may not engage in short selling of our common stock at any time.</w:t>
      </w:r>
    </w:p>
    <w:p>
      <w:pPr>
        <w:spacing w:after="0" w:line="174"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“Derivative securities” are securities other than common stock that are speculative in nature because they permit a person to leverage his or her investment using a relatively small amount of money. Examples of derivative securities include (but are not limited to) “put options” and “call options”. These are different from employee stock options, which are not derivative securities</w:t>
      </w:r>
      <w:r>
        <w:rPr>
          <w:rFonts w:ascii="Times New Roman" w:cs="Times New Roman" w:eastAsia="Times New Roman" w:hAnsi="Times New Roman"/>
          <w:sz w:val="20"/>
          <w:szCs w:val="20"/>
          <w:b w:val="1"/>
          <w:bCs w:val="1"/>
          <w:i w:val="1"/>
          <w:iCs w:val="1"/>
          <w:color w:val="auto"/>
        </w:rPr>
        <w:t>.</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“Short selling” is profiting when you expect the price of the stock to decline, and includes transactions in which you borrow stock from a broker, sell it, and eventually buy it back on the market to return the borrowed shares to the broker. Profit is made through the expectation that the stock price will decrease during the period of borrowing.</w:t>
      </w:r>
    </w:p>
    <w:p>
      <w:pPr>
        <w:spacing w:after="0" w:line="170" w:lineRule="exact"/>
        <w:rPr>
          <w:sz w:val="20"/>
          <w:szCs w:val="20"/>
          <w:color w:val="auto"/>
        </w:rPr>
      </w:pPr>
    </w:p>
    <w:p>
      <w:pPr>
        <w:ind w:left="520" w:hanging="512"/>
        <w:spacing w:after="0"/>
        <w:tabs>
          <w:tab w:leader="none" w:pos="520" w:val="left"/>
        </w:tabs>
        <w:numPr>
          <w:ilvl w:val="0"/>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Why does Biodesix prohibit trading in derivative securities and short selling?</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21" w:val="left"/>
        </w:tabs>
        <w:numPr>
          <w:ilvl w:val="1"/>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Many companies with volatile stock prices have adopted such policies because of the temptation it represents to try to benefit from a relatively low cost method of trading on short-term swings in stock prices (without actually holding the underlying common stock) and encourages speculative trading. For this reason, we have decided to prohibit employees from such trading. As we are dedicated to building stockholder value, short selling our common stock is adverse to our stated values and would not be received well by our stockholders.</w:t>
      </w:r>
    </w:p>
    <w:p>
      <w:pPr>
        <w:spacing w:after="0" w:line="18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purchase Biodesix securities on margin?</w:t>
      </w:r>
    </w:p>
    <w:p>
      <w:pPr>
        <w:spacing w:after="0" w:line="21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Under our policies, you may not purchase our common stock on margin at any time.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4" w:name="page265"/>
    <w:bookmarkEnd w:id="264"/>
    <w:p>
      <w:pPr>
        <w:ind w:firstLine="749"/>
        <w:spacing w:after="0" w:line="269" w:lineRule="auto"/>
        <w:rPr>
          <w:sz w:val="20"/>
          <w:szCs w:val="20"/>
          <w:color w:val="auto"/>
        </w:rPr>
      </w:pPr>
      <w:r>
        <w:rPr>
          <w:rFonts w:ascii="Times New Roman" w:cs="Times New Roman" w:eastAsia="Times New Roman" w:hAnsi="Times New Roman"/>
          <w:sz w:val="20"/>
          <w:szCs w:val="20"/>
          <w:color w:val="auto"/>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spacing w:after="0" w:line="155" w:lineRule="exact"/>
        <w:rPr>
          <w:sz w:val="20"/>
          <w:szCs w:val="20"/>
          <w:color w:val="auto"/>
        </w:rPr>
      </w:pPr>
    </w:p>
    <w:p>
      <w:pPr>
        <w:ind w:left="760" w:hanging="752"/>
        <w:spacing w:after="0"/>
        <w:tabs>
          <w:tab w:leader="none" w:pos="760"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Why does Biodesix prohibit me from purchasing Biodesix securities on margin or holding them in a margin account?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007" w:val="left"/>
        </w:tabs>
        <w:numPr>
          <w:ilvl w:val="1"/>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Margin loans are subject to a margin call whether or not you possess insider information at the time of the call. If your margin call were called at a time when you had insider information and you could not or did not supply other collateral, you and Biodesix may be restricted based on your insider trading activities: the sale of the stock (through the margin call) when you possessed material nonpublic information.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p>
      <w:pPr>
        <w:spacing w:after="0" w:line="180"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exercise stock options during a trading blackout period or when I possess material nonpublic information?</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007" w:val="left"/>
        </w:tabs>
        <w:numPr>
          <w:ilvl w:val="1"/>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Yes. You may exercise the option and receive shares, but you may not sell the shares (other than the sale of shares in a cashless exercise program, including through a broker or in sales other than to the Company) or otherwise settle the option during a trading blackout period or any time that you have material, nonpublic information. Also note that if you choose to exercise and hold the shares, you will be responsible at that time for any taxes due.</w:t>
      </w:r>
    </w:p>
    <w:p>
      <w:pPr>
        <w:spacing w:after="0" w:line="17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Am I subject to the trading blackout period if I am no longer an employee of Biodesix?</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07" w:val="left"/>
        </w:tabs>
        <w:numPr>
          <w:ilvl w:val="1"/>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depends. If your employment with Biodesix ends on a day that the trading window is closed, you will be subject to the trading blackout period then in effect. If your employment with Biodesix ends on a day that the trading window is open, you will not be subject to the next trading blackout period. However, even if you are not subject to our trading blackout period after you leave Biodesix, you should not trade in or gift Biodesix securities if you possess material non-public information. That restriction stays with you as long as the information you possess is material and not released by Biodesix.</w:t>
      </w:r>
    </w:p>
    <w:p>
      <w:pPr>
        <w:spacing w:after="0" w:line="180"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gift stock while I possess material nonpublic information or during a trading blackout period?</w:t>
      </w:r>
    </w:p>
    <w:p>
      <w:pPr>
        <w:spacing w:after="0" w:line="219"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07" w:val="left"/>
        </w:tabs>
        <w:numPr>
          <w:ilvl w:val="1"/>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Because of the potential for the appearance of impropriety, you may not make gifts, whether to charities, to a trust or otherwise, of our common stock when you possess material nonpublic information or during a trading blackout period.</w:t>
      </w:r>
    </w:p>
    <w:p>
      <w:pPr>
        <w:spacing w:after="0" w:line="155" w:lineRule="exact"/>
        <w:rPr>
          <w:rFonts w:ascii="Times New Roman" w:cs="Times New Roman" w:eastAsia="Times New Roman" w:hAnsi="Times New Roman"/>
          <w:sz w:val="20"/>
          <w:szCs w:val="20"/>
          <w:b w:val="1"/>
          <w:bCs w:val="1"/>
          <w:color w:val="auto"/>
        </w:rPr>
      </w:pPr>
    </w:p>
    <w:p>
      <w:pPr>
        <w:ind w:left="760" w:hanging="752"/>
        <w:spacing w:after="0" w:line="273" w:lineRule="auto"/>
        <w:tabs>
          <w:tab w:leader="none" w:pos="760"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purchased publicly-traded options or other derivative securities before I became a Biodesix employee (or contractor or consultant)?</w:t>
      </w:r>
    </w:p>
    <w:p>
      <w:pPr>
        <w:spacing w:after="0" w:line="155"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007" w:val="left"/>
        </w:tabs>
        <w:numPr>
          <w:ilvl w:val="1"/>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same rules apply as for employee stock options. You may exercise the publicly-traded options at any time, but you may not sell or dispose of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gift) such securities during a trading blackout period or at any time that you have material, nonpublic information. When you become a Biodesix employee, you must report to our General Counsel, or if none, our Chief Financial Officer or their designee that you hold such publicly traded options or other derivative securities.</w:t>
      </w:r>
    </w:p>
    <w:p>
      <w:pPr>
        <w:spacing w:after="0" w:line="17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May I own shares of a mutual fund that invests in Biodesix?</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5" w:name="page266"/>
    <w:bookmarkEnd w:id="265"/>
    <w:p>
      <w:pPr>
        <w:ind w:left="1012" w:hanging="263"/>
        <w:spacing w:after="0"/>
        <w:tabs>
          <w:tab w:leader="none" w:pos="1012" w:val="left"/>
        </w:tabs>
        <w:numPr>
          <w:ilvl w:val="1"/>
          <w:numId w:val="2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Yes.</w:t>
      </w:r>
    </w:p>
    <w:p>
      <w:pPr>
        <w:spacing w:after="0" w:line="211" w:lineRule="exact"/>
        <w:rPr>
          <w:rFonts w:ascii="Times New Roman" w:cs="Times New Roman" w:eastAsia="Times New Roman" w:hAnsi="Times New Roman"/>
          <w:sz w:val="20"/>
          <w:szCs w:val="20"/>
          <w:b w:val="1"/>
          <w:bCs w:val="1"/>
          <w:color w:val="auto"/>
        </w:rPr>
      </w:pPr>
    </w:p>
    <w:p>
      <w:pPr>
        <w:ind w:left="512" w:hanging="512"/>
        <w:spacing w:after="0"/>
        <w:tabs>
          <w:tab w:leader="none" w:pos="512" w:val="left"/>
        </w:tabs>
        <w:numPr>
          <w:ilvl w:val="0"/>
          <w:numId w:val="2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Are mutual fund shares holding Biodesix subject to the trading blackout periods?</w:t>
      </w:r>
    </w:p>
    <w:p>
      <w:pPr>
        <w:spacing w:after="0" w:line="219" w:lineRule="exact"/>
        <w:rPr>
          <w:rFonts w:ascii="Times New Roman" w:cs="Times New Roman" w:eastAsia="Times New Roman" w:hAnsi="Times New Roman"/>
          <w:sz w:val="20"/>
          <w:szCs w:val="20"/>
          <w:b w:val="1"/>
          <w:bCs w:val="1"/>
          <w:color w:val="auto"/>
        </w:rPr>
      </w:pPr>
    </w:p>
    <w:p>
      <w:pPr>
        <w:ind w:left="1012" w:hanging="263"/>
        <w:spacing w:after="0"/>
        <w:tabs>
          <w:tab w:leader="none" w:pos="1012" w:val="left"/>
        </w:tabs>
        <w:numPr>
          <w:ilvl w:val="1"/>
          <w:numId w:val="2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You may trade in mutual funds holding our common stock at any time.</w:t>
      </w:r>
    </w:p>
    <w:p>
      <w:pPr>
        <w:spacing w:after="0" w:line="211" w:lineRule="exact"/>
        <w:rPr>
          <w:rFonts w:ascii="Times New Roman" w:cs="Times New Roman" w:eastAsia="Times New Roman" w:hAnsi="Times New Roman"/>
          <w:sz w:val="20"/>
          <w:szCs w:val="20"/>
          <w:b w:val="1"/>
          <w:bCs w:val="1"/>
          <w:color w:val="auto"/>
        </w:rPr>
      </w:pPr>
    </w:p>
    <w:p>
      <w:pPr>
        <w:ind w:left="512" w:hanging="512"/>
        <w:spacing w:after="0"/>
        <w:tabs>
          <w:tab w:leader="none" w:pos="512" w:val="left"/>
        </w:tabs>
        <w:numPr>
          <w:ilvl w:val="0"/>
          <w:numId w:val="2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May I use a “routine trading program” or “10b5-1 plan”?</w:t>
      </w:r>
    </w:p>
    <w:p>
      <w:pPr>
        <w:spacing w:after="0" w:line="219" w:lineRule="exact"/>
        <w:rPr>
          <w:rFonts w:ascii="Times New Roman" w:cs="Times New Roman" w:eastAsia="Times New Roman" w:hAnsi="Times New Roman"/>
          <w:sz w:val="20"/>
          <w:szCs w:val="20"/>
          <w:b w:val="1"/>
          <w:bCs w:val="1"/>
          <w:color w:val="auto"/>
        </w:rPr>
      </w:pPr>
    </w:p>
    <w:p>
      <w:pPr>
        <w:jc w:val="both"/>
        <w:ind w:left="-8" w:firstLine="757"/>
        <w:spacing w:after="0" w:line="249" w:lineRule="auto"/>
        <w:tabs>
          <w:tab w:leader="none" w:pos="999" w:val="left"/>
        </w:tabs>
        <w:numPr>
          <w:ilvl w:val="1"/>
          <w:numId w:val="2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Yes, subject to the requirements discussed in our Insider Trading and Trading Window Policy. A routine trading program, also known as a 10b5-1 plan, allows you to set up a highly structured program with your stock broker through which you specify ahead of time the date, price, and amount of securities to be traded. If you wish to create a 10b5-1 plan, you must contact our General Counsel, or if none, our Chief Financial Officer or their designee for approval.</w:t>
      </w:r>
    </w:p>
    <w:p>
      <w:pPr>
        <w:spacing w:after="0" w:line="175" w:lineRule="exact"/>
        <w:rPr>
          <w:rFonts w:ascii="Times New Roman" w:cs="Times New Roman" w:eastAsia="Times New Roman" w:hAnsi="Times New Roman"/>
          <w:sz w:val="20"/>
          <w:szCs w:val="20"/>
          <w:b w:val="1"/>
          <w:bCs w:val="1"/>
          <w:color w:val="auto"/>
        </w:rPr>
      </w:pPr>
    </w:p>
    <w:p>
      <w:pPr>
        <w:ind w:left="512" w:hanging="512"/>
        <w:spacing w:after="0"/>
        <w:tabs>
          <w:tab w:leader="none" w:pos="512" w:val="left"/>
        </w:tabs>
        <w:numPr>
          <w:ilvl w:val="0"/>
          <w:numId w:val="2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happens if I violate our insider trading policy?</w:t>
      </w:r>
    </w:p>
    <w:p>
      <w:pPr>
        <w:spacing w:after="0" w:line="219" w:lineRule="exact"/>
        <w:rPr>
          <w:rFonts w:ascii="Times New Roman" w:cs="Times New Roman" w:eastAsia="Times New Roman" w:hAnsi="Times New Roman"/>
          <w:sz w:val="20"/>
          <w:szCs w:val="20"/>
          <w:b w:val="1"/>
          <w:bCs w:val="1"/>
          <w:color w:val="auto"/>
        </w:rPr>
      </w:pPr>
    </w:p>
    <w:p>
      <w:pPr>
        <w:jc w:val="both"/>
        <w:ind w:left="-8" w:firstLine="757"/>
        <w:spacing w:after="0" w:line="254" w:lineRule="auto"/>
        <w:tabs>
          <w:tab w:leader="none" w:pos="999" w:val="left"/>
        </w:tabs>
        <w:numPr>
          <w:ilvl w:val="1"/>
          <w:numId w:val="2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Violation of our policies may result in severe personnel action, including a memo to your personnel file and up to and including termination of your employment or other relationship with Biodesix. In addition, you may be subject to criminal and civil enforcement actions by the government.</w:t>
      </w:r>
    </w:p>
    <w:p>
      <w:pPr>
        <w:spacing w:after="0" w:line="170" w:lineRule="exact"/>
        <w:rPr>
          <w:rFonts w:ascii="Times New Roman" w:cs="Times New Roman" w:eastAsia="Times New Roman" w:hAnsi="Times New Roman"/>
          <w:sz w:val="20"/>
          <w:szCs w:val="20"/>
          <w:b w:val="1"/>
          <w:bCs w:val="1"/>
          <w:color w:val="auto"/>
        </w:rPr>
      </w:pPr>
    </w:p>
    <w:p>
      <w:pPr>
        <w:ind w:left="512" w:hanging="512"/>
        <w:spacing w:after="0"/>
        <w:tabs>
          <w:tab w:leader="none" w:pos="512" w:val="left"/>
        </w:tabs>
        <w:numPr>
          <w:ilvl w:val="0"/>
          <w:numId w:val="2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Who should I contact if I have questions about our insider trading policy?</w:t>
      </w:r>
    </w:p>
    <w:p>
      <w:pPr>
        <w:spacing w:after="0" w:line="219" w:lineRule="exact"/>
        <w:rPr>
          <w:rFonts w:ascii="Times New Roman" w:cs="Times New Roman" w:eastAsia="Times New Roman" w:hAnsi="Times New Roman"/>
          <w:sz w:val="20"/>
          <w:szCs w:val="20"/>
          <w:b w:val="1"/>
          <w:bCs w:val="1"/>
          <w:color w:val="auto"/>
        </w:rPr>
      </w:pPr>
    </w:p>
    <w:p>
      <w:pPr>
        <w:ind w:left="1012" w:hanging="263"/>
        <w:spacing w:after="0"/>
        <w:tabs>
          <w:tab w:leader="none" w:pos="1012" w:val="left"/>
        </w:tabs>
        <w:numPr>
          <w:ilvl w:val="1"/>
          <w:numId w:val="2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should contact our General Counsel, or if none, our Chief Financial Officer or their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333-284767, No. 333-265445, No. 333-269536, No. 333-249805, and No. 333-276842) on Form S-8 and (No. 333-282939, No. 333-282938, and No. 333-265448) on Form S-3, and (No. 333-278881) on Form S-1 of our report dated March 3, 2025, with respect to the financial statements of Biodesix,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Hutton, certify that:</w:t>
      </w:r>
    </w:p>
    <w:p>
      <w:pPr>
        <w:spacing w:after="0" w:line="225" w:lineRule="exact"/>
        <w:rPr>
          <w:sz w:val="20"/>
          <w:szCs w:val="20"/>
          <w:color w:val="auto"/>
        </w:rPr>
      </w:pPr>
    </w:p>
    <w:p>
      <w:pPr>
        <w:ind w:left="760" w:hanging="752"/>
        <w:spacing w:after="0"/>
        <w:tabs>
          <w:tab w:leader="none" w:pos="7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Biodesix, Inc.;</w:t>
      </w:r>
    </w:p>
    <w:p>
      <w:pPr>
        <w:spacing w:after="0" w:line="225"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 2025</w:t>
            </w:r>
          </w:p>
        </w:tc>
        <w:tc>
          <w:tcPr>
            <w:tcW w:w="21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HUTTON</w:t>
            </w:r>
          </w:p>
        </w:tc>
      </w:tr>
      <w:tr>
        <w:trPr>
          <w:trHeight w:val="191"/>
        </w:trPr>
        <w:tc>
          <w:tcPr>
            <w:tcW w:w="32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8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Scott Hutton</w:t>
            </w:r>
          </w:p>
        </w:tc>
      </w:tr>
      <w:tr>
        <w:trPr>
          <w:trHeight w:val="234"/>
        </w:trPr>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1627"/>
        </w:trPr>
        <w:tc>
          <w:tcPr>
            <w:tcW w:w="32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Robin Harper Cowie, certify that:</w:t>
      </w:r>
    </w:p>
    <w:p>
      <w:pPr>
        <w:spacing w:after="0" w:line="225" w:lineRule="exact"/>
        <w:rPr>
          <w:sz w:val="20"/>
          <w:szCs w:val="20"/>
          <w:color w:val="auto"/>
        </w:rPr>
      </w:pPr>
    </w:p>
    <w:p>
      <w:pPr>
        <w:ind w:left="760" w:hanging="752"/>
        <w:spacing w:after="0"/>
        <w:tabs>
          <w:tab w:leader="none" w:pos="7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Biodesix, Inc.;</w:t>
      </w:r>
    </w:p>
    <w:p>
      <w:pPr>
        <w:spacing w:after="0" w:line="225"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 2025</w:t>
            </w:r>
          </w:p>
        </w:tc>
        <w:tc>
          <w:tcPr>
            <w:tcW w:w="23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ROBIN HARPER COWIE</w:t>
            </w:r>
          </w:p>
        </w:tc>
      </w:tr>
      <w:tr>
        <w:trPr>
          <w:trHeight w:val="191"/>
        </w:trPr>
        <w:tc>
          <w:tcPr>
            <w:tcW w:w="3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5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Robin Harper Cowie</w:t>
            </w:r>
          </w:p>
        </w:tc>
      </w:tr>
      <w:tr>
        <w:trPr>
          <w:trHeight w:val="234"/>
        </w:trPr>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1627"/>
        </w:trPr>
        <w:tc>
          <w:tcPr>
            <w:tcW w:w="33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Biodesix, Inc. (the “Company”) on Form 10-K for the year ending December 31,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500" w:hanging="743"/>
        <w:spacing w:after="0"/>
        <w:tabs>
          <w:tab w:leader="none" w:pos="15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 2025</w:t>
            </w:r>
          </w:p>
        </w:tc>
        <w:tc>
          <w:tcPr>
            <w:tcW w:w="25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HUTTON</w:t>
            </w:r>
          </w:p>
        </w:tc>
      </w:tr>
      <w:tr>
        <w:trPr>
          <w:trHeight w:val="191"/>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Scott Hutton</w:t>
            </w:r>
          </w:p>
        </w:tc>
      </w:tr>
      <w:tr>
        <w:trPr>
          <w:trHeight w:val="234"/>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1627"/>
        </w:trPr>
        <w:tc>
          <w:tcPr>
            <w:tcW w:w="36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Biodesix, Inc. (the “Company”) on Form 10-K for the year ending December 31,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500" w:hanging="743"/>
        <w:spacing w:after="0"/>
        <w:tabs>
          <w:tab w:leader="none" w:pos="15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 2025</w:t>
            </w:r>
          </w:p>
        </w:tc>
        <w:tc>
          <w:tcPr>
            <w:tcW w:w="25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ROBIN HARPER COWIE</w:t>
            </w:r>
          </w:p>
        </w:tc>
      </w:tr>
      <w:tr>
        <w:trPr>
          <w:trHeight w:val="191"/>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Robin Harper Cowie</w:t>
            </w:r>
          </w:p>
        </w:tc>
      </w:tr>
      <w:tr>
        <w:trPr>
          <w:trHeight w:val="234"/>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1627"/>
        </w:trPr>
        <w:tc>
          <w:tcPr>
            <w:tcW w:w="36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271" w:name="page272"/>
    <w:bookmarkEnd w:id="2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373"/>
    <w:multiLevelType w:val="hybridMultilevel"/>
    <w:lvl w:ilvl="0">
      <w:lvlJc w:val="left"/>
      <w:lvlText w:val="☒"/>
      <w:numFmt w:val="bullet"/>
      <w:start w:val="1"/>
    </w:lvl>
  </w:abstractNum>
  <w:abstractNum w:abstractNumId="1">
    <w:nsid w:val="2C27173B"/>
    <w:multiLevelType w:val="hybridMultilevel"/>
    <w:lvl w:ilvl="0">
      <w:lvlJc w:val="left"/>
      <w:lvlText w:val="☐"/>
      <w:numFmt w:val="bullet"/>
      <w:start w:val="1"/>
    </w:lvl>
  </w:abstractNum>
  <w:abstractNum w:abstractNumId="2">
    <w:nsid w:val="4C9B0904"/>
    <w:multiLevelType w:val="hybridMultilevel"/>
    <w:lvl w:ilvl="0">
      <w:lvlJc w:val="left"/>
      <w:lvlText w:val="•"/>
      <w:numFmt w:val="bullet"/>
      <w:start w:val="1"/>
    </w:lvl>
  </w:abstractNum>
  <w:abstractNum w:abstractNumId="3">
    <w:nsid w:val="6AA7B75C"/>
    <w:multiLevelType w:val="hybridMultilevel"/>
    <w:lvl w:ilvl="0">
      <w:lvlJc w:val="left"/>
      <w:lvlText w:val="•"/>
      <w:numFmt w:val="bullet"/>
      <w:start w:val="1"/>
    </w:lvl>
  </w:abstractNum>
  <w:abstractNum w:abstractNumId="4">
    <w:nsid w:val="1DF029D3"/>
    <w:multiLevelType w:val="hybridMultilevel"/>
    <w:lvl w:ilvl="0">
      <w:lvlJc w:val="left"/>
      <w:lvlText w:val="•"/>
      <w:numFmt w:val="bullet"/>
      <w:start w:val="1"/>
    </w:lvl>
  </w:abstractNum>
  <w:abstractNum w:abstractNumId="5">
    <w:nsid w:val="5675FF36"/>
    <w:multiLevelType w:val="hybridMultilevel"/>
    <w:lvl w:ilvl="0">
      <w:lvlJc w:val="left"/>
      <w:lvlText w:val="%1."/>
      <w:numFmt w:val="decimal"/>
      <w:start w:val="1"/>
    </w:lvl>
    <w:lvl w:ilvl="1">
      <w:lvlJc w:val="left"/>
      <w:lvlText w:val="•"/>
      <w:numFmt w:val="bullet"/>
      <w:start w:val="1"/>
    </w:lvl>
  </w:abstractNum>
  <w:abstractNum w:abstractNumId="6">
    <w:nsid w:val="3DD15094"/>
    <w:multiLevelType w:val="hybridMultilevel"/>
    <w:lvl w:ilvl="0">
      <w:lvlJc w:val="left"/>
      <w:lvlText w:val="%1."/>
      <w:numFmt w:val="decimal"/>
      <w:start w:val="1"/>
    </w:lvl>
    <w:lvl w:ilvl="1">
      <w:lvlJc w:val="left"/>
      <w:lvlText w:val="•"/>
      <w:numFmt w:val="bullet"/>
      <w:start w:val="1"/>
    </w:lvl>
  </w:abstractNum>
  <w:abstractNum w:abstractNumId="7">
    <w:nsid w:val="3DB012B3"/>
    <w:multiLevelType w:val="hybridMultilevel"/>
    <w:lvl w:ilvl="0">
      <w:lvlJc w:val="left"/>
      <w:lvlText w:val="•"/>
      <w:numFmt w:val="bullet"/>
      <w:start w:val="1"/>
    </w:lvl>
  </w:abstractNum>
  <w:abstractNum w:abstractNumId="8">
    <w:nsid w:val="2708C9AF"/>
    <w:multiLevelType w:val="hybridMultilevel"/>
    <w:lvl w:ilvl="0">
      <w:lvlJc w:val="left"/>
      <w:lvlText w:val="•"/>
      <w:numFmt w:val="bullet"/>
      <w:start w:val="1"/>
    </w:lvl>
  </w:abstractNum>
  <w:abstractNum w:abstractNumId="9">
    <w:nsid w:val="5B25ACE2"/>
    <w:multiLevelType w:val="hybridMultilevel"/>
    <w:lvl w:ilvl="0">
      <w:lvlJc w:val="left"/>
      <w:lvlText w:val="•"/>
      <w:numFmt w:val="bullet"/>
      <w:start w:val="1"/>
    </w:lvl>
  </w:abstractNum>
  <w:abstractNum w:abstractNumId="10">
    <w:nsid w:val="175DFCF0"/>
    <w:multiLevelType w:val="hybridMultilevel"/>
    <w:lvl w:ilvl="0">
      <w:lvlJc w:val="left"/>
      <w:lvlText w:val="%1)"/>
      <w:numFmt w:val="decimal"/>
      <w:start w:val="1"/>
    </w:lvl>
  </w:abstractNum>
  <w:abstractNum w:abstractNumId="11">
    <w:nsid w:val="4F97E3E4"/>
    <w:multiLevelType w:val="hybridMultilevel"/>
    <w:lvl w:ilvl="0">
      <w:lvlJc w:val="left"/>
      <w:lvlText w:val="•"/>
      <w:numFmt w:val="bullet"/>
      <w:start w:val="1"/>
    </w:lvl>
  </w:abstractNum>
  <w:abstractNum w:abstractNumId="12">
    <w:nsid w:val="53B0A9E"/>
    <w:multiLevelType w:val="hybridMultilevel"/>
    <w:lvl w:ilvl="0">
      <w:lvlJc w:val="left"/>
      <w:lvlText w:val="•"/>
      <w:numFmt w:val="bullet"/>
      <w:start w:val="1"/>
    </w:lvl>
  </w:abstractNum>
  <w:abstractNum w:abstractNumId="13">
    <w:nsid w:val="34FD6B4F"/>
    <w:multiLevelType w:val="hybridMultilevel"/>
    <w:lvl w:ilvl="0">
      <w:lvlJc w:val="left"/>
      <w:lvlText w:val="(%1)"/>
      <w:numFmt w:val="decimal"/>
      <w:start w:val="3"/>
    </w:lvl>
  </w:abstractNum>
  <w:abstractNum w:abstractNumId="14">
    <w:nsid w:val="5915FF32"/>
    <w:multiLevelType w:val="hybridMultilevel"/>
    <w:lvl w:ilvl="0">
      <w:lvlJc w:val="left"/>
      <w:lvlText w:val="•"/>
      <w:numFmt w:val="bullet"/>
      <w:start w:val="1"/>
    </w:lvl>
  </w:abstractNum>
  <w:abstractNum w:abstractNumId="15">
    <w:nsid w:val="56438D15"/>
    <w:multiLevelType w:val="hybridMultilevel"/>
    <w:lvl w:ilvl="0">
      <w:lvlJc w:val="left"/>
      <w:lvlText w:val="•"/>
      <w:numFmt w:val="bullet"/>
      <w:start w:val="1"/>
    </w:lvl>
  </w:abstractNum>
  <w:abstractNum w:abstractNumId="16">
    <w:nsid w:val="519E3149"/>
    <w:multiLevelType w:val="hybridMultilevel"/>
    <w:lvl w:ilvl="0">
      <w:lvlJc w:val="left"/>
      <w:lvlText w:val="•"/>
      <w:numFmt w:val="bullet"/>
      <w:start w:val="1"/>
    </w:lvl>
  </w:abstractNum>
  <w:abstractNum w:abstractNumId="17">
    <w:nsid w:val="2C6E4AFD"/>
    <w:multiLevelType w:val="hybridMultilevel"/>
    <w:lvl w:ilvl="0">
      <w:lvlJc w:val="left"/>
      <w:lvlText w:val="•"/>
      <w:numFmt w:val="bullet"/>
      <w:start w:val="1"/>
    </w:lvl>
  </w:abstractNum>
  <w:abstractNum w:abstractNumId="18">
    <w:nsid w:val="17A1B582"/>
    <w:multiLevelType w:val="hybridMultilevel"/>
    <w:lvl w:ilvl="0">
      <w:lvlJc w:val="left"/>
      <w:lvlText w:val="•"/>
      <w:numFmt w:val="bullet"/>
      <w:start w:val="1"/>
    </w:lvl>
  </w:abstractNum>
  <w:abstractNum w:abstractNumId="19">
    <w:nsid w:val="4DF72E4E"/>
    <w:multiLevelType w:val="hybridMultilevel"/>
    <w:lvl w:ilvl="0">
      <w:lvlJc w:val="left"/>
      <w:lvlText w:val="•"/>
      <w:numFmt w:val="bullet"/>
      <w:start w:val="1"/>
    </w:lvl>
  </w:abstractNum>
  <w:abstractNum w:abstractNumId="20">
    <w:nsid w:val="5046B5A9"/>
    <w:multiLevelType w:val="hybridMultilevel"/>
    <w:lvl w:ilvl="0">
      <w:lvlJc w:val="left"/>
      <w:lvlText w:val="•"/>
      <w:numFmt w:val="bullet"/>
      <w:start w:val="1"/>
    </w:lvl>
  </w:abstractNum>
  <w:abstractNum w:abstractNumId="21">
    <w:nsid w:val="5D888A08"/>
    <w:multiLevelType w:val="hybridMultilevel"/>
    <w:lvl w:ilvl="0">
      <w:lvlJc w:val="left"/>
      <w:lvlText w:val="•"/>
      <w:numFmt w:val="bullet"/>
      <w:start w:val="1"/>
    </w:lvl>
  </w:abstractNum>
  <w:abstractNum w:abstractNumId="22">
    <w:nsid w:val="2A082C70"/>
    <w:multiLevelType w:val="hybridMultilevel"/>
    <w:lvl w:ilvl="0">
      <w:lvlJc w:val="left"/>
      <w:lvlText w:val="•"/>
      <w:numFmt w:val="bullet"/>
      <w:start w:val="1"/>
    </w:lvl>
  </w:abstractNum>
  <w:abstractNum w:abstractNumId="23">
    <w:nsid w:val="5EC6AFD4"/>
    <w:multiLevelType w:val="hybridMultilevel"/>
    <w:lvl w:ilvl="0">
      <w:lvlJc w:val="left"/>
      <w:lvlText w:val="•"/>
      <w:numFmt w:val="bullet"/>
      <w:start w:val="1"/>
    </w:lvl>
  </w:abstractNum>
  <w:abstractNum w:abstractNumId="24">
    <w:nsid w:val="19E21BB2"/>
    <w:multiLevelType w:val="hybridMultilevel"/>
    <w:lvl w:ilvl="0">
      <w:lvlJc w:val="left"/>
      <w:lvlText w:val="•"/>
      <w:numFmt w:val="bullet"/>
      <w:start w:val="1"/>
    </w:lvl>
  </w:abstractNum>
  <w:abstractNum w:abstractNumId="25">
    <w:nsid w:val="75E0858A"/>
    <w:multiLevelType w:val="hybridMultilevel"/>
    <w:lvl w:ilvl="0">
      <w:lvlJc w:val="left"/>
      <w:lvlText w:val="•"/>
      <w:numFmt w:val="bullet"/>
      <w:start w:val="1"/>
    </w:lvl>
  </w:abstractNum>
  <w:abstractNum w:abstractNumId="26">
    <w:nsid w:val="57A61A29"/>
    <w:multiLevelType w:val="hybridMultilevel"/>
    <w:lvl w:ilvl="0">
      <w:lvlJc w:val="left"/>
      <w:lvlText w:val="•"/>
      <w:numFmt w:val="bullet"/>
      <w:start w:val="1"/>
    </w:lvl>
  </w:abstractNum>
  <w:abstractNum w:abstractNumId="27">
    <w:nsid w:val="5399C654"/>
    <w:multiLevelType w:val="hybridMultilevel"/>
    <w:lvl w:ilvl="0">
      <w:lvlJc w:val="left"/>
      <w:lvlText w:val="•"/>
      <w:numFmt w:val="bullet"/>
      <w:start w:val="1"/>
    </w:lvl>
  </w:abstractNum>
  <w:abstractNum w:abstractNumId="28">
    <w:nsid w:val="20EE1348"/>
    <w:multiLevelType w:val="hybridMultilevel"/>
    <w:lvl w:ilvl="0">
      <w:lvlJc w:val="left"/>
      <w:lvlText w:val="•"/>
      <w:numFmt w:val="bullet"/>
      <w:start w:val="1"/>
    </w:lvl>
  </w:abstractNum>
  <w:abstractNum w:abstractNumId="29">
    <w:nsid w:val="4427069A"/>
    <w:multiLevelType w:val="hybridMultilevel"/>
    <w:lvl w:ilvl="0">
      <w:lvlJc w:val="left"/>
      <w:lvlText w:val="•"/>
      <w:numFmt w:val="bullet"/>
      <w:start w:val="1"/>
    </w:lvl>
  </w:abstractNum>
  <w:abstractNum w:abstractNumId="30">
    <w:nsid w:val="B37E80A"/>
    <w:multiLevelType w:val="hybridMultilevel"/>
    <w:lvl w:ilvl="0">
      <w:lvlJc w:val="left"/>
      <w:lvlText w:val="•"/>
      <w:numFmt w:val="bullet"/>
      <w:start w:val="1"/>
    </w:lvl>
  </w:abstractNum>
  <w:abstractNum w:abstractNumId="31">
    <w:nsid w:val="2157F6BC"/>
    <w:multiLevelType w:val="hybridMultilevel"/>
    <w:lvl w:ilvl="0">
      <w:lvlJc w:val="left"/>
      <w:lvlText w:val="•"/>
      <w:numFmt w:val="bullet"/>
      <w:start w:val="1"/>
    </w:lvl>
  </w:abstractNum>
  <w:abstractNum w:abstractNumId="32">
    <w:nsid w:val="704E1DD5"/>
    <w:multiLevelType w:val="hybridMultilevel"/>
    <w:lvl w:ilvl="0">
      <w:lvlJc w:val="left"/>
      <w:lvlText w:val="•"/>
      <w:numFmt w:val="bullet"/>
      <w:start w:val="1"/>
    </w:lvl>
  </w:abstractNum>
  <w:abstractNum w:abstractNumId="33">
    <w:nsid w:val="57D2F10E"/>
    <w:multiLevelType w:val="hybridMultilevel"/>
    <w:lvl w:ilvl="0">
      <w:lvlJc w:val="left"/>
      <w:lvlText w:val="•"/>
      <w:numFmt w:val="bullet"/>
      <w:start w:val="1"/>
    </w:lvl>
  </w:abstractNum>
  <w:abstractNum w:abstractNumId="34">
    <w:nsid w:val="BFFAE18"/>
    <w:multiLevelType w:val="hybridMultilevel"/>
    <w:lvl w:ilvl="0">
      <w:lvlJc w:val="left"/>
      <w:lvlText w:val="•"/>
      <w:numFmt w:val="bullet"/>
      <w:start w:val="1"/>
    </w:lvl>
  </w:abstractNum>
  <w:abstractNum w:abstractNumId="35">
    <w:nsid w:val="E3E47A8"/>
    <w:multiLevelType w:val="hybridMultilevel"/>
    <w:lvl w:ilvl="0">
      <w:lvlJc w:val="left"/>
      <w:lvlText w:val="•"/>
      <w:numFmt w:val="bullet"/>
      <w:start w:val="1"/>
    </w:lvl>
  </w:abstractNum>
  <w:abstractNum w:abstractNumId="36">
    <w:nsid w:val="2E48F044"/>
    <w:multiLevelType w:val="hybridMultilevel"/>
    <w:lvl w:ilvl="0">
      <w:lvlJc w:val="left"/>
      <w:lvlText w:val="•"/>
      <w:numFmt w:val="bullet"/>
      <w:start w:val="1"/>
    </w:lvl>
  </w:abstractNum>
  <w:abstractNum w:abstractNumId="37">
    <w:nsid w:val="49D0FEAC"/>
    <w:multiLevelType w:val="hybridMultilevel"/>
    <w:lvl w:ilvl="0">
      <w:lvlJc w:val="left"/>
      <w:lvlText w:val="•"/>
      <w:numFmt w:val="bullet"/>
      <w:start w:val="1"/>
    </w:lvl>
  </w:abstractNum>
  <w:abstractNum w:abstractNumId="38">
    <w:nsid w:val="4BEE5A5B"/>
    <w:multiLevelType w:val="hybridMultilevel"/>
    <w:lvl w:ilvl="0">
      <w:lvlJc w:val="left"/>
      <w:lvlText w:val="•"/>
      <w:numFmt w:val="bullet"/>
      <w:start w:val="1"/>
    </w:lvl>
  </w:abstractNum>
  <w:abstractNum w:abstractNumId="39">
    <w:nsid w:val="5551B9F3"/>
    <w:multiLevelType w:val="hybridMultilevel"/>
    <w:lvl w:ilvl="0">
      <w:lvlJc w:val="left"/>
      <w:lvlText w:val="•"/>
      <w:numFmt w:val="bullet"/>
      <w:start w:val="1"/>
    </w:lvl>
  </w:abstractNum>
  <w:abstractNum w:abstractNumId="40">
    <w:nsid w:val="24F6AB8E"/>
    <w:multiLevelType w:val="hybridMultilevel"/>
    <w:lvl w:ilvl="0">
      <w:lvlJc w:val="left"/>
      <w:lvlText w:val="•"/>
      <w:numFmt w:val="bullet"/>
      <w:start w:val="1"/>
    </w:lvl>
  </w:abstractNum>
  <w:abstractNum w:abstractNumId="41">
    <w:nsid w:val="634C574C"/>
    <w:multiLevelType w:val="hybridMultilevel"/>
    <w:lvl w:ilvl="0">
      <w:lvlJc w:val="left"/>
      <w:lvlText w:val="•"/>
      <w:numFmt w:val="bullet"/>
      <w:start w:val="1"/>
    </w:lvl>
  </w:abstractNum>
  <w:abstractNum w:abstractNumId="42">
    <w:nsid w:val="24E99DD7"/>
    <w:multiLevelType w:val="hybridMultilevel"/>
    <w:lvl w:ilvl="0">
      <w:lvlJc w:val="left"/>
      <w:lvlText w:val="•"/>
      <w:numFmt w:val="bullet"/>
      <w:start w:val="1"/>
    </w:lvl>
  </w:abstractNum>
  <w:abstractNum w:abstractNumId="43">
    <w:nsid w:val="2A31B62D"/>
    <w:multiLevelType w:val="hybridMultilevel"/>
    <w:lvl w:ilvl="0">
      <w:lvlJc w:val="left"/>
      <w:lvlText w:val="•"/>
      <w:numFmt w:val="bullet"/>
      <w:start w:val="1"/>
    </w:lvl>
  </w:abstractNum>
  <w:abstractNum w:abstractNumId="44">
    <w:nsid w:val="1849C29B"/>
    <w:multiLevelType w:val="hybridMultilevel"/>
    <w:lvl w:ilvl="0">
      <w:lvlJc w:val="left"/>
      <w:lvlText w:val="•"/>
      <w:numFmt w:val="bullet"/>
      <w:start w:val="1"/>
    </w:lvl>
  </w:abstractNum>
  <w:abstractNum w:abstractNumId="45">
    <w:nsid w:val="7DFF9D09"/>
    <w:multiLevelType w:val="hybridMultilevel"/>
    <w:lvl w:ilvl="0">
      <w:lvlJc w:val="left"/>
      <w:lvlText w:val="•"/>
      <w:numFmt w:val="bullet"/>
      <w:start w:val="1"/>
    </w:lvl>
  </w:abstractNum>
  <w:abstractNum w:abstractNumId="46">
    <w:nsid w:val="754342"/>
    <w:multiLevelType w:val="hybridMultilevel"/>
    <w:lvl w:ilvl="0">
      <w:lvlJc w:val="left"/>
      <w:lvlText w:val="•"/>
      <w:numFmt w:val="bullet"/>
      <w:start w:val="1"/>
    </w:lvl>
  </w:abstractNum>
  <w:abstractNum w:abstractNumId="47">
    <w:nsid w:val="69E7F3E5"/>
    <w:multiLevelType w:val="hybridMultilevel"/>
    <w:lvl w:ilvl="0">
      <w:lvlJc w:val="left"/>
      <w:lvlText w:val="•"/>
      <w:numFmt w:val="bullet"/>
      <w:start w:val="1"/>
    </w:lvl>
  </w:abstractNum>
  <w:abstractNum w:abstractNumId="48">
    <w:nsid w:val="2A6DE806"/>
    <w:multiLevelType w:val="hybridMultilevel"/>
    <w:lvl w:ilvl="0">
      <w:lvlJc w:val="left"/>
      <w:lvlText w:val="•"/>
      <w:numFmt w:val="bullet"/>
      <w:start w:val="1"/>
    </w:lvl>
  </w:abstractNum>
  <w:abstractNum w:abstractNumId="49">
    <w:nsid w:val="1816F8C4"/>
    <w:multiLevelType w:val="hybridMultilevel"/>
    <w:lvl w:ilvl="0">
      <w:lvlJc w:val="left"/>
      <w:lvlText w:val="•"/>
      <w:numFmt w:val="bullet"/>
      <w:start w:val="1"/>
    </w:lvl>
    <w:lvl w:ilvl="1">
      <w:lvlJc w:val="left"/>
      <w:lvlText w:val="o"/>
      <w:numFmt w:val="bullet"/>
      <w:start w:val="1"/>
    </w:lvl>
  </w:abstractNum>
  <w:abstractNum w:abstractNumId="50">
    <w:nsid w:val="37DF2233"/>
    <w:multiLevelType w:val="hybridMultilevel"/>
    <w:lvl w:ilvl="0">
      <w:lvlJc w:val="left"/>
      <w:lvlText w:val="(%1)"/>
      <w:numFmt w:val="decimal"/>
      <w:start w:val="1"/>
    </w:lvl>
  </w:abstractNum>
  <w:abstractNum w:abstractNumId="51">
    <w:nsid w:val="7AB49DAF"/>
    <w:multiLevelType w:val="hybridMultilevel"/>
    <w:lvl w:ilvl="0">
      <w:lvlJc w:val="left"/>
      <w:lvlText w:val="(%1)"/>
      <w:numFmt w:val="decimal"/>
      <w:start w:val="1"/>
    </w:lvl>
  </w:abstractNum>
  <w:abstractNum w:abstractNumId="52">
    <w:nsid w:val="759F82CD"/>
    <w:multiLevelType w:val="hybridMultilevel"/>
    <w:lvl w:ilvl="0">
      <w:lvlJc w:val="left"/>
      <w:lvlText w:val="(%1)"/>
      <w:numFmt w:val="lowerLetter"/>
      <w:start w:val="1"/>
    </w:lvl>
  </w:abstractNum>
  <w:abstractNum w:abstractNumId="53">
    <w:nsid w:val="61E74EA3"/>
    <w:multiLevelType w:val="hybridMultilevel"/>
    <w:lvl w:ilvl="0">
      <w:lvlJc w:val="left"/>
      <w:lvlText w:val="%1."/>
      <w:numFmt w:val="decimal"/>
      <w:start w:val="1"/>
    </w:lvl>
  </w:abstractNum>
  <w:abstractNum w:abstractNumId="54">
    <w:nsid w:val="597B4D84"/>
    <w:multiLevelType w:val="hybridMultilevel"/>
    <w:lvl w:ilvl="0">
      <w:lvlJc w:val="left"/>
      <w:lvlText w:val="%1."/>
      <w:numFmt w:val="decimal"/>
      <w:start w:val="2"/>
    </w:lvl>
  </w:abstractNum>
  <w:abstractNum w:abstractNumId="55">
    <w:nsid w:val="F819E7F"/>
    <w:multiLevelType w:val="hybridMultilevel"/>
    <w:lvl w:ilvl="0">
      <w:lvlJc w:val="left"/>
      <w:lvlText w:val="(%1)"/>
      <w:numFmt w:val="lowerLetter"/>
      <w:start w:val="2"/>
    </w:lvl>
  </w:abstractNum>
  <w:abstractNum w:abstractNumId="56">
    <w:nsid w:val="57C7D42D"/>
    <w:multiLevelType w:val="hybridMultilevel"/>
    <w:lvl w:ilvl="0">
      <w:lvlJc w:val="left"/>
      <w:lvlText w:val="†"/>
      <w:numFmt w:val="bullet"/>
      <w:start w:val="1"/>
    </w:lvl>
  </w:abstractNum>
  <w:abstractNum w:abstractNumId="57">
    <w:nsid w:val="312167AD"/>
    <w:multiLevelType w:val="hybridMultilevel"/>
    <w:lvl w:ilvl="0">
      <w:lvlJc w:val="left"/>
      <w:lvlText w:val="•"/>
      <w:numFmt w:val="bullet"/>
      <w:start w:val="1"/>
    </w:lvl>
  </w:abstractNum>
  <w:abstractNum w:abstractNumId="58">
    <w:nsid w:val="631B64D4"/>
    <w:multiLevelType w:val="hybridMultilevel"/>
    <w:lvl w:ilvl="0">
      <w:lvlJc w:val="left"/>
      <w:lvlText w:val="•"/>
      <w:numFmt w:val="bullet"/>
      <w:start w:val="1"/>
    </w:lvl>
  </w:abstractNum>
  <w:abstractNum w:abstractNumId="59">
    <w:nsid w:val="78B5E776"/>
    <w:multiLevelType w:val="hybridMultilevel"/>
    <w:lvl w:ilvl="0">
      <w:lvlJc w:val="left"/>
      <w:lvlText w:val="•"/>
      <w:numFmt w:val="bullet"/>
      <w:start w:val="1"/>
    </w:lvl>
  </w:abstractNum>
  <w:abstractNum w:abstractNumId="60">
    <w:nsid w:val="75486E47"/>
    <w:multiLevelType w:val="hybridMultilevel"/>
    <w:lvl w:ilvl="0">
      <w:lvlJc w:val="left"/>
      <w:lvlText w:val="•"/>
      <w:numFmt w:val="bullet"/>
      <w:start w:val="1"/>
    </w:lvl>
  </w:abstractNum>
  <w:abstractNum w:abstractNumId="61">
    <w:nsid w:val="6E534CDE"/>
    <w:multiLevelType w:val="hybridMultilevel"/>
    <w:lvl w:ilvl="0">
      <w:lvlJc w:val="left"/>
      <w:lvlText w:val="•"/>
      <w:numFmt w:val="bullet"/>
      <w:start w:val="1"/>
    </w:lvl>
  </w:abstractNum>
  <w:abstractNum w:abstractNumId="62">
    <w:nsid w:val="1A0DDE32"/>
    <w:multiLevelType w:val="hybridMultilevel"/>
    <w:lvl w:ilvl="0">
      <w:lvlJc w:val="left"/>
      <w:lvlText w:val="1"/>
      <w:numFmt w:val="bullet"/>
      <w:start w:val="1"/>
    </w:lvl>
  </w:abstractNum>
  <w:abstractNum w:abstractNumId="63">
    <w:nsid w:val="65968C1C"/>
    <w:multiLevelType w:val="hybridMultilevel"/>
    <w:lvl w:ilvl="0">
      <w:lvlJc w:val="left"/>
      <w:lvlText w:val="2"/>
      <w:numFmt w:val="bullet"/>
      <w:start w:val="1"/>
    </w:lvl>
  </w:abstractNum>
  <w:abstractNum w:abstractNumId="64">
    <w:nsid w:val="46263DEC"/>
    <w:multiLevelType w:val="hybridMultilevel"/>
    <w:lvl w:ilvl="0">
      <w:lvlJc w:val="left"/>
      <w:lvlText w:val="3"/>
      <w:numFmt w:val="bullet"/>
      <w:start w:val="1"/>
    </w:lvl>
  </w:abstractNum>
  <w:abstractNum w:abstractNumId="65">
    <w:nsid w:val="260D8C4A"/>
    <w:multiLevelType w:val="hybridMultilevel"/>
    <w:lvl w:ilvl="0">
      <w:lvlJc w:val="left"/>
      <w:lvlText w:val="•"/>
      <w:numFmt w:val="bullet"/>
      <w:start w:val="1"/>
    </w:lvl>
  </w:abstractNum>
  <w:abstractNum w:abstractNumId="66">
    <w:nsid w:val="73D4D3C4"/>
    <w:multiLevelType w:val="hybridMultilevel"/>
    <w:lvl w:ilvl="0">
      <w:lvlJc w:val="left"/>
      <w:lvlText w:val="(%1)"/>
      <w:numFmt w:val="decimal"/>
      <w:start w:val="1"/>
    </w:lvl>
  </w:abstractNum>
  <w:abstractNum w:abstractNumId="67">
    <w:nsid w:val="746F2E30"/>
    <w:multiLevelType w:val="hybridMultilevel"/>
    <w:lvl w:ilvl="0">
      <w:lvlJc w:val="left"/>
      <w:lvlText w:val="1"/>
      <w:numFmt w:val="bullet"/>
      <w:start w:val="1"/>
    </w:lvl>
  </w:abstractNum>
  <w:abstractNum w:abstractNumId="68">
    <w:nsid w:val="6FDE8AF6"/>
    <w:multiLevelType w:val="hybridMultilevel"/>
    <w:lvl w:ilvl="0">
      <w:lvlJc w:val="left"/>
      <w:lvlText w:val="(%1)"/>
      <w:numFmt w:val="lowerRoman"/>
      <w:start w:val="2"/>
    </w:lvl>
  </w:abstractNum>
  <w:abstractNum w:abstractNumId="69">
    <w:nsid w:val="3FC32E20"/>
    <w:multiLevelType w:val="hybridMultilevel"/>
    <w:lvl w:ilvl="0">
      <w:lvlJc w:val="left"/>
      <w:lvlText w:val="(%1)"/>
      <w:numFmt w:val="lowerRoman"/>
      <w:start w:val="3"/>
    </w:lvl>
  </w:abstractNum>
  <w:abstractNum w:abstractNumId="70">
    <w:nsid w:val="49C0E823"/>
    <w:multiLevelType w:val="hybridMultilevel"/>
    <w:lvl w:ilvl="0">
      <w:lvlJc w:val="left"/>
      <w:lvlText w:val="2"/>
      <w:numFmt w:val="bullet"/>
      <w:start w:val="1"/>
    </w:lvl>
  </w:abstractNum>
  <w:abstractNum w:abstractNumId="71">
    <w:nsid w:val="14D53685"/>
    <w:multiLevelType w:val="hybridMultilevel"/>
    <w:lvl w:ilvl="0">
      <w:lvlJc w:val="left"/>
      <w:lvlText w:val="3"/>
      <w:numFmt w:val="bullet"/>
      <w:start w:val="1"/>
    </w:lvl>
  </w:abstractNum>
  <w:abstractNum w:abstractNumId="72">
    <w:nsid w:val="230F856C"/>
    <w:multiLevelType w:val="hybridMultilevel"/>
    <w:lvl w:ilvl="0">
      <w:lvlJc w:val="left"/>
      <w:lvlText w:val="4"/>
      <w:numFmt w:val="bullet"/>
      <w:start w:val="1"/>
    </w:lvl>
  </w:abstractNum>
  <w:abstractNum w:abstractNumId="73">
    <w:nsid w:val="6EAA85FB"/>
    <w:multiLevelType w:val="hybridMultilevel"/>
    <w:lvl w:ilvl="0">
      <w:lvlJc w:val="left"/>
      <w:lvlText w:val="5"/>
      <w:numFmt w:val="bullet"/>
      <w:start w:val="1"/>
    </w:lvl>
  </w:abstractNum>
  <w:abstractNum w:abstractNumId="74">
    <w:nsid w:val="3F06ECB2"/>
    <w:multiLevelType w:val="hybridMultilevel"/>
    <w:lvl w:ilvl="0">
      <w:lvlJc w:val="left"/>
      <w:lvlText w:val="6"/>
      <w:numFmt w:val="bullet"/>
      <w:start w:val="1"/>
    </w:lvl>
  </w:abstractNum>
  <w:abstractNum w:abstractNumId="75">
    <w:nsid w:val="3B594807"/>
    <w:multiLevelType w:val="hybridMultilevel"/>
    <w:lvl w:ilvl="0">
      <w:lvlJc w:val="left"/>
      <w:lvlText w:val="%1."/>
      <w:numFmt w:val="upperLetter"/>
      <w:start w:val="1"/>
    </w:lvl>
  </w:abstractNum>
  <w:abstractNum w:abstractNumId="76">
    <w:nsid w:val="6CAA2304"/>
    <w:multiLevelType w:val="hybridMultilevel"/>
    <w:lvl w:ilvl="0">
      <w:lvlJc w:val="left"/>
      <w:lvlText w:val="%1."/>
      <w:numFmt w:val="decimal"/>
      <w:start w:val="1"/>
    </w:lvl>
  </w:abstractNum>
  <w:abstractNum w:abstractNumId="77">
    <w:nsid w:val="3F7C2FF4"/>
    <w:multiLevelType w:val="hybridMultilevel"/>
    <w:lvl w:ilvl="0">
      <w:lvlJc w:val="left"/>
      <w:lvlText w:val="%1."/>
      <w:numFmt w:val="decimal"/>
      <w:start w:val="4"/>
    </w:lvl>
    <w:lvl w:ilvl="1">
      <w:lvlJc w:val="left"/>
      <w:lvlText w:val="(%2)"/>
      <w:numFmt w:val="upperLetter"/>
      <w:start w:val="1"/>
    </w:lvl>
    <w:lvl w:ilvl="2">
      <w:lvlJc w:val="left"/>
      <w:lvlText w:val="(%3)"/>
      <w:numFmt w:val="upperLetter"/>
      <w:start w:val="1"/>
    </w:lvl>
  </w:abstractNum>
  <w:abstractNum w:abstractNumId="78">
    <w:nsid w:val="25413BEC"/>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abstractNum>
  <w:abstractNum w:abstractNumId="79">
    <w:nsid w:val="17180B0B"/>
    <w:multiLevelType w:val="hybridMultilevel"/>
    <w:lvl w:ilvl="0">
      <w:lvlJc w:val="left"/>
      <w:lvlText w:val="%1."/>
      <w:numFmt w:val="decimal"/>
      <w:start w:val="7"/>
    </w:lvl>
  </w:abstractNum>
  <w:abstractNum w:abstractNumId="80">
    <w:nsid w:val="579328B9"/>
    <w:multiLevelType w:val="hybridMultilevel"/>
    <w:lvl w:ilvl="0">
      <w:lvlJc w:val="left"/>
      <w:lvlText w:val="1"/>
      <w:numFmt w:val="bullet"/>
      <w:start w:val="1"/>
    </w:lvl>
  </w:abstractNum>
  <w:abstractNum w:abstractNumId="81">
    <w:nsid w:val="5D205E20"/>
    <w:multiLevelType w:val="hybridMultilevel"/>
    <w:lvl w:ilvl="0">
      <w:lvlJc w:val="left"/>
      <w:lvlText w:val="(%1)"/>
      <w:numFmt w:val="decimal"/>
      <w:start w:val="1"/>
    </w:lvl>
  </w:abstractNum>
  <w:abstractNum w:abstractNumId="82">
    <w:nsid w:val="11CCA8BA"/>
    <w:multiLevelType w:val="hybridMultilevel"/>
    <w:lvl w:ilvl="0">
      <w:lvlJc w:val="left"/>
      <w:lvlText w:val="(%1)"/>
      <w:numFmt w:val="lowerLetter"/>
      <w:start w:val="1"/>
    </w:lvl>
  </w:abstractNum>
  <w:abstractNum w:abstractNumId="83">
    <w:nsid w:val="4D32AB86"/>
    <w:multiLevelType w:val="hybridMultilevel"/>
    <w:lvl w:ilvl="0">
      <w:lvlJc w:val="left"/>
      <w:lvlText w:val="(%1)"/>
      <w:numFmt w:val="lowerLetter"/>
      <w:start w:val="1"/>
    </w:lvl>
  </w:abstractNum>
  <w:abstractNum w:abstractNumId="84">
    <w:nsid w:val="3F07ACC3"/>
    <w:multiLevelType w:val="hybridMultilevel"/>
    <w:lvl w:ilvl="0">
      <w:lvlJc w:val="left"/>
      <w:lvlText w:val="(%1)"/>
      <w:numFmt w:val="lowerLetter"/>
      <w:start w:val="1"/>
    </w:lvl>
  </w:abstractNum>
  <w:abstractNum w:abstractNumId="85">
    <w:nsid w:val="6B47F63E"/>
    <w:multiLevelType w:val="hybridMultilevel"/>
    <w:lvl w:ilvl="0">
      <w:lvlJc w:val="left"/>
      <w:lvlText w:val="(%1)"/>
      <w:numFmt w:val="lowerLetter"/>
      <w:start w:val="3"/>
    </w:lvl>
  </w:abstractNum>
  <w:abstractNum w:abstractNumId="86">
    <w:nsid w:val="5CB44A05"/>
    <w:multiLevelType w:val="hybridMultilevel"/>
    <w:lvl w:ilvl="0">
      <w:lvlJc w:val="left"/>
      <w:lvlText w:val="(%1)"/>
      <w:numFmt w:val="lowerLetter"/>
      <w:start w:val="1"/>
    </w:lvl>
  </w:abstractNum>
  <w:abstractNum w:abstractNumId="87">
    <w:nsid w:val="16CF80F1"/>
    <w:multiLevelType w:val="hybridMultilevel"/>
    <w:lvl w:ilvl="0">
      <w:lvlJc w:val="left"/>
      <w:lvlText w:val="(%1)"/>
      <w:numFmt w:val="decimal"/>
      <w:start w:val="3"/>
    </w:lvl>
  </w:abstractNum>
  <w:abstractNum w:abstractNumId="88">
    <w:nsid w:val="1C695DEC"/>
    <w:multiLevelType w:val="hybridMultilevel"/>
    <w:lvl w:ilvl="0">
      <w:lvlJc w:val="left"/>
      <w:lvlText w:val="(%1)"/>
      <w:numFmt w:val="lowerLetter"/>
      <w:start w:val="1"/>
    </w:lvl>
  </w:abstractNum>
  <w:abstractNum w:abstractNumId="89">
    <w:nsid w:val="3FCFAED9"/>
    <w:multiLevelType w:val="hybridMultilevel"/>
    <w:lvl w:ilvl="0">
      <w:lvlJc w:val="left"/>
      <w:lvlText w:val="(%1)"/>
      <w:numFmt w:val="lowerLetter"/>
      <w:start w:val="2"/>
    </w:lvl>
  </w:abstractNum>
  <w:abstractNum w:abstractNumId="90">
    <w:nsid w:val="F856867"/>
    <w:multiLevelType w:val="hybridMultilevel"/>
    <w:lvl w:ilvl="0">
      <w:lvlJc w:val="left"/>
      <w:lvlText w:val="§"/>
      <w:numFmt w:val="bullet"/>
      <w:start w:val="1"/>
    </w:lvl>
  </w:abstractNum>
  <w:abstractNum w:abstractNumId="91">
    <w:nsid w:val="11B1CC33"/>
    <w:multiLevelType w:val="hybridMultilevel"/>
    <w:lvl w:ilvl="0">
      <w:lvlJc w:val="left"/>
      <w:lvlText w:val="(%1)"/>
      <w:numFmt w:val="lowerLetter"/>
      <w:start w:val="3"/>
    </w:lvl>
  </w:abstractNum>
  <w:abstractNum w:abstractNumId="92">
    <w:nsid w:val="2E22FBB7"/>
    <w:multiLevelType w:val="hybridMultilevel"/>
    <w:lvl w:ilvl="0">
      <w:lvlJc w:val="left"/>
      <w:lvlText w:val="(%1)"/>
      <w:numFmt w:val="lowerLetter"/>
      <w:start w:val="1"/>
    </w:lvl>
  </w:abstractNum>
  <w:abstractNum w:abstractNumId="93">
    <w:nsid w:val="29934699"/>
    <w:multiLevelType w:val="hybridMultilevel"/>
    <w:lvl w:ilvl="0">
      <w:lvlJc w:val="left"/>
      <w:lvlText w:val="(%1)"/>
      <w:numFmt w:val="lowerRoman"/>
      <w:start w:val="10"/>
    </w:lvl>
  </w:abstractNum>
  <w:abstractNum w:abstractNumId="94">
    <w:nsid w:val="77485850"/>
    <w:multiLevelType w:val="hybridMultilevel"/>
    <w:lvl w:ilvl="0">
      <w:lvlJc w:val="left"/>
      <w:lvlText w:val="(%1)"/>
      <w:numFmt w:val="lowerRoman"/>
      <w:start w:val="2"/>
    </w:lvl>
  </w:abstractNum>
  <w:abstractNum w:abstractNumId="95">
    <w:nsid w:val="744939A3"/>
    <w:multiLevelType w:val="hybridMultilevel"/>
    <w:lvl w:ilvl="0">
      <w:lvlJc w:val="left"/>
      <w:lvlText w:val="(%1)"/>
      <w:numFmt w:val="decimal"/>
      <w:start w:val="12"/>
    </w:lvl>
  </w:abstractNum>
  <w:abstractNum w:abstractNumId="96">
    <w:nsid w:val="4FA0D2E3"/>
    <w:multiLevelType w:val="hybridMultilevel"/>
    <w:lvl w:ilvl="0">
      <w:lvlJc w:val="left"/>
      <w:lvlText w:val="%1"/>
      <w:numFmt w:val="lowerLetter"/>
      <w:start w:val="1"/>
    </w:lvl>
    <w:lvl w:ilvl="1">
      <w:lvlJc w:val="left"/>
      <w:lvlText w:val="(%2)"/>
      <w:numFmt w:val="lowerLetter"/>
      <w:start w:val="1"/>
    </w:lvl>
  </w:abstractNum>
  <w:abstractNum w:abstractNumId="97">
    <w:nsid w:val="6B1D2C14"/>
    <w:multiLevelType w:val="hybridMultilevel"/>
    <w:lvl w:ilvl="0">
      <w:lvlJc w:val="left"/>
      <w:lvlText w:val="(%1)"/>
      <w:numFmt w:val="lowerLetter"/>
      <w:start w:val="35"/>
    </w:lvl>
    <w:lvl w:ilvl="1">
      <w:lvlJc w:val="left"/>
      <w:lvlText w:val="(%2)"/>
      <w:numFmt w:val="lowerLetter"/>
      <w:start w:val="2"/>
    </w:lvl>
  </w:abstractNum>
  <w:abstractNum w:abstractNumId="98">
    <w:nsid w:val="68B867D3"/>
    <w:multiLevelType w:val="hybridMultilevel"/>
    <w:lvl w:ilvl="0">
      <w:lvlJc w:val="left"/>
      <w:lvlText w:val="(%1)"/>
      <w:numFmt w:val="lowerLetter"/>
      <w:start w:val="3"/>
    </w:lvl>
  </w:abstractNum>
  <w:abstractNum w:abstractNumId="99">
    <w:nsid w:val="3F7F5DD9"/>
    <w:multiLevelType w:val="hybridMultilevel"/>
    <w:lvl w:ilvl="0">
      <w:lvlJc w:val="left"/>
      <w:lvlText w:val="(%1)"/>
      <w:numFmt w:val="lowerRoman"/>
      <w:start w:val="1"/>
    </w:lvl>
  </w:abstractNum>
  <w:abstractNum w:abstractNumId="100">
    <w:nsid w:val="2AE05A34"/>
    <w:multiLevelType w:val="hybridMultilevel"/>
    <w:lvl w:ilvl="0">
      <w:lvlJc w:val="left"/>
      <w:lvlText w:val="(%1)"/>
      <w:numFmt w:val="lowerRoman"/>
      <w:start w:val="6"/>
    </w:lvl>
  </w:abstractNum>
  <w:abstractNum w:abstractNumId="101">
    <w:nsid w:val="32794FF7"/>
    <w:multiLevelType w:val="hybridMultilevel"/>
    <w:lvl w:ilvl="0">
      <w:lvlJc w:val="left"/>
      <w:lvlText w:val="(%1)"/>
      <w:numFmt w:val="lowerLetter"/>
      <w:start w:val="2"/>
    </w:lvl>
  </w:abstractNum>
  <w:abstractNum w:abstractNumId="102">
    <w:nsid w:val="5454945E"/>
    <w:multiLevelType w:val="hybridMultilevel"/>
    <w:lvl w:ilvl="0">
      <w:lvlJc w:val="left"/>
      <w:lvlText w:val="(%1)"/>
      <w:numFmt w:val="lowerLetter"/>
      <w:start w:val="1"/>
    </w:lvl>
  </w:abstractNum>
  <w:abstractNum w:abstractNumId="103">
    <w:nsid w:val="4DEFDFA0"/>
    <w:multiLevelType w:val="hybridMultilevel"/>
    <w:lvl w:ilvl="0">
      <w:lvlJc w:val="left"/>
      <w:lvlText w:val="%1"/>
      <w:numFmt w:val="lowerLetter"/>
      <w:start w:val="1"/>
    </w:lvl>
    <w:lvl w:ilvl="1">
      <w:lvlJc w:val="left"/>
      <w:lvlText w:val="(%2)"/>
      <w:numFmt w:val="lowerRoman"/>
      <w:start w:val="1"/>
    </w:lvl>
  </w:abstractNum>
  <w:abstractNum w:abstractNumId="104">
    <w:nsid w:val="2123D5F2"/>
    <w:multiLevelType w:val="hybridMultilevel"/>
    <w:lvl w:ilvl="0">
      <w:lvlJc w:val="left"/>
      <w:lvlText w:val="(%1)"/>
      <w:numFmt w:val="lowerLetter"/>
      <w:start w:val="2"/>
    </w:lvl>
    <w:lvl w:ilvl="1">
      <w:lvlJc w:val="left"/>
      <w:lvlText w:val="(%2)"/>
      <w:numFmt w:val="lowerRoman"/>
      <w:start w:val="1"/>
    </w:lvl>
  </w:abstractNum>
  <w:abstractNum w:abstractNumId="105">
    <w:nsid w:val="135B8110"/>
    <w:multiLevelType w:val="hybridMultilevel"/>
    <w:lvl w:ilvl="0">
      <w:lvlJc w:val="left"/>
      <w:lvlText w:val="(%1)"/>
      <w:numFmt w:val="lowerLetter"/>
      <w:start w:val="3"/>
    </w:lvl>
    <w:lvl w:ilvl="1">
      <w:lvlJc w:val="left"/>
      <w:lvlText w:val="(%2)"/>
      <w:numFmt w:val="lowerRoman"/>
      <w:start w:val="1"/>
    </w:lvl>
  </w:abstractNum>
  <w:abstractNum w:abstractNumId="106">
    <w:nsid w:val="94927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07">
    <w:nsid w:val="DCDF8F6"/>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108">
    <w:nsid w:val="52D7B105"/>
    <w:multiLevelType w:val="hybridMultilevel"/>
    <w:lvl w:ilvl="0">
      <w:lvlJc w:val="left"/>
      <w:lvlText w:val="%1"/>
      <w:numFmt w:val="lowerLetter"/>
      <w:start w:val="1"/>
    </w:lvl>
    <w:lvl w:ilvl="1">
      <w:lvlJc w:val="left"/>
      <w:lvlText w:val="(%2)"/>
      <w:numFmt w:val="lowerRoman"/>
      <w:start w:val="2"/>
    </w:lvl>
  </w:abstractNum>
  <w:abstractNum w:abstractNumId="109">
    <w:nsid w:val="2E8A6394"/>
    <w:multiLevelType w:val="hybridMultilevel"/>
    <w:lvl w:ilvl="0">
      <w:lvlJc w:val="left"/>
      <w:lvlText w:val="(%1)"/>
      <w:numFmt w:val="lowerLetter"/>
      <w:start w:val="25"/>
    </w:lvl>
    <w:lvl w:ilvl="1">
      <w:lvlJc w:val="left"/>
      <w:lvlText w:val="(%2)"/>
      <w:numFmt w:val="lowerRoman"/>
      <w:start w:val="4"/>
    </w:lvl>
  </w:abstractNum>
  <w:abstractNum w:abstractNumId="110">
    <w:nsid w:val="24E60401"/>
    <w:multiLevelType w:val="hybridMultilevel"/>
    <w:lvl w:ilvl="0">
      <w:lvlJc w:val="left"/>
      <w:lvlText w:val="(%1)"/>
      <w:numFmt w:val="lowerLetter"/>
      <w:start w:val="4"/>
    </w:lvl>
  </w:abstractNum>
  <w:abstractNum w:abstractNumId="111">
    <w:nsid w:val="2A6AD9B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2">
    <w:nsid w:val="BAAC1B4"/>
    <w:multiLevelType w:val="hybridMultilevel"/>
    <w:lvl w:ilvl="0">
      <w:lvlJc w:val="left"/>
      <w:lvlText w:val="(%1)"/>
      <w:numFmt w:val="lowerLetter"/>
      <w:start w:val="2"/>
    </w:lvl>
    <w:lvl w:ilvl="1">
      <w:lvlJc w:val="left"/>
      <w:lvlText w:val="(%2)"/>
      <w:numFmt w:val="lowerRoman"/>
      <w:start w:val="1"/>
    </w:lvl>
  </w:abstractNum>
  <w:abstractNum w:abstractNumId="113">
    <w:nsid w:val="36B2ACBC"/>
    <w:multiLevelType w:val="hybridMultilevel"/>
    <w:lvl w:ilvl="0">
      <w:lvlJc w:val="left"/>
      <w:lvlText w:val="(%1)"/>
      <w:numFmt w:val="lowerLetter"/>
      <w:start w:val="3"/>
    </w:lvl>
  </w:abstractNum>
  <w:abstractNum w:abstractNumId="114">
    <w:nsid w:val="779D8544"/>
    <w:multiLevelType w:val="hybridMultilevel"/>
    <w:lvl w:ilvl="0">
      <w:lvlJc w:val="left"/>
      <w:lvlText w:val="(%1)"/>
      <w:numFmt w:val="lowerLetter"/>
      <w:start w:val="1"/>
    </w:lvl>
  </w:abstractNum>
  <w:abstractNum w:abstractNumId="115">
    <w:nsid w:val="4AB26E78"/>
    <w:multiLevelType w:val="hybridMultilevel"/>
    <w:lvl w:ilvl="0">
      <w:lvlJc w:val="left"/>
      <w:lvlText w:val="(%1)"/>
      <w:numFmt w:val="lowerLetter"/>
      <w:start w:val="2"/>
    </w:lvl>
    <w:lvl w:ilvl="1">
      <w:lvlJc w:val="left"/>
      <w:lvlText w:val="(%2)"/>
      <w:numFmt w:val="lowerRoman"/>
      <w:start w:val="1"/>
    </w:lvl>
  </w:abstractNum>
  <w:abstractNum w:abstractNumId="116">
    <w:nsid w:val="21FAA2FA"/>
    <w:multiLevelType w:val="hybridMultilevel"/>
    <w:lvl w:ilvl="0">
      <w:lvlJc w:val="left"/>
      <w:lvlText w:val="(%1)"/>
      <w:numFmt w:val="lowerLetter"/>
      <w:start w:val="3"/>
    </w:lvl>
  </w:abstractNum>
  <w:abstractNum w:abstractNumId="117">
    <w:nsid w:val="5451CF49"/>
    <w:multiLevelType w:val="hybridMultilevel"/>
    <w:lvl w:ilvl="0">
      <w:lvlJc w:val="left"/>
      <w:lvlText w:val="(%1)"/>
      <w:numFmt w:val="lowerLetter"/>
      <w:start w:val="1"/>
    </w:lvl>
  </w:abstractNum>
  <w:abstractNum w:abstractNumId="118">
    <w:nsid w:val="6181EF69"/>
    <w:multiLevelType w:val="hybridMultilevel"/>
    <w:lvl w:ilvl="0">
      <w:lvlJc w:val="left"/>
      <w:lvlText w:val="(%1)"/>
      <w:numFmt w:val="lowerLetter"/>
      <w:start w:val="1"/>
    </w:lvl>
  </w:abstractNum>
  <w:abstractNum w:abstractNumId="119">
    <w:nsid w:val="3E6400E6"/>
    <w:multiLevelType w:val="hybridMultilevel"/>
    <w:lvl w:ilvl="0">
      <w:lvlJc w:val="left"/>
      <w:lvlText w:val="(%1)"/>
      <w:numFmt w:val="lowerLetter"/>
      <w:start w:val="2"/>
    </w:lvl>
  </w:abstractNum>
  <w:abstractNum w:abstractNumId="120">
    <w:nsid w:val="14217E23"/>
    <w:multiLevelType w:val="hybridMultilevel"/>
    <w:lvl w:ilvl="0">
      <w:lvlJc w:val="left"/>
      <w:lvlText w:val="(%1)"/>
      <w:numFmt w:val="lowerLetter"/>
      <w:start w:val="1"/>
    </w:lvl>
  </w:abstractNum>
  <w:abstractNum w:abstractNumId="121">
    <w:nsid w:val="710757D0"/>
    <w:multiLevelType w:val="hybridMultilevel"/>
    <w:lvl w:ilvl="0">
      <w:lvlJc w:val="left"/>
      <w:lvlText w:val="(%1)"/>
      <w:numFmt w:val="lowerLetter"/>
      <w:start w:val="5"/>
    </w:lvl>
    <w:lvl w:ilvl="1">
      <w:lvlJc w:val="left"/>
      <w:lvlText w:val="(%2)"/>
      <w:numFmt w:val="lowerLetter"/>
      <w:start w:val="9"/>
    </w:lvl>
  </w:abstractNum>
  <w:abstractNum w:abstractNumId="122">
    <w:nsid w:val="5015CD1A"/>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23">
    <w:nsid w:val="424479DA"/>
    <w:multiLevelType w:val="hybridMultilevel"/>
    <w:lvl w:ilvl="0">
      <w:lvlJc w:val="left"/>
      <w:lvlText w:val="%1"/>
      <w:numFmt w:val="upperLetter"/>
      <w:start w:val="1"/>
    </w:lvl>
    <w:lvl w:ilvl="1">
      <w:lvlJc w:val="left"/>
      <w:lvlText w:val="(%2)"/>
      <w:numFmt w:val="decimal"/>
      <w:start w:val="4"/>
    </w:lvl>
  </w:abstractNum>
  <w:abstractNum w:abstractNumId="124">
    <w:nsid w:val="1A9A9E69"/>
    <w:multiLevelType w:val="hybridMultilevel"/>
    <w:lvl w:ilvl="0">
      <w:lvlJc w:val="left"/>
      <w:lvlText w:val="(%1)"/>
      <w:numFmt w:val="upperLetter"/>
      <w:start w:val="3"/>
    </w:lvl>
    <w:lvl w:ilvl="1">
      <w:lvlJc w:val="left"/>
      <w:lvlText w:val="%2"/>
      <w:numFmt w:val="decimal"/>
      <w:start w:val="1"/>
    </w:lvl>
  </w:abstractNum>
  <w:abstractNum w:abstractNumId="125">
    <w:nsid w:val="475E256A"/>
    <w:multiLevelType w:val="hybridMultilevel"/>
    <w:lvl w:ilvl="0">
      <w:lvlJc w:val="left"/>
      <w:lvlText w:val="(%1)"/>
      <w:numFmt w:val="upperLetter"/>
      <w:start w:val="5"/>
    </w:lvl>
  </w:abstractNum>
  <w:abstractNum w:abstractNumId="126">
    <w:nsid w:val="368DB37E"/>
    <w:multiLevelType w:val="hybridMultilevel"/>
    <w:lvl w:ilvl="0">
      <w:lvlJc w:val="left"/>
      <w:lvlText w:val="(%1)"/>
      <w:numFmt w:val="lowerLetter"/>
      <w:start w:val="7"/>
    </w:lvl>
  </w:abstractNum>
  <w:abstractNum w:abstractNumId="127">
    <w:nsid w:val="6A3B714C"/>
    <w:multiLevelType w:val="hybridMultilevel"/>
    <w:lvl w:ilvl="0">
      <w:lvlJc w:val="left"/>
      <w:lvlText w:val="(%1)"/>
      <w:numFmt w:val="lowerLetter"/>
      <w:start w:val="8"/>
    </w:lvl>
  </w:abstractNum>
  <w:abstractNum w:abstractNumId="128">
    <w:nsid w:val="327B517E"/>
    <w:multiLevelType w:val="hybridMultilevel"/>
    <w:lvl w:ilvl="0">
      <w:lvlJc w:val="left"/>
      <w:lvlText w:val="(%1)"/>
      <w:numFmt w:val="lowerLetter"/>
      <w:start w:val="1"/>
    </w:lvl>
  </w:abstractNum>
  <w:abstractNum w:abstractNumId="129">
    <w:nsid w:val="1F461B51"/>
    <w:multiLevelType w:val="hybridMultilevel"/>
    <w:lvl w:ilvl="0">
      <w:lvlJc w:val="left"/>
      <w:lvlText w:val="(%1)"/>
      <w:numFmt w:val="lowerLetter"/>
      <w:start w:val="3"/>
    </w:lvl>
    <w:lvl w:ilvl="1">
      <w:lvlJc w:val="left"/>
      <w:lvlText w:val="(%2)"/>
      <w:numFmt w:val="lowerRoman"/>
      <w:start w:val="1"/>
    </w:lvl>
  </w:abstractNum>
  <w:abstractNum w:abstractNumId="130">
    <w:nsid w:val="29BACF25"/>
    <w:multiLevelType w:val="hybridMultilevel"/>
    <w:lvl w:ilvl="0">
      <w:lvlJc w:val="left"/>
      <w:lvlText w:val="%1"/>
      <w:numFmt w:val="lowerLetter"/>
      <w:start w:val="1"/>
    </w:lvl>
    <w:lvl w:ilvl="1">
      <w:lvlJc w:val="left"/>
      <w:lvlText w:val="(%2)"/>
      <w:numFmt w:val="lowerRoman"/>
      <w:start w:val="9"/>
    </w:lvl>
  </w:abstractNum>
  <w:abstractNum w:abstractNumId="131">
    <w:nsid w:val="5D5BABB3"/>
    <w:multiLevelType w:val="hybridMultilevel"/>
    <w:lvl w:ilvl="0">
      <w:lvlJc w:val="left"/>
      <w:lvlText w:val="(%1)"/>
      <w:numFmt w:val="lowerLetter"/>
      <w:start w:val="4"/>
    </w:lvl>
    <w:lvl w:ilvl="1">
      <w:lvlJc w:val="left"/>
      <w:lvlText w:val="(%2)"/>
      <w:numFmt w:val="lowerRoman"/>
      <w:start w:val="1"/>
    </w:lvl>
  </w:abstractNum>
  <w:abstractNum w:abstractNumId="132">
    <w:nsid w:val="51BF6B48"/>
    <w:multiLevelType w:val="hybridMultilevel"/>
    <w:lvl w:ilvl="0">
      <w:lvlJc w:val="left"/>
      <w:lvlText w:val="(%1)"/>
      <w:numFmt w:val="lowerLetter"/>
      <w:start w:val="1"/>
    </w:lvl>
  </w:abstractNum>
  <w:abstractNum w:abstractNumId="133">
    <w:nsid w:val="7E0F6384"/>
    <w:multiLevelType w:val="hybridMultilevel"/>
    <w:lvl w:ilvl="0">
      <w:lvlJc w:val="left"/>
      <w:lvlText w:val="(%1)"/>
      <w:numFmt w:val="lowerRoman"/>
      <w:start w:val="1"/>
    </w:lvl>
    <w:lvl w:ilvl="1">
      <w:lvlJc w:val="left"/>
      <w:lvlText w:val="(%2)"/>
      <w:numFmt w:val="upperLetter"/>
      <w:start w:val="1"/>
    </w:lvl>
  </w:abstractNum>
  <w:abstractNum w:abstractNumId="134">
    <w:nsid w:val="2B4B8B53"/>
    <w:multiLevelType w:val="hybridMultilevel"/>
    <w:lvl w:ilvl="0">
      <w:lvlJc w:val="left"/>
      <w:lvlText w:val="%1"/>
      <w:numFmt w:val="lowerLetter"/>
      <w:start w:val="1"/>
    </w:lvl>
    <w:lvl w:ilvl="1">
      <w:lvlJc w:val="left"/>
      <w:lvlText w:val="(%2)"/>
      <w:numFmt w:val="upperLetter"/>
      <w:start w:val="2"/>
    </w:lvl>
  </w:abstractNum>
  <w:abstractNum w:abstractNumId="135">
    <w:nsid w:val="72E3413A"/>
    <w:multiLevelType w:val="hybridMultilevel"/>
    <w:lvl w:ilvl="0">
      <w:lvlJc w:val="left"/>
      <w:lvlText w:val="(%1)"/>
      <w:numFmt w:val="lowerLetter"/>
      <w:start w:val="2"/>
    </w:lvl>
    <w:lvl w:ilvl="1">
      <w:lvlJc w:val="left"/>
      <w:lvlText w:val="%2"/>
      <w:numFmt w:val="upperLetter"/>
      <w:start w:val="1"/>
    </w:lvl>
  </w:abstractNum>
  <w:abstractNum w:abstractNumId="136">
    <w:nsid w:val="116AE494"/>
    <w:multiLevelType w:val="hybridMultilevel"/>
    <w:lvl w:ilvl="0">
      <w:lvlJc w:val="left"/>
      <w:lvlText w:val="(%1)"/>
      <w:numFmt w:val="lowerLetter"/>
      <w:start w:val="1"/>
    </w:lvl>
  </w:abstractNum>
  <w:abstractNum w:abstractNumId="137">
    <w:nsid w:val="3494B2FB"/>
    <w:multiLevelType w:val="hybridMultilevel"/>
    <w:lvl w:ilvl="0">
      <w:lvlJc w:val="left"/>
      <w:lvlText w:val="(%1)"/>
      <w:numFmt w:val="lowerLetter"/>
      <w:start w:val="2"/>
    </w:lvl>
  </w:abstractNum>
  <w:abstractNum w:abstractNumId="138">
    <w:nsid w:val="B13A31"/>
    <w:multiLevelType w:val="hybridMultilevel"/>
    <w:lvl w:ilvl="0">
      <w:lvlJc w:val="left"/>
      <w:lvlText w:val="(%1)"/>
      <w:numFmt w:val="lowerLetter"/>
      <w:start w:val="1"/>
    </w:lvl>
  </w:abstractNum>
  <w:abstractNum w:abstractNumId="139">
    <w:nsid w:val="64429599"/>
    <w:multiLevelType w:val="hybridMultilevel"/>
    <w:lvl w:ilvl="0">
      <w:lvlJc w:val="left"/>
      <w:lvlText w:val="(%1)"/>
      <w:numFmt w:val="lowerLetter"/>
      <w:start w:val="3"/>
    </w:lvl>
  </w:abstractNum>
  <w:abstractNum w:abstractNumId="140">
    <w:nsid w:val="631F1690"/>
    <w:multiLevelType w:val="hybridMultilevel"/>
    <w:lvl w:ilvl="0">
      <w:lvlJc w:val="left"/>
      <w:lvlText w:val="(%1)"/>
      <w:numFmt w:val="lowerLetter"/>
      <w:start w:val="2"/>
    </w:lvl>
  </w:abstractNum>
  <w:abstractNum w:abstractNumId="141">
    <w:nsid w:val="25973E32"/>
    <w:multiLevelType w:val="hybridMultilevel"/>
    <w:lvl w:ilvl="0">
      <w:lvlJc w:val="left"/>
      <w:lvlText w:val="(%1)"/>
      <w:numFmt w:val="lowerLetter"/>
      <w:start w:val="1"/>
    </w:lvl>
  </w:abstractNum>
  <w:abstractNum w:abstractNumId="142">
    <w:nsid w:val="EAD6F57"/>
    <w:multiLevelType w:val="hybridMultilevel"/>
    <w:lvl w:ilvl="0">
      <w:lvlJc w:val="left"/>
      <w:lvlText w:val="(%1)"/>
      <w:numFmt w:val="lowerLetter"/>
      <w:start w:val="2"/>
    </w:lvl>
  </w:abstractNum>
  <w:abstractNum w:abstractNumId="143">
    <w:nsid w:val="6EC9D844"/>
    <w:multiLevelType w:val="hybridMultilevel"/>
    <w:lvl w:ilvl="0">
      <w:lvlJc w:val="left"/>
      <w:lvlText w:val="(%1)"/>
      <w:numFmt w:val="lowerLetter"/>
      <w:start w:val="1"/>
    </w:lvl>
    <w:lvl w:ilvl="1">
      <w:lvlJc w:val="left"/>
      <w:lvlText w:val="(%2)"/>
      <w:numFmt w:val="lowerRoman"/>
      <w:start w:val="1"/>
    </w:lvl>
  </w:abstractNum>
  <w:abstractNum w:abstractNumId="144">
    <w:nsid w:val="5C49EAEE"/>
    <w:multiLevelType w:val="hybridMultilevel"/>
    <w:lvl w:ilvl="0">
      <w:lvlJc w:val="left"/>
      <w:lvlText w:val="(%1)"/>
      <w:numFmt w:val="lowerRoman"/>
      <w:start w:val="4"/>
    </w:lvl>
  </w:abstractNum>
  <w:abstractNum w:abstractNumId="145">
    <w:nsid w:val="64AF49B"/>
    <w:multiLevelType w:val="hybridMultilevel"/>
    <w:lvl w:ilvl="0">
      <w:lvlJc w:val="left"/>
      <w:lvlText w:val="%1"/>
      <w:numFmt w:val="decimal"/>
      <w:start w:val="1"/>
    </w:lvl>
    <w:lvl w:ilvl="1">
      <w:lvlJc w:val="left"/>
      <w:lvlText w:val="(%2)"/>
      <w:numFmt w:val="lowerRoman"/>
      <w:start w:val="10"/>
    </w:lvl>
  </w:abstractNum>
  <w:abstractNum w:abstractNumId="146">
    <w:nsid w:val="397C46BC"/>
    <w:multiLevelType w:val="hybridMultilevel"/>
    <w:lvl w:ilvl="0">
      <w:lvlJc w:val="left"/>
      <w:lvlText w:val="(%1)"/>
      <w:numFmt w:val="decimal"/>
      <w:start w:val="12"/>
    </w:lvl>
    <w:lvl w:ilvl="1">
      <w:lvlJc w:val="left"/>
      <w:lvlText w:val="(%2)"/>
      <w:numFmt w:val="lowerRoman"/>
      <w:start w:val="12"/>
    </w:lvl>
  </w:abstractNum>
  <w:abstractNum w:abstractNumId="147">
    <w:nsid w:val="7E448DE9"/>
    <w:multiLevelType w:val="hybridMultilevel"/>
    <w:lvl w:ilvl="0">
      <w:lvlJc w:val="left"/>
      <w:lvlText w:val="(%1)"/>
      <w:numFmt w:val="lowerLetter"/>
      <w:start w:val="1"/>
    </w:lvl>
  </w:abstractNum>
  <w:abstractNum w:abstractNumId="148">
    <w:nsid w:val="5A9CC3E5"/>
    <w:multiLevelType w:val="hybridMultilevel"/>
    <w:lvl w:ilvl="0">
      <w:lvlJc w:val="left"/>
      <w:lvlText w:val="(%1)"/>
      <w:numFmt w:val="lowerLetter"/>
      <w:start w:val="1"/>
    </w:lvl>
    <w:lvl w:ilvl="1">
      <w:lvlJc w:val="left"/>
      <w:lvlText w:val="(%2)"/>
      <w:numFmt w:val="lowerRoman"/>
      <w:start w:val="1"/>
    </w:lvl>
  </w:abstractNum>
  <w:abstractNum w:abstractNumId="149">
    <w:nsid w:val="1AFE3625"/>
    <w:multiLevelType w:val="hybridMultilevel"/>
    <w:lvl w:ilvl="0">
      <w:lvlJc w:val="left"/>
      <w:lvlText w:val="(%1)"/>
      <w:numFmt w:val="lowerRoman"/>
      <w:start w:val="4"/>
    </w:lvl>
  </w:abstractNum>
  <w:abstractNum w:abstractNumId="150">
    <w:nsid w:val="3CA88ECF"/>
    <w:multiLevelType w:val="hybridMultilevel"/>
    <w:lvl w:ilvl="0">
      <w:lvlJc w:val="left"/>
      <w:lvlText w:val="(%1)"/>
      <w:numFmt w:val="lowerLetter"/>
      <w:start w:val="1"/>
    </w:lvl>
  </w:abstractNum>
  <w:abstractNum w:abstractNumId="151">
    <w:nsid w:val="6EBE4208"/>
    <w:multiLevelType w:val="hybridMultilevel"/>
    <w:lvl w:ilvl="0">
      <w:lvlJc w:val="left"/>
      <w:lvlText w:val="(%1)"/>
      <w:numFmt w:val="lowerLetter"/>
      <w:start w:val="1"/>
    </w:lvl>
  </w:abstractNum>
  <w:abstractNum w:abstractNumId="152">
    <w:nsid w:val="C058DF5"/>
    <w:multiLevelType w:val="hybridMultilevel"/>
    <w:lvl w:ilvl="0">
      <w:lvlJc w:val="left"/>
      <w:lvlText w:val="(%1)"/>
      <w:numFmt w:val="lowerLetter"/>
      <w:start w:val="1"/>
    </w:lvl>
  </w:abstractNum>
  <w:abstractNum w:abstractNumId="153">
    <w:nsid w:val="CBE5BE9"/>
    <w:multiLevelType w:val="hybridMultilevel"/>
    <w:lvl w:ilvl="0">
      <w:lvlJc w:val="left"/>
      <w:lvlText w:val="(%1)"/>
      <w:numFmt w:val="lowerLetter"/>
      <w:start w:val="3"/>
    </w:lvl>
  </w:abstractNum>
  <w:abstractNum w:abstractNumId="154">
    <w:nsid w:val="3102BBE2"/>
    <w:multiLevelType w:val="hybridMultilevel"/>
    <w:lvl w:ilvl="0">
      <w:lvlJc w:val="left"/>
      <w:lvlText w:val="(%1)"/>
      <w:numFmt w:val="lowerLetter"/>
      <w:start w:val="6"/>
    </w:lvl>
  </w:abstractNum>
  <w:abstractNum w:abstractNumId="155">
    <w:nsid w:val="26A02C5E"/>
    <w:multiLevelType w:val="hybridMultilevel"/>
    <w:lvl w:ilvl="0">
      <w:lvlJc w:val="left"/>
      <w:lvlText w:val="(%1)"/>
      <w:numFmt w:val="lowerLetter"/>
      <w:start w:val="1"/>
    </w:lvl>
  </w:abstractNum>
  <w:abstractNum w:abstractNumId="156">
    <w:nsid w:val="541C8153"/>
    <w:multiLevelType w:val="hybridMultilevel"/>
    <w:lvl w:ilvl="0">
      <w:lvlJc w:val="left"/>
      <w:lvlText w:val="(%1)"/>
      <w:numFmt w:val="lowerLetter"/>
      <w:start w:val="2"/>
    </w:lvl>
  </w:abstractNum>
  <w:abstractNum w:abstractNumId="157">
    <w:nsid w:val="67906F60"/>
    <w:multiLevelType w:val="hybridMultilevel"/>
    <w:lvl w:ilvl="0">
      <w:lvlJc w:val="left"/>
      <w:lvlText w:val="(%1)"/>
      <w:numFmt w:val="lowerLetter"/>
      <w:start w:val="3"/>
    </w:lvl>
  </w:abstractNum>
  <w:abstractNum w:abstractNumId="158">
    <w:nsid w:val="10DB9DAA"/>
    <w:multiLevelType w:val="hybridMultilevel"/>
    <w:lvl w:ilvl="0">
      <w:lvlJc w:val="left"/>
      <w:lvlText w:val="(%1)"/>
      <w:numFmt w:val="lowerLetter"/>
      <w:start w:val="5"/>
    </w:lvl>
  </w:abstractNum>
  <w:abstractNum w:abstractNumId="159">
    <w:nsid w:val="697D2D2"/>
    <w:multiLevelType w:val="hybridMultilevel"/>
    <w:lvl w:ilvl="0">
      <w:lvlJc w:val="left"/>
      <w:lvlText w:val="(%1)"/>
      <w:numFmt w:val="lowerLetter"/>
      <w:start w:val="1"/>
    </w:lvl>
  </w:abstractNum>
  <w:abstractNum w:abstractNumId="160">
    <w:nsid w:val="6D68AB2"/>
    <w:multiLevelType w:val="hybridMultilevel"/>
    <w:lvl w:ilvl="0">
      <w:lvlJc w:val="left"/>
      <w:lvlText w:val="(%1)"/>
      <w:numFmt w:val="lowerLetter"/>
      <w:start w:val="7"/>
    </w:lvl>
  </w:abstractNum>
  <w:abstractNum w:abstractNumId="161">
    <w:nsid w:val="3A966CD0"/>
    <w:multiLevelType w:val="hybridMultilevel"/>
    <w:lvl w:ilvl="0">
      <w:lvlJc w:val="left"/>
      <w:lvlText w:val="(%1)"/>
      <w:numFmt w:val="lowerLetter"/>
      <w:start w:val="15"/>
    </w:lvl>
  </w:abstractNum>
  <w:abstractNum w:abstractNumId="162">
    <w:nsid w:val="63F37E85"/>
    <w:multiLevelType w:val="hybridMultilevel"/>
    <w:lvl w:ilvl="0">
      <w:lvlJc w:val="left"/>
      <w:lvlText w:val="(%1)"/>
      <w:numFmt w:val="lowerLetter"/>
      <w:start w:val="1"/>
    </w:lvl>
  </w:abstractNum>
  <w:abstractNum w:abstractNumId="163">
    <w:nsid w:val="5895F5FA"/>
    <w:multiLevelType w:val="hybridMultilevel"/>
    <w:lvl w:ilvl="0">
      <w:lvlJc w:val="left"/>
      <w:lvlText w:val="(%1)"/>
      <w:numFmt w:val="decimal"/>
      <w:start w:val="3"/>
    </w:lvl>
  </w:abstractNum>
  <w:abstractNum w:abstractNumId="164">
    <w:nsid w:val="38A5D054"/>
    <w:multiLevelType w:val="hybridMultilevel"/>
    <w:lvl w:ilvl="0">
      <w:lvlJc w:val="left"/>
      <w:lvlText w:val="(%1)"/>
      <w:numFmt w:val="lowerLetter"/>
      <w:start w:val="1"/>
    </w:lvl>
  </w:abstractNum>
  <w:abstractNum w:abstractNumId="165">
    <w:nsid w:val="F3F09D8"/>
    <w:multiLevelType w:val="hybridMultilevel"/>
    <w:lvl w:ilvl="0">
      <w:lvlJc w:val="left"/>
      <w:lvlText w:val="(%1)"/>
      <w:numFmt w:val="lowerLetter"/>
      <w:start w:val="1"/>
    </w:lvl>
    <w:lvl w:ilvl="1">
      <w:lvlJc w:val="left"/>
      <w:lvlText w:val="(%2)"/>
      <w:numFmt w:val="lowerRoman"/>
      <w:start w:val="1"/>
    </w:lvl>
  </w:abstractNum>
  <w:abstractNum w:abstractNumId="166">
    <w:nsid w:val="4B793735"/>
    <w:multiLevelType w:val="hybridMultilevel"/>
    <w:lvl w:ilvl="0">
      <w:lvlJc w:val="left"/>
      <w:lvlText w:val="%1"/>
      <w:numFmt w:val="lowerLetter"/>
      <w:start w:val="1"/>
    </w:lvl>
    <w:lvl w:ilvl="1">
      <w:lvlJc w:val="left"/>
      <w:lvlText w:val="(%2)"/>
      <w:numFmt w:val="lowerRoman"/>
      <w:start w:val="3"/>
    </w:lvl>
  </w:abstractNum>
  <w:abstractNum w:abstractNumId="167">
    <w:nsid w:val="4A10B4E8"/>
    <w:multiLevelType w:val="hybridMultilevel"/>
    <w:lvl w:ilvl="0">
      <w:lvlJc w:val="left"/>
      <w:lvlText w:val="(%1)"/>
      <w:numFmt w:val="lowerLetter"/>
      <w:start w:val="2"/>
    </w:lvl>
    <w:lvl w:ilvl="1">
      <w:lvlJc w:val="left"/>
      <w:lvlText w:val="%2"/>
      <w:numFmt w:val="lowerRoman"/>
      <w:start w:val="1"/>
    </w:lvl>
  </w:abstractNum>
  <w:abstractNum w:abstractNumId="168">
    <w:nsid w:val="43D3BCD4"/>
    <w:multiLevelType w:val="hybridMultilevel"/>
    <w:lvl w:ilvl="0">
      <w:lvlJc w:val="left"/>
      <w:lvlText w:val="(%1)"/>
      <w:numFmt w:val="lowerLetter"/>
      <w:start w:val="1"/>
    </w:lvl>
  </w:abstractNum>
  <w:abstractNum w:abstractNumId="169">
    <w:nsid w:val="4C2A7166"/>
    <w:multiLevelType w:val="hybridMultilevel"/>
    <w:lvl w:ilvl="0">
      <w:lvlJc w:val="left"/>
      <w:lvlText w:val="(%1)"/>
      <w:numFmt w:val="lowerLetter"/>
      <w:start w:val="1"/>
    </w:lvl>
  </w:abstractNum>
  <w:abstractNum w:abstractNumId="170">
    <w:nsid w:val="2E534A82"/>
    <w:multiLevelType w:val="hybridMultilevel"/>
    <w:lvl w:ilvl="0">
      <w:lvlJc w:val="left"/>
      <w:lvlText w:val="(%1)"/>
      <w:numFmt w:val="lowerLetter"/>
      <w:start w:val="1"/>
    </w:lvl>
  </w:abstractNum>
  <w:abstractNum w:abstractNumId="171">
    <w:nsid w:val="26F2D364"/>
    <w:multiLevelType w:val="hybridMultilevel"/>
    <w:lvl w:ilvl="0">
      <w:lvlJc w:val="left"/>
      <w:lvlText w:val="(%1)"/>
      <w:numFmt w:val="lowerLetter"/>
      <w:start w:val="1"/>
    </w:lvl>
  </w:abstractNum>
  <w:abstractNum w:abstractNumId="172">
    <w:nsid w:val="71C1AF98"/>
    <w:multiLevelType w:val="hybridMultilevel"/>
    <w:lvl w:ilvl="0">
      <w:lvlJc w:val="left"/>
      <w:lvlText w:val="(%1)"/>
      <w:numFmt w:val="lowerLetter"/>
      <w:start w:val="3"/>
    </w:lvl>
  </w:abstractNum>
  <w:abstractNum w:abstractNumId="173">
    <w:nsid w:val="3D00B9D9"/>
    <w:multiLevelType w:val="hybridMultilevel"/>
    <w:lvl w:ilvl="0">
      <w:lvlJc w:val="left"/>
      <w:lvlText w:val="(%1)"/>
      <w:numFmt w:val="lowerLetter"/>
      <w:start w:val="15"/>
    </w:lvl>
  </w:abstractNum>
  <w:abstractNum w:abstractNumId="174">
    <w:nsid w:val="15BCABA8"/>
    <w:multiLevelType w:val="hybridMultilevel"/>
    <w:lvl w:ilvl="0">
      <w:lvlJc w:val="left"/>
      <w:lvlText w:val="(%1)"/>
      <w:numFmt w:val="lowerLetter"/>
      <w:start w:val="1"/>
    </w:lvl>
  </w:abstractNum>
  <w:abstractNum w:abstractNumId="175">
    <w:nsid w:val="4E0B9A87"/>
    <w:multiLevelType w:val="hybridMultilevel"/>
    <w:lvl w:ilvl="0">
      <w:lvlJc w:val="left"/>
      <w:lvlText w:val="(%1)"/>
      <w:numFmt w:val="lowerLetter"/>
      <w:start w:val="3"/>
    </w:lvl>
  </w:abstractNum>
  <w:abstractNum w:abstractNumId="176">
    <w:nsid w:val="434BAE75"/>
    <w:multiLevelType w:val="hybridMultilevel"/>
    <w:lvl w:ilvl="0">
      <w:lvlJc w:val="left"/>
      <w:lvlText w:val="(%1)"/>
      <w:numFmt w:val="lowerLetter"/>
      <w:start w:val="12"/>
    </w:lvl>
  </w:abstractNum>
  <w:abstractNum w:abstractNumId="177">
    <w:nsid w:val="4F38F265"/>
    <w:multiLevelType w:val="hybridMultilevel"/>
    <w:lvl w:ilvl="0">
      <w:lvlJc w:val="left"/>
      <w:lvlText w:val="(%1)"/>
      <w:numFmt w:val="lowerLetter"/>
      <w:start w:val="1"/>
    </w:lvl>
    <w:lvl w:ilvl="1">
      <w:lvlJc w:val="left"/>
      <w:lvlText w:val="(%2)"/>
      <w:numFmt w:val="lowerRoman"/>
      <w:start w:val="1"/>
    </w:lvl>
  </w:abstractNum>
  <w:abstractNum w:abstractNumId="178">
    <w:nsid w:val="4C502870"/>
    <w:multiLevelType w:val="hybridMultilevel"/>
    <w:lvl w:ilvl="0">
      <w:lvlJc w:val="left"/>
      <w:lvlText w:val="(%1)"/>
      <w:numFmt w:val="lowerRoman"/>
      <w:start w:val="4"/>
    </w:lvl>
  </w:abstractNum>
  <w:abstractNum w:abstractNumId="179">
    <w:nsid w:val="1DE8725A"/>
    <w:multiLevelType w:val="hybridMultilevel"/>
    <w:lvl w:ilvl="0">
      <w:lvlJc w:val="left"/>
      <w:lvlText w:val="(%1)"/>
      <w:numFmt w:val="lowerLetter"/>
      <w:start w:val="1"/>
    </w:lvl>
  </w:abstractNum>
  <w:abstractNum w:abstractNumId="180">
    <w:nsid w:val="6A37288A"/>
    <w:multiLevelType w:val="hybridMultilevel"/>
    <w:lvl w:ilvl="0">
      <w:lvlJc w:val="left"/>
      <w:lvlText w:val="(%1)"/>
      <w:numFmt w:val="lowerLetter"/>
      <w:start w:val="9"/>
    </w:lvl>
  </w:abstractNum>
  <w:abstractNum w:abstractNumId="181">
    <w:nsid w:val="8F8B73F"/>
    <w:multiLevelType w:val="hybridMultilevel"/>
    <w:lvl w:ilvl="0">
      <w:lvlJc w:val="left"/>
      <w:lvlText w:val="(%1)"/>
      <w:numFmt w:val="lowerLetter"/>
      <w:start w:val="1"/>
    </w:lvl>
  </w:abstractNum>
  <w:abstractNum w:abstractNumId="182">
    <w:nsid w:val="CA6B462"/>
    <w:multiLevelType w:val="hybridMultilevel"/>
    <w:lvl w:ilvl="0">
      <w:lvlJc w:val="left"/>
      <w:lvlText w:val="(%1)"/>
      <w:numFmt w:val="lowerLetter"/>
      <w:start w:val="7"/>
    </w:lvl>
  </w:abstractNum>
  <w:abstractNum w:abstractNumId="183">
    <w:nsid w:val="763CB680"/>
    <w:multiLevelType w:val="hybridMultilevel"/>
    <w:lvl w:ilvl="0">
      <w:lvlJc w:val="left"/>
      <w:lvlText w:val="(%1)"/>
      <w:numFmt w:val="lowerLetter"/>
      <w:start w:val="2"/>
    </w:lvl>
  </w:abstractNum>
  <w:abstractNum w:abstractNumId="184">
    <w:nsid w:val="15B71329"/>
    <w:multiLevelType w:val="hybridMultilevel"/>
    <w:lvl w:ilvl="0">
      <w:lvlJc w:val="left"/>
      <w:lvlText w:val="(%1)"/>
      <w:numFmt w:val="lowerLetter"/>
      <w:start w:val="1"/>
    </w:lvl>
  </w:abstractNum>
  <w:abstractNum w:abstractNumId="185">
    <w:nsid w:val="3DA97044"/>
    <w:multiLevelType w:val="hybridMultilevel"/>
    <w:lvl w:ilvl="0">
      <w:lvlJc w:val="left"/>
      <w:lvlText w:val="(%1)"/>
      <w:numFmt w:val="lowerLetter"/>
      <w:start w:val="4"/>
    </w:lvl>
  </w:abstractNum>
  <w:abstractNum w:abstractNumId="186">
    <w:nsid w:val="1CDCE2DE"/>
    <w:multiLevelType w:val="hybridMultilevel"/>
    <w:lvl w:ilvl="0">
      <w:lvlJc w:val="left"/>
      <w:lvlText w:val="%1"/>
      <w:numFmt w:val="lowerLetter"/>
      <w:start w:val="1"/>
    </w:lvl>
    <w:lvl w:ilvl="1">
      <w:lvlJc w:val="left"/>
      <w:lvlText w:val="(%2)"/>
      <w:numFmt w:val="lowerLetter"/>
      <w:start w:val="15"/>
    </w:lvl>
  </w:abstractNum>
  <w:abstractNum w:abstractNumId="187">
    <w:nsid w:val="69D3947C"/>
    <w:multiLevelType w:val="hybridMultilevel"/>
    <w:lvl w:ilvl="0">
      <w:lvlJc w:val="left"/>
      <w:lvlText w:val="(%1)"/>
      <w:numFmt w:val="lowerLetter"/>
      <w:start w:val="9"/>
    </w:lvl>
    <w:lvl w:ilvl="1">
      <w:lvlJc w:val="left"/>
      <w:lvlText w:val="(%2)"/>
      <w:numFmt w:val="lowerLetter"/>
      <w:start w:val="20"/>
    </w:lvl>
  </w:abstractNum>
  <w:abstractNum w:abstractNumId="188">
    <w:nsid w:val="2539DFA5"/>
    <w:multiLevelType w:val="hybridMultilevel"/>
    <w:lvl w:ilvl="0">
      <w:lvlJc w:val="left"/>
      <w:lvlText w:val="(%1)"/>
      <w:numFmt w:val="lowerLetter"/>
      <w:start w:val="1"/>
    </w:lvl>
  </w:abstractNum>
  <w:abstractNum w:abstractNumId="189">
    <w:nsid w:val="2DB88089"/>
    <w:multiLevelType w:val="hybridMultilevel"/>
    <w:lvl w:ilvl="0">
      <w:lvlJc w:val="left"/>
      <w:lvlText w:val="(%1)"/>
      <w:numFmt w:val="lowerLetter"/>
      <w:start w:val="1"/>
    </w:lvl>
  </w:abstractNum>
  <w:abstractNum w:abstractNumId="190">
    <w:nsid w:val="706B674E"/>
    <w:multiLevelType w:val="hybridMultilevel"/>
    <w:lvl w:ilvl="0">
      <w:lvlJc w:val="left"/>
      <w:lvlText w:val="(%1)"/>
      <w:numFmt w:val="lowerLetter"/>
      <w:start w:val="1"/>
    </w:lvl>
  </w:abstractNum>
  <w:abstractNum w:abstractNumId="191">
    <w:nsid w:val="2C106A57"/>
    <w:multiLevelType w:val="hybridMultilevel"/>
    <w:lvl w:ilvl="0">
      <w:lvlJc w:val="left"/>
      <w:lvlText w:val="(%1)"/>
      <w:numFmt w:val="lowerLetter"/>
      <w:start w:val="4"/>
    </w:lvl>
    <w:lvl w:ilvl="1">
      <w:lvlJc w:val="left"/>
      <w:lvlText w:val="(%2)"/>
      <w:numFmt w:val="lowerLetter"/>
      <w:start w:val="9"/>
    </w:lvl>
  </w:abstractNum>
  <w:abstractNum w:abstractNumId="192">
    <w:nsid w:val="684EED59"/>
    <w:multiLevelType w:val="hybridMultilevel"/>
    <w:lvl w:ilvl="0">
      <w:lvlJc w:val="left"/>
      <w:lvlText w:val="%1"/>
      <w:numFmt w:val="lowerLetter"/>
      <w:start w:val="1"/>
    </w:lvl>
    <w:lvl w:ilvl="1">
      <w:lvlJc w:val="left"/>
      <w:lvlText w:val="(%2)"/>
      <w:numFmt w:val="lowerLetter"/>
      <w:start w:val="35"/>
    </w:lvl>
  </w:abstractNum>
  <w:abstractNum w:abstractNumId="193">
    <w:nsid w:val="545EE5D3"/>
    <w:multiLevelType w:val="hybridMultilevel"/>
    <w:lvl w:ilvl="0">
      <w:lvlJc w:val="left"/>
      <w:lvlText w:val="(%1)"/>
      <w:numFmt w:val="lowerLetter"/>
      <w:start w:val="10"/>
    </w:lvl>
    <w:lvl w:ilvl="1">
      <w:lvlJc w:val="left"/>
      <w:lvlText w:val="%2"/>
      <w:numFmt w:val="lowerLetter"/>
      <w:start w:val="1"/>
    </w:lvl>
  </w:abstractNum>
  <w:abstractNum w:abstractNumId="194">
    <w:nsid w:val="4A66051"/>
    <w:multiLevelType w:val="hybridMultilevel"/>
    <w:lvl w:ilvl="0">
      <w:lvlJc w:val="left"/>
      <w:lvlText w:val="%1"/>
      <w:numFmt w:val="lowerLetter"/>
      <w:start w:val="1"/>
    </w:lvl>
    <w:lvl w:ilvl="1">
      <w:lvlJc w:val="left"/>
      <w:lvlText w:val="(%2)"/>
      <w:numFmt w:val="lowerLetter"/>
      <w:start w:val="17"/>
    </w:lvl>
  </w:abstractNum>
  <w:abstractNum w:abstractNumId="195">
    <w:nsid w:val="20F4BDAD"/>
    <w:multiLevelType w:val="hybridMultilevel"/>
    <w:lvl w:ilvl="0">
      <w:lvlJc w:val="left"/>
      <w:lvlText w:val="(%1)"/>
      <w:numFmt w:val="lowerLetter"/>
      <w:start w:val="9"/>
    </w:lvl>
    <w:lvl w:ilvl="1">
      <w:lvlJc w:val="left"/>
      <w:lvlText w:val="%2"/>
      <w:numFmt w:val="lowerLetter"/>
      <w:start w:val="1"/>
    </w:lvl>
  </w:abstractNum>
  <w:abstractNum w:abstractNumId="196">
    <w:nsid w:val="639DEFAC"/>
    <w:multiLevelType w:val="hybridMultilevel"/>
    <w:lvl w:ilvl="0">
      <w:lvlJc w:val="left"/>
      <w:lvlText w:val="(%1)"/>
      <w:numFmt w:val="lowerLetter"/>
      <w:start w:val="1"/>
    </w:lvl>
  </w:abstractNum>
  <w:abstractNum w:abstractNumId="197">
    <w:nsid w:val="501F9786"/>
    <w:multiLevelType w:val="hybridMultilevel"/>
    <w:lvl w:ilvl="0">
      <w:lvlJc w:val="left"/>
      <w:lvlText w:val="(%1)"/>
      <w:numFmt w:val="lowerLetter"/>
      <w:start w:val="2"/>
    </w:lvl>
  </w:abstractNum>
  <w:abstractNum w:abstractNumId="198">
    <w:nsid w:val="6B057295"/>
    <w:multiLevelType w:val="hybridMultilevel"/>
    <w:lvl w:ilvl="0">
      <w:lvlJc w:val="left"/>
      <w:lvlText w:val="(%1)"/>
      <w:numFmt w:val="lowerLetter"/>
      <w:start w:val="1"/>
    </w:lvl>
  </w:abstractNum>
  <w:abstractNum w:abstractNumId="199">
    <w:nsid w:val="2771AC80"/>
    <w:multiLevelType w:val="hybridMultilevel"/>
    <w:lvl w:ilvl="0">
      <w:lvlJc w:val="left"/>
      <w:lvlText w:val="(%1)"/>
      <w:numFmt w:val="lowerLetter"/>
      <w:start w:val="8"/>
    </w:lvl>
  </w:abstractNum>
  <w:abstractNum w:abstractNumId="200">
    <w:nsid w:val="1C4A08EC"/>
    <w:multiLevelType w:val="hybridMultilevel"/>
    <w:lvl w:ilvl="0">
      <w:lvlJc w:val="left"/>
      <w:lvlText w:val="(%1)"/>
      <w:numFmt w:val="lowerLetter"/>
      <w:start w:val="1"/>
    </w:lvl>
    <w:lvl w:ilvl="1">
      <w:lvlJc w:val="left"/>
      <w:lvlText w:val="(%2)"/>
      <w:numFmt w:val="lowerRoman"/>
      <w:start w:val="1"/>
    </w:lvl>
  </w:abstractNum>
  <w:abstractNum w:abstractNumId="201">
    <w:nsid w:val="1958BD1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02">
    <w:nsid w:val="4E647FE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03">
    <w:nsid w:val="E0BB885"/>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204">
    <w:nsid w:val="565976F1"/>
    <w:multiLevelType w:val="hybridMultilevel"/>
    <w:lvl w:ilvl="0">
      <w:lvlJc w:val="left"/>
      <w:lvlText w:val="(%1)"/>
      <w:numFmt w:val="lowerLetter"/>
      <w:start w:val="1"/>
    </w:lvl>
  </w:abstractNum>
  <w:abstractNum w:abstractNumId="205">
    <w:nsid w:val="64212B8C"/>
    <w:multiLevelType w:val="hybridMultilevel"/>
    <w:lvl w:ilvl="0">
      <w:lvlJc w:val="left"/>
      <w:lvlText w:val="(%1)"/>
      <w:numFmt w:val="lowerLetter"/>
      <w:start w:val="1"/>
    </w:lvl>
  </w:abstractNum>
  <w:abstractNum w:abstractNumId="206">
    <w:nsid w:val="5C17530C"/>
    <w:multiLevelType w:val="hybridMultilevel"/>
    <w:lvl w:ilvl="0">
      <w:lvlJc w:val="left"/>
      <w:lvlText w:val="(%1)"/>
      <w:numFmt w:val="lowerLetter"/>
      <w:start w:val="1"/>
    </w:lvl>
  </w:abstractNum>
  <w:abstractNum w:abstractNumId="207">
    <w:nsid w:val="19A52566"/>
    <w:multiLevelType w:val="hybridMultilevel"/>
    <w:lvl w:ilvl="0">
      <w:lvlJc w:val="left"/>
      <w:lvlText w:val="(%1)"/>
      <w:numFmt w:val="lowerRoman"/>
      <w:start w:val="1"/>
    </w:lvl>
  </w:abstractNum>
  <w:abstractNum w:abstractNumId="208">
    <w:nsid w:val="335A1DF1"/>
    <w:multiLevelType w:val="hybridMultilevel"/>
    <w:lvl w:ilvl="0">
      <w:lvlJc w:val="left"/>
      <w:lvlText w:val="(%1)"/>
      <w:numFmt w:val="lowerLetter"/>
      <w:start w:val="2"/>
    </w:lvl>
  </w:abstractNum>
  <w:abstractNum w:abstractNumId="209">
    <w:nsid w:val="28677B7C"/>
    <w:multiLevelType w:val="hybridMultilevel"/>
    <w:lvl w:ilvl="0">
      <w:lvlJc w:val="left"/>
      <w:lvlText w:val="(%1)"/>
      <w:numFmt w:val="lowerLetter"/>
      <w:start w:val="1"/>
    </w:lvl>
  </w:abstractNum>
  <w:abstractNum w:abstractNumId="210">
    <w:nsid w:val="378D97C0"/>
    <w:multiLevelType w:val="hybridMultilevel"/>
    <w:lvl w:ilvl="0">
      <w:lvlJc w:val="left"/>
      <w:lvlText w:val="(%1)"/>
      <w:numFmt w:val="lowerLetter"/>
      <w:start w:val="1"/>
    </w:lvl>
    <w:lvl w:ilvl="1">
      <w:lvlJc w:val="left"/>
      <w:lvlText w:val="(%2)"/>
      <w:numFmt w:val="lowerRoman"/>
      <w:start w:val="1"/>
    </w:lvl>
  </w:abstractNum>
  <w:abstractNum w:abstractNumId="211">
    <w:nsid w:val="1D91467C"/>
    <w:multiLevelType w:val="hybridMultilevel"/>
    <w:lvl w:ilvl="0">
      <w:lvlJc w:val="left"/>
      <w:lvlText w:val="%1"/>
      <w:numFmt w:val="lowerLetter"/>
      <w:start w:val="1"/>
    </w:lvl>
    <w:lvl w:ilvl="1">
      <w:lvlJc w:val="left"/>
      <w:lvlText w:val="(%2)"/>
      <w:numFmt w:val="lowerRoman"/>
      <w:start w:val="4"/>
    </w:lvl>
  </w:abstractNum>
  <w:abstractNum w:abstractNumId="212">
    <w:nsid w:val="316032BB"/>
    <w:multiLevelType w:val="hybridMultilevel"/>
    <w:lvl w:ilvl="0">
      <w:lvlJc w:val="left"/>
      <w:lvlText w:val="(%1)"/>
      <w:numFmt w:val="lowerLetter"/>
      <w:start w:val="2"/>
    </w:lvl>
    <w:lvl w:ilvl="1">
      <w:lvlJc w:val="left"/>
      <w:lvlText w:val="(%2)"/>
      <w:numFmt w:val="lowerRoman"/>
      <w:start w:val="1"/>
    </w:lvl>
  </w:abstractNum>
  <w:abstractNum w:abstractNumId="213">
    <w:nsid w:val="44344C22"/>
    <w:multiLevelType w:val="hybridMultilevel"/>
    <w:lvl w:ilvl="0">
      <w:lvlJc w:val="left"/>
      <w:lvlText w:val="(%1)"/>
      <w:numFmt w:val="lowerLetter"/>
      <w:start w:val="1"/>
    </w:lvl>
  </w:abstractNum>
  <w:abstractNum w:abstractNumId="214">
    <w:nsid w:val="13CDFCF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5">
    <w:nsid w:val="471745E4"/>
    <w:multiLevelType w:val="hybridMultilevel"/>
    <w:lvl w:ilvl="0">
      <w:lvlJc w:val="left"/>
      <w:lvlText w:val="(%1)"/>
      <w:numFmt w:val="lowerLetter"/>
      <w:start w:val="4"/>
    </w:lvl>
  </w:abstractNum>
  <w:abstractNum w:abstractNumId="216">
    <w:nsid w:val="1DDBC66"/>
    <w:multiLevelType w:val="hybridMultilevel"/>
    <w:lvl w:ilvl="0">
      <w:lvlJc w:val="left"/>
      <w:lvlText w:val="(%1)"/>
      <w:numFmt w:val="lowerLetter"/>
      <w:start w:val="7"/>
    </w:lvl>
  </w:abstractNum>
  <w:abstractNum w:abstractNumId="217">
    <w:nsid w:val="30AADFDA"/>
    <w:multiLevelType w:val="hybridMultilevel"/>
    <w:lvl w:ilvl="0">
      <w:lvlJc w:val="left"/>
      <w:lvlText w:val="(%1)"/>
      <w:numFmt w:val="lowerLetter"/>
      <w:start w:val="1"/>
    </w:lvl>
  </w:abstractNum>
  <w:abstractNum w:abstractNumId="218">
    <w:nsid w:val="30EADA61"/>
    <w:multiLevelType w:val="hybridMultilevel"/>
    <w:lvl w:ilvl="0">
      <w:lvlJc w:val="left"/>
      <w:lvlText w:val="(%1)"/>
      <w:numFmt w:val="lowerRoman"/>
      <w:start w:val="1"/>
    </w:lvl>
  </w:abstractNum>
  <w:abstractNum w:abstractNumId="219">
    <w:nsid w:val="27179C0B"/>
    <w:multiLevelType w:val="hybridMultilevel"/>
    <w:lvl w:ilvl="0">
      <w:lvlJc w:val="left"/>
      <w:lvlText w:val="(%1)"/>
      <w:numFmt w:val="lowerLetter"/>
      <w:start w:val="1"/>
    </w:lvl>
  </w:abstractNum>
  <w:abstractNum w:abstractNumId="220">
    <w:nsid w:val="5E636063"/>
    <w:multiLevelType w:val="hybridMultilevel"/>
    <w:lvl w:ilvl="0">
      <w:lvlJc w:val="left"/>
      <w:lvlText w:val="(%1)"/>
      <w:numFmt w:val="lowerLetter"/>
      <w:start w:val="1"/>
    </w:lvl>
    <w:lvl w:ilvl="1">
      <w:lvlJc w:val="left"/>
      <w:lvlText w:val="(%2)"/>
      <w:numFmt w:val="lowerRoman"/>
      <w:start w:val="1"/>
    </w:lvl>
  </w:abstractNum>
  <w:abstractNum w:abstractNumId="221">
    <w:nsid w:val="215641AF"/>
    <w:multiLevelType w:val="hybridMultilevel"/>
    <w:lvl w:ilvl="0">
      <w:lvlJc w:val="left"/>
      <w:lvlText w:val="(%1)"/>
      <w:numFmt w:val="lowerRoman"/>
      <w:start w:val="3"/>
    </w:lvl>
  </w:abstractNum>
  <w:abstractNum w:abstractNumId="222">
    <w:nsid w:val="53280662"/>
    <w:multiLevelType w:val="hybridMultilevel"/>
    <w:lvl w:ilvl="0">
      <w:lvlJc w:val="left"/>
      <w:lvlText w:val="(%1)"/>
      <w:numFmt w:val="lowerLetter"/>
      <w:start w:val="1"/>
    </w:lvl>
  </w:abstractNum>
  <w:abstractNum w:abstractNumId="223">
    <w:nsid w:val="46B24DBC"/>
    <w:multiLevelType w:val="hybridMultilevel"/>
    <w:lvl w:ilvl="0">
      <w:lvlJc w:val="left"/>
      <w:lvlText w:val="%1."/>
      <w:numFmt w:val="decimal"/>
      <w:start w:val="1"/>
    </w:lvl>
  </w:abstractNum>
  <w:abstractNum w:abstractNumId="224">
    <w:nsid w:val="75B52783"/>
    <w:multiLevelType w:val="hybridMultilevel"/>
    <w:lvl w:ilvl="0">
      <w:lvlJc w:val="left"/>
      <w:lvlText w:val="%1."/>
      <w:numFmt w:val="decimal"/>
      <w:start w:val="1"/>
    </w:lvl>
    <w:lvl w:ilvl="1">
      <w:lvlJc w:val="left"/>
      <w:lvlText w:val="%2:"/>
      <w:numFmt w:val="upperLetter"/>
      <w:start w:val="1"/>
    </w:lvl>
  </w:abstractNum>
  <w:abstractNum w:abstractNumId="225">
    <w:nsid w:val="57CE66B4"/>
    <w:multiLevelType w:val="hybridMultilevel"/>
    <w:lvl w:ilvl="0">
      <w:lvlJc w:val="left"/>
      <w:lvlText w:val="%1."/>
      <w:numFmt w:val="decimal"/>
      <w:start w:val="8"/>
    </w:lvl>
    <w:lvl w:ilvl="1">
      <w:lvlJc w:val="left"/>
      <w:lvlText w:val="%2:"/>
      <w:numFmt w:val="upperLetter"/>
      <w:start w:val="1"/>
    </w:lvl>
  </w:abstractNum>
  <w:abstractNum w:abstractNumId="226">
    <w:nsid w:val="67A70B69"/>
    <w:multiLevelType w:val="hybridMultilevel"/>
    <w:lvl w:ilvl="0">
      <w:lvlJc w:val="left"/>
      <w:lvlText w:val="%1."/>
      <w:numFmt w:val="decimal"/>
      <w:start w:val="14"/>
    </w:lvl>
    <w:lvl w:ilvl="1">
      <w:lvlJc w:val="left"/>
      <w:lvlText w:val="%2:"/>
      <w:numFmt w:val="upperLetter"/>
      <w:start w:val="1"/>
    </w:lvl>
  </w:abstractNum>
  <w:abstractNum w:abstractNumId="227">
    <w:nsid w:val="5953172F"/>
    <w:multiLevelType w:val="hybridMultilevel"/>
    <w:lvl w:ilvl="0">
      <w:lvlJc w:val="left"/>
      <w:lvlText w:val="%1."/>
      <w:numFmt w:val="decimal"/>
      <w:start w:val="17"/>
    </w:lvl>
    <w:lvl w:ilvl="1">
      <w:lvlJc w:val="left"/>
      <w:lvlText w:val="%2:"/>
      <w:numFmt w:val="upperLetter"/>
      <w:start w:val="1"/>
    </w:lvl>
  </w:abstractNum>
  <w:abstractNum w:abstractNumId="228">
    <w:nsid w:val="27EDFE3A"/>
    <w:multiLevelType w:val="hybridMultilevel"/>
    <w:lvl w:ilvl="0">
      <w:lvlJc w:val="left"/>
      <w:lvlText w:val="%1."/>
      <w:numFmt w:val="decimal"/>
      <w:start w:val="19"/>
    </w:lvl>
    <w:lvl w:ilvl="1">
      <w:lvlJc w:val="left"/>
      <w:lvlText w:val="%2:"/>
      <w:numFmt w:val="upperLetter"/>
      <w:start w:val="1"/>
    </w:lvl>
  </w:abstractNum>
  <w:abstractNum w:abstractNumId="229">
    <w:nsid w:val="52AC7DFF"/>
    <w:multiLevelType w:val="hybridMultilevel"/>
    <w:lvl w:ilvl="0">
      <w:lvlJc w:val="left"/>
      <w:lvlText w:val="%1"/>
      <w:numFmt w:val="decimal"/>
      <w:start w:val="1"/>
    </w:lvl>
    <w:lvl w:ilvl="1">
      <w:lvlJc w:val="left"/>
      <w:lvlText w:val="%2:"/>
      <w:numFmt w:val="upperLetter"/>
      <w:start w:val="1"/>
    </w:lvl>
  </w:abstractNum>
  <w:abstractNum w:abstractNumId="230">
    <w:nsid w:val="C4C3AF"/>
    <w:multiLevelType w:val="hybridMultilevel"/>
    <w:lvl w:ilvl="0">
      <w:lvlJc w:val="left"/>
      <w:lvlText w:val="%1."/>
      <w:numFmt w:val="decimal"/>
      <w:start w:val="25"/>
    </w:lvl>
    <w:lvl w:ilvl="1">
      <w:lvlJc w:val="left"/>
      <w:lvlText w:val="%2:"/>
      <w:numFmt w:val="upperLetter"/>
      <w:start w:val="1"/>
    </w:lvl>
  </w:abstractNum>
  <w:abstractNum w:abstractNumId="231">
    <w:nsid w:val="44380727"/>
    <w:multiLevelType w:val="hybridMultilevel"/>
    <w:lvl w:ilvl="0">
      <w:lvlJc w:val="left"/>
      <w:lvlText w:val="%1."/>
      <w:numFmt w:val="decimal"/>
      <w:start w:val="1"/>
    </w:lvl>
    <w:lvl w:ilvl="1">
      <w:lvlJc w:val="left"/>
      <w:lvlText w:val="(%2)"/>
      <w:numFmt w:val="lowerLetter"/>
      <w:start w:val="1"/>
    </w:lvl>
  </w:abstractNum>
  <w:abstractNum w:abstractNumId="232">
    <w:nsid w:val="6C053B16"/>
    <w:multiLevelType w:val="hybridMultilevel"/>
    <w:lvl w:ilvl="0">
      <w:lvlJc w:val="left"/>
      <w:lvlText w:val="%1."/>
      <w:numFmt w:val="decimal"/>
      <w:start w:val="1"/>
    </w:lvl>
    <w:lvl w:ilvl="1">
      <w:lvlJc w:val="left"/>
      <w:lvlText w:val="(%2)"/>
      <w:numFmt w:val="lowerLetter"/>
      <w:start w:val="1"/>
    </w:lvl>
  </w:abstractNum>
  <w:abstractNum w:abstractNumId="233">
    <w:nsid w:val="4F294393"/>
    <w:multiLevelType w:val="hybridMultilevel"/>
    <w:lvl w:ilvl="0">
      <w:lvlJc w:val="left"/>
      <w:lvlText w:val="(%1)"/>
      <w:numFmt w:val="decimal"/>
      <w:start w:val="1"/>
    </w:lvl>
  </w:abstractNum>
  <w:abstractNum w:abstractNumId="234">
    <w:nsid w:val="5243B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207" Type="http://schemas.openxmlformats.org/officeDocument/2006/relationships/image" Target="media/image135.png"/><Relationship Id="rId208" Type="http://schemas.openxmlformats.org/officeDocument/2006/relationships/image" Target="media/image136.png"/><Relationship Id="rId210" Type="http://schemas.openxmlformats.org/officeDocument/2006/relationships/image" Target="media/image137.png"/><Relationship Id="rId211" Type="http://schemas.openxmlformats.org/officeDocument/2006/relationships/image" Target="media/image138.png"/><Relationship Id="rId212" Type="http://schemas.openxmlformats.org/officeDocument/2006/relationships/image" Target="media/image139.png"/><Relationship Id="rId213" Type="http://schemas.openxmlformats.org/officeDocument/2006/relationships/image" Target="media/image140.png"/><Relationship Id="rId214" Type="http://schemas.openxmlformats.org/officeDocument/2006/relationships/image" Target="media/image141.png"/><Relationship Id="rId215" Type="http://schemas.openxmlformats.org/officeDocument/2006/relationships/image" Target="media/image142.png"/><Relationship Id="rId216" Type="http://schemas.openxmlformats.org/officeDocument/2006/relationships/image" Target="media/image143.png"/><Relationship Id="rId217" Type="http://schemas.openxmlformats.org/officeDocument/2006/relationships/image" Target="media/image144.png"/><Relationship Id="rId218" Type="http://schemas.openxmlformats.org/officeDocument/2006/relationships/image" Target="media/image145.png"/><Relationship Id="rId219" Type="http://schemas.openxmlformats.org/officeDocument/2006/relationships/image" Target="media/image146.png"/><Relationship Id="rId220" Type="http://schemas.openxmlformats.org/officeDocument/2006/relationships/image" Target="media/image147.png"/><Relationship Id="rId221" Type="http://schemas.openxmlformats.org/officeDocument/2006/relationships/image" Target="media/image148.png"/><Relationship Id="rId222" Type="http://schemas.openxmlformats.org/officeDocument/2006/relationships/image" Target="media/image149.png"/><Relationship Id="rId223" Type="http://schemas.openxmlformats.org/officeDocument/2006/relationships/image" Target="media/image150.png"/><Relationship Id="rId224" Type="http://schemas.openxmlformats.org/officeDocument/2006/relationships/image" Target="media/image151.png"/><Relationship Id="rId225" Type="http://schemas.openxmlformats.org/officeDocument/2006/relationships/image" Target="media/image152.png"/><Relationship Id="rId226" Type="http://schemas.openxmlformats.org/officeDocument/2006/relationships/image" Target="media/image153.png"/><Relationship Id="rId227" Type="http://schemas.openxmlformats.org/officeDocument/2006/relationships/image" Target="media/image154.png"/><Relationship Id="rId228" Type="http://schemas.openxmlformats.org/officeDocument/2006/relationships/image" Target="media/image155.png"/><Relationship Id="rId229" Type="http://schemas.openxmlformats.org/officeDocument/2006/relationships/image" Target="media/image156.png"/><Relationship Id="rId230" Type="http://schemas.openxmlformats.org/officeDocument/2006/relationships/image" Target="media/image157.png"/><Relationship Id="rId231" Type="http://schemas.openxmlformats.org/officeDocument/2006/relationships/image" Target="media/image158.png"/><Relationship Id="rId232" Type="http://schemas.openxmlformats.org/officeDocument/2006/relationships/image" Target="media/image159.png"/><Relationship Id="rId233" Type="http://schemas.openxmlformats.org/officeDocument/2006/relationships/image" Target="media/image160.png"/><Relationship Id="rId234" Type="http://schemas.openxmlformats.org/officeDocument/2006/relationships/image" Target="media/image161.png"/><Relationship Id="rId235" Type="http://schemas.openxmlformats.org/officeDocument/2006/relationships/image" Target="media/image162.png"/><Relationship Id="rId236" Type="http://schemas.openxmlformats.org/officeDocument/2006/relationships/image" Target="media/image163.png"/><Relationship Id="rId237" Type="http://schemas.openxmlformats.org/officeDocument/2006/relationships/image" Target="media/image164.png"/><Relationship Id="rId238" Type="http://schemas.openxmlformats.org/officeDocument/2006/relationships/image" Target="media/image165.png"/><Relationship Id="rId239" Type="http://schemas.openxmlformats.org/officeDocument/2006/relationships/image" Target="media/image166.png"/><Relationship Id="rId240" Type="http://schemas.openxmlformats.org/officeDocument/2006/relationships/image" Target="media/image167.png"/><Relationship Id="rId241" Type="http://schemas.openxmlformats.org/officeDocument/2006/relationships/image" Target="media/image168.png"/><Relationship Id="rId242" Type="http://schemas.openxmlformats.org/officeDocument/2006/relationships/image" Target="media/image169.png"/><Relationship Id="rId243" Type="http://schemas.openxmlformats.org/officeDocument/2006/relationships/image" Target="media/image170.png"/><Relationship Id="rId244" Type="http://schemas.openxmlformats.org/officeDocument/2006/relationships/image" Target="media/image171.png"/><Relationship Id="rId245" Type="http://schemas.openxmlformats.org/officeDocument/2006/relationships/image" Target="media/image172.png"/><Relationship Id="rId246" Type="http://schemas.openxmlformats.org/officeDocument/2006/relationships/image" Target="media/image173.png"/><Relationship Id="rId247" Type="http://schemas.openxmlformats.org/officeDocument/2006/relationships/image" Target="media/image174.png"/><Relationship Id="rId248" Type="http://schemas.openxmlformats.org/officeDocument/2006/relationships/image" Target="media/image175.png"/><Relationship Id="rId249" Type="http://schemas.openxmlformats.org/officeDocument/2006/relationships/image" Target="media/image176.png"/><Relationship Id="rId250" Type="http://schemas.openxmlformats.org/officeDocument/2006/relationships/image" Target="media/image177.png"/><Relationship Id="rId251" Type="http://schemas.openxmlformats.org/officeDocument/2006/relationships/image" Target="media/image178.png"/><Relationship Id="rId252" Type="http://schemas.openxmlformats.org/officeDocument/2006/relationships/image" Target="media/image179.png"/><Relationship Id="rId253" Type="http://schemas.openxmlformats.org/officeDocument/2006/relationships/image" Target="media/image180.png"/><Relationship Id="rId254" Type="http://schemas.openxmlformats.org/officeDocument/2006/relationships/image" Target="media/image181.png"/><Relationship Id="rId255" Type="http://schemas.openxmlformats.org/officeDocument/2006/relationships/image" Target="media/image182.png"/><Relationship Id="rId256" Type="http://schemas.openxmlformats.org/officeDocument/2006/relationships/image" Target="media/image183.png"/><Relationship Id="rId257" Type="http://schemas.openxmlformats.org/officeDocument/2006/relationships/image" Target="media/image184.png"/><Relationship Id="rId258" Type="http://schemas.openxmlformats.org/officeDocument/2006/relationships/image" Target="media/image185.png"/><Relationship Id="rId259" Type="http://schemas.openxmlformats.org/officeDocument/2006/relationships/image" Target="media/image186.png"/><Relationship Id="rId260" Type="http://schemas.openxmlformats.org/officeDocument/2006/relationships/image" Target="media/image187.png"/><Relationship Id="rId261" Type="http://schemas.openxmlformats.org/officeDocument/2006/relationships/image" Target="media/image188.png"/><Relationship Id="rId262" Type="http://schemas.openxmlformats.org/officeDocument/2006/relationships/image" Target="media/image189.png"/><Relationship Id="rId263" Type="http://schemas.openxmlformats.org/officeDocument/2006/relationships/image" Target="media/image190.png"/><Relationship Id="rId264" Type="http://schemas.openxmlformats.org/officeDocument/2006/relationships/image" Target="media/image191.png"/><Relationship Id="rId265" Type="http://schemas.openxmlformats.org/officeDocument/2006/relationships/image" Target="media/image192.png"/><Relationship Id="rId266" Type="http://schemas.openxmlformats.org/officeDocument/2006/relationships/image" Target="media/image193.png"/><Relationship Id="rId267" Type="http://schemas.openxmlformats.org/officeDocument/2006/relationships/image" Target="media/image194.png"/><Relationship Id="rId268" Type="http://schemas.openxmlformats.org/officeDocument/2006/relationships/image" Target="media/image195.png"/><Relationship Id="rId269" Type="http://schemas.openxmlformats.org/officeDocument/2006/relationships/image" Target="media/image196.png"/><Relationship Id="rId270" Type="http://schemas.openxmlformats.org/officeDocument/2006/relationships/image" Target="media/image197.png"/><Relationship Id="rId271" Type="http://schemas.openxmlformats.org/officeDocument/2006/relationships/image" Target="media/image198.png"/><Relationship Id="rId272" Type="http://schemas.openxmlformats.org/officeDocument/2006/relationships/image" Target="media/image199.png"/><Relationship Id="rId273" Type="http://schemas.openxmlformats.org/officeDocument/2006/relationships/image" Target="media/image200.png"/><Relationship Id="rId274" Type="http://schemas.openxmlformats.org/officeDocument/2006/relationships/image" Target="media/image201.png"/><Relationship Id="rId275" Type="http://schemas.openxmlformats.org/officeDocument/2006/relationships/image" Target="media/image202.png"/><Relationship Id="rId276" Type="http://schemas.openxmlformats.org/officeDocument/2006/relationships/image" Target="media/image203.png"/><Relationship Id="rId277" Type="http://schemas.openxmlformats.org/officeDocument/2006/relationships/image" Target="media/image204.png"/><Relationship Id="rId278" Type="http://schemas.openxmlformats.org/officeDocument/2006/relationships/image" Target="media/image205.png"/><Relationship Id="rId279" Type="http://schemas.openxmlformats.org/officeDocument/2006/relationships/image" Target="media/image206.png"/><Relationship Id="rId280" Type="http://schemas.openxmlformats.org/officeDocument/2006/relationships/image" Target="media/image207.png"/><Relationship Id="rId281" Type="http://schemas.openxmlformats.org/officeDocument/2006/relationships/image" Target="media/image208.png"/><Relationship Id="rId282" Type="http://schemas.openxmlformats.org/officeDocument/2006/relationships/image" Target="media/image209.png"/><Relationship Id="rId283" Type="http://schemas.openxmlformats.org/officeDocument/2006/relationships/image" Target="media/image210.png"/><Relationship Id="rId284" Type="http://schemas.openxmlformats.org/officeDocument/2006/relationships/image" Target="media/image211.png"/><Relationship Id="rId285" Type="http://schemas.openxmlformats.org/officeDocument/2006/relationships/image" Target="media/image212.png"/><Relationship Id="rId286" Type="http://schemas.openxmlformats.org/officeDocument/2006/relationships/image" Target="media/image213.png"/><Relationship Id="rId287" Type="http://schemas.openxmlformats.org/officeDocument/2006/relationships/image" Target="media/image214.png"/><Relationship Id="rId288" Type="http://schemas.openxmlformats.org/officeDocument/2006/relationships/image" Target="media/image215.png"/><Relationship Id="rId289" Type="http://schemas.openxmlformats.org/officeDocument/2006/relationships/image" Target="media/image216.png"/><Relationship Id="rId290" Type="http://schemas.openxmlformats.org/officeDocument/2006/relationships/image" Target="media/image217.png"/><Relationship Id="rId291" Type="http://schemas.openxmlformats.org/officeDocument/2006/relationships/image" Target="media/image218.png"/><Relationship Id="rId292" Type="http://schemas.openxmlformats.org/officeDocument/2006/relationships/image" Target="media/image219.png"/><Relationship Id="rId293" Type="http://schemas.openxmlformats.org/officeDocument/2006/relationships/image" Target="media/image220.png"/><Relationship Id="rId294" Type="http://schemas.openxmlformats.org/officeDocument/2006/relationships/image" Target="media/image221.png"/><Relationship Id="rId295" Type="http://schemas.openxmlformats.org/officeDocument/2006/relationships/image" Target="media/image222.png"/><Relationship Id="rId296" Type="http://schemas.openxmlformats.org/officeDocument/2006/relationships/image" Target="media/image223.png"/><Relationship Id="rId297" Type="http://schemas.openxmlformats.org/officeDocument/2006/relationships/image" Target="media/image224.png"/><Relationship Id="rId298" Type="http://schemas.openxmlformats.org/officeDocument/2006/relationships/image" Target="media/image225.png"/><Relationship Id="rId299" Type="http://schemas.openxmlformats.org/officeDocument/2006/relationships/image" Target="media/image226.png"/><Relationship Id="rId300" Type="http://schemas.openxmlformats.org/officeDocument/2006/relationships/image" Target="media/image227.png"/><Relationship Id="rId301" Type="http://schemas.openxmlformats.org/officeDocument/2006/relationships/image" Target="media/image228.png"/><Relationship Id="rId302" Type="http://schemas.openxmlformats.org/officeDocument/2006/relationships/image" Target="media/image229.png"/><Relationship Id="rId303" Type="http://schemas.openxmlformats.org/officeDocument/2006/relationships/image" Target="media/image230.png"/><Relationship Id="rId304" Type="http://schemas.openxmlformats.org/officeDocument/2006/relationships/image" Target="media/image231.png"/><Relationship Id="rId305" Type="http://schemas.openxmlformats.org/officeDocument/2006/relationships/image" Target="media/image232.png"/><Relationship Id="rId306" Type="http://schemas.openxmlformats.org/officeDocument/2006/relationships/image" Target="media/image233.png"/><Relationship Id="rId307" Type="http://schemas.openxmlformats.org/officeDocument/2006/relationships/image" Target="media/image234.png"/><Relationship Id="rId308" Type="http://schemas.openxmlformats.org/officeDocument/2006/relationships/image" Target="media/image235.png"/><Relationship Id="rId309" Type="http://schemas.openxmlformats.org/officeDocument/2006/relationships/image" Target="media/image236.png"/><Relationship Id="rId310" Type="http://schemas.openxmlformats.org/officeDocument/2006/relationships/image" Target="media/image237.png"/><Relationship Id="rId311" Type="http://schemas.openxmlformats.org/officeDocument/2006/relationships/image" Target="media/image238.png"/><Relationship Id="rId312" Type="http://schemas.openxmlformats.org/officeDocument/2006/relationships/image" Target="media/image239.png"/><Relationship Id="rId313" Type="http://schemas.openxmlformats.org/officeDocument/2006/relationships/image" Target="media/image240.png"/><Relationship Id="rId314" Type="http://schemas.openxmlformats.org/officeDocument/2006/relationships/image" Target="media/image241.png"/><Relationship Id="rId315" Type="http://schemas.openxmlformats.org/officeDocument/2006/relationships/image" Target="media/image242.png"/><Relationship Id="rId316" Type="http://schemas.openxmlformats.org/officeDocument/2006/relationships/image" Target="media/image243.png"/><Relationship Id="rId317" Type="http://schemas.openxmlformats.org/officeDocument/2006/relationships/image" Target="media/image244.png"/><Relationship Id="rId318" Type="http://schemas.openxmlformats.org/officeDocument/2006/relationships/image" Target="media/image245.png"/><Relationship Id="rId319" Type="http://schemas.openxmlformats.org/officeDocument/2006/relationships/image" Target="media/image246.png"/><Relationship Id="rId320" Type="http://schemas.openxmlformats.org/officeDocument/2006/relationships/image" Target="media/image247.png"/><Relationship Id="rId321" Type="http://schemas.openxmlformats.org/officeDocument/2006/relationships/image" Target="media/image248.png"/><Relationship Id="rId322" Type="http://schemas.openxmlformats.org/officeDocument/2006/relationships/image" Target="media/image249.png"/><Relationship Id="rId323" Type="http://schemas.openxmlformats.org/officeDocument/2006/relationships/image" Target="media/image250.png"/><Relationship Id="rId324" Type="http://schemas.openxmlformats.org/officeDocument/2006/relationships/image" Target="media/image251.png"/><Relationship Id="rId325" Type="http://schemas.openxmlformats.org/officeDocument/2006/relationships/image" Target="media/image252.png"/><Relationship Id="rId326" Type="http://schemas.openxmlformats.org/officeDocument/2006/relationships/image" Target="media/image253.png"/><Relationship Id="rId327" Type="http://schemas.openxmlformats.org/officeDocument/2006/relationships/image" Target="media/image254.png"/><Relationship Id="rId328" Type="http://schemas.openxmlformats.org/officeDocument/2006/relationships/image" Target="media/image255.png"/><Relationship Id="rId329" Type="http://schemas.openxmlformats.org/officeDocument/2006/relationships/image" Target="media/image256.png"/><Relationship Id="rId330" Type="http://schemas.openxmlformats.org/officeDocument/2006/relationships/image" Target="media/image257.png"/><Relationship Id="rId331" Type="http://schemas.openxmlformats.org/officeDocument/2006/relationships/image" Target="media/image258.png"/><Relationship Id="rId332" Type="http://schemas.openxmlformats.org/officeDocument/2006/relationships/image" Target="media/image259.png"/><Relationship Id="rId333" Type="http://schemas.openxmlformats.org/officeDocument/2006/relationships/image" Target="media/image260.png"/><Relationship Id="rId334" Type="http://schemas.openxmlformats.org/officeDocument/2006/relationships/image" Target="media/image261.png"/><Relationship Id="rId335" Type="http://schemas.openxmlformats.org/officeDocument/2006/relationships/image" Target="media/image262.png"/><Relationship Id="rId336" Type="http://schemas.openxmlformats.org/officeDocument/2006/relationships/image" Target="media/image263.png"/><Relationship Id="rId337" Type="http://schemas.openxmlformats.org/officeDocument/2006/relationships/image" Target="media/image264.png"/><Relationship Id="rId338" Type="http://schemas.openxmlformats.org/officeDocument/2006/relationships/image" Target="media/image265.png"/><Relationship Id="rId339" Type="http://schemas.openxmlformats.org/officeDocument/2006/relationships/image" Target="media/image266.png"/><Relationship Id="rId340" Type="http://schemas.openxmlformats.org/officeDocument/2006/relationships/image" Target="media/image267.png"/><Relationship Id="rId341" Type="http://schemas.openxmlformats.org/officeDocument/2006/relationships/image" Target="media/image268.png"/><Relationship Id="rId342" Type="http://schemas.openxmlformats.org/officeDocument/2006/relationships/image" Target="media/image269.png"/><Relationship Id="rId343" Type="http://schemas.openxmlformats.org/officeDocument/2006/relationships/image" Target="media/image270.png"/><Relationship Id="rId344" Type="http://schemas.openxmlformats.org/officeDocument/2006/relationships/image" Target="media/image271.png"/><Relationship Id="rId345" Type="http://schemas.openxmlformats.org/officeDocument/2006/relationships/image" Target="media/image272.png"/><Relationship Id="rId346" Type="http://schemas.openxmlformats.org/officeDocument/2006/relationships/image" Target="media/image273.png"/><Relationship Id="rId347" Type="http://schemas.openxmlformats.org/officeDocument/2006/relationships/image" Target="media/image274.png"/><Relationship Id="rId348" Type="http://schemas.openxmlformats.org/officeDocument/2006/relationships/image" Target="media/image275.png"/><Relationship Id="rId349" Type="http://schemas.openxmlformats.org/officeDocument/2006/relationships/image" Target="media/image276.png"/><Relationship Id="rId350" Type="http://schemas.openxmlformats.org/officeDocument/2006/relationships/image" Target="media/image277.png"/><Relationship Id="rId351" Type="http://schemas.openxmlformats.org/officeDocument/2006/relationships/image" Target="media/image278.png"/><Relationship Id="rId352" Type="http://schemas.openxmlformats.org/officeDocument/2006/relationships/image" Target="media/image279.png"/><Relationship Id="rId353" Type="http://schemas.openxmlformats.org/officeDocument/2006/relationships/image" Target="media/image280.png"/><Relationship Id="rId354" Type="http://schemas.openxmlformats.org/officeDocument/2006/relationships/image" Target="media/image281.png"/><Relationship Id="rId355" Type="http://schemas.openxmlformats.org/officeDocument/2006/relationships/image" Target="media/image282.png"/><Relationship Id="rId356" Type="http://schemas.openxmlformats.org/officeDocument/2006/relationships/image" Target="media/image283.png"/><Relationship Id="rId357" Type="http://schemas.openxmlformats.org/officeDocument/2006/relationships/image" Target="media/image284.png"/><Relationship Id="rId358" Type="http://schemas.openxmlformats.org/officeDocument/2006/relationships/image" Target="media/image285.png"/><Relationship Id="rId359" Type="http://schemas.openxmlformats.org/officeDocument/2006/relationships/image" Target="media/image286.png"/><Relationship Id="rId360" Type="http://schemas.openxmlformats.org/officeDocument/2006/relationships/image" Target="media/image287.png"/><Relationship Id="rId361" Type="http://schemas.openxmlformats.org/officeDocument/2006/relationships/image" Target="media/image288.png"/><Relationship Id="rId362" Type="http://schemas.openxmlformats.org/officeDocument/2006/relationships/image" Target="media/image289.png"/><Relationship Id="rId363" Type="http://schemas.openxmlformats.org/officeDocument/2006/relationships/image" Target="media/image290.png"/><Relationship Id="rId364" Type="http://schemas.openxmlformats.org/officeDocument/2006/relationships/image" Target="media/image291.png"/><Relationship Id="rId365" Type="http://schemas.openxmlformats.org/officeDocument/2006/relationships/image" Target="media/image292.png"/><Relationship Id="rId366" Type="http://schemas.openxmlformats.org/officeDocument/2006/relationships/image" Target="media/image293.png"/><Relationship Id="rId367" Type="http://schemas.openxmlformats.org/officeDocument/2006/relationships/image" Target="media/image294.png"/><Relationship Id="rId368" Type="http://schemas.openxmlformats.org/officeDocument/2006/relationships/image" Target="media/image295.png"/><Relationship Id="rId369" Type="http://schemas.openxmlformats.org/officeDocument/2006/relationships/image" Target="media/image296.png"/><Relationship Id="rId370" Type="http://schemas.openxmlformats.org/officeDocument/2006/relationships/image" Target="media/image297.png"/><Relationship Id="rId371" Type="http://schemas.openxmlformats.org/officeDocument/2006/relationships/image" Target="media/image298.png"/><Relationship Id="rId372" Type="http://schemas.openxmlformats.org/officeDocument/2006/relationships/image" Target="media/image299.png"/><Relationship Id="rId373" Type="http://schemas.openxmlformats.org/officeDocument/2006/relationships/image" Target="media/image300.png"/><Relationship Id="rId374" Type="http://schemas.openxmlformats.org/officeDocument/2006/relationships/image" Target="media/image301.png"/><Relationship Id="rId375" Type="http://schemas.openxmlformats.org/officeDocument/2006/relationships/image" Target="media/image302.png"/><Relationship Id="rId376" Type="http://schemas.openxmlformats.org/officeDocument/2006/relationships/image" Target="media/image303.png"/><Relationship Id="rId377" Type="http://schemas.openxmlformats.org/officeDocument/2006/relationships/image" Target="media/image304.png"/><Relationship Id="rId378" Type="http://schemas.openxmlformats.org/officeDocument/2006/relationships/image" Target="media/image305.png"/><Relationship Id="rId379" Type="http://schemas.openxmlformats.org/officeDocument/2006/relationships/image" Target="media/image306.png"/><Relationship Id="rId380" Type="http://schemas.openxmlformats.org/officeDocument/2006/relationships/image" Target="media/image307.png"/><Relationship Id="rId381" Type="http://schemas.openxmlformats.org/officeDocument/2006/relationships/image" Target="media/image308.png"/><Relationship Id="rId382" Type="http://schemas.openxmlformats.org/officeDocument/2006/relationships/image" Target="media/image309.png"/><Relationship Id="rId383" Type="http://schemas.openxmlformats.org/officeDocument/2006/relationships/image" Target="media/image310.png"/><Relationship Id="rId384" Type="http://schemas.openxmlformats.org/officeDocument/2006/relationships/image" Target="media/image311.png"/><Relationship Id="rId385" Type="http://schemas.openxmlformats.org/officeDocument/2006/relationships/image" Target="media/image312.png"/><Relationship Id="rId386" Type="http://schemas.openxmlformats.org/officeDocument/2006/relationships/image" Target="media/image313.png"/><Relationship Id="rId387" Type="http://schemas.openxmlformats.org/officeDocument/2006/relationships/image" Target="media/image314.png"/><Relationship Id="rId388" Type="http://schemas.openxmlformats.org/officeDocument/2006/relationships/image" Target="media/image315.png"/><Relationship Id="rId389" Type="http://schemas.openxmlformats.org/officeDocument/2006/relationships/image" Target="media/image316.png"/><Relationship Id="rId390" Type="http://schemas.openxmlformats.org/officeDocument/2006/relationships/image" Target="media/image317.png"/><Relationship Id="rId391" Type="http://schemas.openxmlformats.org/officeDocument/2006/relationships/image" Target="media/image318.png"/><Relationship Id="rId392" Type="http://schemas.openxmlformats.org/officeDocument/2006/relationships/image" Target="media/image319.png"/><Relationship Id="rId393" Type="http://schemas.openxmlformats.org/officeDocument/2006/relationships/image" Target="media/image320.png"/><Relationship Id="rId394" Type="http://schemas.openxmlformats.org/officeDocument/2006/relationships/image" Target="media/image321.png"/><Relationship Id="rId395" Type="http://schemas.openxmlformats.org/officeDocument/2006/relationships/image" Target="media/image322.png"/><Relationship Id="rId396" Type="http://schemas.openxmlformats.org/officeDocument/2006/relationships/image" Target="media/image323.png"/><Relationship Id="rId397" Type="http://schemas.openxmlformats.org/officeDocument/2006/relationships/image" Target="media/image324.png"/><Relationship Id="rId398" Type="http://schemas.openxmlformats.org/officeDocument/2006/relationships/image" Target="media/image325.png"/><Relationship Id="rId399" Type="http://schemas.openxmlformats.org/officeDocument/2006/relationships/image" Target="media/image326.png"/><Relationship Id="rId400" Type="http://schemas.openxmlformats.org/officeDocument/2006/relationships/image" Target="media/image327.png"/><Relationship Id="rId401" Type="http://schemas.openxmlformats.org/officeDocument/2006/relationships/image" Target="media/image328.png"/><Relationship Id="rId402" Type="http://schemas.openxmlformats.org/officeDocument/2006/relationships/image" Target="media/image329.png"/><Relationship Id="rId403" Type="http://schemas.openxmlformats.org/officeDocument/2006/relationships/image" Target="media/image330.png"/><Relationship Id="rId404" Type="http://schemas.openxmlformats.org/officeDocument/2006/relationships/image" Target="media/image331.png"/><Relationship Id="rId405" Type="http://schemas.openxmlformats.org/officeDocument/2006/relationships/image" Target="media/image332.png"/><Relationship Id="rId406" Type="http://schemas.openxmlformats.org/officeDocument/2006/relationships/image" Target="media/image333.png"/><Relationship Id="rId407" Type="http://schemas.openxmlformats.org/officeDocument/2006/relationships/image" Target="media/image334.png"/><Relationship Id="rId408" Type="http://schemas.openxmlformats.org/officeDocument/2006/relationships/image" Target="media/image335.png"/><Relationship Id="rId409" Type="http://schemas.openxmlformats.org/officeDocument/2006/relationships/image" Target="media/image336.png"/><Relationship Id="rId410" Type="http://schemas.openxmlformats.org/officeDocument/2006/relationships/image" Target="media/image337.png"/><Relationship Id="rId411" Type="http://schemas.openxmlformats.org/officeDocument/2006/relationships/image" Target="media/image338.png"/><Relationship Id="rId412" Type="http://schemas.openxmlformats.org/officeDocument/2006/relationships/image" Target="media/image339.png"/><Relationship Id="rId413" Type="http://schemas.openxmlformats.org/officeDocument/2006/relationships/image" Target="media/image340.png"/><Relationship Id="rId414" Type="http://schemas.openxmlformats.org/officeDocument/2006/relationships/image" Target="media/image341.png"/><Relationship Id="rId415" Type="http://schemas.openxmlformats.org/officeDocument/2006/relationships/image" Target="media/image342.png"/><Relationship Id="rId416" Type="http://schemas.openxmlformats.org/officeDocument/2006/relationships/image" Target="media/image343.png"/><Relationship Id="rId417" Type="http://schemas.openxmlformats.org/officeDocument/2006/relationships/image" Target="media/image344.png"/><Relationship Id="rId418" Type="http://schemas.openxmlformats.org/officeDocument/2006/relationships/image" Target="media/image345.png"/><Relationship Id="rId419" Type="http://schemas.openxmlformats.org/officeDocument/2006/relationships/image" Target="media/image346.png"/><Relationship Id="rId420" Type="http://schemas.openxmlformats.org/officeDocument/2006/relationships/image" Target="media/image347.png"/><Relationship Id="rId421" Type="http://schemas.openxmlformats.org/officeDocument/2006/relationships/image" Target="media/image348.png"/><Relationship Id="rId422" Type="http://schemas.openxmlformats.org/officeDocument/2006/relationships/image" Target="media/image349.png"/><Relationship Id="rId423" Type="http://schemas.openxmlformats.org/officeDocument/2006/relationships/image" Target="media/image350.png"/><Relationship Id="rId424" Type="http://schemas.openxmlformats.org/officeDocument/2006/relationships/image" Target="media/image351.png"/><Relationship Id="rId425" Type="http://schemas.openxmlformats.org/officeDocument/2006/relationships/image" Target="media/image352.png"/><Relationship Id="rId426" Type="http://schemas.openxmlformats.org/officeDocument/2006/relationships/image" Target="media/image353.png"/><Relationship Id="rId427" Type="http://schemas.openxmlformats.org/officeDocument/2006/relationships/image" Target="media/image354.png"/><Relationship Id="rId428" Type="http://schemas.openxmlformats.org/officeDocument/2006/relationships/image" Target="media/image355.png"/><Relationship Id="rId429" Type="http://schemas.openxmlformats.org/officeDocument/2006/relationships/image" Target="media/image356.png"/><Relationship Id="rId430" Type="http://schemas.openxmlformats.org/officeDocument/2006/relationships/image" Target="media/image357.png"/><Relationship Id="rId431" Type="http://schemas.openxmlformats.org/officeDocument/2006/relationships/image" Target="media/image358.png"/><Relationship Id="rId432" Type="http://schemas.openxmlformats.org/officeDocument/2006/relationships/image" Target="media/image359.png"/><Relationship Id="rId433" Type="http://schemas.openxmlformats.org/officeDocument/2006/relationships/image" Target="media/image360.png"/><Relationship Id="rId434" Type="http://schemas.openxmlformats.org/officeDocument/2006/relationships/image" Target="media/image361.png"/><Relationship Id="rId435" Type="http://schemas.openxmlformats.org/officeDocument/2006/relationships/image" Target="media/image362.png"/><Relationship Id="rId436" Type="http://schemas.openxmlformats.org/officeDocument/2006/relationships/image" Target="media/image363.png"/><Relationship Id="rId437" Type="http://schemas.openxmlformats.org/officeDocument/2006/relationships/image" Target="media/image364.png"/><Relationship Id="rId438" Type="http://schemas.openxmlformats.org/officeDocument/2006/relationships/image" Target="media/image365.png"/><Relationship Id="rId439" Type="http://schemas.openxmlformats.org/officeDocument/2006/relationships/image" Target="media/image366.png"/><Relationship Id="rId440" Type="http://schemas.openxmlformats.org/officeDocument/2006/relationships/image" Target="media/image367.png"/><Relationship Id="rId441" Type="http://schemas.openxmlformats.org/officeDocument/2006/relationships/image" Target="media/image368.png"/><Relationship Id="rId442" Type="http://schemas.openxmlformats.org/officeDocument/2006/relationships/image" Target="media/image369.png"/><Relationship Id="rId443" Type="http://schemas.openxmlformats.org/officeDocument/2006/relationships/image" Target="media/image370.png"/><Relationship Id="rId444" Type="http://schemas.openxmlformats.org/officeDocument/2006/relationships/image" Target="media/image371.png"/><Relationship Id="rId445" Type="http://schemas.openxmlformats.org/officeDocument/2006/relationships/image" Target="media/image372.png"/><Relationship Id="rId446" Type="http://schemas.openxmlformats.org/officeDocument/2006/relationships/image" Target="media/image373.png"/><Relationship Id="rId447" Type="http://schemas.openxmlformats.org/officeDocument/2006/relationships/image" Target="media/image374.png"/><Relationship Id="rId448" Type="http://schemas.openxmlformats.org/officeDocument/2006/relationships/image" Target="media/image375.png"/><Relationship Id="rId449" Type="http://schemas.openxmlformats.org/officeDocument/2006/relationships/image" Target="media/image376.png"/><Relationship Id="rId450" Type="http://schemas.openxmlformats.org/officeDocument/2006/relationships/image" Target="media/image377.png"/><Relationship Id="rId451" Type="http://schemas.openxmlformats.org/officeDocument/2006/relationships/image" Target="media/image378.png"/><Relationship Id="rId452" Type="http://schemas.openxmlformats.org/officeDocument/2006/relationships/image" Target="media/image379.png"/><Relationship Id="rId453" Type="http://schemas.openxmlformats.org/officeDocument/2006/relationships/image" Target="media/image380.png"/><Relationship Id="rId454" Type="http://schemas.openxmlformats.org/officeDocument/2006/relationships/image" Target="media/image381.png"/><Relationship Id="rId455" Type="http://schemas.openxmlformats.org/officeDocument/2006/relationships/image" Target="media/image382.png"/><Relationship Id="rId456" Type="http://schemas.openxmlformats.org/officeDocument/2006/relationships/image" Target="media/image383.png"/><Relationship Id="rId457" Type="http://schemas.openxmlformats.org/officeDocument/2006/relationships/image" Target="media/image384.png"/><Relationship Id="rId458" Type="http://schemas.openxmlformats.org/officeDocument/2006/relationships/image" Target="media/image385.png"/><Relationship Id="rId459" Type="http://schemas.openxmlformats.org/officeDocument/2006/relationships/image" Target="media/image386.png"/><Relationship Id="rId460" Type="http://schemas.openxmlformats.org/officeDocument/2006/relationships/image" Target="media/image387.png"/><Relationship Id="rId461" Type="http://schemas.openxmlformats.org/officeDocument/2006/relationships/image" Target="media/image388.png"/><Relationship Id="rId462" Type="http://schemas.openxmlformats.org/officeDocument/2006/relationships/image" Target="media/image389.png"/><Relationship Id="rId463" Type="http://schemas.openxmlformats.org/officeDocument/2006/relationships/image" Target="media/image390.png"/><Relationship Id="rId464" Type="http://schemas.openxmlformats.org/officeDocument/2006/relationships/image" Target="media/image391.png"/><Relationship Id="rId465" Type="http://schemas.openxmlformats.org/officeDocument/2006/relationships/image" Target="media/image392.png"/><Relationship Id="rId466" Type="http://schemas.openxmlformats.org/officeDocument/2006/relationships/image" Target="media/image393.png"/><Relationship Id="rId467" Type="http://schemas.openxmlformats.org/officeDocument/2006/relationships/image" Target="media/image394.png"/><Relationship Id="rId468" Type="http://schemas.openxmlformats.org/officeDocument/2006/relationships/image" Target="media/image395.png"/><Relationship Id="rId469" Type="http://schemas.openxmlformats.org/officeDocument/2006/relationships/image" Target="media/image396.png"/><Relationship Id="rId470" Type="http://schemas.openxmlformats.org/officeDocument/2006/relationships/image" Target="media/image397.png"/><Relationship Id="rId471" Type="http://schemas.openxmlformats.org/officeDocument/2006/relationships/image" Target="media/image398.png"/><Relationship Id="rId472" Type="http://schemas.openxmlformats.org/officeDocument/2006/relationships/image" Target="media/image399.png"/><Relationship Id="rId473" Type="http://schemas.openxmlformats.org/officeDocument/2006/relationships/image" Target="media/image400.png"/><Relationship Id="rId474" Type="http://schemas.openxmlformats.org/officeDocument/2006/relationships/image" Target="media/image401.png"/><Relationship Id="rId475" Type="http://schemas.openxmlformats.org/officeDocument/2006/relationships/image" Target="media/image402.png"/><Relationship Id="rId476" Type="http://schemas.openxmlformats.org/officeDocument/2006/relationships/image" Target="media/image403.png"/><Relationship Id="rId477" Type="http://schemas.openxmlformats.org/officeDocument/2006/relationships/image" Target="media/image404.png"/><Relationship Id="rId478" Type="http://schemas.openxmlformats.org/officeDocument/2006/relationships/image" Target="media/image405.png"/><Relationship Id="rId479" Type="http://schemas.openxmlformats.org/officeDocument/2006/relationships/image" Target="media/image406.png"/><Relationship Id="rId480" Type="http://schemas.openxmlformats.org/officeDocument/2006/relationships/image" Target="media/image407.png"/><Relationship Id="rId481" Type="http://schemas.openxmlformats.org/officeDocument/2006/relationships/image" Target="media/image408.png"/><Relationship Id="rId482" Type="http://schemas.openxmlformats.org/officeDocument/2006/relationships/image" Target="media/image409.png"/><Relationship Id="rId483" Type="http://schemas.openxmlformats.org/officeDocument/2006/relationships/image" Target="media/image410.png"/><Relationship Id="rId484" Type="http://schemas.openxmlformats.org/officeDocument/2006/relationships/image" Target="media/image411.png"/><Relationship Id="rId485" Type="http://schemas.openxmlformats.org/officeDocument/2006/relationships/image" Target="media/image412.png"/><Relationship Id="rId486" Type="http://schemas.openxmlformats.org/officeDocument/2006/relationships/image" Target="media/image413.png"/><Relationship Id="rId487" Type="http://schemas.openxmlformats.org/officeDocument/2006/relationships/image" Target="media/image414.png"/><Relationship Id="rId488" Type="http://schemas.openxmlformats.org/officeDocument/2006/relationships/image" Target="media/image415.png"/><Relationship Id="rId489" Type="http://schemas.openxmlformats.org/officeDocument/2006/relationships/image" Target="media/image416.png"/><Relationship Id="rId490" Type="http://schemas.openxmlformats.org/officeDocument/2006/relationships/image" Target="media/image417.png"/><Relationship Id="rId491" Type="http://schemas.openxmlformats.org/officeDocument/2006/relationships/image" Target="media/image418.png"/><Relationship Id="rId492" Type="http://schemas.openxmlformats.org/officeDocument/2006/relationships/image" Target="media/image419.png"/><Relationship Id="rId493" Type="http://schemas.openxmlformats.org/officeDocument/2006/relationships/image" Target="media/image420.png"/><Relationship Id="rId494" Type="http://schemas.openxmlformats.org/officeDocument/2006/relationships/image" Target="media/image421.png"/><Relationship Id="rId495" Type="http://schemas.openxmlformats.org/officeDocument/2006/relationships/image" Target="media/image422.png"/><Relationship Id="rId496" Type="http://schemas.openxmlformats.org/officeDocument/2006/relationships/image" Target="media/image423.png"/><Relationship Id="rId497" Type="http://schemas.openxmlformats.org/officeDocument/2006/relationships/image" Target="media/image424.png"/><Relationship Id="rId498" Type="http://schemas.openxmlformats.org/officeDocument/2006/relationships/image" Target="media/image425.png"/><Relationship Id="rId499" Type="http://schemas.openxmlformats.org/officeDocument/2006/relationships/image" Target="media/image426.png"/><Relationship Id="rId500" Type="http://schemas.openxmlformats.org/officeDocument/2006/relationships/image" Target="media/image427.png"/><Relationship Id="rId501" Type="http://schemas.openxmlformats.org/officeDocument/2006/relationships/image" Target="media/image428.png"/><Relationship Id="rId502" Type="http://schemas.openxmlformats.org/officeDocument/2006/relationships/image" Target="media/image429.png"/><Relationship Id="rId503" Type="http://schemas.openxmlformats.org/officeDocument/2006/relationships/image" Target="media/image430.png"/><Relationship Id="rId504" Type="http://schemas.openxmlformats.org/officeDocument/2006/relationships/image" Target="media/image431.png"/><Relationship Id="rId505" Type="http://schemas.openxmlformats.org/officeDocument/2006/relationships/image" Target="media/image432.png"/><Relationship Id="rId506" Type="http://schemas.openxmlformats.org/officeDocument/2006/relationships/image" Target="media/image433.png"/><Relationship Id="rId507" Type="http://schemas.openxmlformats.org/officeDocument/2006/relationships/image" Target="media/image434.png"/><Relationship Id="rId508" Type="http://schemas.openxmlformats.org/officeDocument/2006/relationships/image" Target="media/image435.png"/><Relationship Id="rId509" Type="http://schemas.openxmlformats.org/officeDocument/2006/relationships/image" Target="media/image436.png"/><Relationship Id="rId510" Type="http://schemas.openxmlformats.org/officeDocument/2006/relationships/image" Target="media/image437.png"/><Relationship Id="rId511" Type="http://schemas.openxmlformats.org/officeDocument/2006/relationships/image" Target="media/image438.png"/><Relationship Id="rId512" Type="http://schemas.openxmlformats.org/officeDocument/2006/relationships/image" Target="media/image439.png"/><Relationship Id="rId513" Type="http://schemas.openxmlformats.org/officeDocument/2006/relationships/image" Target="media/image440.png"/><Relationship Id="rId514" Type="http://schemas.openxmlformats.org/officeDocument/2006/relationships/image" Target="media/image441.png"/><Relationship Id="rId515" Type="http://schemas.openxmlformats.org/officeDocument/2006/relationships/image" Target="media/image442.png"/><Relationship Id="rId516" Type="http://schemas.openxmlformats.org/officeDocument/2006/relationships/image" Target="media/image443.png"/><Relationship Id="rId136" Type="http://schemas.openxmlformats.org/officeDocument/2006/relationships/hyperlink" Target="https://www.sec.gov/Archives/edgar/data/1439725/000156459020056735/bdsx-ex31_716.htm" TargetMode="External"/><Relationship Id="rId137" Type="http://schemas.openxmlformats.org/officeDocument/2006/relationships/hyperlink" Target="https://www.sec.gov/Archives/edgar/data/1439725/000156459020056735/bdsx-ex32_717.htm" TargetMode="External"/><Relationship Id="rId138" Type="http://schemas.openxmlformats.org/officeDocument/2006/relationships/hyperlink" Target="https://www.sec.gov/Archives/edgar/data/1439725/000119312524090787/d779805dex31.htm" TargetMode="External"/><Relationship Id="rId139" Type="http://schemas.openxmlformats.org/officeDocument/2006/relationships/hyperlink" Target="https://www.sec.gov/Archives/edgar/data/1439725/000119312520273369/d937421dex41.htm" TargetMode="External"/><Relationship Id="rId140" Type="http://schemas.openxmlformats.org/officeDocument/2006/relationships/hyperlink" Target="https://www.sec.gov/Archives/edgar/data/1439725/000119312520262422/d937421dex42.htm" TargetMode="External"/><Relationship Id="rId141" Type="http://schemas.openxmlformats.org/officeDocument/2006/relationships/hyperlink" Target="https://www.sec.gov/Archives/edgar/data/1439725/000119312520262422/d937421dex43.htm" TargetMode="External"/><Relationship Id="rId142" Type="http://schemas.openxmlformats.org/officeDocument/2006/relationships/hyperlink" Target="https://www.sec.gov/Archives/edgar/data/1439725/000156459021013512/bdsx-ex45_270.htm" TargetMode="External"/><Relationship Id="rId143" Type="http://schemas.openxmlformats.org/officeDocument/2006/relationships/hyperlink" Target="https://www.sec.gov/Archives/edgar/data/1439725/000095017022025530/bdsx-ex10_1.htm" TargetMode="External"/><Relationship Id="rId144" Type="http://schemas.openxmlformats.org/officeDocument/2006/relationships/hyperlink" Target="https://www.sec.gov/Archives/edgar/data/1439725/000095017022025530/bdsx-ex4_2.htm" TargetMode="External"/><Relationship Id="rId145" Type="http://schemas.openxmlformats.org/officeDocument/2006/relationships/hyperlink" Target="https://www.sec.gov/Archives/edgar/data/1439725/000095017023021238/bdsx-ex4_1.htm" TargetMode="External"/><Relationship Id="rId146" Type="http://schemas.openxmlformats.org/officeDocument/2006/relationships/hyperlink" Target="https://www.sec.gov/Archives/edgar/data/1439725/000119312520266992/d937421dex101.htm" TargetMode="External"/><Relationship Id="rId147" Type="http://schemas.openxmlformats.org/officeDocument/2006/relationships/hyperlink" Target="https://www.sec.gov/Archives/edgar/data/1439725/000119312520266992/d937421dex1021.htm" TargetMode="External"/><Relationship Id="rId148" Type="http://schemas.openxmlformats.org/officeDocument/2006/relationships/hyperlink" Target="https://www.sec.gov/Archives/edgar/data/1439725/000119312520266992/d937421dex1022.htm" TargetMode="External"/><Relationship Id="rId149" Type="http://schemas.openxmlformats.org/officeDocument/2006/relationships/hyperlink" Target="https://www.sec.gov/Archives/edgar/data/1439725/000119312520266992/d937421dex1023.htm" TargetMode="External"/><Relationship Id="rId150" Type="http://schemas.openxmlformats.org/officeDocument/2006/relationships/hyperlink" Target="https://www.sec.gov/Archives/edgar/data/1439725/000119312520262422/d937421dex103.htm" TargetMode="External"/><Relationship Id="rId151" Type="http://schemas.openxmlformats.org/officeDocument/2006/relationships/hyperlink" Target="https://www.sec.gov/Archives/edgar/data/1439725/000119312520266992/d937421dex1041.htm" TargetMode="External"/><Relationship Id="rId154" Type="http://schemas.openxmlformats.org/officeDocument/2006/relationships/hyperlink" Target="https://www.sec.gov/Archives/edgar/data/1439725/000119312520266992/d937421dex1042.htm" TargetMode="External"/><Relationship Id="rId155" Type="http://schemas.openxmlformats.org/officeDocument/2006/relationships/hyperlink" Target="https://www.sec.gov/Archives/edgar/data/1439725/000119312520266992/d937421dex1043.htm" TargetMode="External"/><Relationship Id="rId156" Type="http://schemas.openxmlformats.org/officeDocument/2006/relationships/hyperlink" Target="https://www.sec.gov/Archives/edgar/data/1439725/000119312520275630/d937421dex105.htm" TargetMode="External"/><Relationship Id="rId157" Type="http://schemas.openxmlformats.org/officeDocument/2006/relationships/hyperlink" Target="https://www.sec.gov/Archives/edgar/data/1439725/000156459021013512/bdsx-ex1051_388.htm" TargetMode="External"/><Relationship Id="rId158" Type="http://schemas.openxmlformats.org/officeDocument/2006/relationships/hyperlink" Target="https://www.sec.gov/Archives/edgar/data/1439725/000156459021043081/bdsx-ex1052_236.htm" TargetMode="External"/><Relationship Id="rId159" Type="http://schemas.openxmlformats.org/officeDocument/2006/relationships/hyperlink" Target="https://www.sec.gov/Archives/edgar/data/1439725/000119312520275630/d937421dex106.htm" TargetMode="External"/><Relationship Id="rId160" Type="http://schemas.openxmlformats.org/officeDocument/2006/relationships/hyperlink" Target="https://www.sec.gov/Archives/edgar/data/1439725/000119312520262422/d937421dex1051.htm" TargetMode="External"/><Relationship Id="rId161" Type="http://schemas.openxmlformats.org/officeDocument/2006/relationships/hyperlink" Target="https://www.sec.gov/Archives/edgar/data/1439725/000119312520262422/d937421dex1052.htm" TargetMode="External"/><Relationship Id="rId162" Type="http://schemas.openxmlformats.org/officeDocument/2006/relationships/hyperlink" Target="https://www.sec.gov/Archives/edgar/data/1439725/000119312520262422/d937421dex1053.htm" TargetMode="External"/><Relationship Id="rId163" Type="http://schemas.openxmlformats.org/officeDocument/2006/relationships/hyperlink" Target="https://www.sec.gov/Archives/edgar/data/1439725/000095017022014433/bdsx-ex10_1.htm" TargetMode="External"/><Relationship Id="rId164" Type="http://schemas.openxmlformats.org/officeDocument/2006/relationships/hyperlink" Target="https://www.sec.gov/Archives/edgar/data/1439725/000095017022014433/bdsx-ex10_2.htm" TargetMode="External"/><Relationship Id="rId165" Type="http://schemas.openxmlformats.org/officeDocument/2006/relationships/hyperlink" Target="https://www.sec.gov/Archives/edgar/data/1439725/000095017023006092/bdsx-ex10_83.htm" TargetMode="External"/><Relationship Id="rId166" Type="http://schemas.openxmlformats.org/officeDocument/2006/relationships/hyperlink" Target="https://www.sec.gov/Archives/edgar/data/1439725/000119312520266992/d937421dex1061.htm" TargetMode="External"/><Relationship Id="rId167" Type="http://schemas.openxmlformats.org/officeDocument/2006/relationships/hyperlink" Target="https://www.sec.gov/Archives/edgar/data/1439725/000119312520266992/d937421dex1062.htm" TargetMode="External"/><Relationship Id="rId168" Type="http://schemas.openxmlformats.org/officeDocument/2006/relationships/hyperlink" Target="https://www.sec.gov/Archives/edgar/data/1439725/000119312520268763/d937421dex107.htm" TargetMode="External"/><Relationship Id="rId169" Type="http://schemas.openxmlformats.org/officeDocument/2006/relationships/hyperlink" Target="https://www.sec.gov/Archives/edgar/data/1439725/000119312524107051/d827839dex1042.htm" TargetMode="External"/><Relationship Id="rId170" Type="http://schemas.openxmlformats.org/officeDocument/2006/relationships/hyperlink" Target="https://www.sec.gov/Archives/edgar/data/1439725/000119312520262422/d937421dex1013.htm" TargetMode="External"/><Relationship Id="rId171" Type="http://schemas.openxmlformats.org/officeDocument/2006/relationships/hyperlink" Target="https://www.sec.gov/Archives/edgar/data/1439725/000095017023021238/bdsx-ex10_2.htm" TargetMode="External"/><Relationship Id="rId174" Type="http://schemas.openxmlformats.org/officeDocument/2006/relationships/hyperlink" Target="https://www.sec.gov/Archives/edgar/data/1439725/000095017022009126/bdsx-ex10_1.htm" TargetMode="External"/><Relationship Id="rId175" Type="http://schemas.openxmlformats.org/officeDocument/2006/relationships/hyperlink" Target="https://www.sec.gov/Archives/edgar/data/1439725/000095017022009126/bdsx-ex10_2.htm" TargetMode="External"/><Relationship Id="rId176" Type="http://schemas.openxmlformats.org/officeDocument/2006/relationships/hyperlink" Target="https://www.sec.gov/Archives/edgar/data/1439725/000119312520262422/d937421dex1015.htm" TargetMode="External"/><Relationship Id="rId177" Type="http://schemas.openxmlformats.org/officeDocument/2006/relationships/hyperlink" Target="https://www.sec.gov/Archives/edgar/data/1439725/000119312520266992/d937421dex1015.htm" TargetMode="External"/><Relationship Id="rId178" Type="http://schemas.openxmlformats.org/officeDocument/2006/relationships/hyperlink" Target="https://www.sec.gov/Archives/edgar/data/1439725/000119312520266992/d937421dex1016.htm" TargetMode="External"/><Relationship Id="rId179" Type="http://schemas.openxmlformats.org/officeDocument/2006/relationships/hyperlink" Target="https://www.sec.gov/Archives/edgar/data/1439725/000119312520266992/d937421dex1017.htm" TargetMode="External"/><Relationship Id="rId180" Type="http://schemas.openxmlformats.org/officeDocument/2006/relationships/hyperlink" Target="https://www.sec.gov/Archives/edgar/data/1439725/000119312520266992/d937421dex1018.htm" TargetMode="External"/><Relationship Id="rId181" Type="http://schemas.openxmlformats.org/officeDocument/2006/relationships/hyperlink" Target="https://www.sec.gov/Archives/edgar/data/1439725/000119312520266992/d937421dex1019.htm" TargetMode="External"/><Relationship Id="rId182" Type="http://schemas.openxmlformats.org/officeDocument/2006/relationships/hyperlink" Target="https://www.sec.gov/Archives/edgar/data/1439725/000119312520266992/d937421dex1020.htm" TargetMode="External"/><Relationship Id="rId183" Type="http://schemas.openxmlformats.org/officeDocument/2006/relationships/hyperlink" Target="https://www.sec.gov/Archives/edgar/data/1439725/000119312520262422/d937421dex1023.htm" TargetMode="External"/><Relationship Id="rId184" Type="http://schemas.openxmlformats.org/officeDocument/2006/relationships/hyperlink" Target="https://www.sec.gov/Archives/edgar/data/1439725/000156459021043081/bdsx-ex1038_489.htm" TargetMode="External"/><Relationship Id="rId185" Type="http://schemas.openxmlformats.org/officeDocument/2006/relationships/hyperlink" Target="https://www.sec.gov/Archives/edgar/data/1439725/000095017022009126/bdsx-ex10_6.htm" TargetMode="External"/><Relationship Id="rId186" Type="http://schemas.openxmlformats.org/officeDocument/2006/relationships/hyperlink" Target="https://www.sec.gov/Archives/edgar/data/1439725/000119312520262422/d937421dex1024.htm" TargetMode="External"/><Relationship Id="rId187" Type="http://schemas.openxmlformats.org/officeDocument/2006/relationships/hyperlink" Target="https://www.sec.gov/Archives/edgar/data/1439725/000156459021043081/bdsx-ex1037_47.htm" TargetMode="External"/><Relationship Id="rId188" Type="http://schemas.openxmlformats.org/officeDocument/2006/relationships/hyperlink" Target="https://www.sec.gov/Archives/edgar/data/1439725/000095017024092773/bdsx-ex10_1.htm" TargetMode="External"/><Relationship Id="rId189" Type="http://schemas.openxmlformats.org/officeDocument/2006/relationships/hyperlink" Target="https://www.sec.gov/Archives/edgar/data/1439725/000095017022003002/bdsx-ex10_1.htm" TargetMode="External"/><Relationship Id="rId190" Type="http://schemas.openxmlformats.org/officeDocument/2006/relationships/hyperlink" Target="https://www.sec.gov/Archives/edgar/data/1439725/000095017022003002/bdsx-ex10_2.htm" TargetMode="External"/><Relationship Id="rId193" Type="http://schemas.openxmlformats.org/officeDocument/2006/relationships/hyperlink" Target="https://www.sec.gov/Archives/edgar/data/1439725/000095017022005536/bdsx-ex10_1.htm" TargetMode="External"/><Relationship Id="rId194" Type="http://schemas.openxmlformats.org/officeDocument/2006/relationships/hyperlink" Target="https://www.sec.gov/Archives/edgar/data/1439725/000095017022005536/bdsx-ex10_2.htm" TargetMode="External"/><Relationship Id="rId195" Type="http://schemas.openxmlformats.org/officeDocument/2006/relationships/hyperlink" Target="https://www.sec.gov/Archives/edgar/data/1439725/000095017023021238/bdsx-ex10_1.htm" TargetMode="External"/><Relationship Id="rId196" Type="http://schemas.openxmlformats.org/officeDocument/2006/relationships/hyperlink" Target="https://www.sec.gov/Archives/edgar/data/1439725/000095017023021238/bdsx-ex10_3.htm" TargetMode="External"/><Relationship Id="rId197" Type="http://schemas.openxmlformats.org/officeDocument/2006/relationships/hyperlink" Target="https://www.sec.gov/Archives/edgar/data/1439725/000095017023039073/bdsx-ex10_2.htm" TargetMode="External"/><Relationship Id="rId198" Type="http://schemas.openxmlformats.org/officeDocument/2006/relationships/hyperlink" Target="https://www.sec.gov/Archives/edgar/data/1439725/000095017024023513/bdsx-ex10_34.htm" TargetMode="External"/><Relationship Id="rId199" Type="http://schemas.openxmlformats.org/officeDocument/2006/relationships/hyperlink" Target="https://www.sec.gov/Archives/edgar/data/1439725/000095017024023513/bdsx-ex10_35.htm" TargetMode="External"/><Relationship Id="rId200" Type="http://schemas.openxmlformats.org/officeDocument/2006/relationships/hyperlink" Target="https://www.sec.gov/Archives/edgar/data/1439725/000095017024119792/bdsx-ex10_1.htm" TargetMode="External"/><Relationship Id="rId201" Type="http://schemas.openxmlformats.org/officeDocument/2006/relationships/hyperlink" Target="https://www.sec.gov/Archives/edgar/data/1439725/000095017022025530/bdsx-ex10_2.htm" TargetMode="External"/><Relationship Id="rId202" Type="http://schemas.openxmlformats.org/officeDocument/2006/relationships/hyperlink" Target="https://www.sec.gov/Archives/edgar/data/1439725/000095017022025530/bdsx-ex10_3.htm" TargetMode="External"/><Relationship Id="rId203" Type="http://schemas.openxmlformats.org/officeDocument/2006/relationships/hyperlink" Target="https://www.sec.gov/Archives/edgar/data/1439725/000095017023039073/bdsx-ex10_1.htm" TargetMode="External"/><Relationship Id="rId204" Type="http://schemas.openxmlformats.org/officeDocument/2006/relationships/hyperlink" Target="https://www.sec.gov/Archives/edgar/data/1439725/000119312524090787/d779805dex101.htm" TargetMode="External"/><Relationship Id="rId205" Type="http://schemas.openxmlformats.org/officeDocument/2006/relationships/hyperlink" Target="https://www.sec.gov/Archives/edgar/data/1439725/000119312524090787/d779805dex102.htm" TargetMode="External"/><Relationship Id="rId206" Type="http://schemas.openxmlformats.org/officeDocument/2006/relationships/hyperlink" Target="https://www.sec.gov/Archives/edgar/data/1439725/000119312524090787/d779805dex103.htm" TargetMode="External"/><Relationship Id="rId209" Type="http://schemas.openxmlformats.org/officeDocument/2006/relationships/hyperlink" Target="https://www.sec.gov/Archives/edgar/data/1439725/000095017024023513/bdsx-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2025-03-03T15:34:36Z</dcterms:created>
  <dcterms:modified xsi:type="dcterms:W3CDTF">2025-03-03T15:34:36Z</dcterms:modified>
</cp:coreProperties>
</file>