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dsx-20251231.htm"/>
      <w:bookmarkStart w:id="1" w:name="ksbdsx20251231"/>
      <w:bookmarkEnd w:id="0"/>
      <w:bookmarkEnd w:id="1"/>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 FOR THE TRANSITION PERIOD FROM TO</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001-39659</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44"/>
        </w:rPr>
      </w:pPr>
      <w:r>
        <w:rPr>
          <w:rFonts w:ascii="Times New Roman" w:hAnsi="Times New Roman"/>
          <w:b/>
          <w:color w:val="000000"/>
          <w:sz w:val="44"/>
        </w:rPr>
        <w:t>Biodesix,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20-3986492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pPr>
            <w:r>
              <w:rPr/>
              <w:t>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919 West Dillon 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Louisville, CO</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80027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40" w:after="283"/>
        <w:jc w:val="center"/>
        <w:rPr>
          <w:rFonts w:ascii="Times New Roman" w:hAnsi="Times New Roman"/>
          <w:sz w:val="20"/>
        </w:rPr>
      </w:pPr>
      <w:r>
        <w:rPr>
          <w:rFonts w:ascii="Times New Roman" w:hAnsi="Times New Roman"/>
          <w:b/>
          <w:color w:val="000000"/>
          <w:sz w:val="20"/>
        </w:rPr>
        <w:t>Registrant’s telephone number, including area code: (303) 417-0500</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BDSX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231F20"/>
          <w:sz w:val="20"/>
        </w:rPr>
        <w:t xml:space="preserve">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As of June 30, 2025, the aggregate market value of common stock held by non-affiliates of the Registrant was $19.6</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based on the closing price of the common stock as reported on the NASDAQ Global Market for that date.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The number of shares of Registrant’s Common Stock outstanding as of February 20, 2026</w:t>
      </w:r>
      <w:r>
        <w:rPr>
          <w:rFonts w:ascii="Times New Roman" w:hAnsi="Times New Roman"/>
          <w:color w:val="000000"/>
          <w:sz w:val="20"/>
        </w:rPr>
        <w:t xml:space="preserve"> </w:t>
      </w:r>
      <w:r>
        <w:rPr>
          <w:rFonts w:ascii="Times New Roman" w:hAnsi="Times New Roman"/>
          <w:color w:val="000000"/>
          <w:sz w:val="16"/>
        </w:rPr>
        <w:t>was 9,858,358.</w:t>
      </w:r>
      <w:r>
        <w:rPr>
          <w:rFonts w:ascii="Times New Roman" w:hAnsi="Times New Roman"/>
          <w:color w:val="000000"/>
          <w:sz w:val="20"/>
        </w:rPr>
        <w:t xml:space="preserve"> </w:t>
      </w:r>
    </w:p>
    <w:p>
      <w:pPr>
        <w:pStyle w:val="TextBody"/>
        <w:bidi w:val="0"/>
        <w:spacing w:before="8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Portions of the Company’s definitive Proxy Statement to be filed with the Securities and Exchange Commission within 120 days after December 31, 2025, and delivered to stockholders in connection with the Registrant’s annual meeting of stockholders are to be incorporated by reference into Part III, as specifically set forth in Part III.</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8760"/>
        <w:gridCol w:w="512"/>
      </w:tblGrid>
      <w:tr>
        <w:trPr/>
        <w:tc>
          <w:tcPr>
            <w:tcW w:w="933"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foreign_jurisdictions">
              <w:r>
                <w:rPr>
                  <w:rStyle w:val="InternetLink"/>
                  <w:rFonts w:ascii="Times New Roman" w:hAnsi="Times New Roman"/>
                  <w:color w:val="0000FF"/>
                  <w:sz w:val="20"/>
                  <w:u w:val="single"/>
                </w:rPr>
                <w:t>Disclosures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Accountant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Annual Report on Form 10-K, regarding, among other things: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inability to achieve or sustain profitability;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attain significant market acceptance among payers, providers, clinics, patients, and biopharmaceutical companies for our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managing our growth, which could disrupt our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retain sales and marketing personnel, and failure to increase our sales and marketing capabilities or develop broad awareness of our diagnostic tests to generate revenue growth;</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maintain our current relationships, or enter into new relationships, with biopharmaceutical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fluctuation in our operating results, causing our operating results to fall below expectations or any guidance we provide;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performance and reliability to maintain and grow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suppliers, including courier services and single source suppliers; making us vulnerable to supply problems and price fluctuations;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of a pandemic, epidemic, or outbreak of an infectious disease in the United States (U.S.) or worldwide;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natural or man-made disasters and other similar events negatively impacting our business, financial condition, and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offer high-quality support for our diagnostic tests, which may adversely affect our relationships with providers and negatively impact our reputation among patients and providers;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continue to innovate and improve our diagnostic tests and services we offer;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security or data privacy breaches or other unauthorized or improper access;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disruptions in our information technology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incurrence of substantial liabilities and limiting or halting the marketing and sale of our diagnostic tests due to product liability lawsuits;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compete successfully with competition from many sources, including larger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performance issues, service interruptions or price increases by our shipping carriers;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cost-containment efforts of our customers, purchasing groups and integrated delivery networks having a material adverse effect on our sales and profitability;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potential effects of litigation and other proceedings;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 economic and financial market conditions, including enhanced U.S. tariffs, import/export restrictions or other trade barriers, which may have a negative effect on global economic conditions, financial markets and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attract and retain key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current and future debt financing placing restrictions on our operating and financial flexibility;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raise additional capital to fund our existing operations, develop our platform, commercialize new diagnostic tests, or expand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acquisition of other businesses, which could require significant management attention, disrupt our business, dilute stockholder value and adversely affect our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uncertainty of the insurance coverage and reimbursement status of newly approved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healthcare reform measures that could hinder or prevent the commercial success of our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anti-corruption, anti-bribery, anti-money laundering and similar laws;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healthcare fraud and abuse laws;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develop, receive regulatory clearance or approval or certification for, and introduce new diagnostic tests or enhancements to existing diagnostic tests that will be accepted by the market in a timely manner;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comply with ongoing FDA or other domestic and foreign regulatory authority requirements, or unanticipated problems with our diagnostic tests, causing them to be subject to restrictions or withdrawal from the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product recalls;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legal proceedings initiated by third parties alleging that we are infringing, misappropriating, or otherwise violating their intellectual property rights, the outcome of which would be uncertain;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 assurance that our common stock will maintain compliance with the minimum bid price requirement or other applicable listing standards of The Nasdaq Stock Market LLC (Nasdaq) or another national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inaccurate estimates or judgments relating to our critical accounting policies, which could cause our operating results to fall below the expectations of securities analysts and investors;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risks, uncertainties and factors, including those set forth under Item 1A. “Risk Factors”.</w:t>
      </w:r>
    </w:p>
    <w:p>
      <w:pPr>
        <w:pStyle w:val="TextBody"/>
        <w:bidi w:val="0"/>
        <w:jc w:val="both"/>
        <w:rPr>
          <w:rFonts w:ascii="Times New Roman" w:hAnsi="Times New Roman"/>
          <w:color w:val="000000"/>
          <w:sz w:val="20"/>
        </w:rPr>
      </w:pPr>
      <w:r>
        <w:rPr>
          <w:rFonts w:ascii="Times New Roman" w:hAnsi="Times New Roman"/>
          <w:color w:val="000000"/>
          <w:sz w:val="20"/>
        </w:rPr>
        <w:t>These risks are not exhaustive. Other sections of this Annual Report on Form 10-K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Annual Report on Form 10-K or to conform these statements to actual results or to changes in our expectations.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read this Annual Report on Form 10-K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left"/>
        <w:rPr/>
      </w:pPr>
      <w:r>
        <w:rPr/>
        <w:t> </w:t>
      </w:r>
    </w:p>
    <w:p>
      <w:pPr>
        <w:pStyle w:val="TextBody"/>
        <w:bidi w:val="0"/>
        <w:jc w:val="left"/>
        <w:rPr>
          <w:rFonts w:ascii="Times New Roman" w:hAnsi="Times New Roman"/>
          <w:sz w:val="20"/>
        </w:rPr>
      </w:pPr>
      <w:bookmarkStart w:id="2" w:name="item_1_business"/>
      <w:bookmarkEnd w:id="2"/>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Biodesix, Inc. (“Biodesix”, “we,” “us,” “our” or the “Company”) is a leading diagnostic solutions company. Our mission at Biodesix is to transform patient care and improve outcomes through personalized diagnostics that are timely, accessible, and address immediate clinical needs. We envision a world where patient disease is conquered through the guidance of personalized diagnostics.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Biodesix Lung Diagnostic Testing (Lung Diagnostic Testing), providing lung diagnostic testing services for healthcare providers associated with our five blood-based tests and (ii) Biodesix Development Services (Development Services) providing diagnostic testing services and consulting to biopharmaceutical, life sciences, and diagnostic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2025, we achieved numerous company milestones: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delivered on our commercial and diagnostic services strengths resulting in an estimated $88.5 million in total revenue for the year, an increase of 24% over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color w:val="000000"/>
          <w:sz w:val="20"/>
        </w:rPr>
        <w:t>Lung Diagnostic Testing</w:t>
      </w:r>
      <w:r>
        <w:rPr>
          <w:color w:val="000000"/>
        </w:rPr>
        <w:t xml:space="preserve"> </w:t>
      </w:r>
      <w:r>
        <w:rPr>
          <w:rFonts w:ascii="Times New Roman" w:hAnsi="Times New Roman"/>
          <w:color w:val="000000"/>
          <w:sz w:val="20"/>
        </w:rPr>
        <w:t>- $79.2 million of revenue, an increase of 22%, from 62,600 tests delivered, an increase of 15%;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color w:val="000000"/>
          <w:sz w:val="20"/>
        </w:rPr>
        <w:t>Development Services</w:t>
      </w:r>
      <w:r>
        <w:rPr>
          <w:color w:val="000000"/>
        </w:rPr>
        <w:t xml:space="preserve"> </w:t>
      </w:r>
      <w:r>
        <w:rPr>
          <w:rFonts w:ascii="Times New Roman" w:hAnsi="Times New Roman"/>
          <w:color w:val="000000"/>
          <w:sz w:val="20"/>
        </w:rPr>
        <w:t>- $9.3 million in biopharmaceutical services revenue, an increase of 41%;</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continued to present and publish new clinical data supporting the adoption of our tests, increased reimbursement coverage for our Lung Diagnostic tests from private payors, and advanced our research and development partnerships;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enrolled more than 1,500 patients in the CLARIFY study, which will collect patient outcomes and other clinical information on 4,000 patients who have received Nodify Lung® Nodule Risk Assessment testing in the clinical setting and have at least 1-2 years of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improved our operational efficiencies increasing gross margin percentage to 81% as compared to 78% in 2024;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maintained our cost-disciplined approach limiting growth in full year Operating Expense, excluding Direct costs and expenses to 10% over 2024, including non-cash share-based compensation expenses, while growing revenue by 24%;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awarded the prestigious 2025 Denver Post | Energage Top Workplaces, the second consecutive year receiving an employee-survey based recognition award – a reflection of our strong team culture and employee engagement.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Biodesix, we have built a team with deep experience in diagnostics including commercialization, reimbursement, regulatory, medical affairs, research and development, technology, and operations to provide needed products and services to address critical clinical questions and help improve patient care. We believe that establishing a new standard of care utilizing personalized diagnostics requires an extensive understanding of clinical needs, scientific expertise to develop tests using the optimal technology for each clinical question, development of clinical evidence to demonstrate benefits of the testing, a scalable operational infrastructure, and an established commercial channel to drive market adoption and payer coverage.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employ multiple technologies, including genomics, proteomics, and radiomics, combined with artificial intelligence (AI), to discover, develop, and commercialize innovative diagnostic tests for physicians, biopharmaceutical, life science, and diagnostics companies to help improve patient care.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Lung Diagnostic Tests - Drive increased awareness, adoption, and reimbursement coverage of our diagnostic tests by: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continuously educating healthcare providers key opinion leaders, hospital systems, advocacy groups, patients, payers, academic research organizations, and technology assessment and guideline organizations on the clinical data and benefits of our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continuing to invest in the expansion and professional development of our lung-focused clinical sales force and commercial support teams;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extending our commercial reach in clinics specializing in the management of lung nodules and the diagnosis of lung disease and their primary care referral networks;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in clinical studies and publish additional clinical data to continue to increase market adoption and reimbursement coverage for our tests;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publishing health economics and outcomes research demonstrating the impact of our tests on the US healthcare system and decreasing overall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engaging key opinion leaders and partners to identify existing or emerging clinical needs in lung disease and to develop tests to address those questions to be provided to the market through our existing commercial channel.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Development Services — Expand revenue-generating contracts with research institutions, biopharmaceutical clients, and life sciences customers by: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leveraging our team’s expertise and multi-omic offering to sell a comprehensive line of research, discovery, development, clinical trial testing, regulatory, reimbursement, commercialization, and logistics support services across cancer types and diseases;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adding new biopharmaceutical, life science, tools, and diagnostic customers and leveraging existing projects and relationships to expand engagement with our current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engaging with our customers, key opinion leaders, leading academic centers, and scientific experts to stay ahead of the rapidly evolving diagnostic and therapeutic landscape and to identify unmet clinical needs;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entering strategic partnerships with biopharmaceutical companies, academic research organizations, technology providers, and other diagnostic companies.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Tests and Services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Biodesix Lung 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tests support clinical decisions to expedite personalized care and improve outcomes for patients with lung disease. We believe our diagnostic tests help healthcare providers meaningfully improve lung disease diagnosis, treatment, and monitoring as well as lower the overall healthcare cost by reducing the use of ineffective and unnecessary treatments and procedures. We currently offer two tests that assess the risk of cancer in lung nodules and three tests that provide treatment guidance after a lung cancer diagnosis.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Lung cancer is the deadliest cancer in the United States with most patients diagnosed late stage, with advanced disease. With the introduction of numerous treatment options, healthcare providers need an ever-increasing amount of information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 We estimate that in the United States, the lung cancer continuum of care represents over 10 million annual testing opportunities and represents greater than $27 billion market opportunity annually.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Diagnosis</w:t>
      </w:r>
      <w:r>
        <w:rPr>
          <w:rFonts w:ascii="Times New Roman" w:hAnsi="Times New Roman"/>
          <w:color w:val="000000"/>
          <w:sz w:val="20"/>
        </w:rPr>
        <w:t>: We estimate there are approximately 5 to 6 million lung nodules in the United States annually. Approximately 1.6 million new nodules are identified incidentally, and potentially 4 million lung nodules from the adoption of screening could be identified annually in the United States. Following initial discovery of a nodule, patients are typically evaluated by a primary care provider or a pulmonologist for the risk of lung cancer before determining if a patient should be considered for an invasive procedure to obtain a tissue sample to confirm diagnosis or computed tomography (CT) surveillance. This risk assessment includes a review of clinical factors such as the patient’s smoking history and age, and radiological features such as the size, texture, and location of the nodule, obtained from a CT scan. We estimate that approximately 80% of patients are identified as “low to moderate risk (5%-65%)” during these initial risk assessments. The current Lung Nodule guideline recommendations are unclear, often resulting in either over-treatment of patients with benign nodules or under-treatment in patients with cancerous nodules. An estimated 17% of patients initially scheduled for watchful waiting, or follow-up CT scans are later diagnosed with malignant nodules. Data has shown that a delay may lead to diagnosis at a more advanced stage and poorer outcomes for patients. Conversely, we estimate that 62% of biopsies and 35% of surgeries performed on lung nodules find benign disease, representing a significant overtreatment that incurs both risk and cost to the patient and their providers. We believe that there is a strong patient and clinical need for blood-based diagnostic testing to help improve the initial risk assessment of pulmonary nodules, helping direct patients to the relevant treatment pathway, ultimately improving patient outcomes and saving costs to the system across the lung care pathway.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Treatment Guidance – Early Stage</w:t>
      </w:r>
      <w:r>
        <w:rPr>
          <w:rFonts w:ascii="Times New Roman" w:hAnsi="Times New Roman"/>
          <w:color w:val="000000"/>
          <w:sz w:val="20"/>
        </w:rPr>
        <w:t xml:space="preserve">: We estimate that there are over 700 thousand testing opportunities annually in the United States in early-stage 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who may benefit from a less intensive treatment protocol. There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also been recent advances in the use of targeted therapies in early-stage lung disease. These therapies typically target specific genomic mutations or alterations found in some tumors. We believe there is therefore an emerging need for testing designed specifically for mutation detection in early-stage disease.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Treatment Guidance – Advanced Stage: </w:t>
      </w:r>
      <w:r>
        <w:rPr>
          <w:rFonts w:ascii="Times New Roman" w:hAnsi="Times New Roman"/>
          <w:color w:val="000000"/>
          <w:sz w:val="20"/>
        </w:rPr>
        <w:t>We estimate that there are over 3 million diagnostic testing opportunities annually in the United States to guide advanced stage lung cancer treatment decisions. With nearly 60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Physicians are often left with a dilemma to either make treatment decisions prior to receiving critical diagnostic test results, or delay treatment initiation while waiting for the test results. Therefore, we believe there is an imminent need for a blood-based testing solution that measures tumor mutations and the patient’s immune profile, to provide physicians with more comprehensive and timely information to initiate personalized treatment as quickly as possible.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Monitoring</w:t>
      </w:r>
      <w:r>
        <w:rPr>
          <w:rFonts w:ascii="Times New Roman" w:hAnsi="Times New Roman"/>
          <w:color w:val="000000"/>
          <w:sz w:val="20"/>
        </w:rPr>
        <w:t>: We estimate that there are over 800 thousand testing opportunities in the United States for blood-based tumor genomic and 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Diagnosis – Nodule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blood-based tests for patients with a pulmonary nodule, Nodify Lung Nodule Risk Assessment, assists healthcare providers in classifying a patient’s risk of lung cancer by integrating their protein biomarker results with radiographic imaging (CT scans) and other clinical characteristics. Nodify Lung testing consists of the Nodify CDT® and Nodify XL2® proteomic tests, which can be ordered separately or together from a single blood draw to help classify risk of cancer to aid healthcare providers in stratifying patients into distinct nodule management pathways with the goal of earlier diagnosis of cancer and avoidance of unnecessary invasive procedures when nodules are benign.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Nodify CDT Test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Nodify CDT test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goal of diagnosing cancer earlier. The Nodify CDT test enhances lung nodule risk assessment to facilitate compliance with clinical treatment guidelines. The Nodify CDT test is validated for use in patients who are 40 years or older, have no history of cancer except non-melanomatous skin cancer, have nodules between 4 and 30mm, and pre-test risk of lung cancer of less than 65%.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test measures the levels of seven circulating autoantibodies (P53, NY-ESO-1, CAGE, GBU4-5, SOX2, HuD, and MAGE A4) associated with lung cancer, combined with an algorithm to report out three potential results: High Level, Moderate Level, or No Significant Levels of Antibodies Detected (NSLAD). The seven autoantibodies have been shown to be elevated for all types of lung cancer, and from the earliest stage of the disease.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Nodify CDT test has an established average turnaround time of one business day from receipt of the blood sample, providing physicians with timely results to guide diagnostic planning. The clinical data for the test has been published in a number of peer-reviewed publications and presentations, including a clinical validation study published in late 2024 that confirmed the previously published performance of the test.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Nodify XL2 Test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Nodify XL2 test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The Nodify XL2 test is used for patients who are 40 years or older, have no history of lung cancer or other recent cancer diagnoses, have nodules between 8 and 30mm, and have a pre-test risk of lung cancer of less than or equal to 50%. A body of clinical data has been published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peer-reviewed journals and presentations and recent data from the ORACLE clinical utility study was published demonstrating a 74% reduction in unnecessary invasive procedures with the use of the test.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Nodify XL2 test integrates peptides with clinical and radiological characteristics that are combined by an algorithm to report out three potential results: Likely Benign, Reduced Risk, or Indeterminate. Specifically, the Nodify XL2 test measures the relative abundance of two peptides (LG3BP and C163A) in circulation in the patient’s blood. The native proteins from which the peptides are derived have been associated with an inflammatory response to lung cancer. The clinical factors are patient age and smoking status, and radiological factors are nodule size, location, and edge characteristics.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both tests are ordered for the patient and the Nodify CDT test returns a result of High or Moderate Level indicating an increased risk of malignancy, then the Nodify XL2 test is cancelled. If the Nodify CDT test returns a result of NSLAD, then the Nodify XL2 test is performed and both test results are typically available within four to five business days.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Lung Cancer Treatment &amp; Monitoring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Profiling the tumor through blood-based genomic testing can help identify mutations in genes that may be driving growth of the tumor and may be targets for therapeutics. However, tumors also have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IQLung® testing strategy consists of the VeriStrat® immune profiling test, and the GeneStrat® ddPCR and GeneStrat NGS® tumor profiling tests, which can be ordered together or separately for patients with NSCLC. Together, the tests have an established average turnaround time of three business days, providing physicians with timely results to facilitate treatment decisions.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VeriStrat Test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VeriStrat test is a blood-based proteomic test that provides a personalized view of each patient’s immune response to their cancer. Results help inform physicians whether their patient has a more aggressive cancer and can help with treatment planning. The VeriStrat test profiles the patient’s immune system by measuring eight protein features measured by MALDI-ToF mass spectrometry and interpreted by a proprietary machine learning-based algorithm to produce either a VeriStrat Good or VeriStrat Poor test result.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 patients that test as VeriStrat Poor. By using the VeriStrat test for immune profiling, physicians can help identify the patient's immune response to lung cancer to help guide treatment decisions.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GeneStrat ddPCR Test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GeneStrat test is a blood-based tumor profiling test that detects the guideline recommended, actionable mutations in lung cancer: EGFR, KRAS, BRAF, EML4-ALK, ROS-1, and RET. Physicians can order one or any combination of the gene tests, whichever they deem medically necessary for the individual patient. The presence of a mutation in one of the genes could indicate the patient is a candidate for the associated guideline-recommended targeted therapy. The GeneStrat test performance and potential clinical utility have been published in multiple peer reviewed studies.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GeneStrat NGS Test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GeneStrat NGS test is a blood-based 52-gene tumor profiling test panel that detects the guideline recommended, actionable mutations in lung cancer including five gene classes (SNV, INDELS, CNA, fusions, and exon-skipping). Specific variants of relevance to NSCLC include EGFR, KRAS, BRAF, EML4-ALK, ROS-1, RET, MET, NTRK. The GeneStrat NGS test is used for late-stage, metastatic NSCLC and physicians can order one or any combination of the IQLung® tests, whichever they deem medically necessary for the individual patient. The presence of a mutation in one of the genes could indicate the patient is a candidate for the associated guideline-recommended targeted therapy. The GeneStrat NGS test performance and potential clinical utility have been published in multiple published studies.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rapid, blood-based tumor profiling with the GeneStrat ddPCR and GeneStrat NGS tests can be complementary to both targeted tissue-based testing and tissue-based broad genomic sequencing. Testing with GeneStrat ddPCR and GeneStrat NGS tests at diagnosis can help quickly identify patients who are eligible for targeted therapies. Additionally, blood-based testing upfront can help save valuable tissue for diagnostic evaluation, and broad genomic profiling for rare mutations to enroll in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Commercialization and Competitive Advantages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our Biodesix Lung Diagnostic Tests, commercial efforts are focused on the promotion of our tests to healthcare professionals actively involved in the diagnosis and treatment of lung disease. Primarily focusing on the pulmonology specialists and their primary care referral network, the Biodesix commercial team, consisting of specialty sales representatives, medical affairs, marketing and customer care representatives, works to educate and inform the entire patient care group consisting of pulmonologists, advanced pulmonary providers, the primary care referral network, nurses, office staff, laboratory personnel, and healthcare administrators on the appropriate use and value provided by our testing. The goal is to drive test adoption through articulating the scientific and clinical evidence behind our tests, how they impact the clinical care pathway options, and how the tests can ultimately help to improve patient outcomes through earlier detection and treatment.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that are discovered to have pulmonary nodules are concentrated in the pulmonology specialty and in their primary care physician referral networks. We also engage with large hospital systems in a “top-down” approach, with the goal of incorporating our tests into system-wide pathways and protocols.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our continued growth drivers stem from our competitive advantages,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Our demonstrated success commercializing diagnostic tests in lung disease with unprecedented turnaround times. </w:t>
      </w:r>
      <w:r>
        <w:rPr>
          <w:rFonts w:ascii="Times New Roman" w:hAnsi="Times New Roman"/>
          <w:color w:val="000000"/>
          <w:sz w:val="20"/>
        </w:rPr>
        <w:t>With five diagnostic tests launched and multiple improvements and several tests currently in development, our commercial portfolio of blood-based solutions currently addresses clinical unmet needs within diagnosis, treatment and monitoring of lung cancer. Our diagnostic tests provide rapid and actionable diagnostic information to help inform physicians on the next steps in a patient’s care plan to help diagnose lung cancer faster and expediting time to treatment.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Our broad test offering and continued development and publication of clinical data drives market adoption. </w:t>
      </w:r>
      <w:r>
        <w:rPr>
          <w:rFonts w:ascii="Times New Roman" w:hAnsi="Times New Roman"/>
          <w:color w:val="000000"/>
          <w:sz w:val="20"/>
        </w:rPr>
        <w:t>We leverage a multi-omic approach to offer various technologies and testing that meet the variety of clinical testing needs for providers treating patients with lung disease. We continue to publish clinical data and health economics and outcomes research to support the ongoing adoption of our tests by physicians, healthcare systems, and payers.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Our commercial infrastructure, spanning both the lung-focused sales channel and the primary care referral network, which includes our extensive knowledge and experience in sales, marketing, reimbursement and operations, provides us with the ability to efficiently launch and scale tests and drive revenue. </w:t>
      </w:r>
      <w:r>
        <w:rPr>
          <w:rFonts w:ascii="Times New Roman" w:hAnsi="Times New Roman"/>
          <w:color w:val="000000"/>
          <w:sz w:val="20"/>
        </w:rPr>
        <w:t xml:space="preserve">We have built one of the only commercial teams in diagnostics focused on lung disease. By offering a broad menu of tests for current clinical use, and continuing to develop additional tests for lung, we can efficiently leverage the existing team and infrastructure to address more clinical needs for the same call point.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Biodesix 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enable the world’s leading biopharmaceutical, life sciences, and academic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Development Services has been utilized by over 65 industry clients and academic research partners.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and collaborative approach to solving diagnostic challenges.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offer end-to-end diagnostic solutions, including translational research, initial biomarker discovery, assay design, development, and validation, testing of clinical trial samples, regulatory, reimbursement, commercialization, and logistical support services (e.g., specimen collection and collection kits). We offer our existing on-market tests, a suite of other research tests and the capability to custom design novel tests for use by our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our biopharmaceutical discovery, diagnostic development and testing revenue continues to grow, it is important to note that we benefit greatly from these partnerships in many ways beyond revenue. We are continuously expanding our knowledge and biological understanding of multiple diseases and the rapidly evolving treatment landscape, for example, by actively partnering in consortia including with the Friends of Cancer Research.</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Pipeline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pipeline strategy leverages existing infrastructure, both personnel and technology, which is built to support our Lung Diagnostic Tests and Development Services workstreams, creating a cost-effective development funnel that works around our core business. We utilize insights from our clinical teams and industry and academic partnerships to identify novel opportunities for new test development and expanded use of our current on-market tests. We have a combination of internal projects, generally focused on improvements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existing diagnostic tests, and external collaborations with academic partners that are typically focused on new test development and exploring additional clinical utility for our existing portfolio.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continue leveraging our existing commercial channel, we are developing additional tests to help address clinical unmet needs for patients with lung disease. Through pipeline development and research partnerships, we may develop tests that have clinical utility outside of lung disease, in which case we will assess potential partners for commercialization with the goal of maintaining the Biodesix commercial team’s focus on lung disease.</w:t>
      </w:r>
    </w:p>
    <w:p>
      <w:pPr>
        <w:pStyle w:val="TextBody"/>
        <w:bidi w:val="0"/>
        <w:spacing w:before="120" w:after="283"/>
        <w:jc w:val="center"/>
        <w:rPr/>
      </w:pPr>
      <w:r>
        <w:rPr/>
        <w:drawing>
          <wp:inline distT="0" distB="0" distL="0" distR="0">
            <wp:extent cx="6257925" cy="2743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57925" cy="2743200"/>
                    </a:xfrm>
                    <a:prstGeom prst="rect">
                      <a:avLst/>
                    </a:prstGeom>
                  </pic:spPr>
                </pic:pic>
              </a:graphicData>
            </a:graphic>
          </wp:inline>
        </w:drawing>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Risk of Recurrence (ROR) &amp; Molecular Residual Disease (MRD) Combination Test – Pan Cancer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Using ddPCR for longitudinal blood-based monitoring of cell-free DNA mutations is a cost-effective testing method while patients are being treated with targeted therapies. Additional utility for ddPCR and our proteomics approach exists for molecular residual disease testing given the sensitivity and specificity of these technologies. In March 2024, we announced a Master Collaborative Research Agreement with Memorial Sloan Kettering Cancer Center (MSKCC), under which the teams are collaborating on a development plan for diagnostic tests aimed at improving the treatment of cancer, including MRD.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VeriStrat Test – Immunotherapy use Pan Cancer</w:t>
      </w:r>
    </w:p>
    <w:p>
      <w:pPr>
        <w:pStyle w:val="TextBody"/>
        <w:bidi w:val="0"/>
        <w:spacing w:before="120" w:after="283"/>
        <w:jc w:val="both"/>
        <w:rPr>
          <w:rFonts w:ascii="Times New Roman" w:hAnsi="Times New Roman"/>
          <w:color w:val="212121"/>
          <w:sz w:val="20"/>
        </w:rPr>
      </w:pPr>
      <w:r>
        <w:rPr>
          <w:rFonts w:ascii="Times New Roman" w:hAnsi="Times New Roman"/>
          <w:color w:val="212121"/>
          <w:sz w:val="20"/>
        </w:rPr>
        <w:t>We have conducted broad studies in multiple cancers in collaboration with MSKCC and observed that pre-treatment MSI-H patients eligible for treatment with pembrolizumab have a strong prognostic effect with the previously developed VeriStrat test. Patients that are eligible for treatment with pembrolizumab that are MSI-H may derive beneficial information from the rapid VeriStrat blood test. The VeriStrat test may aid in treatment decisions across a number of cancers that have the MSI-H biomarker. Cancers tested included colorectal and endometrial cancer. Data was presented at the annual Association for Molecular Pathology (AMP) conference in November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VeriStrat Test – Prostate Cancer</w:t>
      </w:r>
    </w:p>
    <w:p>
      <w:pPr>
        <w:pStyle w:val="TextBody"/>
        <w:bidi w:val="0"/>
        <w:spacing w:before="120" w:after="283"/>
        <w:jc w:val="both"/>
        <w:rPr>
          <w:rFonts w:ascii="Times New Roman" w:hAnsi="Times New Roman"/>
          <w:color w:val="212121"/>
          <w:sz w:val="20"/>
        </w:rPr>
      </w:pPr>
      <w:r>
        <w:rPr>
          <w:rFonts w:ascii="Times New Roman" w:hAnsi="Times New Roman"/>
          <w:color w:val="212121"/>
          <w:sz w:val="20"/>
        </w:rPr>
        <w:t>We have observed a strong prognostic effect with the VeriStrat test in metastatic castration-resistant and castrate-sensitive prostate cancer patients eligible for treatment with Abiraterone and Enzalutamide. Data was presented at the annual American Society for Mass Spectrometry (ASMS) and AMP conferences in June and November 2025, respectively. We believe the VeriStrat test may aid in further treatment decisions in this patient population.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ESR1 Monitoring – Breast Cancer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we announced the signing of an expanded partnership agreement under which Biodesix will conduct the development, clinical validation, and regulatory submissions of in vitro diagnostic (IVD) assays to enable highly sensitive detection of multiple genomic markers focused on oncology applications, utilizing Bio-Rad’s Droplet Digital PCR (ddPCR) technology on Bio-Rad’s QX600 platform. The first assay to be validated under the agreement include Bio-Rad’s ddPLEX ESR1 Mutation Detection Assay. ESR1 testing is becoming critical in HR+/HER2- advanced breast cancer due to the clinically demonstrated survival benefits from a new generation of therapy called oral selective estrogen receptor degraders (SERDs). The ddPLEX ESR1 Mutation assay will enable highly sensitive detection and quantification of multiple ESR1 mutations from ctDNA samples. Once validated, the ESR1 assay will be offered as a test service at Biodesix accredited CLIA-CAP laboratory for biopharmaceutical customers to support the development of targeted therapeutics, as well as for clinical customers to support cancer treatment monitoring.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dedicated to continuously publishing and presenting new data on the clinical validation and utility of our diagnostic tests. The following are our ongoing clinical studies for our diagnostic testing solutions.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ALTITUDE Clinical Utility Study (NCT04171492)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ALTITUDE clinical utility study is designed to evaluate the performance of Nodify Lung testing (Nodify XL2 and Nodify CDT tests) in a randomized controlled study (RCT). The study is titled “A Multicenter, Randomized Controlled Trial, Prospectively Evaluating the Clinical Utility of the Nodify XL2 Proteomic Test in Incidentally Discovered Low to Moderate Risk Lung Nodules”.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the Nodify XL2 test. On July 21, 2025, we ended patient accrual based on the recommendation of the Data Safety Monitoring Board. Final analysis will be completed following two-year follow-up.</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CLARIFY Clinical Utility Study (NCT06728319)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CLARIFY is a large, retrospective study assessing the performance of the Nodify CDT and Nodify XL2 tests in a real-world patient population. The study is titled “A Multicenter, Retrospective, Chart Review Study Evaluating The Impact and Utility of the Blood-Based Proteomic Integrated Classifier and Auto-Antibody Tests in the Real World.” The study's primary objective is to assess the performance of the Nodify CDT and Nodify XL2 tests both individually and serially. The study will evaluate up to 4,000 patients who have at least one to two years of follow-up from high-volume community and academic practices that have integrated the testing into their management of lung nodules. Further evaluation of the performance of the tests in a large, real-world population will provide deeper insights into day-to-day clinical practice and diverse and understudied patient sub-populations. It received central IRB approval in August 2024 and began enrollment in September 2024. Through December 31, 2025, the CLARIFY study has accrued over 1,500 patients.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INSIGHT Observational Study (NCT03289780)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INSIGHT observational study is designed to evaluate the real-world clinical utility and performance of VeriStrat, GeneStrat ddPCR, and GeneStrat NGS tests. The title is “Observational Study Assessing the Clinical Effectiveness of VeriStrat and Validating Immunotherapy Tests in Subjects with Non-Small Cell Lung Cancer (INSIGHT)”. On June 27, 2023, we completed enrollment of 5,000 patients with non-small cell lung cancer. Final analysis with three-year follow-up is estimated to be completed by the end of 2026.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Reimbursement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primary source of reimbursement for our tests in the United States is from third-party payers, including government payers, such as Medicare, and commercial payers, such as insurance companies. Reimbursement for laboratory tests in the United States is determined by various payers, including private third-party payers, managed care organizations, and state and federal health care programs, such as Medicare and Medicaid. In Medicare, coverage of an item or service depends on whether it is “reasonable and necessary” under Section 1862(a)(1)(A) of the Social Security Act (SSA). For single-source laboratory tests, this determination is typically made by the Medicare Administrative Contractor (MAC) with jurisdiction over the laboratory where the test is performed. Our Louisville, Colorado laboratory is currently under the jurisdiction of Novitas Solutions, Inc. Our De Soto, Kansas laboratory is under the jurisdiction of Wisconsin Physicians Service Insurance Corporation (WPS), which participates in the MolDX program (administered by another MAC, Palmetto GBA) to set coverage policy for molecular diagnostic tests.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Medicare pays for clinical diagnostic laboratory tests (CDLTs), on the Clinical Laboratory Fee Schedule (CLFS). Section 216(a) of the Protecting Access to Medicare Act of 2014 (PAMA) added Section 1834A to the SSA, which established the current CLFS rate setting processes and coding provisions for CDLTs, and created a new subcategory of CDLTs called Advanced Diagnostic Laboratory Tests (ADLTs), with separate reporting and payment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Section 1834A and its implementing regulations, clinical laboratories that receive the majority of their Medicare revenues from payments made under the CLFS and the Physician Fee Schedule report on a triennial basis (or annually for ADLTs), private payer rates and volumes for their tests with specific billing codes based on final payments made during a set data collection period. The payment rate for a test for the ensuing three-year period (or one year for ADLTs) is set at the weighted median of the rates reported under the specific billing code for that test. Newly established codes for CDLTs are priced until the next private payer rate reporting cycle either based on the payment rate of a comparable code on the CLFS, as determined by CMS ("crosswalking") or at the median of rates submitted by the individual MACs based on statutory and regulatory factors ("gapfilling"). New ADLTs are initially priced at “actual list charge” for a nine-month period, after which they are priced based on private payer rates, with a recoupment provision if actual list charge is more than 130% of the weighted median of private payer rates reported.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various payers in the United States also determine their own billing rules. In December 2020, Medicare revised its billing rules for clinical laboratory tests to require cancer-related protein-based Multianalyte Assays with Algorithmic Analyses to be billed directly to Medicare by the performing laboratory in most cases when performed on a specimen collected from a hospital outpatient. Molecular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pathology tests and most ADLTs are also generally required to be billed directly to Medicare by the laboratory under these circumstances.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CMS has designated three of the Biodesix tests as Advanced Diagnostic Laboratory Tests (ADLT). The designation was effective for the Nodify CDT test as of June 30, 2023, for the Nodify XL2 test as of May 17, 2019, and for the VeriStrat test as of December 21, 2018. Obtaining ADLT status is a recognition that the tests meet the stringent criteria established under the Protecting Access to Medicare Act of 2014. ADLT status is reserved for innovative tests with Medicare coverage that are offered and furnished by a single laboratory and provide new clinical diagnostic information that cannot be obtained from any other test or combination of tests.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applicable laws and regulations, as well as internal compliance policies and procedures, adds complexity to the billing process. CMS is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Current Procedural Terminology (CPT) codes, as defined by the American Medical Association. For some of the tests we conduct, there may not be a specific CPT or HCPCS code, in which case the test may be billed under a miscellaneous code for an unlisted molecular pathology procedure or unlisted multiple analyte test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primarily face competition from diagnostic companies that provide cancer-focused diagnostic tests to hospitals, researchers, clinicians, and biopharmaceutical companies.</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Diagnosis—Nodule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not aware of any other company that offers commercial blood-based tests to help physicians reclassify risk of malignancy in patients with suspicious lung nodules. We are aware of efforts by Veracyte, Inc. to develop and validate a test that may be competitive to the Nodify XL2 and/or Nodify CDT tests in the future. </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Treatment Guidance and Monitoring—Non-Small Cell Lung Cancer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unaware of any other diagnostic test available, commercially or in development, that will compete with our VeriStrat immune profiling test. There is substantial interest and activity in tumor profiling through liquid biopsy. Our genomic test offerings, the GeneStrat ddPCR and GeneStrat NGS tests, face competition from academic hospital laboratories, and companies such as Guardant Health and Foundation Medicine. We believe that there are several companies and academic research institutions in the process of developing tests for monitoring patients or following treatment for recurrence or progression of lung cancer.</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Biodesix 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aware of a number of companies who compete with our Development Services for biopharmaceutical, life science and research partners, including in diagnostic research, clinical trial testing, and the discovery, development, and commercialization of tests. From the perspective of tumor profiling, we believe Guardant Health, Foundation Medicine, Tempus AI, and NeoGenomics are our most significant competitors. Conversely, in the immune profiling market, we believe Adaptive Biotechnologies and Personalis are our most significant competitors.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Clinical Laboratory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Throughout 2025, all aspects of the testing process, from receipt of the test requisition form through delivery of test results, were performed for the VeriStrat, GeneStrat ddPCR, and GeneStrat NGS tests in our Louisville, Colorado facility. The proprietary testing methods use semi-automated workflows that facilitate successful delivery averaging 90% of our tests within three days, and we believe our existing workflows will continue to successfully deliver our tests within this timeframe. Our Louisville facility is a high-complexity Clinical Laboratory Improvement Amendments (CLIA) certified clinical laboratory. The laboratory is College of American Pathology (CAP) accredited, New York State Department of Health (NYSDOH)—permitted holding necessary Laboratory Director certifications and test approvals, ISO 13485:2016 Quality Management Systems—Requirements for Regulatory Purposes for Medical Devices certified, along with all other states that require licensing: California, Maryland, Pennsylvania, and Rhode Island.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Receipt of requisitions and testing for the Nodify CDT and Nodify XL2 tests are performed in our De Soto, Kansas clinical laboratory. Delivery of the test results is centralized to our Louisville, Colorado corporate headquarters. The proprietary testing methods use semi-automated workflows that facilitate successful delivery averaging 90% of our tests within five business days, and we believe our existing workflows will continue to successfully deliver our tests within this timeframe. Our De Soto, Kansas facility is a high-complexity CLIA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certified clinical laboratory. This clinical laboratory is also CAP-accredited, NYSDOH—permitted holding necessary Laboratory Director certifications and test approvals, Quality Management Systems—Requirements for Regulatory Purposes for Medical Devices certified and licensed by California, Maryland, Pennsylvania, and Rhode Island.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Personnel in both laboratory facilities are responsible for quality assurance oversight, licensing, and regulatory compliance and maintenance to ensure data integrity and consistent, validated processes.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Supply Chain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Freenome's United States operations (formerly "Oncimmune USA" or "Oncimmune") is also the sole source supplier for our Nodify CDT tests but there are known secondary suppliers for these materials.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tests until alternatives can be validated.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materials for our VeriStrat test and Nodify XL2 test have alternative suppliers readily available, and a disruption in any single supplier would not materially impact our ability to deliver the test.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initiated the second source qualification process for the majority of these critical components, however, we may not be successful in securing second sourcing for all of them at all or on a timely basis. A disruption to this supply would negatively impact our ability to perform these tests until an alternative supplier could be validated.</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invested heavily in the protection of our key assets, namely the VeriStrat and GeneStrat tests, and we acquired a patent portfolio relating to the Nodify XL2 and Nodify CDT tests in our acquisitions of Indi in June 2018, and of Oncimmune USA in October 2019 from Oncimmune Limited (Oncimmune). We own patents and patent applications as well as trade secrets relating to our products currently in development, a collection device for whole blood, our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 technology developed by Bio-Rad and which we employ in our GeneStrat test.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patent strategy has focused on creating and acquiring protection for our VeriStrat and Nodify XL2 proteomic tests, while utilizing trade secret and some methods patent protection for our genomic test (the GeneStrat ddPCR and GeneStrat NGS tests)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Bio-Rad owns patents relating to ddPCR and to which we have a non-exclusive license to utilize for the performance of ddPCR in cancer detection testing for third parties as set forth in the Bio-Rad License Agreement.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AI platform and our approaches to using MALDI-ToF technology (DeepMALDI® techniques). Additionally, our first device patent was issued in 2019 for our internally designed blood collection device.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our patent portfolio includes 60 issued United States patents, 84 issued foreign patents, and 18 pending applications (including 10 foreign patent applications). With regard to our product development efforts, new applications have been filed around developments relating to micro-organisms diagnostics, new analytic methodologies using Shapley values and semi-quantitative spectra analysis in MALDI, and national stage applications are now in active prosecution to protect our pipeline ROR and PIR tests.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portfolio can be broken down into five major categories: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and patent applications relating to the VeriStrat and Nodify® tests and uses of these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and patent applications relating to methods for developing classifiers, including using our AI platform and DeepMALDI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and patent applications relating to tests currently in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and patent applications relating to our novel blood collection device;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and patent applications relating to tests developed for our third-party partners.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relating to the VeriStrat test are scheduled to expire between 2026 and 2032 and are actively under review for additional protection. The patents relating to the Nodify XL2 test are scheduled to expire beginning in 2031 (excluding any patent term extension granted by the United States Patent and Trademark Office (USPTO)), and the patents relating to the Nodify CDT test are scheduled to expire in 2027 and are actively under review for additional protection.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Cooperation Treaty (PCT)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foreign stage and United States non-provisional patent applications, if such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 As of December 31, 2025, we have no pending PCT applications.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Branding is a part of any intellectual property strategy as patent or trade secret protection and we have a number of registered and pending trademarks relating to our company and products. We have received or filed for trademark protection in the United States for our trade name (Biodesix), the Biodesix logo, the names of five of our commercial tests (namely the VeriStrat, GeneStrat ddPCR, GeneStrat NGS, Nodify XL2 and Nodify CDT tests), and a suite of research tests (ImmunoStrat test), as well as having trademark protection for our core development and methodological platforms, such as our AI platform and DeepMALDI technologies. In all, as of December 31, 2025, we have 13 uniquely registered United States trademarks, four of which (including Biodesix, VeriStrat, Nodify and GeneStrat) have received foreign issuances as well, with one trademark pending approval from the USPTO. We will continue to pursue protection in the United States and abroad for our branded assets and will continue to use branding to protect products currently in development, key Biodesix developments and non-trade secret methodologies.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rely on trade secrets, including know-how, confidential information, unpatented technologies and other proprietary information, to strengthen or enhance our competitive position, protect and maintain aspects of our business that are not amenable to, or that we do not presently consider appropriate for, patent protection, and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Government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laboratory tests like our diagnostic tests are regulated under CLIA and state law. The FDA regulates medical devices pursuant to the Federal Food, Drug, and Cosmetic Act (FDCA), including many diagnostic test kits, such as IVDs. However, most Laboratory Developed Tests (LDTs) are not currently subject to enforcement under the FDA’s regulation (although reagents, instruments, software or components provided by third parties and used to perform LDTs may be subject to such enforcement), and the FDA has historically exercised enforcement discretion over LDTs. LDTs are a subset of IVDs that are intended for clinical use and developed, validated, and offered within a single laboratory for use only in that laboratory. Historically, high-complexity clinical laboratories have offered LDTs under the CLIA regulatory framework administered by CMS, without FDA premarket clearance 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FDA’s authority to regulate LDTs has been contested for many years, and there have been several legislative and administrative proposals regarding LDT regulation seeking to end or limit enforcement discretion and to bring LDTs under new or existing FDA regulatory frameworks. On May 6, 2024, the FDA published a final rule to actively regulate LDTs under a multi-year phase-in framework. On May 29, 2024, the American Clinical Laboratory Association and HealthTrackRx filed suit challenging the rule, and on March 31, 2025, the U.S. District Court for the Eastern District of Texas vacated the rule, concluding that LDTs developed and used within a single clinical laboratory are not “devices” under the FDCA and therefore fall outside FDA’s statutory authority. The FDA did not appeal the ruling, and the final rule was rescinded on September 19, 2025. At this time, it remains uncertain whether or how the FDA may seek to regulate LDTs that are developed across multiple laboratories, used outside traditional clinical settings, or offered through digital health or direct to consumer channels. Legislative proposals have also periodically sought to clarify or expand FDA’s authority over LDTs, and future statutory or regulatory developments may shape FDA’s approach to oversight of LDTs and related components.</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Federal and State Laboratory Licensing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Biodesix Louisville, Colorado clinical laboratory is a CAP-accredited clinical laboratory regulated by CMS pursuant to CLIA. CMS has granted CAP deeming authority under CLIA, which allows CAP to inspect laboratories in lieu of CMS. In addition to holding a CLIA Certificate and CAP laboratory accreditation, Biodesix Quality Management System (QMS) holds an ISO 13485:2016 certificate. The Biodesix Louisville, Colorado clinical laboratory received approval from the NYSDOH, NYS CLEP in Soluble Tumor Markers,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Molecular and Cellular Tumor Markers as well as held state permits and licenses in California, Maryland, New York, Pennsylvania, and Rhode Island.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CLIA regulations establish standards for proficiency testing; facility administration; general laboratory systems; pre-analytic, analytic systems, post- analytic systems; personnel qualifications and responsibilities; quality control, quality assessment; and specific provisions for laboratories performing moderate to high complexity tests. Our Louisville, Colorado clinical laboratory is inspected biennially as part of its ongoing certification under CLIA certificate of accreditation by CAP.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International Organization for Standardization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On January 31, 2024, the FDA issued a final rule to harmonize and modernize its Quality System Regulation (QSR), which would supplant the existing requirements with ISO 13485:2016. The rule amends the current good manufacturing practice requirements of the QSR in 21 CFR 820. The FDA’s Quality Management System Regulation (QMSR) rule emphasizes risk management activities and risk-based decision making and aims to reduce regulatory burdens on device manufacturers and importers by harmonizing domestic and international requirements. Device manufacturers and importers have one year to modify their quality systems to meet the requirements of the QMSR rule by February 2, 2026. Accordingly, Biodesix’s QMS is designed and implemented, in alignment with ISO 13485:2016 and has been proactively updated to meet the requirements of the FDA’s QMSR, confirming our ongoing compliance with both international standards and the harmonized U.S. regulatory framework.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Biodesix De Soto, Kansas clinical laboratory is a CAP-accredited clinical laboratory regulated by CMS pursuant to CLIA. CMS has granted CAP deeming authority under CLIA, which allows CAP to inspect laboratories in lieu of CMS. The De Soto, Kansas clinical laboratory has received approval from the NYSDOH, NYS CLEP in Soluble Tumor Markers and Diagnostic Immunology as well as holding state permits and licenses in California, Maryland, Pennsylvania, and Rhode Island.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our Louisville,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Louisville, Colorado and De Soto, Kansas laboratories with the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Louisville, Colorado and De Soto, Kansas laboratories are certified and adhere to the NYS CLEP, based on New York State Public Health Law, Article 5 Title 5. NYS CLEP is exempt from CLIA and establishes their own method of laboratory certification and test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validation approval. To process New York State patient specimens a laboratory must submit a robust analytical and clinical validation package to demonstrate clinical utility of the test and receive approval prior to offering the test in the state of New York. All of our tests have obtained NYS CLEP approval including GeneStrat ddPCR, GeneStrat NGS, VeriStrat, Nodify XL2 and Nodify CDT tests. NYS CLEP requires semi-annual inspections to ensure the laboratory meets all general and specialty standards. Due to the pandemic, NYSDOH CLEP routine re-inspections were delayed by multiple years.</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Regulatory Framework for Medical Devices in the United States and Internationally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or more of our current, or future, tests will be subject to FDA authority and oversight as either an IVD or a CDx pursuant to the FDA’s authority to regulate medical devices under the FDCA.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Medical devices are subject to extensive regulation in the United States and elsewhere, including by the FDA and its foreign counterparts. Government regulations specific to medical devices are wide ranging and govern,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design, development, manufacturing assembly and release;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laboratory and clinical testing, labeling, packaging, storage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safety and efficacy;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premarketing clearance 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 operations, including assay development and validation, clinical sample testing, clinical trial solutions, and quality and regulatory solutions;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record keeping;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marketing, promotion and advertising, sales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post-marketing surveillance, including reporting of deaths or serious injuries and recalls and correction and removals;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post-market approval studies;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import and export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Foreign Corrupt Practices Act of 1997 (FCPA).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Securities and Exchange Commission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 access, sales and marketing of medical devices in non-U.S. countries are subject to foreign regulatory requirements that vary widely from country to country. For example, in the European Economic Area (EEA), a medical device must meet the Medical Devices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Directive’s (MDD)/In Vitro Medical Devices Directive’s (IVDD) Essential Requirements or, applicable on May 26, 2021, the Medical Devices Regulation’s (MDR) / applicable on May 26, 2022, In Vitro Medical Devices Regulation’s (IVDR) General Safety and Performance Requirements which apply to it, taking into account its intended purpose as defined by the data supplied by the manufacturer on the label, in the instructions for use or in promotional or sales materials or statements and as specified by the manufacturer in the clinical evaluation. Before placing a 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 reusable surgical instruments, the manufacturer must obtain a CE Certificate from a notified body. The notified body typically audits and examines the device’s technical documentation, including the clinical evaluation, and the quality system for the manufacture, design and final inspection of the relevant device before issuing a CE Certificate. Following the issuance of this CE Certificate, manufacturers may draw up the declaration of conformity and affix the CE mark to the devices covered by this CE Certificate.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the EEA, manufacturers of medical devices must document in a clinical evaluation report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 benefit-risk ratio. The CER must be updated based on information from the post-market surveillance and vigilance activities related to the device. The CER shall consist, </w:t>
      </w:r>
      <w:r>
        <w:rPr>
          <w:rFonts w:ascii="Times New Roman" w:hAnsi="Times New Roman"/>
          <w:i/>
          <w:color w:val="000000"/>
          <w:sz w:val="20"/>
        </w:rPr>
        <w:t>inter alia</w:t>
      </w:r>
      <w:r>
        <w:rPr>
          <w:rFonts w:ascii="Times New Roman" w:hAnsi="Times New Roman"/>
          <w:color w:val="000000"/>
          <w:sz w:val="20"/>
        </w:rPr>
        <w:t xml:space="preserve">, of analyzed clinical data collected from a clinical investigation of the device, or the results of other studies on substantially equivalent devices. Reliance on “substantially equivalent” devices is very restrictive and requires, </w:t>
      </w:r>
      <w:r>
        <w:rPr>
          <w:rFonts w:ascii="Times New Roman" w:hAnsi="Times New Roman"/>
          <w:i/>
          <w:color w:val="000000"/>
          <w:sz w:val="20"/>
        </w:rPr>
        <w:t>inter alia</w:t>
      </w:r>
      <w:r>
        <w:rPr>
          <w:rFonts w:ascii="Times New Roman" w:hAnsi="Times New Roman"/>
          <w:color w:val="000000"/>
          <w:sz w:val="20"/>
        </w:rPr>
        <w:t>, that the manufacturer has full access to the technical documentation of the equivalent device on an ongoing basis and, if the “equivalent device” is not its own, that the manufacture has in place a contract with the manufacturer of the “equivalent device.”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Similar requirements apply in the UK. For access to the UK market, manufacturers must obtain a UKCA Certificate and affix a UKCA mark to their medical devices. Initially, the government stated the CE mark will be accepted in the UK until July 1, 2023. However, on July 1, 2023, the government updated their guidance for regulating medical devices stating their intention to extend recognition and acceptance of the CE marking for placing most goods on the market in Great Britain, indefinitely, if the device was placed on the EU market before January 1, 2021.</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Device Classification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31, 2024, the FDA’s Center for Devices and Radiological Health (CDRH) announced that the Center intends to initiate the reclassification process for most IVD tests that are currently Class III (high risk) into Class II (moderate risk). The majority of these tests are infectious disease and companion diagnostic IVDs. Reclassification would allow manufacturers of certain types of tests to seek marketing clearance through the less burdensome premarket notification (510(k)) pathway rather than the premarket approval pathway, the most stringent type of FDA medical device review.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Class II devices are subject to the General Controls as well as any special controls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Premarket Submission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Premarket Approval Application (PMA); or (3) De Novo classification and authorization. These processes can be resource intensive, expensive, and lengthy, and require payment of significant user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Class I or II device that was legally marketed prior to May 28, 1976 (pre-amendments device),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then a new clearance, authorization or approval may be required.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predicate device is not available, the FDA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A De Novo request includes a description of the device, a discussion of the general controls and any specific controls recommended to provide reasonable assurance of the safety and effectiveness of the device, a description of the probable benefits of the device when compared to the probable risks when the device is used as intended, non-clinical data including bench performance and animal testing, technical information about the device, and clinical data (if applicable). The FDA’s goal is to review a De Novo request within 150 review days after receiving the petition. As with a 510(k) submission or PMA, the length of the review can be prolonged if the FDA requests additional information from the applicant.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approval of a PMA, the FDA may conduct inspections of any clinical trial data and clinical trial sites, as well as inspections of any manufacturing facility and processes.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condition of PMA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longer-term safety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effectiveness data for the device. The FDA may also approve a PMA application with other post-approval conditions intended to ensure the safety and effectiveness of the device, such as, among other things, restrictions on labeling, promotion, sale, distribution and use.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510(k), De Novo or PMA processes can be expensive, lengthy and unpredictable. The FDA’s 510(k) clearance process usually takes from three to 12 months, but can last longer. The process of obtaining a PMA is much more costly and uncertain than the 510(k)-clearance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Companion Diagnostics and the Premarket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several of our future product candidates may include a companion diagnostic (CDx), which is defined as an IVD that provides information that is essential for the safe and effective use of the therapeutic product.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CDx is often developed and approved or cleared contemporaneously with the therapeutic, and the use of the CDx is stipulated in the labeling of both the CDx and the corresponding therapeutic product. CDx’s are generally regulated as Class III medical devices by the FDA and are therefore most often subject to the PMA approval process. While the FDA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The FDA may also require an application for the CDx to be separate from the drug approval process, and this could also potentially delay the approval of any new drug application or the CDx, or complicate the review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issued guidance in July 2016 for the co-development of CDx tests with a therapeutic product, which has remained in draft format. FDA issued and finalized a separate guidance in April 2020 specific to oncology CDx tests, “Developing and Labeling In vitro Companion Diagnostic Devices for a Specific Group of Oncology Therapeutic Products.” The guidance is meant to guide the development of CDx products in a way that results in labeling for a specific group of oncology therapeutic products, rather than a single therapeutic product. </w:t>
      </w:r>
    </w:p>
    <w:p>
      <w:pPr>
        <w:pStyle w:val="Heading2"/>
        <w:bidi w:val="0"/>
        <w:spacing w:before="120" w:after="120"/>
        <w:jc w:val="both"/>
        <w:rPr>
          <w:rFonts w:ascii="Times New Roman" w:hAnsi="Times New Roman"/>
          <w:color w:val="000000"/>
          <w:sz w:val="20"/>
        </w:rPr>
      </w:pPr>
      <w:r>
        <w:rPr>
          <w:rFonts w:ascii="Times New Roman" w:hAnsi="Times New Roman"/>
          <w:color w:val="000000"/>
          <w:sz w:val="20"/>
        </w:rPr>
        <w:t>Post-Market FDA Regulation</w:t>
      </w:r>
    </w:p>
    <w:p>
      <w:pPr>
        <w:pStyle w:val="TextBody"/>
        <w:bidi w:val="0"/>
        <w:jc w:val="both"/>
        <w:rPr>
          <w:rFonts w:ascii="Times New Roman" w:hAnsi="Times New Roman"/>
          <w:color w:val="000000"/>
          <w:sz w:val="20"/>
        </w:rPr>
      </w:pPr>
      <w:r>
        <w:rPr>
          <w:rFonts w:ascii="Times New Roman" w:hAnsi="Times New Roman"/>
          <w:color w:val="000000"/>
          <w:sz w:val="20"/>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pStyle w:val="Heading2"/>
        <w:bidi w:val="0"/>
        <w:spacing w:before="120" w:after="120"/>
        <w:jc w:val="both"/>
        <w:rPr>
          <w:rFonts w:ascii="Times New Roman" w:hAnsi="Times New Roman"/>
          <w:color w:val="000000"/>
          <w:sz w:val="20"/>
        </w:rPr>
      </w:pPr>
      <w:r>
        <w:rPr>
          <w:rFonts w:ascii="Times New Roman" w:hAnsi="Times New Roman"/>
          <w:color w:val="000000"/>
          <w:sz w:val="20"/>
        </w:rPr>
        <w:t>Federal and State Fraud and Abuse Laws</w:t>
      </w:r>
    </w:p>
    <w:p>
      <w:pPr>
        <w:pStyle w:val="TextBody"/>
        <w:bidi w:val="0"/>
        <w:jc w:val="both"/>
        <w:rPr>
          <w:rFonts w:ascii="Times New Roman" w:hAnsi="Times New Roman"/>
          <w:color w:val="000000"/>
          <w:sz w:val="20"/>
        </w:rPr>
      </w:pPr>
      <w:r>
        <w:rPr>
          <w:rFonts w:ascii="Times New Roman" w:hAnsi="Times New Roman"/>
          <w:color w:val="000000"/>
          <w:sz w:val="20"/>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AKS (Social Security Act § 1128B(b))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EKRA (18 USC § 220)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third-party payers. EKRA includes a number of statutory exceptions that provide protection from EKRA liability if the applicable requirements are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Stark Law (Social Security Act § 1877) generally prohibits, among other things, clinical laboratories and other so-called “designated health services” entities from billing Medicare for any designated health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FCA (31 USC § 3729) imposes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per false claim or statement for penalties assessed.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the Health Insurance Portability and Accountability Act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pStyle w:val="Heading2"/>
        <w:bidi w:val="0"/>
        <w:spacing w:before="120" w:after="120"/>
        <w:jc w:val="both"/>
        <w:rPr>
          <w:rFonts w:ascii="Times New Roman" w:hAnsi="Times New Roman"/>
          <w:color w:val="000000"/>
          <w:sz w:val="20"/>
        </w:rPr>
      </w:pPr>
      <w:r>
        <w:rPr>
          <w:rFonts w:ascii="Times New Roman" w:hAnsi="Times New Roman"/>
          <w:color w:val="000000"/>
          <w:sz w:val="20"/>
        </w:rPr>
        <w:t>Anti-Corruption</w:t>
      </w:r>
    </w:p>
    <w:p>
      <w:pPr>
        <w:pStyle w:val="TextBody"/>
        <w:bidi w:val="0"/>
        <w:jc w:val="both"/>
        <w:rPr>
          <w:rFonts w:ascii="Times New Roman" w:hAnsi="Times New Roman"/>
          <w:color w:val="000000"/>
          <w:sz w:val="20"/>
        </w:rPr>
      </w:pPr>
      <w:r>
        <w:rPr>
          <w:rFonts w:ascii="Times New Roman" w:hAnsi="Times New Roman"/>
          <w:color w:val="000000"/>
          <w:sz w:val="20"/>
        </w:rPr>
        <w:t xml:space="preserve">The FCPA and similar international bribery laws make it unlawful for persons 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third-party partnerships, we could incur significant fines and penalties, as well as criminal liability, if we fail to comply with either the anti-bribery or accounting requirements of the FCPA,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similar international bribery laws. Even an unsuccessful challenge of our compliance with these laws could cause us to incur adverse publicity and significant legal and related costs. We successfully passed our latest FCPA compliance review in 2023 with no findings.</w:t>
      </w:r>
    </w:p>
    <w:p>
      <w:pPr>
        <w:pStyle w:val="Heading2"/>
        <w:bidi w:val="0"/>
        <w:spacing w:before="120" w:after="120"/>
        <w:jc w:val="both"/>
        <w:rPr>
          <w:rFonts w:ascii="Times New Roman" w:hAnsi="Times New Roman"/>
          <w:color w:val="000000"/>
          <w:sz w:val="20"/>
        </w:rPr>
      </w:pPr>
      <w:r>
        <w:rPr>
          <w:rFonts w:ascii="Times New Roman" w:hAnsi="Times New Roman"/>
          <w:color w:val="000000"/>
          <w:sz w:val="20"/>
        </w:rPr>
        <w:t>Privacy and Data Protection Laws</w:t>
      </w:r>
    </w:p>
    <w:p>
      <w:pPr>
        <w:pStyle w:val="TextBody"/>
        <w:bidi w:val="0"/>
        <w:jc w:val="both"/>
        <w:rPr>
          <w:rFonts w:ascii="Times New Roman" w:hAnsi="Times New Roman"/>
          <w:color w:val="000000"/>
          <w:sz w:val="20"/>
        </w:rPr>
      </w:pPr>
      <w:r>
        <w:rPr>
          <w:rFonts w:ascii="Times New Roman" w:hAnsi="Times New Roman"/>
          <w:color w:val="000000"/>
          <w:sz w:val="20"/>
        </w:rPr>
        <w:t>Numerous federal and state laws and regulations, including HIPAA, as amended by the Health Information Technology for Economic and Clinical Health (HITECH) Act, govern the collection, dissemination, security, use and confidentiality of protected health information (PHI) and personal information. In the course of performing our business we obtain personal information, including PHI. Laws and regulations relating to privacy, data protection, and consumer protection are evolving and, in some cases, particularly with regard to newer laws, may be subject to potentially differing interpretations. Under HIPAA and HITECH, the Department of HHS issues regulations that establish uniform standards governing the conduct of certain electronic healthcare transactions and requirements for protecting the privacy and security of PHI, used or disclosed by covered entities (CEs) and their authorized business associates (BAs). Because we are a health care provider that electronically transmits health care information, we are a CE as defined by HIPAA. Our subcontractors that create, receive, maintain, transmit or otherwise process PHI on our behalf are HIPAA BAs and must also comply with HIPAA, as applicable.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and HITECH include the privacy and security rules, breach notification requirements and electronic transaction standards. The privacy rule governs the use and disclosure of PHI, generally prohibits the use or disclosure of PHI except as permitted under the rule, and mandates certain safeguards to protect the privacy of PHI. The privacy rule also sets forth individual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HIPAA’s breach notification rule, a CE must notify individuals, the Secretary of HHS, and in some circumstances, the media of certain breaches of unsecured PHI or ePHI, and similar breach notification provisions apply to certain BAs under the HITECH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Penalties for failure to comply with a requirement of HIPAA and HITECH vary depending on the number and nature of the violations and any history of prior violations, but can be significant and include civil monetary or criminal penalties. HIPAA is enforced by the Department of Health and Human Services, Office for Civil Rights (HHS OCR),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improper use, access to or disclosure of PHI. In addition, HIPAA provides for HHS OCR to conduct periodic compliance audits of CEs and BAs for compliance with the HIPAA privacy and security standards and breach notification rules. It also tasks HHS with establishing a methodology whereby harmed individuals who were the victims of breaches of unsecured PHI may receive a percentage of the civil monetary penalty paid by the violator.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regulated California health care providers must abide. Colorado has enacted the Colorado Privacy Act, and Virginia has enacted the Consumer Data Protection Act, both of which also have standards that supplement Federal data protection requirements. State laws may be more stringent, broader in scope or offer greater individual rights with respect to PHI than HIPAA, and state laws may differ from each other in regards to personal information treatment, which may complicate compliance efforts. For instance, the California Consumer Privacy Act (CCPA), as amended by the passage of the California Privacy Rights Act (CPRA), among other things, gives California residents rights to access and delete their personal information, opt out of certain personal information sharing and receive detailed information about how their personal information is used by requiring covered companies to provide disclosures to California consumers (as that term is broadly defined) and provide such consumers ways to opt-out of certain sales of personal information. The CCPA provides for civil penalties for violations, as well as a private right of action for data breaches that is expected to increase data breach litigation. Although there are certain exemptions for PHI and clinical trial data, the CCPA’s implementation standards and enforcement practices are likely to remain uncertain for the foreseeable future and the CCPA may increase our compliance costs and potential liability. Several other states have enacted privacy laws, several additional states have introduced privacy bills, and further law and regulations are under consideration at the federal level. If passed, such laws may have potentially conflicting requirements that could continue to make compliance challenging and costly.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also be subject to laws and regulations in foreign countries covering data privacy and other protection of health and employee information that may add additional compliance burden and complexity. For example, in the EEA, the collection and use of personal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is governed by the European Union's General Data Protection Regulation (GDPR). In the United Kingdom, the GDPR has been adopted in substantially the same form, however the UK may potentially make revisions in the coming years.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and United Kingdom data protection authorities may interpret the GDPR and national laws differently and impose additional requirements, which adds to the complexity of processing personal data in or from the EEA or United Kingdom. Guidance on implementation and compliance practices is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The GDPR also has requirements around international transfers of personal data. Requirements around transfers to the United States and other jurisdictions have increased since a July 2020 decision by the Court of Justice of the European Union invalidated the Privacy Shield as a basis to transfer personal data from Europe to the United States, and added requirements for reliance on Standard Contractual Clauses. Regulatory guidance on requirements for international transfers, and other GDPR compliance matters, continues to evolve; for example, in July 2023, the European Commission completed adoption of a new adequacy decision for data flows to the United States. However, it is widely expected that the new adequacy decision will itself face scrutiny from the Court of Justice, underscoring that GDPR compliance is an ongoing endeavor.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pStyle w:val="Heading2"/>
        <w:bidi w:val="0"/>
        <w:spacing w:before="120" w:after="120"/>
        <w:jc w:val="both"/>
        <w:rPr>
          <w:rFonts w:ascii="Times New Roman" w:hAnsi="Times New Roman"/>
          <w:color w:val="000000"/>
          <w:sz w:val="20"/>
        </w:rPr>
      </w:pPr>
      <w:r>
        <w:rPr>
          <w:rFonts w:ascii="Times New Roman" w:hAnsi="Times New Roman"/>
          <w:color w:val="000000"/>
          <w:sz w:val="20"/>
        </w:rPr>
        <w:t>Cybersecurity</w:t>
      </w:r>
    </w:p>
    <w:p>
      <w:pPr>
        <w:pStyle w:val="TextBody"/>
        <w:bidi w:val="0"/>
        <w:jc w:val="both"/>
        <w:rPr>
          <w:rFonts w:ascii="Times New Roman" w:hAnsi="Times New Roman"/>
          <w:color w:val="000000"/>
          <w:sz w:val="20"/>
        </w:rPr>
      </w:pPr>
      <w:r>
        <w:rPr>
          <w:rFonts w:ascii="Times New Roman" w:hAnsi="Times New Roman"/>
          <w:color w:val="000000"/>
          <w:sz w:val="20"/>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sensitive trade secrets, or other proprietary information. Any wrongful use or disclosure of PHI, other personal information, trade secrets or other proprietary information by us or our third-party service providers could subject us to regulatory fines or penalties, third-party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data cybersecurity incidents or data breaches, as well as attacks on our IT systems, could result in operational disruptions or data loss or corruption that could adversely impact our business and operations, resulting in substantial investment of resources to investigate, recover and remediate and subject us to heightened regulatory scrutiny. See Item 1C. "Cybersecurity" for additional information on our cybersecurity practices.</w:t>
      </w:r>
    </w:p>
    <w:p>
      <w:pPr>
        <w:pStyle w:val="Heading2"/>
        <w:bidi w:val="0"/>
        <w:spacing w:before="120" w:after="120"/>
        <w:jc w:val="both"/>
        <w:rPr>
          <w:rFonts w:ascii="Times New Roman" w:hAnsi="Times New Roman"/>
          <w:color w:val="000000"/>
          <w:sz w:val="20"/>
        </w:rPr>
      </w:pPr>
      <w:r>
        <w:rPr>
          <w:rFonts w:ascii="Times New Roman" w:hAnsi="Times New Roman"/>
          <w:color w:val="000000"/>
          <w:sz w:val="20"/>
        </w:rPr>
        <w:t>Healthcare Reform</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2010, the Patient Protection and Affordable Care Act (ACA) was enacted in the United States, which provided a number of substantial changes to the way healthcare is financed both by governmental and private insurers. Since its enactment, the Trump administration has sought to modify, repeal, or otherwise invalidate all, or certain provisions of, the ACA. Other legislative changes have been proposed and adopted in the United States since the ACA was enacted to reduce healthcare expenditures.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July 2025, the One Big Beautiful Bill Act (OBBBA) was enacted, and imposes significant reductions in the funding of the Medicaid program. Although the full impact of the OBBBA is uncertain at this time, changes are expected to reduce enrollment in state Medicaid programs. The timing and magnitude of the reductions may vary by state depending on how quickly states implement the changes, how states may adapt their future tax and Medicaid funding policies in response, as well as other macroeconomic factors. </w:t>
      </w:r>
    </w:p>
    <w:p>
      <w:pPr>
        <w:pStyle w:val="Heading2"/>
        <w:bidi w:val="0"/>
        <w:spacing w:before="120" w:after="120"/>
        <w:jc w:val="both"/>
        <w:rPr>
          <w:rFonts w:ascii="Times New Roman" w:hAnsi="Times New Roman"/>
          <w:color w:val="000000"/>
          <w:sz w:val="20"/>
        </w:rPr>
      </w:pPr>
      <w:r>
        <w:rPr>
          <w:rFonts w:ascii="Times New Roman" w:hAnsi="Times New Roman"/>
          <w:color w:val="000000"/>
          <w:sz w:val="20"/>
        </w:rPr>
        <w:t>Environmental, Health and Safety Regulations</w:t>
      </w:r>
    </w:p>
    <w:p>
      <w:pPr>
        <w:pStyle w:val="TextBody"/>
        <w:bidi w:val="0"/>
        <w:jc w:val="both"/>
        <w:rPr>
          <w:rFonts w:ascii="Times New Roman" w:hAnsi="Times New Roman"/>
          <w:color w:val="000000"/>
          <w:sz w:val="20"/>
        </w:rPr>
      </w:pPr>
      <w:r>
        <w:rPr>
          <w:rFonts w:ascii="Times New Roman" w:hAnsi="Times New Roman"/>
          <w:color w:val="000000"/>
          <w:sz w:val="20"/>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potential blood-borne pathogens, hazardous materials and associated wastes. Our operations involve the generation, use, storage and disposal of hazardous materials as well as regulated medical waste, and the risk of injury, contamination or non-compliance with environmental, health and safety laws and regulations or permitting or licensing requirements cannot be eliminated. Compliance with environmental laws and regulations has not had a material effect on our capital expenditures, earning or competitive position. To date, there has not been a for cause OSHA or EPA inspection.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120"/>
        <w:jc w:val="both"/>
        <w:rPr>
          <w:rFonts w:ascii="Times New Roman" w:hAnsi="Times New Roman"/>
          <w:color w:val="000000"/>
          <w:sz w:val="20"/>
        </w:rPr>
      </w:pPr>
      <w:r>
        <w:rPr>
          <w:rFonts w:ascii="Times New Roman" w:hAnsi="Times New Roman"/>
          <w:color w:val="000000"/>
          <w:sz w:val="20"/>
        </w:rPr>
        <w:t>Corporate Information</w:t>
      </w:r>
    </w:p>
    <w:p>
      <w:pPr>
        <w:pStyle w:val="TextBody"/>
        <w:bidi w:val="0"/>
        <w:jc w:val="both"/>
        <w:rPr>
          <w:rFonts w:ascii="Times New Roman" w:hAnsi="Times New Roman"/>
          <w:color w:val="000000"/>
          <w:sz w:val="20"/>
        </w:rPr>
      </w:pPr>
      <w:r>
        <w:rPr>
          <w:rFonts w:ascii="Times New Roman" w:hAnsi="Times New Roman"/>
          <w:color w:val="000000"/>
          <w:sz w:val="20"/>
        </w:rPr>
        <w:t>We were incorporated in Delaware in 2005 as Elston Technologies, Inc. Our principal executive offices are located at 919 West Dillon Rd, Louisville, CO 80027, and our telephone number is (303) 417-0500. On June 20, 2006, we changed our name to Biodesix, Inc.</w:t>
      </w:r>
    </w:p>
    <w:p>
      <w:pPr>
        <w:pStyle w:val="Heading2"/>
        <w:bidi w:val="0"/>
        <w:spacing w:before="120" w:after="120"/>
        <w:jc w:val="both"/>
        <w:rPr>
          <w:rFonts w:ascii="Times New Roman" w:hAnsi="Times New Roman"/>
          <w:color w:val="000000"/>
          <w:sz w:val="20"/>
        </w:rPr>
      </w:pPr>
      <w:r>
        <w:rPr>
          <w:rFonts w:ascii="Times New Roman" w:hAnsi="Times New Roman"/>
          <w:color w:val="000000"/>
          <w:sz w:val="20"/>
        </w:rPr>
        <w:t>Implications of Being a Smaller Reporting Company</w:t>
      </w:r>
    </w:p>
    <w:p>
      <w:pPr>
        <w:pStyle w:val="TextBody"/>
        <w:bidi w:val="0"/>
        <w:jc w:val="both"/>
        <w:rPr>
          <w:rFonts w:ascii="Times New Roman" w:hAnsi="Times New Roman"/>
          <w:color w:val="000000"/>
          <w:sz w:val="20"/>
        </w:rPr>
      </w:pPr>
      <w:r>
        <w:rPr>
          <w:rFonts w:ascii="Times New Roman" w:hAnsi="Times New Roman"/>
          <w:color w:val="000000"/>
          <w:sz w:val="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certain risks related to our status as a smaller reporting company, see “Risk Factors—General Risk Factors—We are a “smaller reporting company,” and the reduced disclosure requirements applicable to smaller reporting companies may make our common stock less attractive to investors.”</w:t>
      </w:r>
    </w:p>
    <w:p>
      <w:pPr>
        <w:pStyle w:val="Heading2"/>
        <w:bidi w:val="0"/>
        <w:spacing w:before="120" w:after="120"/>
        <w:jc w:val="both"/>
        <w:rPr>
          <w:rFonts w:ascii="Times New Roman" w:hAnsi="Times New Roman"/>
          <w:color w:val="000000"/>
          <w:sz w:val="20"/>
        </w:rPr>
      </w:pPr>
      <w:r>
        <w:rPr>
          <w:rFonts w:ascii="Times New Roman" w:hAnsi="Times New Roman"/>
          <w:color w:val="000000"/>
          <w:sz w:val="20"/>
        </w:rPr>
        <w:t>Human Capital Resources</w:t>
      </w:r>
    </w:p>
    <w:p>
      <w:pPr>
        <w:pStyle w:val="TextBody"/>
        <w:bidi w:val="0"/>
        <w:jc w:val="both"/>
        <w:rPr>
          <w:rFonts w:ascii="Times New Roman" w:hAnsi="Times New Roman"/>
          <w:sz w:val="20"/>
        </w:rPr>
      </w:pPr>
      <w:r>
        <w:rPr>
          <w:rFonts w:ascii="Times New Roman" w:hAnsi="Times New Roman"/>
          <w:color w:val="000000"/>
          <w:sz w:val="20"/>
        </w:rPr>
        <w:t>Our culture is underpinned by our cultural beliefs including an unwavering commitment to inclusion and diversity. We are committed to fostering a diverse and inclusive workplace that attracts and retains exceptional talent offering opportunities for our team members to grow and develop in their careers, supported by a competitive suite of benefits and health and wellness programs. We regularly engage our team members in quarterly all-hands meetings to align and focus on the current state of affairs of our business, our partnerships, new products, clinical trials, and other pertinent information about our business. We engage our team members in programs such as peer recognition and recruitment that focuses on recognizing outstanding individual contributions to company performance, cultural fit of new team members and acknowledging the diversity of our team to ensure our team members feel valued and can do their best work. We have a national annual community service initiative, “</w:t>
      </w:r>
      <w:r>
        <w:rPr>
          <w:rFonts w:ascii="Times New Roman" w:hAnsi="Times New Roman"/>
          <w:i/>
          <w:color w:val="000000"/>
          <w:sz w:val="20"/>
        </w:rPr>
        <w:t>Biodesix Gives Back</w:t>
      </w:r>
      <w:r>
        <w:rPr>
          <w:rFonts w:ascii="Times New Roman" w:hAnsi="Times New Roman"/>
          <w:color w:val="000000"/>
          <w:sz w:val="20"/>
        </w:rPr>
        <w:t>” that allows each team member to invest ten hours of paid community service to organizations of their choosing.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had approximately 334 full-time and part-time employees located in the United States. The majority of our team member base is located in proximity to our corporate office and testing facilities located in Louisville, Colorado and our laboratory in De Soto, Kansas.</w:t>
      </w:r>
    </w:p>
    <w:p>
      <w:pPr>
        <w:pStyle w:val="Heading2"/>
        <w:bidi w:val="0"/>
        <w:spacing w:before="120" w:after="120"/>
        <w:jc w:val="both"/>
        <w:rPr>
          <w:rFonts w:ascii="Times New Roman" w:hAnsi="Times New Roman"/>
          <w:i/>
          <w:color w:val="000000"/>
          <w:sz w:val="20"/>
        </w:rPr>
      </w:pPr>
      <w:r>
        <w:rPr>
          <w:rFonts w:ascii="Times New Roman" w:hAnsi="Times New Roman"/>
          <w:i/>
          <w:color w:val="000000"/>
          <w:sz w:val="20"/>
        </w:rPr>
        <w:t>Diversity, Equity and Inclusion</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a diverse employee population, including cultural background, gender, ethnicity, sexual orientation and lived experiences, is critical to our success since we need to represent our patients, providers, and partners. Our employees are encouraged to leverage their personal strengths and experiences to continually innovate and contribute to the development of new ideas and process improvements that drive better experiences for our partners. </w:t>
      </w:r>
    </w:p>
    <w:p>
      <w:pPr>
        <w:pStyle w:val="Heading2"/>
        <w:bidi w:val="0"/>
        <w:spacing w:before="120" w:after="120"/>
        <w:jc w:val="both"/>
        <w:rPr>
          <w:rFonts w:ascii="Times New Roman" w:hAnsi="Times New Roman"/>
          <w:i/>
          <w:color w:val="000000"/>
          <w:sz w:val="20"/>
        </w:rPr>
      </w:pPr>
      <w:r>
        <w:rPr>
          <w:rFonts w:ascii="Times New Roman" w:hAnsi="Times New Roman"/>
          <w:i/>
          <w:color w:val="000000"/>
          <w:sz w:val="20"/>
        </w:rPr>
        <w:t>Employee Engagement</w:t>
      </w:r>
    </w:p>
    <w:p>
      <w:pPr>
        <w:pStyle w:val="TextBody"/>
        <w:bidi w:val="0"/>
        <w:jc w:val="both"/>
        <w:rPr>
          <w:rFonts w:ascii="Times New Roman" w:hAnsi="Times New Roman"/>
          <w:sz w:val="20"/>
        </w:rPr>
      </w:pPr>
      <w:r>
        <w:rPr>
          <w:rFonts w:ascii="Times New Roman" w:hAnsi="Times New Roman"/>
          <w:color w:val="000000"/>
          <w:sz w:val="20"/>
        </w:rPr>
        <w:t xml:space="preserve">Our company culture emphasizes the satisfaction and well-being of our team members and a diverse, engaged workforce. We solicit the opinion and views of our team members through surveys and peer focus groups. We have an established and valued peer recognition culture. Teammates recognize other teammates publicly for their support and contributions fostering collaboration, engagement and retention. We regularly review feedback we receive on our operating principles to determine if any modifications are needed. In 2025, we adopted Operating Principles to reflect a renewed focus and commitment on </w:t>
      </w:r>
      <w:r>
        <w:rPr>
          <w:rFonts w:ascii="Times New Roman" w:hAnsi="Times New Roman"/>
          <w:i/>
          <w:color w:val="000000"/>
          <w:sz w:val="20"/>
        </w:rPr>
        <w:t>Team, Impact, and Excellence</w:t>
      </w:r>
      <w:r>
        <w:rPr>
          <w:rFonts w:ascii="Times New Roman" w:hAnsi="Times New Roman"/>
          <w:color w:val="000000"/>
          <w:sz w:val="20"/>
        </w:rPr>
        <w:t>. Additionally, the Company annually celebrates our top sales performers through our President’s Club and other top Biodesix performers as nominated by fellow team members through demonstration of our Operating Principles as the standard for how we work together.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Training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invest in our team members' career growth and provide team members with a wide range of development opportunities, including face-to-face, virtual, and self-directed learning, mentoring, coaching, and external development.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Health, Safety and Wellness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physical health, financial stability, life balance and mental health of each of our team members is vital to our success. We sponsor several cancer awareness activities in our local communities to bring engagement and awareness of health, safety and wellness to positively impact lives. We provide an Employee Assistance Program to enhance physical, financial, and mental well-being for all our team members.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Pay Equity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main objective of our compensation program is to provide a compensation package that will attract, retain, motivate, and reward superior team members who operate in a highly competitive and technologically challenging environment. We emphasize overall Company performance and provide equity incentives for all team members to align their financial interests with the interests of shareholders. In addition, we offer an employee stock purchase plan to all employees in which participants are eligible to purchase shares at a discount to market. We think like customers and act like owners.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seeks fairness in total compensation. We benchmark with external comparisons, internal comparisons and look at the relationship between team member roles within the organization. We also review our compensation practices, both in terms of our overall workforce and individual team members, to ensure our pay is fair and equitable. We currently have no pay disparities based on gender, race, or ethnicity.</w:t>
      </w:r>
    </w:p>
    <w:p>
      <w:pPr>
        <w:pStyle w:val="Heading2"/>
        <w:bidi w:val="0"/>
        <w:spacing w:before="120" w:after="120"/>
        <w:jc w:val="both"/>
        <w:rPr>
          <w:rFonts w:ascii="Times New Roman" w:hAnsi="Times New Roman"/>
          <w:color w:val="000000"/>
          <w:sz w:val="20"/>
        </w:rPr>
      </w:pPr>
      <w:r>
        <w:rPr>
          <w:rFonts w:ascii="Times New Roman" w:hAnsi="Times New Roman"/>
          <w:color w:val="000000"/>
          <w:sz w:val="20"/>
        </w:rPr>
        <w:t>Available Information</w:t>
      </w:r>
    </w:p>
    <w:p>
      <w:pPr>
        <w:pStyle w:val="TextBody"/>
        <w:bidi w:val="0"/>
        <w:jc w:val="both"/>
        <w:rPr>
          <w:rFonts w:ascii="Times New Roman" w:hAnsi="Times New Roman"/>
          <w:sz w:val="20"/>
        </w:rPr>
      </w:pPr>
      <w:r>
        <w:rPr>
          <w:rFonts w:ascii="Times New Roman" w:hAnsi="Times New Roman"/>
          <w:color w:val="000000"/>
          <w:sz w:val="20"/>
        </w:rPr>
        <w:t>We file with, or furnish to, the Securities and Exchange Commission (SEC) reports including our Annual Report on Form 10-K, Quarterly Reports on Form 10-Q, Current Reports on Form 8-K, and amendments to those reports pursuant to Section 13(a) or 15(d) of the Securities Exchange Act of 1934, as amended. These reports are available free of charge on our corporate website (</w:t>
      </w:r>
      <w:r>
        <w:rPr>
          <w:rFonts w:ascii="Times New Roman" w:hAnsi="Times New Roman"/>
          <w:sz w:val="20"/>
        </w:rPr>
        <w:t>www.biodesix.com</w:t>
      </w:r>
      <w:r>
        <w:rPr>
          <w:rFonts w:ascii="Times New Roman" w:hAnsi="Times New Roman"/>
          <w:color w:val="000000"/>
          <w:sz w:val="20"/>
        </w:rPr>
        <w:t xml:space="preserve">) as soon as reasonably practicable after they are electronically filed with or furnished to the SEC. Copies of any materials we file with the SEC can be obtained at </w:t>
      </w:r>
      <w:r>
        <w:rPr>
          <w:rFonts w:ascii="Times New Roman" w:hAnsi="Times New Roman"/>
          <w:sz w:val="20"/>
        </w:rPr>
        <w:t>www.sec.gov</w:t>
      </w:r>
      <w:r>
        <w:rPr>
          <w:rFonts w:ascii="Times New Roman" w:hAnsi="Times New Roman"/>
          <w:color w:val="000000"/>
          <w:sz w:val="20"/>
        </w:rPr>
        <w:t>. The information provided on our website (or any other website referred to in this report) is not part of this report and is not incorporated by reference as part of this Annual Report on Form 10-K.</w:t>
      </w:r>
    </w:p>
    <w:p>
      <w:pPr>
        <w:pStyle w:val="TextBody"/>
        <w:bidi w:val="0"/>
        <w:spacing w:before="240" w:after="283"/>
        <w:jc w:val="both"/>
        <w:rPr>
          <w:rFonts w:ascii="Times New Roman" w:hAnsi="Times New Roman"/>
          <w:sz w:val="20"/>
        </w:rPr>
      </w:pPr>
      <w:bookmarkStart w:id="3" w:name="item_1a_risk_factors"/>
      <w:bookmarkEnd w:id="3"/>
      <w:r>
        <w:rPr>
          <w:rFonts w:ascii="Times New Roman" w:hAnsi="Times New Roman"/>
          <w:b/>
          <w:color w:val="000000"/>
          <w:sz w:val="20"/>
        </w:rPr>
        <w:t>Item 1A. Risk</w:t>
      </w:r>
      <w:bookmarkStart w:id="4" w:name="item_1a_risk_factor"/>
      <w:bookmarkEnd w:id="4"/>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principal risks that could adversely affect our business, operations and financial results. This summary does not address all of the risk that we face and should be read in conjunction with the entire Risk Factors section below beginning at “Risks Related to Our Business and Industry” within this Item 1A. "Risk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history of net losses, and we expect to continue to incur losses for the foreseeable future. If we achieve profitability, we may not be able to sustain 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commercial success of our current and future diagnostic tests and services and our revenue growth depends upon attaining significant market acceptance among payers, providers, clinics, patients, and biopharmaceutical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encounter difficulties in managing our growth, which could disrupt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retain sales and marketing personnel and, as we grow, fail to increase our sales and marketing capabilities or develop broad awareness of our diagnostic tests in a cost-effective manner, we may not be able to generate revenue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cannot maintain our current relationships, or enter into new relationships, with biopharmaceutical companies, our revenue prospects could be reduced;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and revenue growth are highly dependent on the demand for, and increased adoption of, our diagnostic tests, which are subject to a number of risks and uncertainty;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need to ensure strong product performance and reliability to maintain and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upon third-party suppliers, including single source suppliers, making us vulnerable to supply problems and price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or man-made disasters or other similar events may significantly disrupt our business, and negatively impact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face additional costs, loss of revenue, significant liabilities, harm to our brand, decreased use of our products or services and business disruption if there are any security or data privacy breaches or other unauthorized or improper access.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Our operations and financial results are subject to various risks and uncertainties that could adversely affect our business, financial condition, results of operations and cash flows. All of the risks described below should be carefully considered together with the other information contained and incorporated by reference in this report.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a history of net losses, and we expect to continue to incur losses for the foreseeable future. If we achieve profitability, we may not be able to sustain 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losses since our inception and expect to continue to incur losses for the foreseeable future. We reported net losses of $35.3 million and $42.9 million for the years ended December 31, 2025 and 2024, respectively. As a result of these losses, as of December 31, 2025, we had an accumulated deficit of approximately $497.8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or certifications for future enhancements to our existing diagnostic tests and services and conduct further clinical trials. In addition, we expect our general and administrative expenses to increase due to the additional costs associated with scaling our business operations and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commercial success of our current and future diagnostic tests and services and our revenue growth depends upon attaining significant market acceptance among payers, providers, clinics, patients, and biopharmaceutical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market acceptance of our current and future diagnostic tests and services depends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there is adequate utilization of our tests by clinicians, biopharmaceutical companies and other target groups based on the potential and perceived advantages of our diagnostic tests over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convenience and ease of use of our diagnostic tests relative to those currently on the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our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provide incremental data that show the clinical benefits and cost effectiveness, and operational benefits, of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coverage and reimbursement acceptance of our products and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pricing pressure, including from group purchasing organizations (GPOs), seeking to obtain discounts on our diagnostic tests based on the collective bargaining power of the GPO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publicity regarding our or our competitors’ diagnostic tests resulting from defects or errors;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accuracy of our tests relative to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labeling or product insert requirements by the FDA or other regulatory authorities or conformity assessment bodies;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or warnings contained in the labeling cleared or approved by the FDA or other regulatory authorities or conformity assessment bodies.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encounter difficulties in managing our growth, which could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had approximately 334 full and part-time employees. Over the next several years, we expect to continue to significantly increase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experienced multiple cycles of growth and anticipate further growth in our business operations. This future growth could put strain on our organizational, administrative and operational 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maintain the quality or expected turnaround times of our diagnostic tests and services,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 Additionally, if we are required to reduce expenses substantially to sustain our operations, we may not have the human resources to maintain growth in our business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fail to retain sales and marketing personnel and, as we grow, fail to increase our sales and marketing capabilities or develop broad awareness of our diagnostic tests in a cost-effective manner, we may not be able to generate revenue growth.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cannot maintain our current relationships, or enter into new relationships, with biopharmaceutical companies, our revenue prospects could be reduced.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collaborate with biopharmaceutical companies to analyze patient samples for multiple applications primarily to support clinical trials, including patient identification, companion or complementary diagnostics and retrospective testing. The revenue attributable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demand for our diagnostic tests, which may vary significantly;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cost of manufacturing our diagnostic tests, which may vary depending on the quantity of production and the terms of our agreements with third-party suppliers and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expenditures that we may incur to acquire, develop, or commercialize additional tests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pricing pressures;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at which we grow our sales force and the speed at which newly hired salespeople become effective, and the cost and level of investment therein;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competition in our industry and any change in the competitive landscape of our industry, including consolidation among our competitors or future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coverage and reimbursement policies with respect to lung cancer treatment equipment, and potential future diagnostic tests that compete with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success or failure of clinical trials for our diagnostic tests or any enhancements to such tests we develop or competing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positive or negative coverage, or public perception, of our diagnostic tests or those of our competitors or broader industry trends;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cost of, and level of investment in, research, development, licenses, regulatory approval, conformity certification, commercialization activities, acquisitions and other strategic transactions, or other significant events relating to our diagnostic tests, which may change from time to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cost of obtaining regulatory approvals, conformity certifications or clearances for planned or future improvements or enhancements to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regulatory requirements or in the status of regulatory approvals or applications or conformity certifications;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pricing, discounts, and incentives for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accounting pronouncements or changes in our accounting policies;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market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cumulative effects of these factors has resulted in large fluctuations and unpredictability in our quarterly and annual financial results. As a result, comparing our operating results on a period-to-period basis may not be meaningful. Further, our historical results are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pStyle w:val="Heading2"/>
        <w:bidi w:val="0"/>
        <w:spacing w:before="120" w:after="283"/>
        <w:jc w:val="both"/>
        <w:rPr>
          <w:rFonts w:ascii="Times New Roman" w:hAnsi="Times New Roman"/>
          <w:sz w:val="20"/>
        </w:rPr>
      </w:pPr>
      <w:r>
        <w:rPr>
          <w:rFonts w:ascii="Times New Roman" w:hAnsi="Times New Roman"/>
          <w:i/>
          <w:color w:val="000000"/>
          <w:sz w:val="20"/>
        </w:rPr>
        <w:t>We need to ensure strong product performance and reliability to maintain and grow our business</w:t>
      </w:r>
      <w:r>
        <w:rPr>
          <w:rFonts w:ascii="Times New Roman" w:hAnsi="Times New Roman"/>
          <w:b w:val="false"/>
          <w:i/>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need to maintain and continuously improve the performance and reliability of our diagnostic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depend upon third-party suppliers, including single source suppliers, making us vulnerable to supply problems and price fluctuations.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Freenome is also the sole source supplier for our Nodify CDT tests but there are known secondary suppliers for these materials. While we have initiated the second source qualification process for the majority of these critical components, we may not be successful in securing second sourcing for all of them at all or on a timely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suppliers are not obligated to perform services or supply diagnostic testing materials for any specific period, in any specific quantity or at any specific price, except as may be provided in a particular purchase order. We depend on our suppliers and to provide us and our customers with materials in a timely manner that meet our and their quality, quantity and cost requirements. These suppliers may encounter problems during manufacturing for a variety of reasons, any of which could delay or impede their ability to meet our demand. These suppliers may cease producing the components we purchase from them or otherwise decide to cease doing business with us. Further, we maintain limited volumes of inventory from most of our suppliers. If we inaccurately forecast demand for finished goods, we may be unable to meet customer demand which could harm our competitive position and reputation. In addition, if we fail to effectively manage our relationships, we may be required to change suppliers.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For more information regarding this license and supply agreement and the permission granted to us by Bio-Rad with respect to such tests, please see “Business—Material Agreements—Agreements with Bio-Rad” filed with our Form S-1 on October 23, 2020 and “First Amendment to the Non-Exclusive License Agreement between Bio-Rad Laboratories, Inc., and Biodesix, Inc., dated May 24, 2021” filed with our Form 10-Q on August 10, 2021.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able to sufficiently reduce costs in the performance, manufacturing and production of our diagnostic tests to achieve sustainable gross margins.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partner with suppliers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Natural or man-made disasters and other similar events may significantly disrupt our business, and negatively impact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significant portion of our employee base, operating facilities and infrastructure are centralized in Louisville, Colorado and we operate a laboratory facility in De Soto, Kansas. Any of our facilities may be harmed or rendered inoperable by natural or man-made disasters, including earthquakes, wildfires, floods, nuclear disasters, riots, acts of terrorism, government shutdowns or other criminal activities, infectious disease outbreaks or pandemic events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Enhanced U.S. tariffs, import/export restrictions or other trade barriers may have a negative effect on global economic conditions, financial markets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currently significant uncertainty about the future relationship between the U.S. and various other countries with respect to trade policies, treaties, tariffs and taxes. Current or future tariffs imposed by the U.S. may negatively impact our business. During 2025, the U.S. presidential administration has threatened and imposed significant tariffs on imports from various countries, and has indicated that additional tariffs may be imposed in the future. In response, some of these countries have announced or imposed tariffs on imports from the U.S. The duration for which enacted tariffs will be in place remain uncertain and protracted trade disputes could lead to economic decline, which could negatively impact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sizes of the markets for our diagnostic tests and services and any future diagnostic tests and services may be smaller than we estimate and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face additional costs, loss of revenue, significant liabilities, harm to our brand, decreased use of our products or services and business disruption if there are any security or data privacy breaches or other unauthorized or improper access.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CCPA) federal (e.g., HIPAA), and the HITECH Act and laws in other jurisdictions (e.g., the GDPR). Such an incident may also cause a material loss of revenue from the potential adverse impact to our reputation and brand, affect our ability to retain or attract new users of our diagnostic tests and services and potentially disrupt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third-party providers will be successful in preventing cyber-attacks or successfully mitigating their effects. Recent cyber-attacks purportedly originated by Russian controlled entities have exacerbated in the wake of Russia’s invasion of Ukraine and our systems may be infiltrated by foreign actors.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significant payer concentration, with a limited number of customers accounting for a substantial portion of our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years ended December 31, 2025 and 2024, Medicare reimbursed 32% and 39%, respectively, of our total revenue to us.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results of operations will be materially harmed if we are unable to accurately forecast customer demand for, and utilization of, our diagnostic tests and manage our 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experience significant disruptions in our information technology systems, our business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our diagnostic tests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harm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impact on the market price of our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we have adequate product liability insurance, but it may not prove to be adequate to cover all liabilities that we may incur. Insurance coverage is increasingly expensive and costs may continue to rise.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face competition from many sources, including larger companies, and we may be unable to compete successfully.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substantially greater name recognition;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broader, deeper, or longer-term relations with healthcare professionals, customers, and third-party payers;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 established distribution networks;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lines of diagnostic tests and the ability to offer rebates or bundle them to offer greater discounts or other incentives to gain a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greater experience in conducting research and development, manufacturing, clinical trials, marketing and obtaining regulatory clearance or approval or certification for diagnostic tests;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greater financial and human resources for product development, sales and marketing and patent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continued success depends on our ability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penetrate the lung disease diagnostic solutions market and increase utilization of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and widen our technology lead over competitors by continuing to innovate and deliver new product enhancements on a continuous basis;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cost-effectively manufacture our diagnostic tests and their component parts as well as drive down the cost of service.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Performance issues, service interruptions or price increases by our shipping carriers and warehousing providers could adversely affect our business and harm our reputation and ability to provide our services on a timely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government shutdowns, civil unrest and disturbances or other service interruptions affecting delivery or warehousing services we use would adversely affect our ability to process orders for our diagnostic tests on a timely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Louisville,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Cost-containment efforts of our customers, purchasing groups and governmental purchasing organizations could have a material adverse effect on our sales and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an effort to reduce costs, many hospitals in the United States have become members of GPOs and Integrated Delivery Networks (IDNs). GPOs and IDNs negotiate pricing arrangements with medical device companies and distributors on behalf of their members, which may include hospitals and other providers.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Pricing and reimbursement of medical devices is not harmonized at the European level, but is the exclusive competence of the EU Member States. In Europe, pricing and reimbursement decisions are generally made by regional or centralized bodies based on an assessment of the efficacy and clinical effectiveness of the devices or broad device types or procedures. There is a general trend for EU Member States to adopt cost containment measures to control public spend on medical devices. Due to the competitive nature of product offers and prices, we may not be able to obtain new, or maintain existing, contract positions with the EU Member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Litigation and other legal proceedings may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General economic and financial market conditions may exacerbate our business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such as inflationary pressures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macroeconomic conditions, including political, military and security conflicts, may also impact the global economy and capital markets. If, due to these events, our customers and distributors are not successful in generating sufficient revenue or are precluded from securing financing, their businesses will suffer, which may materially and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realize the benefits or costs of our Co-Development and Collaboration Agreement with AVEO Oncology.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 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exercised our right to opt-out of co-development, we would equally share in any income received from licensing rights to ficlatuzumab to any third parties. In September 2020, we exercised our opt-out right for the payment of half of the development and regulatory costs for ficlatuzumab which became effective as of December 2, 2020. Following the effective date, we are entitled to a 10% royalty of net sales of ficlatuzumab and 25% of license income generated from the licensing of ficlatuzumab. Ficlatuzumab is currently being evaluated in squamous cell carcinoma of the head and neck (SCCHN), metastatic pancreatic ductal cancer (PDAC), and acute myeloid leukemia (AML).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exposed to significant future payments and other obligations associated with our acquisition of Freenome (formerly Oncimmune, U.S.A).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31, 2019 we completed an acquisition of Freenome's United States operations (formerly "Oncimmune USA" or "Oncimmune") including its CLIA lab in De Soto, Kansas and its incidental pulmonary nodule (IPN) malignancy test, then marketed in the United States as the EarlyCDT Lung® test. We renamed and relaunched the test on February 28, 2020 as the Nodify CDT test and the De Soto, Kansas lab is the sole United States provider of the Nodify CDT test.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agreed to a revenue share payment of 8% of recognized revenue for non-screening tests up to an annual minimum volume and 5% thereafter, with an escalating minimum through the first four years of sales.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acquisition may require us to incur non-recurring and other charges, increase our near and long-term expenditures, or disrupt our management and business. This could delay our sales and marketing efforts, which would harm our business prospects,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highly dependent on our senior management team and key personnel, and our business could be harmed if we are unable to attract and retain personnel necessary for our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research and development programs and laboratory operations depend on our ability to attract and retain highly skilled scientists and technicians.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attract or retain qualified scientists and technicians in the future due to the competition for qualified personnel among life science businesses, particularly near our headquarters in Louisville,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corporate culture has contributed to our success, and if we cannot maintain this culture as we grow, we could lose the innovation, creativity and teamwork fostered by our culture and our business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could lead to disparities of wealth among our employees, which could adversely impact relations among employees and our culture in general. Our anticipated headcount growth may result in a change to our corporate culture, which could harm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utilize our net operating loss carryforwards and research and development credit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 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If we undergo an ownership change now or in the future,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of control, we may not be able to utilize a material portion of the NOLs, research and development credit carryforwards or disallowed interest expense carryovers, even if we attain profitability.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terms of the Perceptive Term Loan Facility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16, 2022, we entered into a credit agreement and guaranty (the Credit Agreement) with Perceptive Credit Holdings IV, LP as the lender and administrative agent (the Lender) that provides for a senior secured delayed draw term loan facility with Perceptive Advisors LLC (Perceptive), in an aggregate principal amount of up to $50.0 million (the Perceptive Term Loan Facility) to refinance long-term debt.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Perceptive Term Loan Facility contains customary affirmative and negative covenants for a loan, requires us to comply with a minimum cash requirement covenant, and has a trailing twelve month net revenue requirement. Failure to comply with the covenants and loan requirements may result in an event of default. The Perceptive Term Loan Facility also contains certain covenants limiting our ability to, among other things, engage in certain corporate changes, make certain restricted payments, repay other certain indebtedness or enter into, amend or terminate any other agreements that have the impact of restricting our ability to make loan repayments.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also contains certain customary events of default, the occurrence of which could result in the declaration that all outstanding principal and interest under the Perceptive Term Loan Facility is immediately due and payable in whole or in part, which could have a material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comply with these covenants may be affected by factors beyond our control, including changes in our operating performance or liquidity. A failure to comply with any covenant that is not waived or cured could result in an event of default, which could allow Perceptive to exercise remedies that have a material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Credit Agreement and the Perceptive Term Loan Facility may limit our ability to obtain additional financing on favorable terms, or at all. If we incur additional debt in the future, the terms of such indebtedness could include additional covenants or restrictions that further restrict our ability to operate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need to raise additional capital to fund our existing operations, develop our platform, commercialize new diagnostic tests or expand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need to raise additional capital in the future to expand our business, to pursue strategic investments, to take advantage of financing opportunities or for other reasons, including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our sales and marketing efforts to drive market adoption of and address competitive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fund development and marketing efforts of our diagnostic tests or any other future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technologies into other types of cancer management and lung disease detection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acquire, license, or invest in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acquire or invest in complementary businesses or assets;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finance capital expenditures and 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present and future funding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achieve revenue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rate of progress in establishing payer coverage and reimbursement arrangements with domestic and international commercial third-party payers and government payers;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expanding our laboratory operations and offerings, including our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rate of progress in, and cost of the sales and marketing activities associated with, establishing adoption of and reimbursement for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rate of progress in, and cost of research and development activities associated with, diagnostic tests in research and early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international expansion;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cost of and delays in product development as a result of any regulatory oversight applicable to our 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acquire other businesses, which could require significant management attention, disrupt our business, dilute stockholder value and adversely affect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 pandemic, epidemic or outbreak of an infectious disease in the United States or worldwide and its variants could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pandemic, epidemic or outbreak of an infectious disease occurs in the United States or worldwide, our business may be adversely affected. Disruptions due to prior pandemics or potential disruptions due to the government imposed restrictions have included, and in the future may continue to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a future pandemic or epidemic impacts our business will depend on future facts and circumstances, which are highly uncertain and cannot be predicted. While the potential economic impact brought by, and the duration of, any pandemic, epidemic or outbreak of an infectious disease may be difficult to assess or predict, it may result in, significant disruption of global financial markets and a reduction in our ability to access capital, which could adversely affect our liquidity. In addition, a recession or market correction resulting from the spread of an infectious disease, could materially affect our business. Such economic recession could have a material adverse effect on our long-term business. To the extent a pandemic adversely affects our business and financial results, it may also have the effect of heightening many of the other risks described in this “Risk Factors” section.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Governmental Regulation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CMS, an agency within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authorities or bodies in Europe may be more conservative than CMS. For example, a number of cancer drugs have been approved for reimbursement in the United States and have not been approved for reimbursement, or have been approved under restricted conditions, in certain European countries.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Medicare pays for CDLTs, on the CLFS. Section 216(a) of the PAMA added Section 1834A to the SSA, which established the current CLFS rate setting processes. Under Section 1834A and its implementing regulations, clinical laboratories that receive the majority of their Medicare revenues from payments made under the CLFS and the Physician Fee Schedule report on a triennial basis (or annually for ADLTs), private payer rates and volumes for their tests with specific billing codes based on final payments made during a set data collection period. The payment rate for a test for the ensuing three-year period (or one year for ADLTs) is set at the weighted median of the rates reported under the specific billing code for that test. Newly established codes for CDLTs are priced until the next private payer rate reporting cycle either based on the payment rate of a comparable code on the CLFS, as determined by CMS ("crosswalking") or at the median of rates submitted by the individual MACs based on statutory and regulatory factors ("gapfilling"). New ADLTs are initially priced at “actual list charge” for a nine-month period, after which they are priced based on private payer rates, with a recoupment provision if actual list charge is more than 130% of the weighted median of private payer rates reported.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22, 2026, the House of Representatives passed the “Consolidated Appropriations Act, 2026” which would amend the PAMA law at section 1834A of the Social Security Act. If enacted, the legislation would require Biodesix, and other laboratories, to report private payer rates paid between January 1 and June 30, 2025 to CMS. The reporting period would be delayed to May through July, 2026. The volume-weighted median of the rates reported for each test would set the CLFS rate for certain of our tests in calendar years 2027 to 2029.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legislation is not enacted, and the currently scheduled reporting of private payer rates paid between January 1 and June 30, 2019 goes forward, some Biodesix tests may see an increase or decrease in payment rates for 2027-29. This legislation does not impact reporting of private payer rates or the setting of CLFS rates for Biodesix’s ADLTs, which are repriced annually based on private payer rates.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Outside the United States, the reimbursement process and timelines vary significantly. In Europe, pricing and reimbursement of medical devices is the exclusive competence of the European Union (EU) Member States. However, the European Commission is facilitating a voluntary corporation between the EU Member States on health technology assessments (HTA) which consists of a network of the EU Member States’ national authorities and bodies responsible for HTA and a joint action to support cooperation at scientific and technical level between the HTA bodies.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control the healthcare budget by focusing cost-cutting efforts on medicinal products, and to a lesser extent, medical devices, provided under their state-run healthcare systems. These price control efforts have impacted all regions of the world, but have been most prominent in the EU. Additionally, some countries require approval of the sale price of a product before it can be marketed or mandatory discounts or profit caps may be applied. Further, after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increasing efforts by governmental and third-party payers, in the United States and abroad, to cap or reduce healthcare costs may cause such organizations to limit both coverage and level of reimbursement for newly cleared, authorized, certified or approved devices and medicines and, as a result, they may not cover or provide adequate payment for our clinical diagnostics to be sold by us or our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diagnostic tests.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Measures to reduce healthcare costs may hurt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is dependent on reimbursement by government and commercial insurance payers when we bill directly for our lung cancer diagnostic solutions services. When we sell our lung cancer diagnostic solutions services to customers, the majority of our customers are healthcare providers who depend upon reimbursement by government and commercial insurance payers for lung cancer diagnostic solutions services. With a majority of United States patients with lung cancer covered by Medicare, the Medicare reimbursement rate is an important factor both in our revenues from direct claims submission and in a customer’s decision to use our diagnostic tests, limiting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Healthcare reform measures could hinder or prevent the commercial success of our 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judicial challenges to certain aspects of the ACA, as well as efforts by the Trump administration and Congress to repeal, replace or alter the implementation of certain aspects of the ACA. For example, as part of the TCJA,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high-cost employer-sponsored insurance plans, the annual fee imposed on certain health insurance providers based on market share (repeal effective in 2021), and the medical device excise tax on non-exempt medical devices. At the end of 2025, the ACA’s enhanced premium tax credit expired, increasing premium payments for marketplace coverage.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March 31, 2022, and a reduction of the cut to 1% from April 1, 2022 through June 30, 2022.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payers of healthcare services to contain or reduce costs of healthcare may harm: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set a price that we believe is fair for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and achieve or maintain profitability;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must comply with anti-corruption, anti-bribery, anti-money laundering and similar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must comply with healthcare fraud and abuse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under applicable United States federal and state healthcare laws and regulations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federal civil False Claims Act, which may be enforced through civil whistleblower or </w:t>
      </w:r>
      <w:r>
        <w:rPr>
          <w:rFonts w:ascii="Times New Roman" w:hAnsi="Times New Roman"/>
          <w:i/>
          <w:color w:val="000000"/>
          <w:sz w:val="20"/>
        </w:rPr>
        <w:t xml:space="preserve">qui tam </w:t>
      </w:r>
      <w:r>
        <w:rPr>
          <w:rFonts w:ascii="Times New Roman" w:hAnsi="Times New Roman"/>
          <w:color w:val="000000"/>
          <w:sz w:val="20"/>
        </w:rPr>
        <w:t>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Manufacturers or laboratories that sell testing services to customers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FDA regulation of our industry generally or our tests specifically could be disruptive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pays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marketing such pharmacogenetic tests where the FDA believes the relationship between genetic variations and the medication’s effects has not been established, including a warning letter sent to a laboratory, in part, for failing to obtain premarket review of its test.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Congress were to enact legislation providing the FDA with jurisdiction over LDTs, or if the FDA otherwise issues new rules, policies, or guidance, due to new legislation or on its own accord, or otherwise determines that our tests are not LDTs, our tests may become subject to FDA requirements, including pre-market review. If this were to happen, it may impact our marketing practices relating to the relevant tests, which in turn may have an adverse impact on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diagnostic testing industry is subject to extensive laws and regulations, many of which have not been interpreted by the courts. Tests without FDA clearance, approval, or authorization would not be considered covered countermeasures under the Public Readiness and Emergency Preparedness Act (PREP Act), which authorizes HHS to provide limited liability immunity protection to certain individuals and entities against a claim of loss under federal and state law “caused by, arising out of, relating to, or resulting from” the manufacture, distribution, administration, or use of a covered medical countermeasure, except for claims involving willful misconduct. Consequently, any violations of applicable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Louisville, Colorado and De Soto, Kansas laboratories are both CAP-accredited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LDTs and are not currently subject to FDA enforcement, although certain components provided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and used to create and/or administer the test may be. LDTs are a subset of IVDs that are intended for clinical use and developed, validated, and offered within a single laboratory for use only in that laboratory. Failure to adhere to any new FDA regulation would result in fines, product suspensions, warning letters, recalls, injunctions and other civil and criminal penalties.</w:t>
      </w:r>
    </w:p>
    <w:p>
      <w:pPr>
        <w:pStyle w:val="TextBody"/>
        <w:bidi w:val="0"/>
        <w:spacing w:before="120" w:after="283"/>
        <w:jc w:val="both"/>
        <w:rPr>
          <w:rFonts w:ascii="Times New Roman" w:hAnsi="Times New Roman"/>
          <w:sz w:val="20"/>
        </w:rPr>
      </w:pPr>
      <w:r>
        <w:rPr>
          <w:rFonts w:ascii="Times New Roman" w:hAnsi="Times New Roman"/>
          <w:b/>
          <w:i/>
          <w:color w:val="000000"/>
          <w:sz w:val="20"/>
        </w:rPr>
        <w:t>FDA regulation of laboratory developed tests could have a material adverse effect on the Company’s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Historically, the FDA has asserted that it has authority to regulate the development and use of LDTs, such as our and many other laboratories’ tests, as medical devices, although it has generally claimed to exercise enforcement discretion over most tests developed and performed within a single high complexity CLIA-certified laboratory. Pursuant to this enforcement discretion policy, FDA does not require laboratories that furnish LDTs to comply with the agency’s requirements for medical devices (e.g., establishment registration, device listing, quality systems regulations, premarket clearance or premarket approval, and post-market controls). FDA attempted to end this policy of enforcement discretion in a May 6, 2024, final rule. However on March 31, 2025, the U.S. District Court for the Eastern District of Texas struck down the FDA’s final rule, concluding that it exceeds FDA’s statutory jurisdiction, authority, or limitations. The final rule was vacated and remanded to FDA for further consideration based on the opinion, with the court stating that “[t]here is no likelihood that FDA can justify its decision on remand, given that the final rule exceeds its authority under the FDCA.” The government did not file an appeal to the decision, and in September 2025 FDA rescinded the final rule.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our tests, as utilized in our clinical laboratory, are and would be considered LDTs and that as a result, the FDA does not require that we obtain regulatory clearances or approvals for our LDTs or their components pursuant to the FDA’s current policies and guidance.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Congress could take action to amend the law to change the current regulatory framework for in vitro diagnostics and LDTs to require premarket FDA review of LDTs and other regulatory requirements. New requirements, whether imposed through legislation or administratively, could result in delay or additional expense in offering our tests and tests that we may develop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therefore, are or may become subject to extensive regulation by the FDA in the United States. Government regulations specific to medical devices are wide ranging and govern,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test design, development, manufacture, and release;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laboratory and clinical testing, labeling, packaging, storage,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safety and efficacy;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premarketing clearance 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record keeping;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marketing, promotion and advertising, sales,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post-marketing surveillance, including reporting of deaths or serious injuries and recalls and correction and removals;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post-market approval studies;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import and export.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and state authorities have broad enforcement powers. Our failure to comply with applicable regulatory requirements could result in enforcement action by any such agency, which may include any of the following sanctions: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publicity, warning letters, untitled letters, it has come to our attention letters, fines, injunctions, consent decrees and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repair, replacement, refunds, recall or seizure of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restrictions, partial suspension, or total shutdown of production;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denial of our requests for regulatory clearance or premarket approval of new diagnostic tests or services, new intended uses, or modifications to existing diagnostic tests or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regulatory clearance or premarket approvals that have already been granted;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discussed above, we believe that our current line of diagnostic tests and their components are LDTs, which are subject to state licensing requirements and federal regulation by CMS under CLIA.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believe that we are currently in material compliance with applicable laws and regulations, it is possible that the FDA, or other regulatory agencies, would not agree with our determinations. If our products or services became subject to premarket submission and other FDA requirements, we would need to comply with the applicable regulations or face significant civil and criminal penalties. In addition, IVDs and CDx tests are widely considered to be Class III devices, and it is possible that in the future, we may develop tests that fall into this category. CDx tests in particular may require further administrative procedures in the IVD (PMA) submission process. Exposure to these additional regulatory requirements would also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future success depends on our ability to develop, receive regulatory clearance or approval or certification for, and introduce new diagnostic tests or enhancements to existing diagnostic tests that will be accepted by the market in a timely manner. There is no guarantee that the FDA will grant 510(k) clearance, De Novo authorization, or PMA approval of our future diagnostic tests and failure to obtain necessary clearances or approvals for our future diagnostic tests would adversely affect our ability to grow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or certification for enhancements to our existing diagnostic tests, or new diagnostic tests for any number of reasons, including due to the cost associated with certain regulatory approval requirements, or these diagnostic tests may not be accepted by physicians or users.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any new diagnostic test or enhancement to an existing diagnostic test will depend on a number of factors, including our ability to,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 and anticipate physician and patient needs properly;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 and introduce new diagnostic tests or enhancements to our existing diagnostic tests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avoid infringing upon, misappropriating, or violating the intellectual property rights of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demonstrate, if required, the safety and efficacy of new diagnostic tests with data from 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the necessary regulatory clearances or approvals or certifications for new diagnostic tests or enhancements to existing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fully with FDA and foreign regulations on marketing of new diagnostic tests or modified diagnostic tests;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adequate training to potential users of our 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De Novo authorization, or premarket approval of new diagnostic tests. Failure to receive clearance or approval for our new diagnostic tests would have an adverse effect on our ability to expand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Modifications to our marketed tests may require new 510(k) clearances, De Novo authorizations, or PMA approvals, or may require us to cease marketing or recall the modified tests until clearances or approvals are obtained.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Modifications to our diagnostic tests may require new regulatory approvals or clearances, including 510(k) clearances, De Novo authorizations, or premarket approvals,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submission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to redesign our diagnostic tests and harm our operating results. In these circumstances, we may be subject to significant enforcement 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Where we determine that modifications to our diagnostic tests require a new premarket submission, we may not be able to obtain the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diagnostic tests in a timely manner, which in turn would harm our future growth.</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or our suppliers fail to comply with ongoing FDA or other domestic and foreign regulatory authority or conformity assessment body requirements, or if we experience unanticipated problems with our diagnostic tests, they could be subject to restrictions or withdrawal from the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medical device that we manufacture, including those for which we obtain regulatory clearance or approval or certification, and the manufacturing processes, reporting requirements, post-approval clinical data and promotional activities for such diagnostic test, will be subject to continued regulatory review, oversight, and periodic inspections by the FDA and other domestic and foreign regulatory bodies or conformity assessment bodies. In particular, we and our suppliers may be required to comply with the FDA’s regulatory requirements for quality systems and other current good manufacturing practices of medical devices (codified at 21 CFR Part 820),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and conformity assessment bodies enforce these manufacturing and quality management-related regulations through periodic inspections and audits. The failure by us or one of our suppliers to comply with applicable statutes and regulations administered by the FDA and other regulatory bodies or conformity assessment bodies, or the failure to timely and adequately respond to any adverse inspectional observations or product safety issues, could result in, among other things, one or more of the following enforcement 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untitled letters, warning letters, fines, injunctions, consent decrees and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expenditures to address or defend such 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notifications for repair, replacement, or refunds;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recall, detention, or seizure of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refusing or delaying our requests for 510(k) clearance, De Novo authorization, or premarket approval of new diagnostic tests or modified versions of current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withdrawing 510(k) clearances, De Novo authorization, or PMA approvals that have already been granted;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revocation of EUAs that have been authorized previously;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to grant export approval for our diagnostic tests;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those applicable to our QMS,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diagnostic tests and services may in the future be subject to product recalls that could harm our reputation, business and financial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Medical devices can experience performance problems in the field that require review and possible corrective action. The occurrence of component failures, manufacturing errors, software errors, design defects or labeling inadequacies affecting a medical device could lead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 Other jurisdictions have similar recall requirements.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Legislative or regulatory reforms may make it more difficult and costly for us to obtain regulatory clearance or approval or certification of any future diagnostic tests and to manufacture, market and distribute our diagnostic tests after clearance or approval is obtained.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introduced in Congress would have codified into law the term “in vitro clinical test” in order to create a new medical product category separate from medical devices that would include products currently regulated as in vitro diagnostics as well as LDTs. The VALID Act was not passed into law, but similar such proposals may be introduced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FDA regulations and guidance may be revised or reinterpreted by the FDA in ways that may significantly affect our business and our diagnostic tests. Although there is not currently active FDA regulation of LDTs pursuant to the March 31, 2025, U.S. district court ruling that vacated FDA’s May 6, 2024, final rule that would have introduced active regulation of LDTs as medical devices, FDA may still have authority over the reagents, instruments, software and components provided by third parties that we use to perform our LDTs.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Initiating and completing clinical trials necessary to support any future PMA applications, De Novo requests,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the third parties on which we rely to conduct our clinical trials and to assist us with pre-clinical development do not perform as contractually required or expected, we may not be able to obtain regulatory clearance or approval or certification for or commercialize our diagnostic tests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 information, which among other things, impose certain requirements relating to the privacy, security and transmission of personal information.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 and elsewhere, are often uncertain, contradictory and in flux. As a result, implementation standards and enforcement practices are likely to remain uncertain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numerous federal and state laws and regulations, including state data breach notification laws, federal and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Domestic laws in this area are complex and developing rapidly. Many state legislatures have adopted legislation relating to privacy and data security. The laws may be inconsistent, and compliance in the event of a widespread cybersecurity incident may be costly. States are also frequently amending existing laws, requiring attention to frequently changing regulatory requirements. For example, the CCPA requires disclosures to California consumers and affords such consumers rights to access and delete their personal information, opt-out of certain disclosures of personal information and receive detailed information about how their personal information is collected, used, and disclosed. The CCPA provides for fines per violation, as well as a private right of action for data breaches that has resulted in an uptick in data breach litigation against companies generally. While the CCPA and similar state laws have been amended, and more continue to be proposed, it is unclear how state privacy legislation will be further modified or how it will be interpreted. The effects of state comprehensive privacy legislation potentially are far-reaching and may require us to modify our data processing practices and policies and incur substantial compliance-related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numerous state and federal laws and regulations, including HIPAA, govern the collection, dissemination, use, privacy, confidentiality, security, availability, integrity, and other processing of PHI and PII. HIPAA establishes a set of national privacy and security standards for the protection of PHI by health plans, healthcare clearinghouses and certain healthcare providers, referred to as CEs and BA with whom such covered entities contract for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provides for penalties for certain violations and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HIPAA provides authority for the primary federal regulator to conduct periodic compliance audits as well as initiate an investigation or compliance review following a reported breach of PHI. Undergoing an audit or compliance review can be costly, can result in fines or onerous obligations, and can result in adverse publicity or otherwise damage an entity’s reputation. This complex, dynamic legal landscape regarding privacy, data protection, and information security creates significant compliance issues for us and our clients and potentially exposes us to additional expense, adverse publicity and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eventually operate in a number of countries outside of the United States whose laws, including data privacy laws, may in some cases be more stringent than the requirements in the United States. For example, some jurisdictions have specific requirements relating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cross-border transfers of personal data to certain jurisdictions, including to the United States, have strict requirements relating to personal data collection, use or sharing, and have more stringent requirements relating to organizations’ privacy programs and provide stronger individual rights. Moreover, we may also be subject to evolving international privacy and data security regulations which could result in greater compliance costs and in turn lead to penalties, where such compliance programs are not implemented correctly.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processing activities are subject to the EU General Data Protection Regulation and the UK General Data Protection Regulation (collectively, the “GDPR”). The GDPR imposes strict requirements on controllers and processors processing personal information and failure to comply with the requirements of the GDPR may result in significant fines and other administrative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GDPR also prohibits the transfer of personal data from the EEA/UK to a country outside of the EEA/UK (e.g., the United States) unless made to a country deemed to have adequate data privacy laws by the European Commission (or UK Government in case of the UK GDPR) or a data transfer mechanism has been put in place. Any changes with respect to adequacy decisions for transfers to the United States by the Court of Justice of the European Union (CJEU) or additional requirements or interpretations of laws with respect to cross-border data transfer mechanisms may lead to increased transaction, compliance, and technological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Complying with these various laws and regulations could cause us to incur substantial costs or require us to change our business practices, systems and compliance procedures in a manner adverse to our business. This may be onerous and adversely affect our business, financial condition, results of operations and the profitability of our platform of diagnostic tests and may prevent us from providing certain offerings in jurisdictions in which we currently operate and in which we may operate in the future. Failure to comply with U.S. or global privacy or data security-related laws, rules or regulations could result in significant penalties imposed by regulators, affect our compliance with contracts entered into with our collaborators and other third-party payers, and have an adverse effect on our business and financial condition. The scope and enforcement of each of these laws is uncertain and subject to rapid change in the current environment of heightened regulatory focus on data privacy and security issues. Although we have implemented data privacy and security measures in an effort to comply with applicable laws and regulations relating to privacy and data protection and we endeavor to comply with our policies and documentation and ensure their alignment with current laws, rules and regulations, we may at times fail to do so or a regulator, court, or third party may allege that our practices are not sufficient to fully comply with the laws to which we are subject, resulting in regulatory scrutiny, fines, litigation, and potential reputational harm. We may also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some PHI, PII, personal information, or confidential information is transmitted to us by third parties, who may not implement adequate security and privacy measures. It is possible that laws, rules and regulations relating to privacy, data protection, or information security may be interpreted and applied in a manner that is inconsistent with our practices or those of third parties who transmit such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regularly monitor, defend against and respond to cybersecurity incidents which may impact our facilities systems, or data. Despite our information security efforts, our facilities, systems, and data, as well as those of our third-party service providers, may be vulnerable to cybersecurity incidents including, but not limited to, cyber-attacks (including ransomware or other extortion tactics, viruses or other malicious code, unauthorized access attempts, and denial of service attacks), social engineering attacks (including phishing), fraudulent schemes, disruptions or interruptions, or other intentional or unintentional cybersecurity incidents caused by threat actors, technological vulnerabilities or human error. If we, or any of our vendors that support or have access to our facilities, systems, or data, including any third-party vendors that collect, process and store personal information or confidential information on our behalf, fail to comply with laws requiring the protection of personal information, or fail to safeguard and defend personal information or other critical data assets or facilities, systems, or data, or fail to report such an incident or significant and extended disruption in the timeframe required by law, we may be subject to regulatory scrutiny or enforcement and fines as well as private civil actions or suffer damage to our customer, stakeholder, and investor relationships or other reputational harm. We may be required to expend significant resources in the response, containment, mitigation of cybersecurity incidents as well as in defense against claims that our information security was unreasonable or otherwise violated applicable laws or contractual obligations. Furthermore, while we may be entitled to damages if our third-party service providers or other business partners fail to satisfy their security-related obligations to us, any award may be insufficient to cover our damages, or we may be unable to recover such award. While we have purchased cybersecurity insurance, there are no assurances that the coverage would be adequate in relation to any incurred losses. Moreover, as cyber-attacks and cyber intrusions increase in frequency and magnitude, we may be unable to obtain cybersecurity insurance in amounts and on terms we view as adequate for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Artificial intelligence introduces emerging risks and challenges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Artificial intelligence (AI) is increasingly impacting life sciences and healthcare. We incorporated certain AI technologies into our operations to improve efficiency and drive innovation, and we may further expand our use of AI as the technology continues to evolve. However, AI innovation also introduces risks and challenges that could impact our business. AI technologies, including generative AI, are complex and rapidly evolving, and we face competition from other companies as well as an evolving regulatory landscape. Several jurisdictions around the globe, including Europe and the United States, have already proposed or enacted laws governing AI, and we may need to commit significant resources to maintain business practices that comply with the evolving regulatory landscape. Our competitors or other third parties may incorporate AI into their products more quickly and successfully than us, which could impair our ability to compete effectively and adversely affect our results of operations. Additionally, over-reliance on AI or dependence on a specific model or vendor may limit our flexibility, increase costs, or expose us to operational risks if the AI provider modifies or discontinues its services or increases its costs. Any of these issues could materially and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employees, collaborators, independent contractors and consultants may engage in misconduct or other improper activities, including noncompliance with regulatory standards and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 regulations, including those laws requiring the reporting of true, complete, and accurate information to the FDA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and state healthcare fraud and abuse laws and regulations;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laws that require the true, complete and accurate reporting of financial information or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results of earlier studies and trials may not be predictive of future trial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or new indications.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the factors that may cause or lead to a delay in the commencement or completion of clinical trials may also ultimately lead to delay or denial of regulatory clearance or approval or certification.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or comparable foreign regulatory authorities or conformity assessment bodies may require us to perform additional clinical trials before clearing or approving our marketing applications. A failure to comply with these regulations may require us to repeat clinical trials, which would delay the regulatory clearance or approval or certification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or certification for our tests. In addition, we may not be able to establish or maintain relationships with these parties on favorable terms, if at all. Each of these outcomes would harm our ability to market our tests, or to achieve sustained profitability.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results of our clinical trials may not support our product candidate claims or may result in the discovery of adverse side effects.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be certain that the results of our future clinical trials will support our future product claims or that the FDA or comparable foreign regulatory authorities or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billing, collections and claims processing activities are complex and time-consuming, and any delay in transmitting and collecting claims or failure to comply with applicable billing requirements, could have an adverse effect on our future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between the list price for our tests and the reimbursement rates of payers;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complex federal and state regulations related to billing government healthcare programs, including Medicare and Medicaid, to the extent our tests are covered by such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in coverage among payers and the effect of patient co-payments or co-insurance;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in information and billing requirements among payers;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codes and coding instructions governing our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incorrect or missing billing information;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resources required to manage the billing and claims appeals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billing complexities and the related uncertainty in obtaining payment for our tests could negatively affect our revenue and cash flow, our ability to achieve profitability and the consistency and comparability of our results of operations. In addition, if claims for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tests are not submitted to payers on a timely basis, or if we fail to comply with applicable billing requirements, it could have an adverse effect on our revenue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the GeneStrat NGS test, the test may be billed under an unlisted molecular pathology procedure code or through the use of a combination of single gene CPT codes, depending on the payer. The Protecting Access to Medicare Act of 2014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(HCPCS) codes to tests that are not already described by a unique CPT code. The VeriStrat, Nodify XL2, and Nodify CDT tests have test specific CPT codes, but the GeneStrat NGS test does not at this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instance where a code used does not describe a specific test, the insurance claim must be examined to determine what test was provided. Additionally, in some cases the third party payer determines that the insurance claim must be examined to determine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and our third-party manufacturers and suppliers must comply with environmental, health and safety laws and regulations, which can be expensive and restrict how we do, or interrupt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success may be impaired if we are unable to obtain, maintain and protect our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prevent our competitors from duplicating our diagnostic tests and products, including our Nodify XL2, Nodify CDT, GeneStrat, GeneStrat NGS and VeriStrat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prevent our competitors from gaining access to our proprietary information and technology, including our AI platform, tech platforms such as the DeepMALDI analysis and intellectual property covering technologies that allow us to develop “test algorithms”;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 us to gain or maintain a competitive advantage.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treating lung cancer. If these developments were to occur, our diagnostic tests and products may become less competitive and sales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some of our owned and in-licensed patents and patent applications are, and may in the future be, co-owned with third parties. If we are unable to obtain or maintain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case of agreements or clauses containing invention assignment, to grant us ownership of technologies that are developed through a relationship with employees or third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diagnostic tests or products, if such technologies or features are found to incorporate or be derived from the trade secrets or other proprietary information of the former employers.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inability to incorporate technologies or features that are important or essential to our diagnostic tests or products could have a material adverse effect on our business, financial condition and results of operations, and may prevent us from selling our rights to either of the Nodify XL2 and Nodify CDT tests, or the VeriStrat, GeneStrat, and GeneStrat NGS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patent law could diminish the value of patents in general, thereby impairing our ability to protect our existing and future diagnostic tests, products and services.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and our business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become involved in lawsuits to protect or enforce our patents, the patents of our licensors or other intellectual property rights, which could be expensive, time consuming and unsuccessful.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hAnsi="Times New Roman"/>
          <w:i/>
          <w:color w:val="000000"/>
          <w:sz w:val="20"/>
        </w:rPr>
        <w:t xml:space="preserve">inter partes </w:t>
      </w:r>
      <w:r>
        <w:rPr>
          <w:rFonts w:ascii="Times New Roman" w:hAnsi="Times New Roman"/>
          <w:color w:val="000000"/>
          <w:sz w:val="20"/>
        </w:rPr>
        <w:t>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some of our owned and in-licensed patents and patent applications are, and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hAnsi="Times New Roman"/>
          <w:i/>
          <w:color w:val="000000"/>
          <w:sz w:val="20"/>
        </w:rPr>
        <w:t xml:space="preserve">inter partes </w:t>
      </w:r>
      <w:r>
        <w:rPr>
          <w:rFonts w:ascii="Times New Roman" w:hAnsi="Times New Roman"/>
          <w:color w:val="000000"/>
          <w:sz w:val="20"/>
        </w:rPr>
        <w:t xml:space="preserve">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that our diagnostic tests or services infringe their intellectual property rights as part of a business strategy to impede our successful entry into or growth in those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subject to claims challenging the priority or inventorship of our patents and other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Issued patents covering our diagnostic tests and any other or future diagnostic tests, products or services could be found invalid or unenforceable if challenged.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some of our patents or patent applications, including licensed patents, may be challenged, in courts or patent offices in the United States and abroad, in opposition, derivation, reexamination, </w:t>
      </w:r>
      <w:r>
        <w:rPr>
          <w:rFonts w:ascii="Times New Roman" w:hAnsi="Times New Roman"/>
          <w:i/>
          <w:color w:val="000000"/>
          <w:sz w:val="20"/>
        </w:rPr>
        <w:t xml:space="preserve">inter partes </w:t>
      </w:r>
      <w:r>
        <w:rPr>
          <w:rFonts w:ascii="Times New Roman" w:hAnsi="Times New Roman"/>
          <w:color w:val="000000"/>
          <w:sz w:val="20"/>
        </w:rPr>
        <w:t>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aware of all third-party intellectual property rights potentially relating to our current or future diagnostic tests, products or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rely on licenses from third parties in relation to certain diagnostic tests, products and services and if we lose these licenses then we may be subjected to future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 foregoing could have a material adverse effect on our competitive position, business, financial conditions,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disputes may also arise between us and our current or future licensors regarding intellectual property rights subject to a license agreement, including those relating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diagnostic tests, products, services, technology, and processes infringe on intellectual property rights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our licensor or its licensor had the right to grant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third parties are entitled to compensation or equitable relief, such as an injunction, for our use of the intellectual property rights without their authorization;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involvement in the prosecution of licensed patents and our licensors’ overall patent enforcement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amounts of royalties, milestones, or other payments due under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rights by our licensors and us and our collaborators;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do not prevail in such disputes, we may lose any or all of our rights under such 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diagnostic tests, products and services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diagnostic tests or products that are similar to our Nodify XL2, Nodify CDT, GeneStrat, GeneStrat NGS or VeriStrat tests or utilize similar technology that is not covered by the claims of our patents or that incorporates certain technology in our Nodify XL2, Nodify CDT, GeneStrat, GeneStrat NGS or VeriStrat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current or future licensors or collaborators, might not have been the first to make the inventions covered by the applicable issued patent or pending patent application that we own or license now or may own or license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current or future licensors or collaborators, might not have been the first to file patent applications covering certain of our or their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our current or future pending patent applications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hold rights to may be held invalid or unenforceable, including as a result of legal challenges by our competitors or other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 foregoing could have a material adverse effect on our business,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expect that the price of our common stock will fluctuate substantially and you may not be able to sell your shares at or above the price you paid for them.</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market price of our common stock is likely to be highly volatile and may fluctuate substantially due to many factors, including:</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volume and customer mix for our Nodify XL2, Nodify CDT, GeneStrat ddPCR, GeneStrat NGS, and VeriStrat testing;</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introduction of new diagnostic tests or enhancements to such tests by us or others in our industry;</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disputes or other developments with respect to our or others’ intellectual property rights;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develop, obtain regulatory clearance or approval or certification for, and market new and enhanced diagnostic tests on a timely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product liability claims or other litigation;</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quarterly variations in our results of operations or those of others in our industry;</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media exposure of our diagnostic tests or of those of others in our industry;</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changes in governmental regulations or in the status of our regulatory approvals or applications;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changes in earnings estimates or recommendations by securities analysts; and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general market conditions and other factors, including factors unrelated to our operating performance or the operating performance of our competitors.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and you may not realize any return on your investment in us and may lose some or all of your investment.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can be no assurance that our common stock will maintain compliance with the minimum bid price requirement or other applicable listing standards of The Nasdaq Stock Market LLC or another national securities exchange.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we will be able to continue to meet The Nasdaq Global Market listing standards. We have in the past, and may in the future, be unable to comply with certain of the listing standards that we are required to meet to maintain the listing of our common shares on The Nasdaq Global Market. If we are unable to maintain compliance with all applicable listing standards, our common stock may no longer be listed on The Nasdaq Global Market or another national securities exchange and the liquidity and market price of our common stock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24, 2025, we received written notice from the Staff of Nasdaq notifying us that we no longer complied with the minimum bid price requirement for continued listing on The Nasdaq Global Market. On September 15, 2025, we effected a 1-for-20 reverse stock split and on September 26, 2025, we received a letter from the Staff notifying us that we had regained compliance with the minimum bid price requirement for continued listing on The Nasdaq Global Market, and the matter is now 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in the future we fail to meet Nasdaq’s continued listing requirements and Nasdaq delists our common stock from trading on its exchange and we are not able to list our securities on another national securities exchange, we could face significant material adverse consequences, including, without limitation, a substantial reduction in the liquidity of our common stock, which could limit our access to capital markets for any potential future fundraising.</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Securities analysts may not publish favorable research or reports about our business or may publish no information at all, which could cause our stock price or trading volume to decline.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trading market for our common stock is partially influenced by the research and reports that industry or financial analysts publish about us and our business. We do not control these analysts. As a small reporting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smaller reporting companies may make our common stock less attractive to investors.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preparation of financial statements in conformity with generally accepted accounting principles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Our directors, officers and principal stockholders have significant voting power and may take actions that may not be in the best interests of our other stockholders.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Our officers, directors and principal stockholders each holding more than 5% of our common stock collectively control approximately 41.2% of our outstanding common stock as of December 31, 2025. As a result, these stockholders, if they act together, could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 </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Operating as a public company requires us to incur substantial costs and requires substantial management attention.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As a public company, we have incurred and will continue to incur costs associated with corporate governance requirements that are applicable to us as a public company, including rules and regulations of the SEC, under the Sarbanes-Oxley Act, the Dodd-Frank Wall Street Reform and Consumer Protection Act of 2010, and the Securities Exchange Act of 1934, as amended (the Exchange Act), as well as the rules of Nasdaq. Compliance with these rules and regulations have significantly increased our accounting, legal and financial compliance costs and make some activities more time-consuming. These rules and regulations could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being a publicly traded company may adversely affect our business, financial condition and results of operations.</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As a result of being a public company, 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faulty human judgment and simple errors, omissions, or mistakes;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fraudulent action of an individual or collusion of two or more people;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inappropriate management override of procedures; and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possibility that any enhancements to controls and procedures may still not be adequate to assure timely and accurate financial control.</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When we cease to be a “smaller reporting company” and/or “non-accelerated filer” under the federal securities laws, our auditors may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us more difficult and may prevent attempts by our stockholders to replace or remove our current management.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amended and restated articles of incorporation provide that we will indemnify our directors and officers to the fullest extent permitted by Section 145 of the Delaware General Corporate Law.</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addition, as permitted by the Delaware General Corporate Law, our amended and restated articles of incorporation and our indemnification agreements that we have entered into with our directors and officers provide that:</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we may not retroactively amend our amended and restated articles of incorporation provisions to reduce our indemnification obligations to directors, officers, employees and agents.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We have never paid dividends on our capital stock, and we do not anticipate paying dividends in the foreseeable future.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results of operations and other factors that our board of directors may deem relevant. As a result, capital appreciation, if any, of our common stock will be the sole source of gain for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 w:name="n1b_unresolved_staff_comments"/>
      <w:bookmarkEnd w:id="5"/>
      <w:r>
        <w:rPr>
          <w:rFonts w:ascii="Times New Roman" w:hAnsi="Times New Roman"/>
          <w:b/>
          <w:color w:val="000000"/>
          <w:sz w:val="20"/>
        </w:rPr>
        <w:t>1B. Unresolved Staff Comments.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both"/>
        <w:rPr>
          <w:rFonts w:ascii="Times New Roman" w:hAnsi="Times New Roman"/>
          <w:b/>
          <w:color w:val="000000"/>
          <w:sz w:val="20"/>
        </w:rPr>
      </w:pPr>
      <w:bookmarkStart w:id="6" w:name="n1c_cybersecurity"/>
      <w:bookmarkEnd w:id="6"/>
      <w:r>
        <w:rPr>
          <w:rFonts w:ascii="Times New Roman" w:hAnsi="Times New Roman"/>
          <w:b/>
          <w:color w:val="000000"/>
          <w:sz w:val="20"/>
        </w:rPr>
        <w:t>1C. Cybersecurity.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depends on the secure and continuous processing of information, supported by a resilient IT infrastructure and trusted critical vendors. Cybersecurity is a fundamental pillar of our risk management framework, seamlessly integrated into our decision-making at every level. Our IT department proactively identifies, evaluates, and mitigates cybersecurity risks to ensure alignment with our business objectives and operational needs. We maintain robust security policies and procedures, including comprehensive security and data privacy training for staff, stringent physical security measures, and advanced electronic data protection. Our cybersecurity program strictly adheres to HIPAA, GDPR, and applicable SEC cybersecurity disclosure and reporting requirements, incorporating strong data access controls, privacy safeguards, password protocols, encryption, and a structured incident response process with a formal and timely materiality assessment consistent with SEC reporting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Beyond policies, our network is fortified with a multi-layered defense strategy, including firewalls and advanced cyber-threat monitoring. We employ continuous vulnerability management and 24/7 extended detection and response (XDR) to continuously detect, analyze, and neutralize potential threats in real time. We recognize the importance of securing our extended digital ecosystem, including third-party service providers. To mitigate associated risks, we conduct rigorous security assessments before onboarding any third-party vendors, which require contractual cybersecurity and data protection obligations and perform ongoing, risk-based monitoring to ensure continuous compliance with our cybersecurity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further strengthen our security posture, we collaborate with independent external experts who conduct audits, penetration testing and threat assessments of our cybersecurity infrastructure. Through these evaluations and strategic consultations, we ensure that our security measures remain aligned with industry best practices. Our cybersecurity program is designed to safeguard the integrity, confidentiality, and availability of our critical information assets, supporting operational resilience and trust in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Current Cybersecurity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date of this Annual Report on Form 10-K, the Company has not experienced any cybersecurity incidents that have materially affected or are reasonably likely to materially affect the Company. In the event of a cybersecurity incident, the Company is equipped with a well-defined incident response plan. This plan includes immediate actions to contain and mitigate the impact, procedures to assess materiality in a timely manner, and long-term strategies for remediation and prevention of future incidents. See "Risk Factors— We may face additional costs, loss of revenue, significant liabilities, harm to our brand, decreased use of our products or services and business disruption if there are any security or data privacy breaches or other unauthorized or improper access."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Management and Board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is responsible for day-to-day risk management activities. Our Board of Directors, acting directly and through its committees, is responsible for the oversight of our risk management. The Nominating and Governance Committee monitors our cybersecurity risk profile, receives quarterly updates from management on all matters related to cybersecurity, and reports to the full Board of Directors at least annually, or more often as appropriate. The Nominating and Governance Committee is composed of members with diverse expertise that allows it to oversee cybersecurity risks effectively.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is involved in assessing and managing material cybersecurity risks and incidents through dialogue with our Information Security Officer, who serves as the Company’s senior cybersecurity leader. Our Information Security Officer brings expertise to this role through his in-depth knowledge and experience in technology management and cybersecurity. Our Information Security Officer, as the Company’s senior cybersecurity leader, is continually informed about the latest developments in cybersecurity. This is crucial for the effective prevention, detection, mitigation and remediation of cybersecurity incidents, and allows him to regularly inform our Chief Executive Officer and Chief Financial Officer of any and all aspects of our business related to cybersecurity and information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Chief Executive Officer, Chief Financial Officer and Information Security Officer regularly report to the Nominating and Governance Committee to ensure effective and efficient oversight of our cybersecurity threats and material risks, and to assist in proper risk management. Significant cybersecurity matters and strategic risk management decisions will be escalated from the Nominating and Governance Committee to the Board of Directors, ensuring that there is comprehensive oversight and the full Board of Directors can provide guidance on critical cybersecurity issues.</w:t>
      </w:r>
    </w:p>
    <w:p>
      <w:pPr>
        <w:pStyle w:val="TextBody"/>
        <w:bidi w:val="0"/>
        <w:spacing w:before="240" w:after="283"/>
        <w:jc w:val="left"/>
        <w:rPr>
          <w:rFonts w:ascii="Times New Roman" w:hAnsi="Times New Roman"/>
          <w:sz w:val="20"/>
        </w:rPr>
      </w:pPr>
      <w:bookmarkStart w:id="7" w:name="item_2_properties"/>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corporate headquarters are in Louisville, Colorado, under a lease agreement with Centennial Valley Properties I, LLC, a Colorado limited liability company. We also lease office and laboratory space located in De Soto, Kansas, under an operating lease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agreement that expires in June 2030. A portion of our employees are located outside of Colorado and Kansas, working remotely. Our properties are suitable for our current business operations.</w:t>
      </w:r>
    </w:p>
    <w:p>
      <w:pPr>
        <w:pStyle w:val="TextBody"/>
        <w:bidi w:val="0"/>
        <w:jc w:val="left"/>
        <w:rPr/>
      </w:pPr>
      <w:r>
        <w:rPr/>
        <w:t> </w:t>
      </w:r>
    </w:p>
    <w:tbl>
      <w:tblPr>
        <w:tblW w:w="6842" w:type="dxa"/>
        <w:jc w:val="left"/>
        <w:tblInd w:w="0" w:type="dxa"/>
        <w:tblLayout w:type="fixed"/>
        <w:tblCellMar>
          <w:top w:w="28" w:type="dxa"/>
          <w:left w:w="28" w:type="dxa"/>
          <w:bottom w:w="28" w:type="dxa"/>
          <w:right w:w="28" w:type="dxa"/>
        </w:tblCellMar>
      </w:tblPr>
      <w:tblGrid>
        <w:gridCol w:w="1816"/>
        <w:gridCol w:w="146"/>
        <w:gridCol w:w="1891"/>
        <w:gridCol w:w="146"/>
        <w:gridCol w:w="197"/>
        <w:gridCol w:w="913"/>
        <w:gridCol w:w="146"/>
        <w:gridCol w:w="146"/>
        <w:gridCol w:w="144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Square Feet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w:t>
            </w:r>
          </w:p>
        </w:tc>
      </w:tr>
      <w:tr>
        <w:trPr/>
        <w:tc>
          <w:tcPr>
            <w:tcW w:w="18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Louisville, Colorado</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Office and laboratory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2035</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 Soto, Kansas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Office and 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2030</w:t>
            </w:r>
          </w:p>
        </w:tc>
      </w:tr>
    </w:tbl>
    <w:p>
      <w:pPr>
        <w:pStyle w:val="TextBody"/>
        <w:bidi w:val="0"/>
        <w:jc w:val="left"/>
        <w:rPr/>
      </w:pPr>
      <w:r>
        <w:rPr/>
        <w:t> </w:t>
      </w:r>
    </w:p>
    <w:p>
      <w:pPr>
        <w:pStyle w:val="TextBody"/>
        <w:bidi w:val="0"/>
        <w:spacing w:before="40" w:after="283"/>
        <w:jc w:val="left"/>
        <w:rPr>
          <w:rFonts w:ascii="Times New Roman" w:hAnsi="Times New Roman"/>
          <w:sz w:val="20"/>
        </w:rPr>
      </w:pPr>
      <w:bookmarkStart w:id="8" w:name="item_3_legal_proceedings"/>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24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120" w:after="283"/>
        <w:jc w:val="left"/>
        <w:rPr>
          <w:rFonts w:ascii="Times New Roman" w:hAnsi="Times New Roman"/>
          <w:sz w:val="20"/>
        </w:rPr>
      </w:pPr>
      <w:bookmarkStart w:id="10" w:name="item_5_market_for_registrants_common_equ"/>
      <w:bookmarkEnd w:id="10"/>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traded on The Nasdaq Global Market under the symbol “BDSX”. The high and low closing prices for our common stock on The Nasdaq Global Market from January 1, 2025 to December 31, 2025 were $29.80 and $4.40,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15, 2025, the Company effected a 1-for-20 reverse stock split.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Holders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February 20, 2026, there were approximately 228 holders of our common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dividends on our common stock and do not expect to pay dividends on our common stock for the foreseeable future. We anticipate that all of our liquidity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term loan restrict our ability to pay dividends on our common stock, and we may also enter into credit agreements or other borrowing arrangements in the future that will further restrict our ability to declare or pay dividends on our common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5, 2024, we entered into the Securities Purchase Agreements, pursuant to which we sold 760,857 shares of our Series A Preferred Stock, which, subject to stockholder approval and certain beneficial ownership limitations set by each holder pursuant to the Series A Certificate of Designation, would automatically convert into 40 shares of Common Stock for each share of Series A Preferred Stock, for an aggregate of up to 30,434,280 shares of our common stock and an aggregate purchase price of $35.0 million. The Private Placement Preferred Shares were offered and sold in transactions exempt from registration under the Securities Act, in reliance on Section 4(a)(2) thereof. Each of the investors represented that it was an “accredited investor,” as defined in Regulation D, and acquired the securities for investment only and not with a view towards, or for resale in connection with, the public sale or distribution thereof. The Private Placement Preferred Shares have not been registered under the Securities Act and such securities may not be offered or sold in the United States absent registration or an exemption from registration under the Securities Act and any applicable state securities laws.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Concurrent Private Placement, the Company also entered into a Registration Rights Agreement, dated April 5, 2024 (the Registration Rights Agreement), with the Investors, which provides that the Company will register the resale of the shares of Common Stock issuable upon conversion of the Preferred Stock. Pursuant to the Registration Rights Agreement, the Company was required to prepare and file an initial registration statement with the SEC as soon as reasonably practicable, but in no event later than April 23, 2024 (the Filing Deadline), and to use reasonable best efforts to have the registration statement declared effective within 50 days after the closing of the Concurrent Private Placement, subject to the approval of the conversion of the Concurrent Private Placement Shares being received at the Company’s 2024 annual meeting of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used the proceeds from the Concurrent Private Placement for commercial expansion of sales, supporting its product pipeline, research and development and for general corporate purposes (see – Item 8. "Financial Statements and Supplementary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21, 2024, the Company held its 2024 annual meeting of stockholders in which the Conversion Proposal and Issuance Proposal were approved by the Company's stockholders. Upon approval, each share of Series A Preferred Stock automatically converted into 40 shares of Common Stock and, on May 23, 2024, the Company issued 30,434,280 shares of Common Stock in exchange for all Series A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used the proceeds for the commercial expansion of sales, research and development, and for general corporate purposes (see – Item 8. "Financial Statements and Supplementary Data").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1" w:name="item_6_selected_financial_data"/>
      <w:bookmarkEnd w:id="11"/>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2" w:name="item_7_managements_discussion_analysis_f"/>
      <w:bookmarkEnd w:id="12"/>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Biodesix, Inc. is referred to throughout this Annual Report on Form 10-K for the period ended December 31, 2025 (Form 10-K) as “we”, “us”, “our” or the “Company.”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of our financial condition and results of operations should be read together with our audited financial statements and related notes and other financial information included elsewhere in this Annual Report on Form 10-K.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 addition to historical financial information, this discussion and other parts of this report contain forward-looking statements within the meaning of Section 27A of the Securities Act of 1933, as amended, and Section 21E of the Securities Exchange Act of 1934, as amended, based upon current expectations that involve risks and uncertainties. Our actual results could differ materially from those anticipated in these forward-looking statements as a result of various factors, including those set forth in the section titled “Risk Factors” under Part I, Item 1A above. Forward-looking statements are not guarantees of future performance and are subject to risks and uncertainties that could cause actual results and events to differ from those anticipated.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Management’s Discussion and Analysis of Financial Condition and Results of Operations (MD&amp;A), is provided to supplement the audited financial statements and the related notes in Part II—Item 8 of this Annual Report on Form 10-K. We intend for this discussion to provide you with information that will assist you in understanding our financial statements, the changes in key items in those financial statements from year to year and the primary factors that accounted for those changes. Data for the years ended December 31, 2025 and 2024 has been derived from our audited financial statements included in this Annual Report on Form 10-K.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leading diagnostic solutions company, and our mission is to transform patient care and improve outcomes through personalized diagnostics that are timely, accessible, and address immediate clinical needs. We envision a world where patient disease is conquered through the guidance of personalized diagnostics.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Biodesix, we have built a team with deep experience in diagnostics including commercialization, reimbursement, regulatory, medical affairs, research and development, technology, and operations to provide needed products and services to address critical clinical questions and help improve patient care. We believe that establishing a new standard of care utilizing personalized diagnostics requires an extensive understanding of clinical needs, scientific expertise to develop tests using the optimal technology for each clinical question, development of clinical evidence to demonstrate benefits of the testing, a scalable operational infrastructure, and an established commercial channel to drive market adoption and payer coverage.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employ multiple technologies, including genomics, proteomics, and radiomics, combined with artificial intelligence (AI), to discover, develop, and commercialize innovative diagnostic tests for physicians, biopharmaceutical, life science, and diagnostics companies to help improve patient care.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Diagnostic Tests support clinical decisions to expedite personalized care and improve outcomes for patients with lung disease. We believe our diagnostic tests help healthcare providers meaningfully improve lung disease diagnosis, treatment, and monitoring as well as lower the overall healthcare cost by reducing the use of ineffective and unnecessary treatments and procedures. We currently offer two tests (Nodify Lung® tests) that assess the risk of cancer in lung nodules and three tests (IQLung® tests) that provide treatment guidance after a lung cancer diagnosis.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Diagnosis - Nodule Management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Nodify CDT</w:t>
      </w:r>
      <w:r>
        <w:rPr>
          <w:rFonts w:ascii="Times New Roman" w:hAnsi="Times New Roman"/>
          <w:color w:val="000000"/>
          <w:sz w:val="20"/>
        </w:rPr>
        <w:t>®</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Nodify XL2</w:t>
      </w:r>
      <w:r>
        <w:rPr>
          <w:rFonts w:ascii="Times New Roman" w:hAnsi="Times New Roman"/>
          <w:color w:val="000000"/>
          <w:sz w:val="20"/>
        </w:rPr>
        <w:t xml:space="preserve">® tests, marketed as Nodify Lung® Nodule Risk Assessment,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w:t>
      </w:r>
      <w:r>
        <w:rPr>
          <w:rFonts w:ascii="Times New Roman" w:hAnsi="Times New Roman"/>
          <w:b/>
          <w:i/>
          <w:color w:val="000000"/>
          <w:sz w:val="20"/>
        </w:rPr>
        <w:t>the only company</w:t>
      </w:r>
      <w:r>
        <w:rPr>
          <w:color w:val="000000"/>
        </w:rPr>
        <w:t xml:space="preserve"> </w:t>
      </w:r>
      <w:r>
        <w:rPr>
          <w:rFonts w:ascii="Times New Roman" w:hAnsi="Times New Roman"/>
          <w:color w:val="000000"/>
          <w:sz w:val="20"/>
        </w:rPr>
        <w:t>to offer two Medicare/Medicaid-covered commercial blood-based tests to help physicians classify risk of malignancy in patients with suspicious lung nodules.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Lung Cancer Treatment &amp; Monitoring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i/>
          <w:color w:val="000000"/>
          <w:sz w:val="20"/>
        </w:rPr>
        <w:t>GeneStrat</w:t>
      </w:r>
      <w:r>
        <w:rPr>
          <w:rFonts w:ascii="Times New Roman" w:hAnsi="Times New Roman"/>
          <w:color w:val="000000"/>
          <w:sz w:val="20"/>
        </w:rPr>
        <w:t>®</w:t>
      </w:r>
      <w:r>
        <w:rPr>
          <w:color w:val="000000"/>
        </w:rPr>
        <w:t xml:space="preserve"> </w:t>
      </w:r>
      <w:r>
        <w:rPr>
          <w:rFonts w:ascii="Times New Roman" w:hAnsi="Times New Roman"/>
          <w:i/>
          <w:color w:val="000000"/>
          <w:sz w:val="20"/>
        </w:rPr>
        <w:t>ddPCR, GeneStrat NGS</w:t>
      </w:r>
      <w:r>
        <w:rPr>
          <w:rFonts w:ascii="Times New Roman" w:hAnsi="Times New Roman"/>
          <w:color w:val="000000"/>
          <w:sz w:val="20"/>
        </w:rPr>
        <w:t xml:space="preserve">® and </w:t>
      </w:r>
      <w:r>
        <w:rPr>
          <w:rFonts w:ascii="Times New Roman" w:hAnsi="Times New Roman"/>
          <w:i/>
          <w:color w:val="000000"/>
          <w:sz w:val="20"/>
        </w:rPr>
        <w:t>VeriStrat</w:t>
      </w:r>
      <w:r>
        <w:rPr>
          <w:rFonts w:ascii="Times New Roman" w:hAnsi="Times New Roman"/>
          <w:color w:val="000000"/>
          <w:sz w:val="20"/>
        </w:rPr>
        <w:t>®</w:t>
      </w:r>
      <w:r>
        <w:rPr>
          <w:color w:val="000000"/>
        </w:rPr>
        <w:t xml:space="preserve"> </w:t>
      </w:r>
      <w:r>
        <w:rPr>
          <w:rFonts w:ascii="Times New Roman" w:hAnsi="Times New Roman"/>
          <w:color w:val="000000"/>
          <w:sz w:val="20"/>
        </w:rPr>
        <w:t>tests, marketed as part of our IQLung®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Development Services enable the world’s leading biopharmaceutical, life sciences, and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Development Services have been utilized by over 65 industry clients and academic partners.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approach to solving diagnostic challenges. </w:t>
      </w:r>
    </w:p>
    <w:p>
      <w:pPr>
        <w:pStyle w:val="TextBody"/>
        <w:bidi w:val="0"/>
        <w:jc w:val="both"/>
        <w:rPr>
          <w:rFonts w:ascii="Times New Roman" w:hAnsi="Times New Roman"/>
          <w:color w:val="000000"/>
          <w:sz w:val="20"/>
        </w:rPr>
      </w:pPr>
      <w:r>
        <w:rPr>
          <w:rFonts w:ascii="Times New Roman" w:hAnsi="Times New Roman"/>
          <w:color w:val="000000"/>
          <w:sz w:val="20"/>
        </w:rPr>
        <w:t xml:space="preserve">We offer end-to-end diagnostic solutions, including translational research, initial biomarker discovery, assay design, development, and validation, testing of clinical trial samples, regulatory, reimbursement, commercialization, and logistical support services. We offer our existing on-market tests, a suite of other research tests and the capability to custom design and develop novel tests for use by our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our Development Services revenue continues to grow, it is important to note that we benefit from these partnerships in ways that expand beyond revenue. We are continuously expanding our knowledge and biological understanding of multiple diseases and the rapidly evolving treatment and regulatory approval landscape.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our operating performance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Testing volume and customer mix. </w:t>
      </w:r>
      <w:r>
        <w:rPr>
          <w:rFonts w:ascii="Times New Roman" w:hAnsi="Times New Roman"/>
          <w:color w:val="000000"/>
          <w:sz w:val="20"/>
        </w:rPr>
        <w:t>Our revenues and costs are affected by the volume of testing and mix of customers from period to 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business lines. Customer mix stemming from our two business lines has the potential to significantly impact our results of operations, as the average selling price for biopharmaceutical sample testing is currently significantly higher than our average selling price for clinical tests since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Reimbursement for clinical diagnostic testing. </w:t>
      </w:r>
      <w:r>
        <w:rPr>
          <w:rFonts w:ascii="Times New Roman" w:hAnsi="Times New Roman"/>
          <w:color w:val="000000"/>
          <w:sz w:val="20"/>
        </w:rPr>
        <w:t>Our revenue depends on achieving broad coverage and reimbursement for our tests from third-party payers, including both commercial and government payers. All five Biodesix blood-based lung diagnostic tests within Nodify Lung Nodule Risk Assessment testing and IQLung strategy for lung cancer patients are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expected. Additionally, retrospective reimbursement adjustments can negatively impact our revenue and cause our financial results to fluctuate.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payers who were previously either not covering or paying a reduced rate for the tests may decide in the future to start or restart reimbursing for one or more of our tests. In the three months ending September 30, 2025, a major third party commercial payer who had previously stopped reimbursing us for certain of our tests began reimbursing claims for use of the tests, which contributed to an increase in average revenue per test in the quarter. While we currently expect this trend to continue, there is no guarantee of future reimbursement performance from this particular payer or any other payer.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Investment in clinical studies and product innovation to support growth. </w:t>
      </w:r>
      <w:r>
        <w:rPr>
          <w:rFonts w:ascii="Times New Roman" w:hAnsi="Times New Roman"/>
          <w:color w:val="000000"/>
          <w:sz w:val="20"/>
        </w:rPr>
        <w:t xml:space="preserve">A significant aspect of our business is our investment in research and development, including the development of new products and our investments in clinical studies for our on-market and pipeline products. Our studies focus on generating evidence to support expanded payer coverage, commercial adoption, and regulatory approvals. Current efforts are focused primarily on clinical utility as well as understanding the economic impact of our tests in assisting with decisions related to patient management and the potential impact of our tests in reducing overall healthcare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ongoing INSIGHT study was designed to expand our clinical understanding of the predictive and prognostic value of the VeriStrat test. On June 27, 2023, we completed enrollment of 5,000 patients with non-small cell lung cancer. All study participants currently enrolled in the study are expected to complete study follow-up by the end of 2026. The participant data will be monitored, and sites will be closed accordingly throughout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ALTITUDE study is a randomized control study, launched during the fourth quarter 2020, seeking to further demonstrate the utility of the Nodify CDT and XL2 tests. Patient enrollment requirements were reached in July 2025. All study participants are in two-year follow-up.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8, 2024, at the CHEST Annual Meeting, the Company presented the experience of healthcare providers using the Nodify Lung Nodule Risk Assessment in over 35,000 patients consecutively tested in a real-world clinical setting. The Company also announced a new clinical study, CLARIFY, that will collect patient outcomes and other clinical information on a subset of the patients featured in the CHEST presentation. CLARIFY is designed to confirm performance of the Nodify CDT and Nodify XL2 tests in diverse patient subgroups through a retrospective chart review of up to 4,000 patients that were tested in a real-world clinical setting. The study's intent is to expand the extensive evidence characterizing the validation and utility of Nodify Lung testing. Through December 31, 2025, the study has accrued over 1,500 patients.</w:t>
      </w:r>
    </w:p>
    <w:p>
      <w:pPr>
        <w:pStyle w:val="TextBody"/>
        <w:bidi w:val="0"/>
        <w:spacing w:before="120" w:after="283"/>
        <w:jc w:val="both"/>
        <w:rPr>
          <w:rFonts w:ascii="Times New Roman" w:hAnsi="Times New Roman"/>
          <w:sz w:val="20"/>
        </w:rPr>
      </w:pPr>
      <w:r>
        <w:rPr>
          <w:rFonts w:ascii="Times New Roman" w:hAnsi="Times New Roman"/>
          <w:color w:val="000000"/>
          <w:sz w:val="20"/>
        </w:rPr>
        <w:t>Our clinical research has resulted in over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On March 25, 2024, we announced a new master collaborative research agreement (MCRA) with MSK under which the teams will collaborate on a development plan for diagnostic tests aimed at improving the treatment of cancer. Biodesix</w:t>
      </w:r>
      <w:r>
        <w:rPr>
          <w:rFonts w:ascii="Times New Roman" w:hAnsi="Times New Roman"/>
          <w:color w:val="36454F"/>
          <w:sz w:val="20"/>
        </w:rPr>
        <w:t xml:space="preserve"> </w:t>
      </w:r>
      <w:r>
        <w:rPr>
          <w:rFonts w:ascii="Times New Roman" w:hAnsi="Times New Roman"/>
          <w:color w:val="000000"/>
          <w:sz w:val="20"/>
        </w:rPr>
        <w:t>will utilize its array of genomics, proteomics, and data mining capabilities with the aim of developing and commercializing oncology biomarker assays in collaboration with MSK. Bio-Rad will provide its industry-leading digital PCR assay technology in support of this important work. We believe these studies and collaborative arrangements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Ability to attract new Development Services including biopharmaceutical customers and maintain and expand relationships with existing customers. </w:t>
      </w:r>
      <w:r>
        <w:rPr>
          <w:rFonts w:ascii="Times New Roman" w:hAnsi="Times New Roman"/>
          <w:color w:val="000000"/>
          <w:sz w:val="20"/>
        </w:rPr>
        <w:t>Our business development team promotes the broad utility of our products for biopharmaceutical companies in the United States and internationally. Our revenue, business opportunities and growth depend in part on our ability to attract new Development Services including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r>
        <w:rPr>
          <w:color w:val="000000"/>
          <w:u w:val="single"/>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Motivating and expanding our field sales force and customer support team. </w:t>
      </w:r>
      <w:r>
        <w:rPr>
          <w:rFonts w:ascii="Times New Roman" w:hAnsi="Times New Roman"/>
          <w:color w:val="000000"/>
          <w:sz w:val="20"/>
        </w:rPr>
        <w:t xml:space="preserve">Our field sales force is the primary point of contact in the 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achieve greater returns. Additionally, we plan to invest in the marketing and customer support teams to continue to provide the field sales force with the resources to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each of these areas present significant opportunities for us, they also pose significant risks and challenges that we must address. See Part I, Item 1A. “Risk Factors” for more information.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Fourth Quarter and Full Year 2025 Financial and Operational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were significant developments affecting our business, capital structure and liquidity during the year ended December 31, 2025 as compared to the same period in 2024 unless otherwise noted: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core organic revenue, excluding collection on claims older than one year, was $24.1 million in Q4, growth of 40% over the prior year comparable period, driven by test volume growth of 23% and increased average revenue per test;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Diagnostic Test revenue of $25.1 million and $79.2 million for the fourth quarter and fiscal 2025, respectively, an increase of 46% and 22% over the prior year comparable periods. Test volumes were 18,000 and 62,600 for the fourth quarter and fiscal 2025, respectively, an increase of 23% and 15% over the prior year comparable periods. The increase in average revenue per test was driven by additional payer coverage, improvements in revenue cycle management, and approximately $1.0 million in collections from claims older than one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of $3.6 million and $9.3 million for the fourth quarter and fiscal 2025, respectively, an increase of 12% and 41% over the respective prior year comparable periods, a result of both delivering against the Company’s book of contracted business and securing new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of $28.8 million in Q4 and $88.5 million in FY2025, an increase of 41% and 24% over the respective prior year comparable periods, with gross margin expanding 400bps to 83% in Q4 and 300bps to 81% for the full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Improvements in gross margin percentage were driven by growth in Diagnostic testing, improvements in average revenue per test, and optimization of testing workflows that resulted in decreases in costs per test;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(excluding direct costs and expenses) of $25.8 million and $99.7 million for the fourth quarter and fiscal 2025, an increase of 14% and 10% over the respective prior year comparable periods. Sales, marketing, and general administrative investment increased 14% in Q4 to support the 41% revenue growth delivered in the quarter. The Company expects continued operating leverage as our expanded sales team advances along the productivity curve and converts growing experience into sustained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Includes non-cash stock compensation expense of $1.1 million and $4.1 million during the fourth quarter and fiscal 2025, a decrease of 15% and 38% over the respective prior year comparable periods;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loss of $4.0 million and $35.3 million for the fourth quarter and fiscal 2025, an improvement of 52% and 18% over the respective prior year comparable periods;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 forma cash and cash equivalents of $33.7 million (including subsequent ATM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Cash and cash equivalents of $19.0 million as of December 31, 2025 was inclusive of $2.3 million in at-the-market proceeds, and subsequent to the end of the quarter, the Company raised and additional $14.7 million to support continued growth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Subsequent to the end of the quarter, the Company amended the Senior Secured Term Loan with Perceptive Advisors to extend the maturity date and interest only period to November 2028. The extension and additional cash strengthens the balance sheet and provides increased financial flexibility.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Diagnostic Tests revenue is generated from delivery of results from our diagnostic tests. In the United States, we performed tests as both an in-network and out-of-network service provider depending on the test performed and the contracted status of the insurer. We consider diagnostic testing to be completed upon the delivery of test results to our customer, either the prescribing physician or healthcare provider or third-party to which we contracted for services to be performed, which is considered the performance obligation. The fees for such services are billed either to a third party such as Medicare, medical facilities, commercial insurance payers, or to the patient.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determine the transaction price related to our contracts by considering the nature of the payer, test type, the historical amount of time until payment by a payer and historical price concessions granted to groups of customers.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is generated from the delivery of our on-market tests, pipeline tests, custom diagnostic testing, and other scientific services from contracts and business agreements with other diagnostic and life sciences tool customers for a purpose as defined by the individual customer.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mid-size to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consist of costs incurred to develop technology and include salaries, share-based compensation and benefits, reagents and supplies used in research and development laboratory work, clinical trials infrastructure expenses, including allocated facility occupancy and information technology costs, contract services, quality and regulatory support,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our research and development expenses to increase as we continue to innovate and develop additional products and expand our data management resources. As our services revenue grows, an increasing portion of research and development dollars are expected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sales and marketing expenses are expensed as incurred and include costs associated with our sales organization, including our direct sales force and sales management, client services, marketing, public relations, communications and reimbursement, as well as business development personnel who are focused on projects with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and services. These expenses, though expected to increase in dollars, are expected to decrease as a percentage of revenue in the long term, though they may fluctuate as a percentage of our revenues from period to period due to the timing and nature of these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 and 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year ended December 31, 2025, interest expense primarily consists of cash and non-cash interest from the Perceptive Term Loan Facility. For the year ended December 31, 2024, interest expense consists of cash and non-cash interest from the Perceptive Term Loan Facility, contingent consideration, and changes in the fair value of our contingent consideration associated with the passage of time subsequent to the achievement of the gross margin target in the second quarter 2021. Interest income, which is included in ‘Other income, net’ in the statements of operations consists of income earned on our cash and cash equivalents.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sets forth the significant components of our results of operations for the periods presented (in thousands, except percentages):</w:t>
      </w:r>
    </w:p>
    <w:tbl>
      <w:tblPr>
        <w:tblW w:w="9075" w:type="dxa"/>
        <w:jc w:val="left"/>
        <w:tblInd w:w="0" w:type="dxa"/>
        <w:tblLayout w:type="fixed"/>
        <w:tblCellMar>
          <w:top w:w="28" w:type="dxa"/>
          <w:left w:w="28" w:type="dxa"/>
          <w:bottom w:w="28" w:type="dxa"/>
          <w:right w:w="28" w:type="dxa"/>
        </w:tblCellMar>
      </w:tblPr>
      <w:tblGrid>
        <w:gridCol w:w="3906"/>
        <w:gridCol w:w="146"/>
        <w:gridCol w:w="212"/>
        <w:gridCol w:w="786"/>
        <w:gridCol w:w="167"/>
        <w:gridCol w:w="146"/>
        <w:gridCol w:w="212"/>
        <w:gridCol w:w="786"/>
        <w:gridCol w:w="166"/>
        <w:gridCol w:w="146"/>
        <w:gridCol w:w="211"/>
        <w:gridCol w:w="676"/>
        <w:gridCol w:w="166"/>
        <w:gridCol w:w="146"/>
        <w:gridCol w:w="146"/>
        <w:gridCol w:w="481"/>
        <w:gridCol w:w="576"/>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116,372</w:t>
            </w:r>
          </w:p>
        </w:tc>
        <w:tc>
          <w:tcPr>
            <w:tcW w:w="1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(35,265</w:t>
            </w:r>
          </w:p>
        </w:tc>
        <w:tc>
          <w:tcPr>
            <w:tcW w:w="1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Share-based compensation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8"/>
        </w:rPr>
        <w:t>Amounts represent share-based compensation expense reported in the Company’s results of operations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Revenues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generate revenue by providing laboratory testing of our diagnostic tests and services. Our revenues for the periods indicated were as follows (in thousands, except percentages):</w:t>
      </w:r>
    </w:p>
    <w:tbl>
      <w:tblPr>
        <w:tblW w:w="6841" w:type="dxa"/>
        <w:jc w:val="left"/>
        <w:tblInd w:w="0" w:type="dxa"/>
        <w:tblLayout w:type="fixed"/>
        <w:tblCellMar>
          <w:top w:w="28" w:type="dxa"/>
          <w:left w:w="28" w:type="dxa"/>
          <w:bottom w:w="28" w:type="dxa"/>
          <w:right w:w="28" w:type="dxa"/>
        </w:tblCellMar>
      </w:tblPr>
      <w:tblGrid>
        <w:gridCol w:w="2036"/>
        <w:gridCol w:w="146"/>
        <w:gridCol w:w="236"/>
        <w:gridCol w:w="756"/>
        <w:gridCol w:w="163"/>
        <w:gridCol w:w="163"/>
        <w:gridCol w:w="236"/>
        <w:gridCol w:w="756"/>
        <w:gridCol w:w="146"/>
        <w:gridCol w:w="146"/>
        <w:gridCol w:w="211"/>
        <w:gridCol w:w="676"/>
        <w:gridCol w:w="146"/>
        <w:gridCol w:w="146"/>
        <w:gridCol w:w="146"/>
        <w:gridCol w:w="316"/>
        <w:gridCol w:w="416"/>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9,302</w:t>
            </w:r>
          </w:p>
        </w:tc>
        <w:tc>
          <w:tcPr>
            <w:tcW w:w="16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88,499</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 increased $17.2 million or 24% for the year ended December 31, 2025 compared to the year ended December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Lung Diagnostic Testing revenue increased $14.5 million or 22% for the year ended December 31, 2025 compared to the same period in 2024. The increase for the year ended December 31, 2025 compared to the same period in 2024 was due to an increase of $15.3 million in the Nodify Lung Nodule Risk Assessment testing strategy driven by an increase in tests delivered and improvements in average revenue per test as our sales efforts continued to focus on Nodify CDT and XL2 tests. This increase was partially offset by a $0.8 million decrease in the IQLung testing strategy sales.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Services revenue increased $2.7 million or 41% for the year ended December 31, 2025 compared to the same period in 2024. The increase in revenue for the year ended December 31, 2024 was primarily a result of delivering against our expanding book of business and securing new agreements.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sz w:val="20"/>
        </w:rPr>
      </w:pPr>
      <w:r>
        <w:rPr>
          <w:rFonts w:ascii="Times New Roman" w:hAnsi="Times New Roman"/>
          <w:i/>
          <w:color w:val="000000"/>
          <w:sz w:val="20"/>
        </w:rPr>
        <w:t>Direct costs and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 costs and expenses related to revenue increased $1.1 million or 7% for the year ended December 31, 2025 compared to the year ended December 31, 2024. The increase in costs for the year ended December 31, 2025 was primarily driven by the increase in testing volume compared to the same period in 2024, partially offset by the optimization of testing workflows that resulted in improvements in costs per test.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$2.4 million or 26% for the year ended December 31, 2025 compared to the year ended December 31, 2024. The increase in costs was primarily due to an increase in internal expenses associated with employee compensation and benefit costs resulting from an increase in headcount and variable compensation as well as an increase in external costs associated with clinical trials.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external and internal costs for the years ended December 31, 2025 and 2024 (in thousands, except percentages):</w:t>
      </w:r>
    </w:p>
    <w:tbl>
      <w:tblPr>
        <w:tblW w:w="8494" w:type="dxa"/>
        <w:jc w:val="left"/>
        <w:tblInd w:w="0" w:type="dxa"/>
        <w:tblLayout w:type="fixed"/>
        <w:tblCellMar>
          <w:top w:w="28" w:type="dxa"/>
          <w:left w:w="28" w:type="dxa"/>
          <w:bottom w:w="28" w:type="dxa"/>
          <w:right w:w="28" w:type="dxa"/>
        </w:tblCellMar>
      </w:tblPr>
      <w:tblGrid>
        <w:gridCol w:w="3496"/>
        <w:gridCol w:w="146"/>
        <w:gridCol w:w="248"/>
        <w:gridCol w:w="796"/>
        <w:gridCol w:w="172"/>
        <w:gridCol w:w="172"/>
        <w:gridCol w:w="248"/>
        <w:gridCol w:w="672"/>
        <w:gridCol w:w="146"/>
        <w:gridCol w:w="146"/>
        <w:gridCol w:w="211"/>
        <w:gridCol w:w="571"/>
        <w:gridCol w:w="146"/>
        <w:gridCol w:w="146"/>
        <w:gridCol w:w="146"/>
        <w:gridCol w:w="316"/>
        <w:gridCol w:w="71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1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12,001</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marketing, general and administrative expenses increased $7.1 million or 9% for the year ended December 31, 2025 compared to the year ended December 31, 2024. The increase was driven primarily by increases in employee compensation and benefits due to the planned expansion of the sales team to support Lung Diagnostic sales growth, as well as to enhance Biodesix awareness and drive product adoption.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expense decreased $0.5 million or 7% for the year ended December 31, 2025 compared to the year ended December 31, 2024. The interest expense for the year ended December 31, 2025 is primarily related to interest and amortization of debt issuance costs associated with the Perceptive Term Loan Facility of $7.5 million. The interest expense for the year ended December 31, 2024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primarily related to interest and amortization of debt issuance costs associated with the Perceptive Term Loan Facility of $7.0 million as well as interest associated with the contingent consideration of $1.1 million.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Loss on extinguishment of liabilities,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extinguishment of liabilities decreased $0.2 million or 100% for the year ended December 31, 2025 compared to the same period in 2024. On April 22, 2024, the Company obtained consent from Perceptive and prepaid the July 1, 2024 contingent consideration milestone payment of $8.4 million to Integrated Diagnostics (Indi). As a result of prepaying the milestone payment, the Company performed a fair value analysis through April 22, 2024 and recorded a loss on early extinguishment of $0.2 million.</w:t>
      </w:r>
    </w:p>
    <w:p>
      <w:pPr>
        <w:pStyle w:val="TextBody"/>
        <w:bidi w:val="0"/>
        <w:spacing w:before="120" w:after="283"/>
        <w:jc w:val="both"/>
        <w:rPr>
          <w:rFonts w:ascii="Times New Roman" w:hAnsi="Times New Roman"/>
          <w:sz w:val="20"/>
        </w:rPr>
      </w:pPr>
      <w:r>
        <w:rPr>
          <w:rFonts w:ascii="Times New Roman" w:hAnsi="Times New Roman"/>
          <w:i/>
          <w:color w:val="000000"/>
          <w:sz w:val="20"/>
        </w:rPr>
        <w:t>Change in fair value of warrant liability,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the Company entered into the Fifth Amendment to the Credit Agreement with Perceptive, whereby subject to the terms and conditions of the Fifth Amendment, the Tranche C Loan Commitment Termination Date was extended, providing continued availability to the Tranche C Loan through December 31, 2025. In addition, on the Tranche C Loan borrowing date, the Tranche C Warrants, as amended, would become vested and exercisable at an exercise price equal to $15.86, the Company's closing stock price on February 28, 2025. On May 8, 2025, the Company exercised its ability to draw the Tranche C loan under the Perceptive Term Loan Facility for $10.0 million. As consideration for drawing the Tranche C Loan, the Company agreed to modify the previously agreed upon per share exercise price of $15.86 for the Tranche C Warrants to a new per share exercise of $8.382, which was equal to the 10-day VWAP of the Company’s common stock on May 9, 2025, the business day immediately preceding the Tranche C Loan borrowing date. In connection with the Tranche C draw, the Company remeasured the Tranche C Warrants through the Tranche C borrowing date and recorded a loss of $0.3 million as a change in fair value of warrant liability through the statement of operations and, subsequently, reclassified the fair value to additional paid-in capital.</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2025, the Company recorded other income, net of $0.6 million primarily related to interest and other income. During the year ended December 31, 2024, the Company recorded other income, net of $0.1 million. The other income, net for the year ended December 31, 2024 was comprised of $0.8 million of interest and other income, offset by the reduction of approximately $0.7 million of deferred offering costs as a result of changes in the probability of our ability to fully utilize the Lincoln Park Capital equity facility prior to the termination date.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Thus far in our operating history, we have yet to generate annual positive cash flows from operations. We have funded our operations to date principally from net proceeds from the sale of our common stock, the sale of convertible preferred stock, revenue from diagnostic testing and services, and the incurrence of indebtedness.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amended the Indi APA agreement in April 2022 in which all parties agreed to restructure the milestone payments whereby the Company would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accrued on the difference between the payment schedule as agreed in the August 2021 amendment and the April 2022 amended payment schedule, at an aggregate per annum rate equal to 10%, with such interest to be payable quarterly on the following installment payment date. The exit fee was paid on September 30, 2024, and the Company has no remaining obligations to Indi.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21, 2022, the Company entered into a Credit Agreement and Guaranty (the Credit Agreement) with Perceptive Credit Holdings IV, LP (Perceptive) as lender and administrative agent (the Lender) for up to $50.0 million, with funding of $30.0 million and the issuance of warrants exercisable into 150,000 shares of the Company’s common stock occurring on November 21, 2022, and two additional contingently issuable tranches of $10.0 million each subject to certain terms and conditions, including revenue milestones. During the three months ended December 31, 2023, the Company met the conditions precedent associated with the Tranche B Loan and, on December 15, 2023, the Company exercised its ability to draw the Tranche B loan for $10.0 million (the Tranche B Loan). The Tranche C loan had a prior commitment date through September 30, 2024 and, as of that date, the Company did not exercise its ability to draw the Tranche C loan (see below for further details related to the Fifth Amendment).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9, 2024, the Company closed an underwritten offering of common stock and a concurrent private placement. Collectively, the Company raised net proceeds of approximately $51.3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30, 2024 (the Fourth Amendment Effective Date), the Company entered into the Fourth Amendment to the Credit Agreement (the Fourth Amendment) with Perceptive, whereby subject to the terms and conditions of the Fourth Amendment, the Minimum Net Revenue Covenant (as defined in the Credit Agreement) was amended to reduce the relevant threshold as of the last day of each fiscal quarter commencing on the fiscal quarter ending June 30, 2025 through and including the fiscal quarter ending December 31,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 2024, the Company filed a shelf registration statement on Form S-3 and entered into a new sales agreement with a financial institution, pursuant to which the Company may issue and sell, from time to time, shares of its common stock having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The Company will pay the agent a commission rate of up to 3% of the gross sales proceeds of any shares sold and has agreed to provide the sales agents with customary indemnification, contribution and reimbursement rights.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 During the year ended December 31, 2025, the Company raised approximately $7.3 million ($7.0 million after deducting underwriting discounts and commissions and offering expenses payable), in gross proceeds from the sale of 892,841 common shares at a weighted average price per share of $8.20. As of December 31, 2025, the Company had remaining available capacity for share issuances of up to $42.7 million under the 2024 ATM Program, subject to the restrictions and limitations of the facility, as well as volume limitations under applicable SEC rules and regulations that may limit the availability of the 2024 ATM Program as a source of funding, depending on current public float.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(the Fifth Amendment Effective Date), the Company entered into the Fifth Amendment to the Credit Agreement (the Fifth Amendment) with Perceptive, whereby subject to the terms and conditions of the Fifth Amendment, the Tranche C Loan revenue milestone was eliminated and the Commitment Termination Date (as defined in the Credit Agreement) was extended, providing continued availability to the Tranche C Loan in an aggregate amount equal to $10.0 million through December 31, 2025. On May 8, 2025, the Company exercised its ability to draw the Tranche C loan for $10.0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24, 2025, the Company received written notice from the Listing Qualifications Staff (the Staff) of Nasdaq notifying the Company that it no longer complied with the minimum bid price requirement for continued listing on The Nasdaq Global Market. On September 15, 2025, the Company effected a 1-for-20 reverse stock split and on September 26, 2025, the Company received a letter from the Staff notifying the Company that it had regained compliance with the minimum bid price requirement for continued listing on The Nasdaq Global Market, and the matter is now closed.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summarizes our cash flows for the periods indicated (in thousands):</w:t>
      </w:r>
    </w:p>
    <w:tbl>
      <w:tblPr>
        <w:tblW w:w="7907" w:type="dxa"/>
        <w:jc w:val="left"/>
        <w:tblInd w:w="0" w:type="dxa"/>
        <w:tblLayout w:type="fixed"/>
        <w:tblCellMar>
          <w:top w:w="28" w:type="dxa"/>
          <w:left w:w="28" w:type="dxa"/>
          <w:bottom w:w="28" w:type="dxa"/>
          <w:right w:w="28" w:type="dxa"/>
        </w:tblCellMar>
      </w:tblPr>
      <w:tblGrid>
        <w:gridCol w:w="5041"/>
        <w:gridCol w:w="146"/>
        <w:gridCol w:w="221"/>
        <w:gridCol w:w="771"/>
        <w:gridCol w:w="173"/>
        <w:gridCol w:w="152"/>
        <w:gridCol w:w="221"/>
        <w:gridCol w:w="771"/>
        <w:gridCol w:w="4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provided by: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 and restricted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7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flows resulted in a net decrease in cash and cash equivalents and restricted cash of $7.3 million during the year ended December 31, 2025 as compared to the net decrease in cash of $39 thousand for the year ended December 31, 2024. For the year ended December 31, 2025, net cash used in operating activities totaled $23.3 million, a decrease of approximately $25.4 million compared to the same period in 2024 primarily due to favorable changes in net working capital of $22.0 million, which includes a decrease of $23.2 million in payments made for contingent consideration. This is partially offset by a change in net working capital for the timing of cash receipts from customers and payments to vendors of $1.2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during the year ended December 31, 2025 totaled $0.4 million, a decrease of $3.0 million compared to the same period in 2024. The decrease in net cash used in investing activities was primarily due to decreases in purchases of property and equipment and capital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during the year ended December 31, 2025 totaled $16.4 million, a decrease of $35.6 million compared to the same period in 2024. The net cash provided by financing activities for the year ended December 31, 2025 primarily resulted from $10.0 million in proceeds from the issuance of Tranche C under the Perceptive Term Loan Facility, $7.3 million in proceeds from the issuance of common stock under our ATM facility, and $0.5 million in proceeds from our ESPP, partially offset by payments of $0.8 million associated with our finance lease obligations and $0.5 million in equity financing costs. The net cash provided by financing activities for the year ended December 31, 2024 primarily resulted from $51.3 million in net proceeds from the issuance of common stock from an underwritten offering of common stock and a concurrent private placement and $0.6 million from the issuance of common stock under the ESPP.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120"/>
        <w:jc w:val="both"/>
        <w:rPr>
          <w:rFonts w:ascii="Times New Roman" w:hAnsi="Times New Roman"/>
          <w:color w:val="000000"/>
          <w:sz w:val="19"/>
        </w:rPr>
      </w:pPr>
      <w:r>
        <w:rPr>
          <w:rFonts w:ascii="Times New Roman" w:hAnsi="Times New Roman"/>
          <w:color w:val="000000"/>
          <w:sz w:val="19"/>
        </w:rPr>
        <w:t>The following table summarizes our non-cancelable contractual obligations and commitments as of December 31, 2025 (in thousands):</w:t>
      </w:r>
    </w:p>
    <w:tbl>
      <w:tblPr>
        <w:tblW w:w="8512" w:type="dxa"/>
        <w:jc w:val="left"/>
        <w:tblInd w:w="0" w:type="dxa"/>
        <w:tblLayout w:type="fixed"/>
        <w:tblCellMar>
          <w:top w:w="28" w:type="dxa"/>
          <w:left w:w="28" w:type="dxa"/>
          <w:bottom w:w="28" w:type="dxa"/>
          <w:right w:w="28" w:type="dxa"/>
        </w:tblCellMar>
      </w:tblPr>
      <w:tblGrid>
        <w:gridCol w:w="2356"/>
        <w:gridCol w:w="146"/>
        <w:gridCol w:w="211"/>
        <w:gridCol w:w="781"/>
        <w:gridCol w:w="146"/>
        <w:gridCol w:w="146"/>
        <w:gridCol w:w="214"/>
        <w:gridCol w:w="686"/>
        <w:gridCol w:w="146"/>
        <w:gridCol w:w="146"/>
        <w:gridCol w:w="211"/>
        <w:gridCol w:w="676"/>
        <w:gridCol w:w="146"/>
        <w:gridCol w:w="146"/>
        <w:gridCol w:w="211"/>
        <w:gridCol w:w="571"/>
        <w:gridCol w:w="146"/>
        <w:gridCol w:w="146"/>
        <w:gridCol w:w="235"/>
        <w:gridCol w:w="755"/>
        <w:gridCol w:w="2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Payments due by period </w:t>
            </w:r>
            <w:r>
              <w:rPr>
                <w:rFonts w:ascii="Times New Roman" w:hAnsi="Times New Roman"/>
                <w:b/>
                <w:color w:val="000000"/>
                <w:sz w:val="13"/>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More than</w:t>
              <w:br/>
              <w:t>5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Borrowings and interest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Royalty payments that we may owe are not included as the amount and timing of such payments is uncertain.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Includes the Perceptive Term Loan payments of principal and interest. Interest amounts associated with the Perceptive Term Loan are variable and estimated based on the interest rate in effect at December 31, 2025.</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have not entered into any off-balance sheet arrangements.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These estimates form the basis for making judgments about the carrying values of assets and liabilities and recognized revenue and expenses that are not readily apparent from other sources. Actual results could differ from those estimates and assumptions. Our critical accounting policies are described in greater detail below and in Note 2 to our financial statements in Item 8 of this Annual Report on Form 10-K.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Customers for these services are typically large biopharmaceutical companies where collectability is reasonably assured and therefore revenue is accrued upon completion of the performance obligations. Revenue for these services is recognized upon delivery of the completed test results, upon completion of the contractual milestone(s), or over the term of the contract.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3 to our financial statements in Item 8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Implications of Being a Smaller Reporting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pStyle w:val="TextBody"/>
        <w:bidi w:val="0"/>
        <w:spacing w:before="240" w:after="283"/>
        <w:jc w:val="left"/>
        <w:rPr>
          <w:rFonts w:ascii="Times New Roman" w:hAnsi="Times New Roman"/>
          <w:sz w:val="20"/>
        </w:rPr>
      </w:pPr>
      <w:bookmarkStart w:id="13" w:name="item_7a_quantitative_qualitative_disclos"/>
      <w:bookmarkEnd w:id="13"/>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and cash equivalents, marketable securities and our indebtedness, including our outstanding Perceptive Term Loan. As of December 31, 2025, we had $50.0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Periodically throughout the year, we have maintained balances in various operating accounts in excess of federally insured limits. Our cash and cash equivalents are funds held in checking and bank savings accounts, primarily at one U.S. financial institutions. We consider all highly liquid instruments purchased with an original maturity of three months or less to be cash equivalents. We continually monitor our positions with, and the credit quality of, the financial institutions with which we invest.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a hypothetical 100 basis point increase in interest rates would have an estimated $0.5 million impact per year on our financial position and results of operations, based on the current Perceptive Term Loan principal remaining outstanding through maturity.</w:t>
      </w:r>
    </w:p>
    <w:p>
      <w:pPr>
        <w:pStyle w:val="TextBody"/>
        <w:bidi w:val="0"/>
        <w:spacing w:before="240" w:after="283"/>
        <w:jc w:val="both"/>
        <w:rPr>
          <w:rFonts w:ascii="Times New Roman" w:hAnsi="Times New Roman"/>
          <w:sz w:val="20"/>
        </w:rPr>
      </w:pPr>
      <w:bookmarkStart w:id="14" w:name="item_8_financial_statements_supplementar"/>
      <w:bookmarkEnd w:id="14"/>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and supplementary data are as set forth in the index to the financial statements on page F-1.</w:t>
      </w:r>
    </w:p>
    <w:p>
      <w:pPr>
        <w:pStyle w:val="TextBody"/>
        <w:bidi w:val="0"/>
        <w:spacing w:before="240" w:after="283"/>
        <w:jc w:val="left"/>
        <w:rPr>
          <w:rFonts w:ascii="Times New Roman" w:hAnsi="Times New Roman"/>
          <w:b/>
          <w:color w:val="000000"/>
          <w:sz w:val="20"/>
        </w:rPr>
      </w:pPr>
      <w:bookmarkStart w:id="15" w:name="item_9_changes_in_disagreements_with_acc"/>
      <w:bookmarkEnd w:id="15"/>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6" w:name="item_9a_controls_procedures"/>
      <w:bookmarkEnd w:id="16"/>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is responsible for establishing and maintaining adequate internal control over financial reporting for the Company, as such term is defined in Exchange Act Rule 13a-15(f). Under the supervision and with the participation of our Chief Executive Officer and Chief Financial Officer, we conducted an evaluation of the effectiveness of our internal control over financial reporting as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December 31, 2025 based on the criteria established in "Internal Control – Integrated Framework" issued by the Committee of Sponsoring Organizations of the Treadway Commission (COSO), using the 2013 framework. Based on our assessment, our Chief Executive Officer and Chief Financial Officer concluded that, as of December 31, 2025, the Company's internal control over financial reporting was effective based on the criteria set forth by COSO.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Annual Report on Form 10-K does not include an attestation report of our independent registered public accounting firm regarding internal controls over financial reporting. Pursuant to Item 308(b) of Regulation S-K, management’s report is not subject to attestation by our independent registered public accounting firm because the Company is neither an “accelerated filer” nor a “large accelerated filer” as those terms are defined by the SEC.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 ended December 31, 2025, there were no changes that materially affected, or are reasonably likely to materially affect, our internal control over financial reporting.</w:t>
      </w:r>
    </w:p>
    <w:p>
      <w:pPr>
        <w:pStyle w:val="TextBody"/>
        <w:bidi w:val="0"/>
        <w:spacing w:before="240" w:after="283"/>
        <w:jc w:val="left"/>
        <w:rPr>
          <w:rFonts w:ascii="Times New Roman" w:hAnsi="Times New Roman"/>
          <w:sz w:val="20"/>
        </w:rPr>
      </w:pPr>
      <w:bookmarkStart w:id="17" w:name="item_9b_or_information"/>
      <w:bookmarkEnd w:id="17"/>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directors or officers adopted, modified, or terminated a “Rule 10b5-1 trading arrangement” or “non-Rule 10b5-1 trading arrangement,” as each term is defined in Item 408 of Regulation S-K, during the quarter ended December 31, 2025.</w:t>
      </w:r>
    </w:p>
    <w:p>
      <w:pPr>
        <w:pStyle w:val="TextBody"/>
        <w:bidi w:val="0"/>
        <w:spacing w:before="240" w:after="283"/>
        <w:jc w:val="left"/>
        <w:rPr>
          <w:rFonts w:ascii="Times New Roman" w:hAnsi="Times New Roman"/>
          <w:sz w:val="20"/>
        </w:rPr>
      </w:pPr>
      <w:bookmarkStart w:id="18" w:name="item_9c_foreign_jurisdictions"/>
      <w:bookmarkEnd w:id="18"/>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part_iii"/>
      <w:bookmarkEnd w:id="19"/>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0" w:name="item_10_directors_executive_ficers_corpo"/>
      <w:bookmarkEnd w:id="20"/>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with respect to directors is incorporated by reference from the information under the captions "Board and Corporate Governance Matters—Proposal One: Election of Directors" and "—Director Independence" contained in our Proxy Statement to be filed with the Securities and Exchange Commission within 120 days of the fiscal year ended December 31, 2025 in connection with the solicitation of proxies for our 2026 Annual Meeting of Stockholders (the Proxy Statement). Certain information required by this item concerning executive officers is set forth in the Proxy Statement under the captions "Executive Compensation—Compensation of Named Executive Officers" and “Board and Corporate Governance Matters—Overview of Our Nominees and Continuing Directors” and is incorporated herein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Item 405 of Regulation S-K calls for disclosure of any known late filing or failure by an insider to file a report required by Section 16(a) of the Exchange Act. This disclosure, if applicable, is contained in the section entitled "Stock Ownership—Delinquent Section 16(a) Reports" in the Proxy Statement and is incorporated herein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a Code of Business Conduct and Ethics that applies to all of our officers and employees, including our President and Chief Executive Officer, our Chief Financial Officer and other employees who perform financial or accounting functions. The Code of Business Conduct and Ethics sets forth the basic principles that guide the business conduct of our employees. Stockholders may request a free copy of our Code of Business Conduct and Ethics by contacting Biodesix, Inc., Attention: Chief Financial Officer, 919 West Dillon Rd, Louisville, Colorado 80027.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there have been no waivers under our Code of Business Conduct and Ethics. We intend to disclose future amendments to certain provisions of our Code of Business Conduct and Ethics or waivers of such Codes granted to executive officers and directors on our website at http://www.biodesix.com within four business days following the date of such amendment or waiver.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 Policy Relating to Insider Trading governing the purchase, sale, and disposition of the Company’s securities by directors and officers that is reasonably designed to promote compliance with U.S. insider trading laws, rules and regulations, and applicable listing standards. In addition, with regard to the Company’s trading in its own securities, it is the Company’s policy to comply with the federal securities laws and the applicable exchange listing requirements. For more information, please refer to the Policy Relating to Insider Trading filed as Exhibit 19.1.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of Directors has appointed an Audit Committee, comprised of Ms. Jean Franchi, as Chairwoman, Messrs. Hany Massarany, Lawrence T. Kennedy, Jr., and Dr. Matthew Strobeck. The Board of Directors has determined that Ms. Franchi qualifies as an Audit Committee Financial Expert under the definition outlined by the Securities and Exchange Commission. In addition, each of the members of the Audit Committee qualifies as an "independent director" under the current rules of The Nasdaq Stock Market and Securities and Exchange Commission rules and regulations.</w:t>
      </w:r>
    </w:p>
    <w:p>
      <w:pPr>
        <w:pStyle w:val="TextBody"/>
        <w:bidi w:val="0"/>
        <w:spacing w:before="240" w:after="283"/>
        <w:jc w:val="left"/>
        <w:rPr>
          <w:rFonts w:ascii="Times New Roman" w:hAnsi="Times New Roman"/>
          <w:sz w:val="20"/>
        </w:rPr>
      </w:pPr>
      <w:bookmarkStart w:id="21" w:name="item_11_executive_compensation"/>
      <w:bookmarkEnd w:id="21"/>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from the information under "Executive Compensation" contained in the Proxy Statement and is incorporated herein by reference.</w:t>
      </w:r>
    </w:p>
    <w:p>
      <w:pPr>
        <w:pStyle w:val="TextBody"/>
        <w:bidi w:val="0"/>
        <w:spacing w:before="240" w:after="283"/>
        <w:jc w:val="left"/>
        <w:rPr>
          <w:rFonts w:ascii="Times New Roman" w:hAnsi="Times New Roman"/>
          <w:sz w:val="20"/>
        </w:rPr>
      </w:pPr>
      <w:bookmarkStart w:id="22" w:name="item_12_security_ownership_certain_benef"/>
      <w:bookmarkEnd w:id="22"/>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is incorporated by reference from the information under the captions "Stock Ownership—Security Ownership of Certain Beneficial Owners and Management", "Executive Compensation", and "Equity Compensation Plan Information" contained in the Proxy Statement and is incorporated herein by reference. </w:t>
      </w:r>
    </w:p>
    <w:p>
      <w:pPr>
        <w:pStyle w:val="TextBody"/>
        <w:bidi w:val="0"/>
        <w:spacing w:before="240" w:after="283"/>
        <w:jc w:val="left"/>
        <w:rPr>
          <w:rFonts w:ascii="Times New Roman" w:hAnsi="Times New Roman"/>
          <w:sz w:val="20"/>
        </w:rPr>
      </w:pPr>
      <w:bookmarkStart w:id="23" w:name="item_13_certain_relationships_related_tr"/>
      <w:bookmarkEnd w:id="23"/>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is incorporated by reference from the information under the caption "Board and Corporate Governance Matters—Policies and Procedures for Related-Party Transactions" and "—Director Independence" contained in the Proxy Statement and is incorporated herein by reference. </w:t>
      </w:r>
    </w:p>
    <w:p>
      <w:pPr>
        <w:pStyle w:val="TextBody"/>
        <w:bidi w:val="0"/>
        <w:spacing w:before="240" w:after="283"/>
        <w:jc w:val="left"/>
        <w:rPr>
          <w:rFonts w:ascii="Times New Roman" w:hAnsi="Times New Roman"/>
          <w:sz w:val="20"/>
        </w:rPr>
      </w:pPr>
      <w:bookmarkStart w:id="24" w:name="item_14_principal_accounting_fees_servic"/>
      <w:bookmarkEnd w:id="24"/>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from the information under the caption "Audit Matters—Principal Accountant Fees and Services" contained in the Proxy Statement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part_iv"/>
      <w:bookmarkEnd w:id="25"/>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6" w:name="item_15_exhibits_financial_statement_sch"/>
      <w:bookmarkEnd w:id="26"/>
      <w:r>
        <w:rPr>
          <w:rFonts w:ascii="Times New Roman" w:hAnsi="Times New Roman"/>
          <w:b/>
          <w:color w:val="000000"/>
          <w:sz w:val="20"/>
        </w:rPr>
        <w:t>Item 15. Exhibit and Financial Statement Schedules.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Documents filed as a part of the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is made to the Index to Financial Statements of Biodesix, Inc. included in Item 8 of Part II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schedules have been omitted because they are not required, not applicable, or the required information is included in the financial statements or notes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Item 15(b) below. Each management contract or compensating plan or arrangement required to be filed has been identified.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Exhibits. </w:t>
      </w:r>
    </w:p>
    <w:p>
      <w:pPr>
        <w:pStyle w:val="TextBody"/>
        <w:bidi w:val="0"/>
        <w:spacing w:before="240" w:after="283"/>
        <w:jc w:val="left"/>
        <w:rPr>
          <w:rFonts w:ascii="Times New Roman" w:hAnsi="Times New Roman"/>
          <w:sz w:val="20"/>
        </w:rPr>
      </w:pPr>
      <w:bookmarkStart w:id="27" w:name="item_16_form_10k_summary"/>
      <w:bookmarkEnd w:id="27"/>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exhibit_index"/>
      <w:bookmarkEnd w:id="28"/>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09"/>
        <w:gridCol w:w="109"/>
        <w:gridCol w:w="9176"/>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3.1**</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3">
              <w:r>
                <w:rPr>
                  <w:rStyle w:val="InternetLink"/>
                  <w:rFonts w:ascii="Times New Roman" w:hAnsi="Times New Roman"/>
                  <w:color w:val="0000FF"/>
                  <w:sz w:val="18"/>
                  <w:u w:val="single"/>
                </w:rPr>
                <w:t>Amended and Restated Certificate of Incorporation of Biodesix, Inc., dated October 30, 2020 (incorporated by reference to Exhibit 3.1 to the Company’s Quarterly Report on Form 10-Q filed with the SEC on December 10, 2020).</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3.2**</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4">
              <w:r>
                <w:rPr>
                  <w:rStyle w:val="InternetLink"/>
                  <w:rFonts w:ascii="Times New Roman" w:hAnsi="Times New Roman"/>
                  <w:color w:val="0000FF"/>
                  <w:sz w:val="18"/>
                  <w:u w:val="single"/>
                </w:rPr>
                <w:t>Amended and Restated Bylaws of Biodesix, Inc. (incorporated by reference to Exhibit 3.2 to the Company’s Quarterly Report on Form 10-Q filed with the SEC on October 12, 2020).</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3.3**</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5">
              <w:r>
                <w:rPr>
                  <w:rStyle w:val="InternetLink"/>
                  <w:rFonts w:ascii="Times New Roman" w:hAnsi="Times New Roman"/>
                  <w:color w:val="0000FF"/>
                  <w:sz w:val="18"/>
                  <w:u w:val="single"/>
                </w:rPr>
                <w:t>Certificate of Amendment to the Amended and Restated Certificate of Incorporation of Biodesix, Inc. (incorporated by reference to Exhibit 3.1 to the Company's Current Report on Form 8-K filed with the SEC on September 15, 2025).</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3.4**</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6">
              <w:r>
                <w:rPr>
                  <w:rStyle w:val="InternetLink"/>
                  <w:rFonts w:ascii="Times New Roman" w:hAnsi="Times New Roman"/>
                  <w:color w:val="0000FF"/>
                  <w:sz w:val="18"/>
                  <w:u w:val="single"/>
                </w:rPr>
                <w:t>Certificate of Elimination of the Series A Non-Voting Convertible Preferred Stock of Biodesix, Inc. (incorporated by reference to Exhibit 3.2 to the Company's Current Report on Form 8-K filed with the SEC on September 15, 2025).</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4.1**</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7">
              <w:r>
                <w:rPr>
                  <w:rStyle w:val="InternetLink"/>
                  <w:rFonts w:ascii="Times New Roman" w:hAnsi="Times New Roman"/>
                  <w:color w:val="0000FF"/>
                  <w:sz w:val="18"/>
                  <w:u w:val="single"/>
                </w:rPr>
                <w:t>Specimen stock certificate evidencing shares of Common Stock (incorporated by reference to Exhibit 4.1 to the Company’s Registration Statement on Form S-1/A filed with the SEC on October 21, 2020).</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4.2**</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8">
              <w:r>
                <w:rPr>
                  <w:rStyle w:val="InternetLink"/>
                  <w:rFonts w:ascii="Times New Roman" w:hAnsi="Times New Roman"/>
                  <w:color w:val="0000FF"/>
                  <w:sz w:val="18"/>
                  <w:u w:val="single"/>
                </w:rPr>
                <w:t>Eleventh Amended and Restated Investor Rights Agreement, by and among Biodesix, Inc. and the investors listed on Exhibit A thereto, dated October 10, 2018 (incorporated by reference to Exhibit 4.2 to the Company’s Registration Statement on Form S-1 filed with the SEC on October 2, 2020).</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4.3**</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9">
              <w:r>
                <w:rPr>
                  <w:rStyle w:val="InternetLink"/>
                  <w:rFonts w:ascii="Times New Roman" w:hAnsi="Times New Roman"/>
                  <w:color w:val="0000FF"/>
                  <w:sz w:val="18"/>
                  <w:u w:val="single"/>
                </w:rPr>
                <w:t>Warrant held by Innovatus Life Sciences Lending Fund I, LP, to Purchase Series G Preferred Stock, dated February 23, 2018 (incorporated by reference to Exhibit 4.3 to the Company’s Registration Statement on Form S-1 filed with the SEC on October 2, 2020).</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4.4**</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10">
              <w:r>
                <w:rPr>
                  <w:rStyle w:val="InternetLink"/>
                  <w:rFonts w:ascii="Times New Roman" w:hAnsi="Times New Roman"/>
                  <w:color w:val="0000FF"/>
                  <w:sz w:val="18"/>
                  <w:u w:val="single"/>
                </w:rPr>
                <w:t>Description of Securities Registered under Section 12 of the Securities Exchange Act of 1934 (incorporated by reference to Exhibit 4.5 to the Company's Annual Report on Form 10-K filed with the SEC on March 16, 2021).</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4.5**</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11">
              <w:r>
                <w:rPr>
                  <w:rStyle w:val="InternetLink"/>
                  <w:rFonts w:ascii="Times New Roman" w:hAnsi="Times New Roman"/>
                  <w:color w:val="0000FF"/>
                  <w:sz w:val="18"/>
                  <w:u w:val="single"/>
                </w:rPr>
                <w:t>Form of Note, dated November 21, 2022, issued by the Company to Perceptive Credit Holdings IV, LP. (incorporated by reference to Exhibit 4.1 and Exhibit 10.1 in the Company's Current Report on Form 8-K filed with the SEC on November 21, 2022).</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4.6**</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12">
              <w:r>
                <w:rPr>
                  <w:rStyle w:val="InternetLink"/>
                  <w:rFonts w:ascii="Times New Roman" w:hAnsi="Times New Roman"/>
                  <w:color w:val="0000FF"/>
                  <w:sz w:val="19"/>
                  <w:u w:val="single"/>
                </w:rPr>
                <w:t>Warrant to Purchase Stock, dated November 21, 2022, issued by the Company to Perceptive Credit Holdings IV, LP. (incorporated by reference to Exhibit 4.2 in the Company's Current Report on Form 8-K filed with the SEC on November 21, 2022).</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4.7**</w:t>
            </w:r>
          </w:p>
        </w:tc>
        <w:tc>
          <w:tcPr>
            <w:tcW w:w="9176" w:type="dxa"/>
            <w:tcBorders/>
            <w:tcMar>
              <w:top w:w="0" w:type="dxa"/>
              <w:left w:w="0" w:type="dxa"/>
              <w:bottom w:w="0" w:type="dxa"/>
              <w:right w:w="0" w:type="dxa"/>
            </w:tcMar>
            <w:vAlign w:val="center"/>
          </w:tcPr>
          <w:p>
            <w:pPr>
              <w:pStyle w:val="TableContents"/>
              <w:bidi w:val="0"/>
              <w:spacing w:before="0" w:after="120"/>
              <w:jc w:val="left"/>
              <w:rPr/>
            </w:pPr>
            <w:hyperlink r:id="rId13">
              <w:r>
                <w:rPr>
                  <w:rStyle w:val="InternetLink"/>
                  <w:rFonts w:ascii="Times New Roman" w:hAnsi="Times New Roman"/>
                  <w:color w:val="0000FF"/>
                  <w:sz w:val="18"/>
                  <w:u w:val="single"/>
                </w:rPr>
                <w:t>Warrant to Purchase Stock, dated May 10, 2023, issued by the Company to Perceptive Credit Holdings IV, LP (incorporated by reference to Exhibit 4.1 to the Company's Quarterly Report on Form 10-Q filed with the SEC on May 11, 2023).</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4.8**</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14">
              <w:r>
                <w:rPr>
                  <w:rStyle w:val="InternetLink"/>
                  <w:rFonts w:ascii="Times New Roman" w:hAnsi="Times New Roman"/>
                  <w:color w:val="0000FF"/>
                  <w:sz w:val="18"/>
                  <w:u w:val="single"/>
                </w:rPr>
                <w:t>First Amendment to Warrant Certificate, dated February 28, 2025, issued by the Company to Perceptive Credit Holdings IV, LP (incorporated by reference to Exhibit 4.8 to the Company's Annual Report on Form 10-K filed with the SEC on March 3, 2025).</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4.9**</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15">
              <w:r>
                <w:rPr>
                  <w:rStyle w:val="InternetLink"/>
                  <w:rFonts w:ascii="Times New Roman" w:hAnsi="Times New Roman"/>
                  <w:color w:val="0000FF"/>
                  <w:sz w:val="18"/>
                  <w:u w:val="single"/>
                </w:rPr>
                <w:t>First Amendment to Warrant Certificate, dated May 12, 2025, issued by the Company to Perceptive Credit Holdings IV, LP (incorporated by reference to Exhibit 4.1 to the Company's Quarterly Report on Form 10-Q filed with the SEC on May 13, 2025).</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4.10**</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16">
              <w:r>
                <w:rPr>
                  <w:rStyle w:val="InternetLink"/>
                  <w:rFonts w:ascii="Times New Roman" w:hAnsi="Times New Roman"/>
                  <w:color w:val="0000FF"/>
                  <w:sz w:val="18"/>
                  <w:u w:val="single"/>
                </w:rPr>
                <w:t>Second Amendment to Warrant Certificate, dated May 12, 2025, issued by the Company to Perceptive Credit Holdings IV, LP (incorporated by reference to Exhibit 4.2 to the Company's Quarterly Report on Form 10-Q filed with the SEC on May 13, 2025).</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4.11*</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w:anchor="bdsx-ex4_11.htm">
              <w:r>
                <w:rPr>
                  <w:rStyle w:val="InternetLink"/>
                  <w:rFonts w:ascii="Times New Roman" w:hAnsi="Times New Roman"/>
                  <w:color w:val="0000FF"/>
                  <w:sz w:val="18"/>
                  <w:u w:val="single"/>
                </w:rPr>
                <w:t>Warrant to Purchase Stock, dated February 25, 2026, issued by the Company to Perceptive Credit Holdings IV, LP.</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17">
              <w:r>
                <w:rPr>
                  <w:rStyle w:val="InternetLink"/>
                  <w:rFonts w:ascii="Times New Roman" w:hAnsi="Times New Roman"/>
                  <w:color w:val="0000FF"/>
                  <w:sz w:val="18"/>
                  <w:u w:val="single"/>
                </w:rPr>
                <w:t>Biodesix, Inc. Amended and Restated 2006 Employee, Director and Consultant Stock Plan, as amended to date (incorporated by reference to Exhibit 10.1 to the Company’s Registration Statement on Form S-1/A filed with the SEC on October 9, 2020).</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10.2.1+**</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18">
              <w:r>
                <w:rPr>
                  <w:rStyle w:val="InternetLink"/>
                  <w:rFonts w:ascii="Times New Roman" w:hAnsi="Times New Roman"/>
                  <w:color w:val="0000FF"/>
                  <w:sz w:val="18"/>
                  <w:u w:val="single"/>
                </w:rPr>
                <w:t>Form of Stock Option Grant Notice under the Amended and Restated 2006 Employee, Director and Consultant Stock Plan (incorporated by reference to Exhibit 10.2.1 to the Company’s Registration Statement on Form S-1/A filed with the SEC on October 9, 2020).</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10.2.2+**</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19">
              <w:r>
                <w:rPr>
                  <w:rStyle w:val="InternetLink"/>
                  <w:rFonts w:ascii="Times New Roman" w:hAnsi="Times New Roman"/>
                  <w:color w:val="0000FF"/>
                  <w:sz w:val="18"/>
                  <w:u w:val="single"/>
                </w:rPr>
                <w:t>Form of Option Agreement under the Amended and Restated 2006 Employee, Director and Consultant Stock Plan (incorporated by reference to Exhibit 10.2.2 to the Company’s Registration Statement on Form S-1/A filed with the SEC on October 9, 2020).</w:t>
              </w:r>
            </w:hyperlink>
          </w:p>
        </w:tc>
      </w:tr>
      <w:tr>
        <w:trPr/>
        <w:tc>
          <w:tcPr>
            <w:tcW w:w="1029"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10.2.3+**</w:t>
            </w:r>
          </w:p>
        </w:tc>
        <w:tc>
          <w:tcPr>
            <w:tcW w:w="9176" w:type="dxa"/>
            <w:tcBorders/>
            <w:tcMar>
              <w:top w:w="0" w:type="dxa"/>
              <w:left w:w="0" w:type="dxa"/>
              <w:bottom w:w="0" w:type="dxa"/>
              <w:right w:w="0" w:type="dxa"/>
            </w:tcMar>
            <w:vAlign w:val="center"/>
          </w:tcPr>
          <w:p>
            <w:pPr>
              <w:pStyle w:val="TableContents"/>
              <w:bidi w:val="0"/>
              <w:spacing w:before="0" w:after="120"/>
              <w:jc w:val="both"/>
              <w:rPr/>
            </w:pPr>
            <w:hyperlink r:id="rId20">
              <w:r>
                <w:rPr>
                  <w:rStyle w:val="InternetLink"/>
                  <w:rFonts w:ascii="Times New Roman" w:hAnsi="Times New Roman"/>
                  <w:color w:val="0000FF"/>
                  <w:sz w:val="18"/>
                  <w:u w:val="single"/>
                </w:rPr>
                <w:t>Form of Notice of Exercise under the Amended and Restated 2006 Employee, Director and Consultant Stock Plan (incorporated by reference to Exhibit 10.2.3 to the Company’s Registration Statement on Form S-1/A filed with the SEC on October 9, 2020).</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9462"/>
      </w:tblGrid>
      <w:tr>
        <w:trPr/>
        <w:tc>
          <w:tcPr>
            <w:tcW w:w="743" w:type="dxa"/>
            <w:tcBorders/>
            <w:vAlign w:val="center"/>
          </w:tcPr>
          <w:p>
            <w:pPr>
              <w:pStyle w:val="TableContents"/>
              <w:bidi w:val="0"/>
              <w:spacing w:before="0" w:after="283"/>
              <w:jc w:val="left"/>
              <w:rPr>
                <w:sz w:val="4"/>
                <w:szCs w:val="4"/>
              </w:rPr>
            </w:pPr>
            <w:r>
              <w:rPr>
                <w:sz w:val="4"/>
                <w:szCs w:val="4"/>
              </w:rPr>
            </w:r>
          </w:p>
        </w:tc>
        <w:tc>
          <w:tcPr>
            <w:tcW w:w="9462"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10.3+**</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21">
              <w:r>
                <w:rPr>
                  <w:rStyle w:val="InternetLink"/>
                  <w:rFonts w:ascii="Times New Roman" w:hAnsi="Times New Roman"/>
                  <w:color w:val="0000FF"/>
                  <w:sz w:val="18"/>
                  <w:u w:val="single"/>
                </w:rPr>
                <w:t>Biodesix, Inc. 2016 Equity Incentive Plan, as amended to date (incorporated by reference to Exhibit 10.3 to the Company’s Registration Statement on Form S-1 filed with the SEC on October 2, 2020).</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10.4.1+**</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22">
              <w:r>
                <w:rPr>
                  <w:rStyle w:val="InternetLink"/>
                  <w:rFonts w:ascii="Times New Roman" w:hAnsi="Times New Roman"/>
                  <w:color w:val="0000FF"/>
                  <w:sz w:val="18"/>
                  <w:u w:val="single"/>
                </w:rPr>
                <w:t>Form of Stock Option Grant Notice under the 2016 Equity Incentive Plan (incorporated by reference to Exhibit 10.4.1 to the Company’s Registration Statement on Form S-1/A filed with the SEC on October 9, 2020).</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10.4.2+**</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23">
              <w:r>
                <w:rPr>
                  <w:rStyle w:val="InternetLink"/>
                  <w:rFonts w:ascii="Times New Roman" w:hAnsi="Times New Roman"/>
                  <w:color w:val="0000FF"/>
                  <w:sz w:val="18"/>
                  <w:u w:val="single"/>
                </w:rPr>
                <w:t>Form of Option Agreement under the 2016 Equity Incentive Plan (incorporated by reference to Exhibit 10.4.2 to the Company’s Registration Statement on Form S-1/A filed with the SEC on October 9, 2020).</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10.4.3+**</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24">
              <w:r>
                <w:rPr>
                  <w:rStyle w:val="InternetLink"/>
                  <w:rFonts w:ascii="Times New Roman" w:hAnsi="Times New Roman"/>
                  <w:color w:val="0000FF"/>
                  <w:sz w:val="18"/>
                  <w:u w:val="single"/>
                </w:rPr>
                <w:t>Form of Notice of Exercise under the 2016 Equity Incentive Plan (incorporated by reference to Exhibit 10.4.3 to the Company’s Registration Statement on Form S-1/A filed with the SEC on October 9, 2020).</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10.5+**</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25">
              <w:r>
                <w:rPr>
                  <w:rStyle w:val="InternetLink"/>
                  <w:rFonts w:ascii="Times New Roman" w:hAnsi="Times New Roman"/>
                  <w:color w:val="0000FF"/>
                  <w:sz w:val="18"/>
                  <w:u w:val="single"/>
                </w:rPr>
                <w:t>Biodesix, Inc. 2020 Equity Incentive Plan (incorporated by reference to Exhibit 10.5 to the Company’s Registration Statement on Form S-1/A filed with the SEC on October 26, 2020).</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10.5.1+**</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26">
              <w:r>
                <w:rPr>
                  <w:rStyle w:val="InternetLink"/>
                  <w:rFonts w:ascii="Times New Roman" w:hAnsi="Times New Roman"/>
                  <w:color w:val="0000FF"/>
                  <w:sz w:val="18"/>
                  <w:u w:val="single"/>
                </w:rPr>
                <w:t>Forms of Stock Option Grant Notice, Option Agreement and Notice of Exercise under the 2020 Equity Incentive Plan (incorporated by reference to Exhibit 10.5.1 to the Company's Annual Report on Form 10-K filed with the SEC on March 16, 2021).</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10.5.2+**</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27">
              <w:r>
                <w:rPr>
                  <w:rStyle w:val="InternetLink"/>
                  <w:rFonts w:ascii="Times New Roman" w:hAnsi="Times New Roman"/>
                  <w:color w:val="0000FF"/>
                  <w:sz w:val="18"/>
                  <w:u w:val="single"/>
                </w:rPr>
                <w:t>Forms of Restricted Stock Unit Award Grant Notice and Award Agreement under the 2020 Equity Incentive Plan (incorporated by reference to Exhibit 10.5.2 to the Company's Quarterly Report on Form 10-Q filed with the SEC on August 10, 2021).</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10.6+**</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28">
              <w:r>
                <w:rPr>
                  <w:rStyle w:val="InternetLink"/>
                  <w:rFonts w:ascii="Times New Roman" w:hAnsi="Times New Roman"/>
                  <w:color w:val="0000FF"/>
                  <w:sz w:val="18"/>
                  <w:u w:val="single"/>
                </w:rPr>
                <w:t>Biodesix, Inc. 2020 Employee Stock Purchase Plan (incorporated by reference to Exhibit 10.6 to the Company’s Registration Statement on Form S-1/A filed with the SEC on October 26, 2020).</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10.7+**</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29">
              <w:r>
                <w:rPr>
                  <w:rStyle w:val="InternetLink"/>
                  <w:rFonts w:ascii="Times New Roman" w:hAnsi="Times New Roman"/>
                  <w:color w:val="0000FF"/>
                  <w:sz w:val="18"/>
                  <w:u w:val="single"/>
                </w:rPr>
                <w:t>Biodesix, Inc., Third Amended Bonus-to-Options Program, adopted by the Board of Directors on December 31, 2015 (incorporated by reference to Exhibit 10.5.3 to the Company’s Registration Statement on Form S-1 filed with the SEC on October 2, 2020).</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10.8.1+**</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30">
              <w:r>
                <w:rPr>
                  <w:rStyle w:val="InternetLink"/>
                  <w:rFonts w:ascii="Times New Roman" w:hAnsi="Times New Roman"/>
                  <w:color w:val="0000FF"/>
                  <w:sz w:val="18"/>
                  <w:u w:val="single"/>
                </w:rPr>
                <w:t>Biodesix, Inc. 2021 Senior Management Bonus to Equity Plan (incorporated by reference to Exhibit 10.1 to the Company’s Quarterly Report on Form 10-Q filed with the SEC on August 4, 2022).</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10.8.2+**</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31">
              <w:r>
                <w:rPr>
                  <w:rStyle w:val="InternetLink"/>
                  <w:rFonts w:ascii="Times New Roman" w:hAnsi="Times New Roman"/>
                  <w:color w:val="0000FF"/>
                  <w:sz w:val="18"/>
                  <w:u w:val="single"/>
                </w:rPr>
                <w:t>Amendment No. 1 to the Biodesix, Inc. 2021 Senior Management Bonus to Equity Plan (incorporated by reference to Exhibit 10.2 to the Company’s Quarterly Report on Form 10-Q filed with the SEC on August 4, 2022).</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10.8.3+**</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32">
              <w:r>
                <w:rPr>
                  <w:rStyle w:val="InternetLink"/>
                  <w:rFonts w:ascii="Times New Roman" w:hAnsi="Times New Roman"/>
                  <w:color w:val="0000FF"/>
                  <w:sz w:val="18"/>
                  <w:u w:val="single"/>
                </w:rPr>
                <w:t>Amendment No. 2 to the Biodesix, Inc. 2021 Senior Management Bonus to Equity Plan (incorporated by reference to Exhibit 10.8.3 to the Company’s Annual Report on Form 10-K filed with the SEC on March 6, 2023).</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10.9.1+**</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33">
              <w:r>
                <w:rPr>
                  <w:rStyle w:val="InternetLink"/>
                  <w:rFonts w:ascii="Times New Roman" w:hAnsi="Times New Roman"/>
                  <w:color w:val="0000FF"/>
                  <w:sz w:val="18"/>
                  <w:u w:val="single"/>
                </w:rPr>
                <w:t>Form of Stock Option Grant Notice under the Biodesix, Inc. Bonus-To-Options Program (incorporated by reference to Exhibit 10.6.1 to the Company’s Registration Statement on Form S-1/A filed with the SEC on October 9, 2020).</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10.9.2+**</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34">
              <w:r>
                <w:rPr>
                  <w:rStyle w:val="InternetLink"/>
                  <w:rFonts w:ascii="Times New Roman" w:hAnsi="Times New Roman"/>
                  <w:color w:val="0000FF"/>
                  <w:sz w:val="18"/>
                  <w:u w:val="single"/>
                </w:rPr>
                <w:t>Form of Option Agreement under the Biodesix, Inc. Bonus-To-Options Program (incorporated by reference to Exhibit 10.6.2 to the Company’s Registration Statement on Form S-1/A filed with the SEC on October 9, 2020).</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10.10+**</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35">
              <w:r>
                <w:rPr>
                  <w:rStyle w:val="InternetLink"/>
                  <w:rFonts w:ascii="Times New Roman" w:hAnsi="Times New Roman"/>
                  <w:color w:val="0000FF"/>
                  <w:sz w:val="18"/>
                  <w:u w:val="single"/>
                </w:rPr>
                <w:t>Form of Indemnification Agreement, by and between Biodesix, Inc. and each of its directors and executive officers (incorporated by reference to Exhibit 10.7 to the Company’s Registration Statement on Form S-1/A filed with the SEC on October 14, 2020).</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10.11+**</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36">
              <w:r>
                <w:rPr>
                  <w:rStyle w:val="InternetLink"/>
                  <w:rFonts w:ascii="Times New Roman" w:hAnsi="Times New Roman"/>
                  <w:color w:val="0000FF"/>
                  <w:sz w:val="18"/>
                  <w:u w:val="single"/>
                </w:rPr>
                <w:t>Form of Executive Severance and Change in Control Agreement, dated April 23, 2024 by and among the Company and each of its executive officers (incorporated by reference to Exhibit 10.42 to the Company's Registration Statement on Form S-1 filed with the SEC on April 23, 2024).</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10.12.1**</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37">
              <w:r>
                <w:rPr>
                  <w:rStyle w:val="InternetLink"/>
                  <w:rFonts w:ascii="Times New Roman" w:hAnsi="Times New Roman"/>
                  <w:color w:val="0000FF"/>
                  <w:sz w:val="18"/>
                  <w:u w:val="single"/>
                </w:rPr>
                <w:t>Lease Assignment of De Soto Facility, dated November 1, 2019 (incorporated by reference to Exhibit 10.13 to the Company’s Registration Statement on Form S-1 filed with the SEC on October 2, 2020).</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10.12.2**</w:t>
            </w:r>
          </w:p>
        </w:tc>
        <w:tc>
          <w:tcPr>
            <w:tcW w:w="9462" w:type="dxa"/>
            <w:tcBorders/>
            <w:tcMar>
              <w:top w:w="0" w:type="dxa"/>
              <w:left w:w="0" w:type="dxa"/>
              <w:bottom w:w="0" w:type="dxa"/>
              <w:right w:w="0" w:type="dxa"/>
            </w:tcMar>
            <w:vAlign w:val="center"/>
          </w:tcPr>
          <w:p>
            <w:pPr>
              <w:pStyle w:val="TableContents"/>
              <w:bidi w:val="0"/>
              <w:spacing w:before="0" w:after="120"/>
              <w:jc w:val="left"/>
              <w:rPr/>
            </w:pPr>
            <w:hyperlink r:id="rId38">
              <w:r>
                <w:rPr>
                  <w:rStyle w:val="InternetLink"/>
                  <w:rFonts w:ascii="Times New Roman" w:hAnsi="Times New Roman"/>
                  <w:color w:val="0000FF"/>
                  <w:sz w:val="18"/>
                  <w:u w:val="single"/>
                </w:rPr>
                <w:t>De Soto Amendment to Commercial Lease Agreement, effective April 4, 2023, by and between Biodesix, Inc. and De Soto Investments, LLC (incorporated by reference to Exhibit 10.2 to the Company's Quarterly Report on Form 10-Q filed with the SEC on May 11, 2023).</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10.12.3**</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39">
              <w:r>
                <w:rPr>
                  <w:rStyle w:val="InternetLink"/>
                  <w:rFonts w:ascii="Times New Roman" w:hAnsi="Times New Roman"/>
                  <w:color w:val="0000FF"/>
                  <w:sz w:val="18"/>
                  <w:u w:val="single"/>
                </w:rPr>
                <w:t>De Soto Amendment to Lease Agreement, effective July 1, 2025 by and between Biodesix, Inc. and De Soto Investments, LLC (incorporated by reference to Exhibit 10.1 to the Company's Quarterly Report on Form 10-Q filed with the SEC on November 3, 2025).</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10.13.1**</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40">
              <w:r>
                <w:rPr>
                  <w:rStyle w:val="InternetLink"/>
                  <w:rFonts w:ascii="Times New Roman" w:hAnsi="Times New Roman"/>
                  <w:color w:val="0000FF"/>
                  <w:sz w:val="18"/>
                  <w:u w:val="single"/>
                </w:rPr>
                <w:t>Lease agreement by and between Centennial Valley Properties I, LLC and Biodesix, Inc. dated March 11, 2022 (incorporated by reference to Exhibit 10.1 to the Company’s Quarterly Report on Form 10-Q filed with the SEC on May 11, 2022).</w:t>
              </w:r>
            </w:hyperlink>
            <w:hyperlink r:id="rId41">
              <w:r>
                <w:rPr>
                  <w:rStyle w:val="InternetLink"/>
                  <w:rFonts w:ascii="Times New Roman" w:hAnsi="Times New Roman"/>
                  <w:color w:val="0000FF"/>
                  <w:sz w:val="18"/>
                </w:rPr>
                <w:t xml:space="preserve"> </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10.13.2**</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42">
              <w:r>
                <w:rPr>
                  <w:rStyle w:val="InternetLink"/>
                  <w:rFonts w:ascii="Times New Roman" w:hAnsi="Times New Roman"/>
                  <w:color w:val="0000FF"/>
                  <w:sz w:val="18"/>
                  <w:u w:val="single"/>
                </w:rPr>
                <w:t>First Amendment to Lease Agreement by and between Centennial Valley Properties I, LLC and Biodesix, Inc. dated March 11, 2022 (incorporated by reference to Exhibit 10.2 to the Company’s Quarterly Report on Form 10-Q filed with the SEC on May 11, 2022).</w:t>
              </w:r>
            </w:hyperlink>
          </w:p>
        </w:tc>
      </w:tr>
      <w:tr>
        <w:trPr/>
        <w:tc>
          <w:tcPr>
            <w:tcW w:w="7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10.14**</w:t>
            </w:r>
          </w:p>
        </w:tc>
        <w:tc>
          <w:tcPr>
            <w:tcW w:w="9462" w:type="dxa"/>
            <w:tcBorders/>
            <w:tcMar>
              <w:top w:w="0" w:type="dxa"/>
              <w:left w:w="0" w:type="dxa"/>
              <w:bottom w:w="0" w:type="dxa"/>
              <w:right w:w="0" w:type="dxa"/>
            </w:tcMar>
            <w:vAlign w:val="center"/>
          </w:tcPr>
          <w:p>
            <w:pPr>
              <w:pStyle w:val="TableContents"/>
              <w:bidi w:val="0"/>
              <w:spacing w:before="0" w:after="120"/>
              <w:jc w:val="both"/>
              <w:rPr/>
            </w:pPr>
            <w:hyperlink r:id="rId43">
              <w:r>
                <w:rPr>
                  <w:rStyle w:val="InternetLink"/>
                  <w:rFonts w:ascii="Times New Roman" w:hAnsi="Times New Roman"/>
                  <w:color w:val="0000FF"/>
                  <w:sz w:val="18"/>
                  <w:u w:val="single"/>
                </w:rPr>
                <w:t>Patent Assignment between Biodesix, Inc., and Integrated Diagnostics, Inc., dated June 30, 2018 (incorporated by reference to Exhibit 10.15 to the Company’s Registration Statement on Form S-1 filed with the SEC on October 2, 2020).</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2"/>
        <w:gridCol w:w="9473"/>
      </w:tblGrid>
      <w:tr>
        <w:trPr/>
        <w:tc>
          <w:tcPr>
            <w:tcW w:w="732"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10.15**</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44">
              <w:r>
                <w:rPr>
                  <w:rStyle w:val="InternetLink"/>
                  <w:rFonts w:ascii="Times New Roman" w:hAnsi="Times New Roman"/>
                  <w:color w:val="0000FF"/>
                  <w:sz w:val="18"/>
                  <w:u w:val="single"/>
                </w:rPr>
                <w:t>IP Assignment Agreement between Oncimmune Limited, and Biodesix, Inc., dated October 31, 2019 (incorporated by reference to Exhibit 10.15 to the Company’s Registration Statement on Form S-1/A filed with the SEC on October 9, 2020).</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10.16**</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45">
              <w:r>
                <w:rPr>
                  <w:rStyle w:val="InternetLink"/>
                  <w:rFonts w:ascii="Times New Roman" w:hAnsi="Times New Roman"/>
                  <w:color w:val="0000FF"/>
                  <w:sz w:val="18"/>
                  <w:u w:val="single"/>
                </w:rPr>
                <w:t>IP License Agreement between Oncimmune Limited, and Biodesix, Inc., dated October 31, 2019 (incorporated by reference to Exhibit 10.16 to the Company’s Registration Statement on Form S-1/A filed with the SEC on October 9, 2020).</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10.17**</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46">
              <w:r>
                <w:rPr>
                  <w:rStyle w:val="InternetLink"/>
                  <w:rFonts w:ascii="Times New Roman" w:hAnsi="Times New Roman"/>
                  <w:color w:val="0000FF"/>
                  <w:sz w:val="18"/>
                  <w:u w:val="single"/>
                </w:rPr>
                <w:t>Non-Exclusive License Agreement between Bio-Rad Laboratories, Inc., and Biodesix, Inc., dated August 1, 2019 (incorporated by reference to Exhibit 10.17 to the Company’s Registration Statement on Form S-1/A filed with the SEC on October 9, 2020).</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10.18**</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47">
              <w:r>
                <w:rPr>
                  <w:rStyle w:val="InternetLink"/>
                  <w:rFonts w:ascii="Times New Roman" w:hAnsi="Times New Roman"/>
                  <w:color w:val="0000FF"/>
                  <w:sz w:val="18"/>
                  <w:u w:val="single"/>
                </w:rPr>
                <w:t>Supply Agreement between Biodesix, Inc., and Oncimmune, dated October 31, 2019 (incorporated by reference to Exhibit 10.18 to the Company’s Registration Statement on Form S-1/A filed with the SEC on October 9, 2020).</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10.19**</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48">
              <w:r>
                <w:rPr>
                  <w:rStyle w:val="InternetLink"/>
                  <w:rFonts w:ascii="Times New Roman" w:hAnsi="Times New Roman"/>
                  <w:color w:val="0000FF"/>
                  <w:sz w:val="18"/>
                  <w:u w:val="single"/>
                </w:rPr>
                <w:t>Supply Agreement between Bio-Rad Laboratories, Inc., and Biodesix, Inc., dated August 1, 2019 (incorporated by reference to Exhibit 10.19 to the Company’s Registration Statement on Form S-1/A filed with the SEC on October 9, 2020).</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10.20**</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49">
              <w:r>
                <w:rPr>
                  <w:rStyle w:val="InternetLink"/>
                  <w:rFonts w:ascii="Times New Roman" w:hAnsi="Times New Roman"/>
                  <w:color w:val="0000FF"/>
                  <w:sz w:val="18"/>
                  <w:u w:val="single"/>
                </w:rPr>
                <w:t>Co-Development and Collaboration Agreement between AVEO Pharmaceuticals, Inc., and Biodesix, Inc., dated April 9, 2014, as amended October 14, 2016 (incorporated by reference to Exhibit 10.20 to the Company’s Registration Statement on Form S-1/A filed with the SEC on October 9, 2020).</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10.21.1**</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50">
              <w:r>
                <w:rPr>
                  <w:rStyle w:val="InternetLink"/>
                  <w:rFonts w:ascii="Times New Roman" w:hAnsi="Times New Roman"/>
                  <w:color w:val="0000FF"/>
                  <w:sz w:val="18"/>
                  <w:u w:val="single"/>
                </w:rPr>
                <w:t>Asset Purchase Agreement among Biodesix, Inc., Integrated Diagnostics, Inc., and the stockholders of Integrated Diagnostics, Inc., listed therein, dated June 30, 2018 (incorporated by reference to Exhibit 10.23 to the Company’s Registration Statement on Form S-1 filed with the SEC on October 2, 2020).</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10.21.2**</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51">
              <w:r>
                <w:rPr>
                  <w:rStyle w:val="InternetLink"/>
                  <w:rFonts w:ascii="Times New Roman" w:hAnsi="Times New Roman"/>
                  <w:color w:val="0000FF"/>
                  <w:sz w:val="18"/>
                  <w:u w:val="single"/>
                </w:rPr>
                <w:t>Amendment No. 2 to Asset Purchase Agreement and Plan of Reorganization (incorporated by reference to Exhibit 10.38 to the Company's Quarterly Report on Form 10-Q filed with the SEC on August 10, 2021).</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10.21.3**</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52">
              <w:r>
                <w:rPr>
                  <w:rStyle w:val="InternetLink"/>
                  <w:rFonts w:ascii="Times New Roman" w:hAnsi="Times New Roman"/>
                  <w:color w:val="0000FF"/>
                  <w:sz w:val="18"/>
                  <w:u w:val="single"/>
                </w:rPr>
                <w:t>Amendment No. 3 to Asset Purchase Agreement and Plan of Reorganization (incorporated by reference to Exhibit 10.6 to the Company's Quarterly Report on Form 10-Q filed with the SEC on May 11, 2022).</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10.22**</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53">
              <w:r>
                <w:rPr>
                  <w:rStyle w:val="InternetLink"/>
                  <w:rFonts w:ascii="Times New Roman" w:hAnsi="Times New Roman"/>
                  <w:color w:val="0000FF"/>
                  <w:sz w:val="18"/>
                  <w:u w:val="single"/>
                </w:rPr>
                <w:t>Asset Purchase Agreement between Oncimmune Limited and Biodesix, Inc., dated June 27, 2019, as amended to date (incorporated by reference to Exhibit 10.24 to the Company’s Registration Statement on Form S-1 filed with the SEC on October 2, 2020).</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10.23**</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54">
              <w:r>
                <w:rPr>
                  <w:rStyle w:val="InternetLink"/>
                  <w:rFonts w:ascii="Times New Roman" w:hAnsi="Times New Roman"/>
                  <w:color w:val="0000FF"/>
                  <w:sz w:val="18"/>
                  <w:u w:val="single"/>
                </w:rPr>
                <w:t>First Amendment to the Non-Exclusive License Agreement between Bio-Rad Laboratories, Inc., and Biodesix, Inc., dated May 24, 2021 (incorporated by reference to Exhibit 10.37 to the Company's Quarterly Report on Form 10-Q filed with the SEC on August 10, 2021).</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10.24**</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55">
              <w:r>
                <w:rPr>
                  <w:rStyle w:val="InternetLink"/>
                  <w:rFonts w:ascii="Times New Roman" w:hAnsi="Times New Roman"/>
                  <w:color w:val="0000FF"/>
                  <w:sz w:val="18"/>
                  <w:u w:val="single"/>
                </w:rPr>
                <w:t>Second Amendment to Supply Agreement between Bio-Rad Laboratories, Inc., and Biodesix, Inc., dated May 22, 2024 (incorporated by reference to Exhibit 10.1 to the Company's Quarterly Report on Form 10-Q filed with the SEC on August 7, 2024).</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10.25**</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56">
              <w:r>
                <w:rPr>
                  <w:rStyle w:val="InternetLink"/>
                  <w:rFonts w:ascii="Times New Roman" w:hAnsi="Times New Roman"/>
                  <w:color w:val="0000FF"/>
                  <w:sz w:val="18"/>
                  <w:u w:val="single"/>
                </w:rPr>
                <w:t>Form of Subscription Agreement with resale registration rights provision, dated April 7, 2022 (incorporated by reference to Exhibit 10.1 to the Company's Current Report on Form 8-K filed with the SEC on April 11, 2022).</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10.26**</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57">
              <w:r>
                <w:rPr>
                  <w:rStyle w:val="InternetLink"/>
                  <w:rFonts w:ascii="Times New Roman" w:hAnsi="Times New Roman"/>
                  <w:color w:val="0000FF"/>
                  <w:sz w:val="18"/>
                  <w:u w:val="single"/>
                </w:rPr>
                <w:t>Credit Agreement and Guaranty, dated as of November 16, 2022, by and among the Company and Perceptive Credit Holdings IV, LP. (incorporated by reference to Exhibit 10.1 to the Company's Current Report on Form 8-K filed with the SEC on November 21, 2022).</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10.27**</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58">
              <w:r>
                <w:rPr>
                  <w:rStyle w:val="InternetLink"/>
                  <w:rFonts w:ascii="Times New Roman" w:hAnsi="Times New Roman"/>
                  <w:color w:val="0000FF"/>
                  <w:sz w:val="18"/>
                  <w:u w:val="single"/>
                </w:rPr>
                <w:t>First Amendment to Credit Agreement and Guaranty, dated May 10, 2023, by and among the Company and Perceptive Credit Holdings IV, LP (incorporated by reference to Exhibit 10.3 to the Company's Quarterly Report on Form 10-Q filed with the SEC on May 11, 2023).</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10.28**</w:t>
            </w:r>
          </w:p>
        </w:tc>
        <w:tc>
          <w:tcPr>
            <w:tcW w:w="9473" w:type="dxa"/>
            <w:tcBorders/>
            <w:tcMar>
              <w:top w:w="0" w:type="dxa"/>
              <w:left w:w="0" w:type="dxa"/>
              <w:bottom w:w="0" w:type="dxa"/>
              <w:right w:w="0" w:type="dxa"/>
            </w:tcMar>
            <w:vAlign w:val="center"/>
          </w:tcPr>
          <w:p>
            <w:pPr>
              <w:pStyle w:val="TableContents"/>
              <w:bidi w:val="0"/>
              <w:spacing w:before="0" w:after="120"/>
              <w:jc w:val="left"/>
              <w:rPr/>
            </w:pPr>
            <w:hyperlink r:id="rId59">
              <w:r>
                <w:rPr>
                  <w:rStyle w:val="InternetLink"/>
                  <w:rFonts w:ascii="Times New Roman" w:hAnsi="Times New Roman"/>
                  <w:color w:val="0000FF"/>
                  <w:sz w:val="18"/>
                  <w:u w:val="single"/>
                </w:rPr>
                <w:t>Second Amendment to Credit Agreement and Guaranty, dated August 4, 2023, by and among the Company and Perceptive Credit Holdings IV, LP (incorporated by reference to Exhibit 10.2 to the Company's Quarterly Report on Form 10-Q filed with the SEC on August 7, 2023).</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10.29**</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60">
              <w:r>
                <w:rPr>
                  <w:rStyle w:val="InternetLink"/>
                  <w:rFonts w:ascii="Times New Roman" w:hAnsi="Times New Roman"/>
                  <w:color w:val="0000FF"/>
                  <w:sz w:val="18"/>
                  <w:u w:val="single"/>
                </w:rPr>
                <w:t>Limited Waiver, dated February 14, 2024, by and between Biodesix, Inc. and Perceptive Credit Holdings IV, LP (incorporated by reference to Exhibit 10.34 to the Company's Annual Report on Form 10-K filed with the SEC on March 1, 2023).</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10.30**</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61">
              <w:r>
                <w:rPr>
                  <w:rStyle w:val="InternetLink"/>
                  <w:rFonts w:ascii="Times New Roman" w:hAnsi="Times New Roman"/>
                  <w:color w:val="0000FF"/>
                  <w:sz w:val="18"/>
                  <w:u w:val="single"/>
                </w:rPr>
                <w:t>Third Amendment to Credit Agreement and Guaranty, dated February 29, 2024, by and among the Company and Perceptive Credit Holdings IV, LP (incorporated by reference to Exhibit 10.35 to the Company's Annual Report on Form 10-K filed with the SEC on March 1, 2023).</w:t>
              </w:r>
            </w:hyperlink>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10.32**</w:t>
            </w:r>
          </w:p>
        </w:tc>
        <w:tc>
          <w:tcPr>
            <w:tcW w:w="9473" w:type="dxa"/>
            <w:tcBorders/>
            <w:tcMar>
              <w:top w:w="0" w:type="dxa"/>
              <w:left w:w="0" w:type="dxa"/>
              <w:bottom w:w="0" w:type="dxa"/>
              <w:right w:w="0" w:type="dxa"/>
            </w:tcMar>
            <w:vAlign w:val="center"/>
          </w:tcPr>
          <w:p>
            <w:pPr>
              <w:pStyle w:val="TableContents"/>
              <w:bidi w:val="0"/>
              <w:spacing w:before="0" w:after="120"/>
              <w:jc w:val="left"/>
              <w:rPr/>
            </w:pPr>
            <w:hyperlink r:id="rId62">
              <w:r>
                <w:rPr>
                  <w:rStyle w:val="InternetLink"/>
                  <w:rFonts w:ascii="Times New Roman" w:hAnsi="Times New Roman"/>
                  <w:color w:val="0000FF"/>
                  <w:sz w:val="18"/>
                  <w:u w:val="single"/>
                </w:rPr>
                <w:t>Fourth Amendment to Credit Agreement and Guaranty, dated October 30, 2024, by and between the Company and Perceptive Credit Holdings IV, LP (incorporated by reference to Exhibit 10.1 to the Company's Quarterly Report on Form 10-Q filed with the SEC on November 1, 2024).</w:t>
              </w:r>
            </w:hyperlink>
            <w:r>
              <w:rPr>
                <w:rFonts w:ascii="Times New Roman" w:hAnsi="Times New Roman"/>
                <w:color w:val="000000"/>
                <w:sz w:val="18"/>
              </w:rPr>
              <w:t xml:space="preserve"> </w:t>
            </w:r>
          </w:p>
        </w:tc>
      </w:tr>
      <w:tr>
        <w:trPr/>
        <w:tc>
          <w:tcPr>
            <w:tcW w:w="7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10.31**</w:t>
            </w:r>
          </w:p>
        </w:tc>
        <w:tc>
          <w:tcPr>
            <w:tcW w:w="9473" w:type="dxa"/>
            <w:tcBorders/>
            <w:tcMar>
              <w:top w:w="0" w:type="dxa"/>
              <w:left w:w="0" w:type="dxa"/>
              <w:bottom w:w="0" w:type="dxa"/>
              <w:right w:w="0" w:type="dxa"/>
            </w:tcMar>
            <w:vAlign w:val="center"/>
          </w:tcPr>
          <w:p>
            <w:pPr>
              <w:pStyle w:val="TableContents"/>
              <w:bidi w:val="0"/>
              <w:spacing w:before="0" w:after="120"/>
              <w:jc w:val="both"/>
              <w:rPr/>
            </w:pPr>
            <w:hyperlink r:id="rId63">
              <w:r>
                <w:rPr>
                  <w:rStyle w:val="InternetLink"/>
                  <w:rFonts w:ascii="Times New Roman" w:hAnsi="Times New Roman"/>
                  <w:color w:val="0000FF"/>
                  <w:sz w:val="18"/>
                  <w:u w:val="single"/>
                </w:rPr>
                <w:t>Fifth Amendment to Credit Agreement and Guaranty, dated February 28, 2025, by and between the Company and Perceptive Credit Holdings IV, LP (incorporated by reference to Exhibit 10.36 to the Company's Annual Report on Form 10-K filed with the SEC on March 3, 2025).</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0"/>
        <w:gridCol w:w="9505"/>
      </w:tblGrid>
      <w:tr>
        <w:trPr/>
        <w:tc>
          <w:tcPr>
            <w:tcW w:w="700" w:type="dxa"/>
            <w:tcBorders/>
            <w:vAlign w:val="center"/>
          </w:tcPr>
          <w:p>
            <w:pPr>
              <w:pStyle w:val="TableContents"/>
              <w:bidi w:val="0"/>
              <w:spacing w:before="0" w:after="283"/>
              <w:jc w:val="left"/>
              <w:rPr>
                <w:sz w:val="4"/>
                <w:szCs w:val="4"/>
              </w:rPr>
            </w:pPr>
            <w:r>
              <w:rPr>
                <w:sz w:val="4"/>
                <w:szCs w:val="4"/>
              </w:rPr>
            </w:r>
          </w:p>
        </w:tc>
        <w:tc>
          <w:tcPr>
            <w:tcW w:w="9505" w:type="dxa"/>
            <w:tcBorders/>
            <w:vAlign w:val="center"/>
          </w:tcPr>
          <w:p>
            <w:pPr>
              <w:pStyle w:val="TableContents"/>
              <w:bidi w:val="0"/>
              <w:spacing w:before="0" w:after="283"/>
              <w:jc w:val="left"/>
              <w:rPr>
                <w:sz w:val="4"/>
                <w:szCs w:val="4"/>
              </w:rPr>
            </w:pPr>
            <w:r>
              <w:rPr>
                <w:sz w:val="4"/>
                <w:szCs w:val="4"/>
              </w:rPr>
            </w:r>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10.32*</w:t>
            </w:r>
          </w:p>
        </w:tc>
        <w:tc>
          <w:tcPr>
            <w:tcW w:w="9505" w:type="dxa"/>
            <w:tcBorders/>
            <w:tcMar>
              <w:top w:w="0" w:type="dxa"/>
              <w:left w:w="0" w:type="dxa"/>
              <w:bottom w:w="0" w:type="dxa"/>
              <w:right w:w="0" w:type="dxa"/>
            </w:tcMar>
            <w:vAlign w:val="center"/>
          </w:tcPr>
          <w:p>
            <w:pPr>
              <w:pStyle w:val="TableContents"/>
              <w:bidi w:val="0"/>
              <w:spacing w:before="0" w:after="120"/>
              <w:jc w:val="both"/>
              <w:rPr/>
            </w:pPr>
            <w:hyperlink w:anchor="bdsx-ex10_32.htm">
              <w:r>
                <w:rPr>
                  <w:rStyle w:val="InternetLink"/>
                  <w:rFonts w:ascii="Times New Roman" w:hAnsi="Times New Roman"/>
                  <w:color w:val="0000FF"/>
                  <w:sz w:val="18"/>
                  <w:u w:val="single"/>
                </w:rPr>
                <w:t>Sixth Amendment to Credit Agreement and Guaranty, dated February 25, 2026, by and between the Company and Perceptive Credit Holdings IV, LP.</w:t>
              </w:r>
            </w:hyperlink>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10.33**</w:t>
            </w:r>
          </w:p>
        </w:tc>
        <w:tc>
          <w:tcPr>
            <w:tcW w:w="9505" w:type="dxa"/>
            <w:tcBorders/>
            <w:tcMar>
              <w:top w:w="0" w:type="dxa"/>
              <w:left w:w="0" w:type="dxa"/>
              <w:bottom w:w="0" w:type="dxa"/>
              <w:right w:w="0" w:type="dxa"/>
            </w:tcMar>
            <w:vAlign w:val="center"/>
          </w:tcPr>
          <w:p>
            <w:pPr>
              <w:pStyle w:val="TableContents"/>
              <w:bidi w:val="0"/>
              <w:spacing w:before="0" w:after="120"/>
              <w:jc w:val="both"/>
              <w:rPr/>
            </w:pPr>
            <w:hyperlink r:id="rId64">
              <w:r>
                <w:rPr>
                  <w:rStyle w:val="InternetLink"/>
                  <w:rFonts w:ascii="Times New Roman" w:hAnsi="Times New Roman"/>
                  <w:color w:val="0000FF"/>
                  <w:sz w:val="18"/>
                  <w:u w:val="single"/>
                </w:rPr>
                <w:t>Security Agreement, dated as of November 21, 2022, by and among the Company and Perceptive Credit Holdings IV, LP (incorporated by reference to Exhibit 10.2 to the Company's current report on Form 8-K filed with the SEC on November 21, 2022).</w:t>
              </w:r>
            </w:hyperlink>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10.34**</w:t>
            </w:r>
          </w:p>
        </w:tc>
        <w:tc>
          <w:tcPr>
            <w:tcW w:w="9505" w:type="dxa"/>
            <w:tcBorders/>
            <w:tcMar>
              <w:top w:w="0" w:type="dxa"/>
              <w:left w:w="0" w:type="dxa"/>
              <w:bottom w:w="0" w:type="dxa"/>
              <w:right w:w="0" w:type="dxa"/>
            </w:tcMar>
            <w:vAlign w:val="center"/>
          </w:tcPr>
          <w:p>
            <w:pPr>
              <w:pStyle w:val="TableContents"/>
              <w:bidi w:val="0"/>
              <w:spacing w:before="0" w:after="120"/>
              <w:jc w:val="both"/>
              <w:rPr/>
            </w:pPr>
            <w:hyperlink r:id="rId65">
              <w:r>
                <w:rPr>
                  <w:rStyle w:val="InternetLink"/>
                  <w:rFonts w:ascii="Times New Roman" w:hAnsi="Times New Roman"/>
                  <w:color w:val="0000FF"/>
                  <w:sz w:val="18"/>
                  <w:u w:val="single"/>
                </w:rPr>
                <w:t>Registration Rights Agreement, dated as of April 5, 2024 between Biodesix, Inc. and the Investors (incorporated by reference to Exhibit 10.3 to the Company's Current Report on Form 8-K filed with the SEC on April 9, 2024).</w:t>
              </w:r>
            </w:hyperlink>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19.1**</w:t>
            </w:r>
          </w:p>
        </w:tc>
        <w:tc>
          <w:tcPr>
            <w:tcW w:w="9505" w:type="dxa"/>
            <w:tcBorders/>
            <w:tcMar>
              <w:top w:w="0" w:type="dxa"/>
              <w:left w:w="0" w:type="dxa"/>
              <w:bottom w:w="0" w:type="dxa"/>
              <w:right w:w="0" w:type="dxa"/>
            </w:tcMar>
            <w:vAlign w:val="center"/>
          </w:tcPr>
          <w:p>
            <w:pPr>
              <w:pStyle w:val="TableContents"/>
              <w:bidi w:val="0"/>
              <w:spacing w:before="0" w:after="120"/>
              <w:jc w:val="both"/>
              <w:rPr/>
            </w:pPr>
            <w:hyperlink r:id="rId66">
              <w:r>
                <w:rPr>
                  <w:rStyle w:val="InternetLink"/>
                  <w:rFonts w:ascii="Times New Roman" w:hAnsi="Times New Roman"/>
                  <w:color w:val="0000FF"/>
                  <w:sz w:val="18"/>
                  <w:u w:val="single"/>
                </w:rPr>
                <w:t>Policy Relating to Insider Trading (incorporated by reference to Exhibit 19.1 to the Company's Annual Report on Form 10-K filed with the SEC on March 3, 2025).</w:t>
              </w:r>
            </w:hyperlink>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23.1*</w:t>
            </w:r>
          </w:p>
        </w:tc>
        <w:tc>
          <w:tcPr>
            <w:tcW w:w="9505" w:type="dxa"/>
            <w:tcBorders/>
            <w:tcMar>
              <w:top w:w="0" w:type="dxa"/>
              <w:left w:w="0" w:type="dxa"/>
              <w:bottom w:w="0" w:type="dxa"/>
              <w:right w:w="0" w:type="dxa"/>
            </w:tcMar>
            <w:vAlign w:val="center"/>
          </w:tcPr>
          <w:p>
            <w:pPr>
              <w:pStyle w:val="TableContents"/>
              <w:bidi w:val="0"/>
              <w:spacing w:before="0" w:after="120"/>
              <w:jc w:val="both"/>
              <w:rPr/>
            </w:pPr>
            <w:hyperlink w:anchor="bdsx-ex23_1.htm">
              <w:r>
                <w:rPr>
                  <w:rStyle w:val="InternetLink"/>
                  <w:rFonts w:ascii="Times New Roman" w:hAnsi="Times New Roman"/>
                  <w:color w:val="0000FF"/>
                  <w:sz w:val="18"/>
                  <w:u w:val="single"/>
                </w:rPr>
                <w:t>Consent of independent registered public accounting firm.</w:t>
              </w:r>
            </w:hyperlink>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24.1*</w:t>
            </w:r>
          </w:p>
        </w:tc>
        <w:tc>
          <w:tcPr>
            <w:tcW w:w="9505" w:type="dxa"/>
            <w:tcBorders/>
            <w:tcMar>
              <w:top w:w="0" w:type="dxa"/>
              <w:left w:w="0" w:type="dxa"/>
              <w:bottom w:w="0" w:type="dxa"/>
              <w:right w:w="0" w:type="dxa"/>
            </w:tcMar>
            <w:vAlign w:val="center"/>
          </w:tcPr>
          <w:p>
            <w:pPr>
              <w:pStyle w:val="TableContents"/>
              <w:bidi w:val="0"/>
              <w:spacing w:before="0" w:after="120"/>
              <w:jc w:val="both"/>
              <w:rPr/>
            </w:pPr>
            <w:hyperlink w:anchor="power_attorney">
              <w:r>
                <w:rPr>
                  <w:rStyle w:val="InternetLink"/>
                  <w:rFonts w:ascii="Times New Roman" w:hAnsi="Times New Roman"/>
                  <w:color w:val="0000FF"/>
                  <w:sz w:val="18"/>
                  <w:u w:val="single"/>
                </w:rPr>
                <w:t>Power of Attorney (included on the signature page of this Annual Report on Form 10-K).</w:t>
              </w:r>
            </w:hyperlink>
            <w:r>
              <w:rPr>
                <w:rFonts w:ascii="Times New Roman" w:hAnsi="Times New Roman"/>
                <w:color w:val="0000FF"/>
                <w:sz w:val="18"/>
              </w:rPr>
              <w:t xml:space="preserve"> </w:t>
            </w:r>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31.1*</w:t>
            </w:r>
          </w:p>
        </w:tc>
        <w:tc>
          <w:tcPr>
            <w:tcW w:w="9505" w:type="dxa"/>
            <w:tcBorders/>
            <w:tcMar>
              <w:top w:w="0" w:type="dxa"/>
              <w:left w:w="0" w:type="dxa"/>
              <w:bottom w:w="0" w:type="dxa"/>
              <w:right w:w="0" w:type="dxa"/>
            </w:tcMar>
            <w:vAlign w:val="center"/>
          </w:tcPr>
          <w:p>
            <w:pPr>
              <w:pStyle w:val="TableContents"/>
              <w:bidi w:val="0"/>
              <w:spacing w:before="0" w:after="120"/>
              <w:jc w:val="both"/>
              <w:rPr/>
            </w:pPr>
            <w:hyperlink w:anchor="bdsx-ex31_1.htm">
              <w:r>
                <w:rPr>
                  <w:rStyle w:val="InternetLink"/>
                  <w:rFonts w:ascii="Times New Roman" w:hAnsi="Times New Roman"/>
                  <w:color w:val="0000FF"/>
                  <w:sz w:val="18"/>
                  <w:u w:val="single"/>
                </w:rPr>
                <w:t>Certification of Principal Executive Officer Pursuant to Rules 13a-14(a) and 15d-14(a) under the Securities Exchange Act of 1934, as Adopted Pursuant to Section 302 of the Sarbanes-Oxley Act of 2002.</w:t>
              </w:r>
            </w:hyperlink>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 xml:space="preserve">31.2* </w:t>
            </w:r>
          </w:p>
        </w:tc>
        <w:tc>
          <w:tcPr>
            <w:tcW w:w="9505" w:type="dxa"/>
            <w:tcBorders/>
            <w:tcMar>
              <w:top w:w="0" w:type="dxa"/>
              <w:left w:w="0" w:type="dxa"/>
              <w:bottom w:w="0" w:type="dxa"/>
              <w:right w:w="0" w:type="dxa"/>
            </w:tcMar>
            <w:vAlign w:val="center"/>
          </w:tcPr>
          <w:p>
            <w:pPr>
              <w:pStyle w:val="TableContents"/>
              <w:bidi w:val="0"/>
              <w:spacing w:before="0" w:after="120"/>
              <w:jc w:val="both"/>
              <w:rPr/>
            </w:pPr>
            <w:hyperlink w:anchor="bdsx-ex31_2.htm">
              <w:r>
                <w:rPr>
                  <w:rStyle w:val="InternetLink"/>
                  <w:rFonts w:ascii="Times New Roman" w:hAnsi="Times New Roman"/>
                  <w:color w:val="0000FF"/>
                  <w:sz w:val="18"/>
                  <w:u w:val="single"/>
                </w:rPr>
                <w:t>Certification of Principal Financial Officer Pursuant to Rules 13a-14(a) and 15d-14(a) under the Securities Exchange Act of 1934, as Adopted Pursuant to Section 302 of the Sarbanes-Oxley Act of 2002.</w:t>
              </w:r>
            </w:hyperlink>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32.1***</w:t>
            </w:r>
          </w:p>
        </w:tc>
        <w:tc>
          <w:tcPr>
            <w:tcW w:w="9505" w:type="dxa"/>
            <w:tcBorders/>
            <w:tcMar>
              <w:top w:w="0" w:type="dxa"/>
              <w:left w:w="0" w:type="dxa"/>
              <w:bottom w:w="0" w:type="dxa"/>
              <w:right w:w="0" w:type="dxa"/>
            </w:tcMar>
            <w:vAlign w:val="center"/>
          </w:tcPr>
          <w:p>
            <w:pPr>
              <w:pStyle w:val="TableContents"/>
              <w:bidi w:val="0"/>
              <w:spacing w:before="0" w:after="120"/>
              <w:jc w:val="both"/>
              <w:rPr/>
            </w:pPr>
            <w:hyperlink w:anchor="bdsx-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32.2***</w:t>
            </w:r>
          </w:p>
        </w:tc>
        <w:tc>
          <w:tcPr>
            <w:tcW w:w="9505" w:type="dxa"/>
            <w:tcBorders/>
            <w:tcMar>
              <w:top w:w="0" w:type="dxa"/>
              <w:left w:w="0" w:type="dxa"/>
              <w:bottom w:w="0" w:type="dxa"/>
              <w:right w:w="0" w:type="dxa"/>
            </w:tcMar>
            <w:vAlign w:val="center"/>
          </w:tcPr>
          <w:p>
            <w:pPr>
              <w:pStyle w:val="TableContents"/>
              <w:bidi w:val="0"/>
              <w:spacing w:before="0" w:after="120"/>
              <w:jc w:val="both"/>
              <w:rPr/>
            </w:pPr>
            <w:hyperlink w:anchor="bdsx-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97.1**</w:t>
            </w:r>
          </w:p>
        </w:tc>
        <w:tc>
          <w:tcPr>
            <w:tcW w:w="9505" w:type="dxa"/>
            <w:tcBorders/>
            <w:tcMar>
              <w:top w:w="0" w:type="dxa"/>
              <w:left w:w="0" w:type="dxa"/>
              <w:bottom w:w="0" w:type="dxa"/>
              <w:right w:w="0" w:type="dxa"/>
            </w:tcMar>
            <w:vAlign w:val="center"/>
          </w:tcPr>
          <w:p>
            <w:pPr>
              <w:pStyle w:val="TableContents"/>
              <w:bidi w:val="0"/>
              <w:spacing w:before="0" w:after="120"/>
              <w:jc w:val="both"/>
              <w:rPr/>
            </w:pPr>
            <w:hyperlink r:id="rId67">
              <w:r>
                <w:rPr>
                  <w:rStyle w:val="InternetLink"/>
                  <w:rFonts w:ascii="Times New Roman" w:hAnsi="Times New Roman"/>
                  <w:color w:val="0000FF"/>
                  <w:sz w:val="18"/>
                  <w:u w:val="single"/>
                </w:rPr>
                <w:t>Policy Relating to Recovery of Erroneously Award Compensation (incorporated by reference to Exhibit 97.1 to the Company's Annual Report on Form 10-K filed with the SEC on March 1, 2023).</w:t>
              </w:r>
            </w:hyperlink>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101.INS*</w:t>
            </w:r>
          </w:p>
        </w:tc>
        <w:tc>
          <w:tcPr>
            <w:tcW w:w="950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XBRL tags are embedded within the Inline XBRL document.</w:t>
            </w:r>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101.SCH*</w:t>
            </w:r>
          </w:p>
        </w:tc>
        <w:tc>
          <w:tcPr>
            <w:tcW w:w="950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18"/>
              </w:rPr>
            </w:pPr>
            <w:r>
              <w:rPr>
                <w:rFonts w:ascii="Times New Roman" w:hAnsi="Times New Roman"/>
                <w:color w:val="000000"/>
                <w:sz w:val="18"/>
              </w:rPr>
              <w:t>Inline XBRL Taxonomy Extension Schema with Embedded Linkbase Documents</w:t>
            </w:r>
          </w:p>
        </w:tc>
      </w:tr>
      <w:tr>
        <w:trPr/>
        <w:tc>
          <w:tcPr>
            <w:tcW w:w="7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104</w:t>
            </w:r>
          </w:p>
        </w:tc>
        <w:tc>
          <w:tcPr>
            <w:tcW w:w="950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jc w:val="left"/>
        <w:rPr/>
      </w:pPr>
      <w:r>
        <w:rPr/>
        <w:t> </w:t>
      </w:r>
    </w:p>
    <w:p>
      <w:pPr>
        <w:pStyle w:val="TextBody"/>
        <w:bidi w:val="0"/>
        <w:spacing w:before="60" w:after="283"/>
        <w:jc w:val="left"/>
        <w:rPr>
          <w:rFonts w:ascii="Times New Roman" w:hAnsi="Times New Roman"/>
          <w:color w:val="000000"/>
          <w:sz w:val="12"/>
        </w:rPr>
      </w:pPr>
      <w:r>
        <w:rPr>
          <w:rFonts w:ascii="Times New Roman" w:hAnsi="Times New Roman"/>
          <w:color w:val="000000"/>
          <w:sz w:val="12"/>
        </w:rPr>
        <w:t> Portions of this exhibit have been omitted as the Registrant has determined that the omitted information (i) is not material and (ii) would likely cause competitive harm to the Registrant if publicly disclosed.</w:t>
      </w:r>
    </w:p>
    <w:p>
      <w:pPr>
        <w:pStyle w:val="TextBody"/>
        <w:bidi w:val="0"/>
        <w:spacing w:before="60" w:after="283"/>
        <w:jc w:val="left"/>
        <w:rPr>
          <w:rFonts w:ascii="Times New Roman" w:hAnsi="Times New Roman"/>
          <w:color w:val="000000"/>
          <w:sz w:val="12"/>
        </w:rPr>
      </w:pPr>
      <w:r>
        <w:rPr>
          <w:rFonts w:ascii="Times New Roman" w:hAnsi="Times New Roman"/>
          <w:color w:val="000000"/>
          <w:sz w:val="12"/>
        </w:rPr>
        <w:t>+ Indicates management contract or compensatory plan.</w:t>
      </w:r>
    </w:p>
    <w:p>
      <w:pPr>
        <w:pStyle w:val="TextBody"/>
        <w:bidi w:val="0"/>
        <w:spacing w:before="60" w:after="283"/>
        <w:jc w:val="left"/>
        <w:rPr>
          <w:rFonts w:ascii="Times New Roman" w:hAnsi="Times New Roman"/>
          <w:color w:val="000000"/>
          <w:sz w:val="12"/>
        </w:rPr>
      </w:pPr>
      <w:r>
        <w:rPr>
          <w:rFonts w:ascii="Times New Roman" w:hAnsi="Times New Roman"/>
          <w:color w:val="000000"/>
          <w:sz w:val="12"/>
        </w:rPr>
        <w:t>* Filed herewith.</w:t>
      </w:r>
    </w:p>
    <w:p>
      <w:pPr>
        <w:pStyle w:val="TextBody"/>
        <w:bidi w:val="0"/>
        <w:spacing w:before="60" w:after="283"/>
        <w:jc w:val="left"/>
        <w:rPr>
          <w:rFonts w:ascii="Times New Roman" w:hAnsi="Times New Roman"/>
          <w:color w:val="000000"/>
          <w:sz w:val="12"/>
        </w:rPr>
      </w:pPr>
      <w:r>
        <w:rPr>
          <w:rFonts w:ascii="Times New Roman" w:hAnsi="Times New Roman"/>
          <w:color w:val="000000"/>
          <w:sz w:val="12"/>
        </w:rPr>
        <w:t>** Previously filed.</w:t>
      </w:r>
    </w:p>
    <w:p>
      <w:pPr>
        <w:pStyle w:val="TextBody"/>
        <w:bidi w:val="0"/>
        <w:spacing w:before="60" w:after="283"/>
        <w:jc w:val="left"/>
        <w:rPr>
          <w:rFonts w:ascii="Times New Roman" w:hAnsi="Times New Roman"/>
          <w:color w:val="000000"/>
          <w:sz w:val="12"/>
        </w:rPr>
      </w:pPr>
      <w:r>
        <w:rPr>
          <w:rFonts w:ascii="Times New Roman" w:hAnsi="Times New Roman"/>
          <w:color w:val="000000"/>
          <w:sz w:val="12"/>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9" w:name="signatures"/>
      <w:bookmarkEnd w:id="29"/>
      <w:r>
        <w:rPr>
          <w:rFonts w:ascii="Times New Roman" w:hAnsi="Times New Roman"/>
          <w:b/>
          <w:color w:val="000000"/>
          <w:sz w:val="20"/>
        </w:rPr>
        <w:t>SIGNATURES</w:t>
      </w:r>
    </w:p>
    <w:p>
      <w:pPr>
        <w:pStyle w:val="TextBody"/>
        <w:bidi w:val="0"/>
        <w:spacing w:before="12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519" w:type="dxa"/>
        <w:jc w:val="left"/>
        <w:tblInd w:w="0" w:type="dxa"/>
        <w:tblLayout w:type="fixed"/>
        <w:tblCellMar>
          <w:top w:w="28" w:type="dxa"/>
          <w:left w:w="28" w:type="dxa"/>
          <w:bottom w:w="28" w:type="dxa"/>
          <w:right w:w="28" w:type="dxa"/>
        </w:tblCellMar>
      </w:tblPr>
      <w:tblGrid>
        <w:gridCol w:w="2086"/>
        <w:gridCol w:w="146"/>
        <w:gridCol w:w="406"/>
        <w:gridCol w:w="288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Biodesix,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 VAZQUEZ</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Christopher C. Vazquez</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Chief Accounting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r>
    </w:tbl>
    <w:p>
      <w:pPr>
        <w:pStyle w:val="TextBody"/>
        <w:bidi w:val="0"/>
        <w:spacing w:before="240" w:after="283"/>
        <w:jc w:val="center"/>
        <w:rPr>
          <w:rFonts w:ascii="Times New Roman" w:hAnsi="Times New Roman"/>
          <w:b/>
          <w:color w:val="000000"/>
          <w:sz w:val="20"/>
        </w:rPr>
      </w:pPr>
      <w:bookmarkStart w:id="30" w:name="power_attorney"/>
      <w:bookmarkEnd w:id="30"/>
      <w:r>
        <w:rPr>
          <w:rFonts w:ascii="Times New Roman" w:hAnsi="Times New Roman"/>
          <w:b/>
          <w:color w:val="000000"/>
          <w:sz w:val="20"/>
        </w:rPr>
        <w:t>POWER OF ATTORNEY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person whose signature appears below constitutes and appoints Scott Hutton and Robin Harper Cowie, and each of them, his or her true and lawful agent, proxy and attorney-in-fact, with full power of substitution and resubstitution, for him or her and in his or her name, place and stead, in any and all capacities, to file with the Securities and Exchange Commission this Form 10-K and any and all amendments and exhibits thereto, and all documents in connection therewith, granting unto each such attorney-in-fact and agent full power and authority to do and perform each and every act and thing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hereof.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10120" w:type="dxa"/>
        <w:jc w:val="left"/>
        <w:tblInd w:w="0" w:type="dxa"/>
        <w:tblLayout w:type="fixed"/>
        <w:tblCellMar>
          <w:top w:w="28" w:type="dxa"/>
          <w:left w:w="28" w:type="dxa"/>
          <w:bottom w:w="28" w:type="dxa"/>
          <w:right w:w="28" w:type="dxa"/>
        </w:tblCellMar>
      </w:tblPr>
      <w:tblGrid>
        <w:gridCol w:w="2956"/>
        <w:gridCol w:w="146"/>
        <w:gridCol w:w="5236"/>
        <w:gridCol w:w="146"/>
        <w:gridCol w:w="163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9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Scott Hutton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Secretary and Treasurer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Robin Harper Cowie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 VAZQUEZ</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Christopher C. Vazquez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PATIENCE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John Patience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JEAN FRANCHI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Jean Franchi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 FAIZ KAYYEM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Jon Faiz Kayyem,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T. KENNEDY, JR.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Lawrence T. Kennedy,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HANY MASSARANY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Hany Massarany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STROBECK</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Matthew Strobeck,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 Financial Statements and Supplementary Data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spacing w:before="40" w:after="283"/>
        <w:jc w:val="left"/>
        <w:rPr/>
      </w:pPr>
      <w:r>
        <w:rPr/>
        <w:t> </w:t>
      </w:r>
    </w:p>
    <w:tbl>
      <w:tblPr>
        <w:tblW w:w="9227" w:type="dxa"/>
        <w:jc w:val="left"/>
        <w:tblInd w:w="0" w:type="dxa"/>
        <w:tblLayout w:type="fixed"/>
        <w:tblCellMar>
          <w:top w:w="28" w:type="dxa"/>
          <w:left w:w="28" w:type="dxa"/>
          <w:bottom w:w="28" w:type="dxa"/>
          <w:right w:w="28" w:type="dxa"/>
        </w:tblCellMar>
      </w:tblPr>
      <w:tblGrid>
        <w:gridCol w:w="8806"/>
        <w:gridCol w:w="421"/>
      </w:tblGrid>
      <w:tr>
        <w:trPr/>
        <w:tc>
          <w:tcPr>
            <w:tcW w:w="880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8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80"/>
                  <w:sz w:val="20"/>
                  <w:u w:val="single"/>
                </w:rPr>
                <w:t>Report of Independent Registered Public Accounting Firm</w:t>
              </w:r>
            </w:hyperlink>
            <w:r>
              <w:rPr>
                <w:rFonts w:ascii="Times New Roman" w:hAnsi="Times New Roman"/>
                <w:color w:val="0000FF"/>
                <w:sz w:val="20"/>
                <w:u w:val="single"/>
              </w:rPr>
              <w:t> (KPMG LLP, Denver, CO, Auditor Firm ID: 185)</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8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Balance Sheets as of December 31, 2025 and 2024</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8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Statements of Operations for the Years Ended December 31, 2025 and 2024</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8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onvertible_preferred_stock_s">
              <w:r>
                <w:rPr>
                  <w:rStyle w:val="InternetLink"/>
                  <w:rFonts w:ascii="Times New Roman" w:hAnsi="Times New Roman"/>
                  <w:color w:val="0000FF"/>
                  <w:sz w:val="20"/>
                  <w:u w:val="single"/>
                </w:rPr>
                <w:t>Statements of Stockholders’ (Deficit) Equity for the Years Ended December 31, 2025 and 2024</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8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Statements of Cash Flows for the Years Ended December 31, 2025 and 2024</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8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1" w:name="report_independent_registered_public_acc"/>
      <w:bookmarkEnd w:id="31"/>
      <w:r>
        <w:rPr>
          <w:rFonts w:ascii="Times New Roman" w:hAnsi="Times New Roman"/>
          <w:b/>
          <w:color w:val="000000"/>
          <w:sz w:val="20"/>
        </w:rPr>
        <w:t>Report of Independent Registered Public Accounting Firm</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Stockholders and the Board of Directors</w:t>
      </w:r>
    </w:p>
    <w:p>
      <w:pPr>
        <w:pStyle w:val="TextBody"/>
        <w:bidi w:val="0"/>
        <w:jc w:val="left"/>
        <w:rPr>
          <w:rFonts w:ascii="Times New Roman" w:hAnsi="Times New Roman"/>
          <w:color w:val="000000"/>
          <w:sz w:val="20"/>
        </w:rPr>
      </w:pPr>
      <w:r>
        <w:rPr>
          <w:rFonts w:ascii="Times New Roman" w:hAnsi="Times New Roman"/>
          <w:color w:val="000000"/>
          <w:sz w:val="20"/>
        </w:rPr>
        <w:t>Biodesix, Inc.:</w:t>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Opinion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audited the accompanying balance sheets of Biodesix, Inc. (the Company) as of December 31, 2025 and 2024, the related statements of operations, stockholders’ (deficit) equity, and cash flows for the years then ended December 31, 2025, and the related notes (collectively, the financial statements). In our opinion, the financial statements present fairly, in all material respects, the financial position of the Company as of December 31, 2025 and 2024, and the results of its operations and its cash flows for the years then ended December 31, 2025, in conformity with U.S. generally accepted accounting principles.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Measurement of diagnostic tests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discussed in Notes 2 and 11 to the financial statements, the Company derives revenue from two sources: (i) diagnostic tests, providing lung diagnostic testing services for healthcare providers associated with blood-based tests and (ii) development services to biopharmaceutical, life sciences and diagnostic companies. For diagnostic tests revenue, the Company estimates the transaction price, which is the amount of consideration it expects to be entitled to receive in exchange for providing services based on its historical collection experience, using a portfolio approach by considering payment history, historical price concessions and reimbursement contracts, among other factors including variable consideration. The Company recognized revenues of $79.2 million for the year ended December 31, 2025, related to diagnostic tests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identified the evaluation of diagnostic tests revenue as a critical audit matter. Subjective auditor judgment was required to evaluate the measurement of diagnostic tests revenue, specifically the estimation of the amount of diagnostic tests revenue expected to be collectible from payors.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are the primary procedures we performed to address this critical audit matter. We evaluated the design of an internal control related to the estimation of the amount of diagnostic tests revenue expected to be collected, including managements consideration of the impact of payment histories. We compared diagnostic tests revenue recorded by the Company to subsequent cash receipts. For a sample of tests, we evaluated collections of revenue to identify whether the estimation method required adjustment. This included comparing collections to certain relevant documentation, including explanation of benefits and test results. In addition, we inquired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individuals responsible for monitoring and tracking the status of anticipated collections to understand the progress of these activities and any impact on management’s estimates.</w:t>
      </w:r>
    </w:p>
    <w:p>
      <w:pPr>
        <w:pStyle w:val="TextBody"/>
        <w:bidi w:val="0"/>
        <w:spacing w:before="240" w:after="200"/>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jc w:val="left"/>
        <w:rPr>
          <w:rFonts w:ascii="Times New Roman" w:hAnsi="Times New Roman"/>
          <w:color w:val="000000"/>
          <w:sz w:val="20"/>
        </w:rPr>
      </w:pPr>
      <w:r>
        <w:rPr>
          <w:rFonts w:ascii="Times New Roman" w:hAnsi="Times New Roman"/>
          <w:color w:val="000000"/>
          <w:sz w:val="20"/>
        </w:rPr>
        <w:t>Denver, Colorado</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February 26,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sz w:val="20"/>
        </w:rPr>
      </w:pPr>
      <w:bookmarkStart w:id="32" w:name="balance_sheets"/>
      <w:bookmarkEnd w:id="32"/>
      <w:r>
        <w:rPr>
          <w:rFonts w:ascii="Times New Roman" w:hAnsi="Times New Roman"/>
          <w:b/>
          <w:color w:val="000000"/>
          <w:sz w:val="20"/>
        </w:rPr>
        <w:t>Balance</w:t>
      </w:r>
      <w:r>
        <w:rPr>
          <w:rFonts w:ascii="Times New Roman" w:hAnsi="Times New Roman"/>
          <w:color w:val="000000"/>
          <w:sz w:val="20"/>
        </w:rPr>
        <w:t xml:space="preserve"> </w:t>
      </w:r>
      <w:r>
        <w:rPr>
          <w:rFonts w:ascii="Times New Roman" w:hAnsi="Times New Roman"/>
          <w:b/>
          <w:color w:val="000000"/>
          <w:sz w:val="20"/>
        </w:rPr>
        <w:t>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39"/>
        <w:gridCol w:w="146"/>
        <w:gridCol w:w="332"/>
        <w:gridCol w:w="1325"/>
        <w:gridCol w:w="166"/>
        <w:gridCol w:w="146"/>
        <w:gridCol w:w="332"/>
        <w:gridCol w:w="1325"/>
        <w:gridCol w:w="594"/>
      </w:tblGrid>
      <w:tr>
        <w:trPr/>
        <w:tc>
          <w:tcPr>
            <w:tcW w:w="5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1"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26,245</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$62 and $481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57,760</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97,244</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 Equity</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w:t>
              <w:noBreakHyphen/>
              <w:t>term notes payable,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24,828</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62,051</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5,000,000 authorized; </w:t>
              <w:br/>
              <w:t>    0 (2025 and 2024)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Common stock, $0.001 par value, 200,000,000 authorized; </w:t>
              <w:br/>
              <w:t>   8,253,053 (2025) and 7,274,578 (2024) shares issued and outstanding</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Additional paid</w:t>
              <w:noBreakHyphen/>
              <w:t>in capital</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483,366</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(462,497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20,876</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97,244</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(a) All share information, Common stock balances, and Additional paid-in capital balances have been adjusted to reflect the 1-for-20 reverse stock split effective September 15, 2025. See Note 2 – </w:t>
      </w:r>
      <w:r>
        <w:rPr>
          <w:rFonts w:ascii="Times New Roman" w:hAnsi="Times New Roman"/>
          <w:i/>
          <w:color w:val="000000"/>
          <w:sz w:val="16"/>
        </w:rPr>
        <w:t>Summary of Significant Accounting Policies</w:t>
      </w:r>
      <w:r>
        <w:rPr>
          <w:rFonts w:ascii="Times New Roman" w:hAnsi="Times New Roman"/>
          <w:color w:val="000000"/>
          <w:sz w:val="20"/>
        </w:rPr>
        <w:t xml:space="preserve"> </w:t>
      </w:r>
      <w:r>
        <w:rPr>
          <w:rFonts w:ascii="Times New Roman" w:hAnsi="Times New Roman"/>
          <w:color w:val="000000"/>
          <w:sz w:val="16"/>
        </w:rPr>
        <w:t>for further details.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sz w:val="20"/>
        </w:rPr>
      </w:pPr>
      <w:bookmarkStart w:id="33" w:name="statements_operations"/>
      <w:bookmarkEnd w:id="33"/>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7667" w:type="dxa"/>
        <w:jc w:val="left"/>
        <w:tblInd w:w="0" w:type="dxa"/>
        <w:tblLayout w:type="fixed"/>
        <w:tblCellMar>
          <w:top w:w="28" w:type="dxa"/>
          <w:left w:w="28" w:type="dxa"/>
          <w:bottom w:w="28" w:type="dxa"/>
          <w:right w:w="28" w:type="dxa"/>
        </w:tblCellMar>
      </w:tblPr>
      <w:tblGrid>
        <w:gridCol w:w="4801"/>
        <w:gridCol w:w="146"/>
        <w:gridCol w:w="212"/>
        <w:gridCol w:w="786"/>
        <w:gridCol w:w="167"/>
        <w:gridCol w:w="146"/>
        <w:gridCol w:w="212"/>
        <w:gridCol w:w="786"/>
        <w:gridCol w:w="41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(35,265</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loss per share, basic and diluted</w:t>
            </w:r>
            <w:r>
              <w:rPr>
                <w:rFonts w:ascii="Times New Roman" w:hAnsi="Times New Roman"/>
                <w:color w:val="000000"/>
                <w:sz w:val="13"/>
              </w:rPr>
              <w:t>(a)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outstanding, basic and diluted</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(a) All share and per share information have been adjusted to reflect the 1-for-20 reverse stock split effective September 15, 2025. See Note 2 – </w:t>
      </w:r>
      <w:r>
        <w:rPr>
          <w:rFonts w:ascii="Times New Roman" w:hAnsi="Times New Roman"/>
          <w:i/>
          <w:color w:val="000000"/>
          <w:sz w:val="16"/>
        </w:rPr>
        <w:t>Summary of Significant Accounting Policies</w:t>
      </w:r>
      <w:r>
        <w:rPr>
          <w:rFonts w:ascii="Times New Roman" w:hAnsi="Times New Roman"/>
          <w:color w:val="000000"/>
          <w:sz w:val="20"/>
        </w:rPr>
        <w:t xml:space="preserve"> </w:t>
      </w:r>
      <w:r>
        <w:rPr>
          <w:rFonts w:ascii="Times New Roman" w:hAnsi="Times New Roman"/>
          <w:color w:val="000000"/>
          <w:sz w:val="16"/>
        </w:rPr>
        <w:t>for further details.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34" w:name="statements_convertible_preferred_stock_s"/>
      <w:bookmarkEnd w:id="34"/>
      <w:r>
        <w:rPr>
          <w:rFonts w:ascii="Times New Roman" w:hAnsi="Times New Roman"/>
          <w:b/>
          <w:color w:val="000000"/>
          <w:sz w:val="20"/>
        </w:rPr>
        <w:t>Statements of Stockholders' (Deficit)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969"/>
        <w:gridCol w:w="146"/>
        <w:gridCol w:w="146"/>
        <w:gridCol w:w="571"/>
        <w:gridCol w:w="146"/>
        <w:gridCol w:w="146"/>
        <w:gridCol w:w="295"/>
        <w:gridCol w:w="486"/>
        <w:gridCol w:w="146"/>
        <w:gridCol w:w="146"/>
        <w:gridCol w:w="265"/>
        <w:gridCol w:w="991"/>
        <w:gridCol w:w="146"/>
        <w:gridCol w:w="146"/>
        <w:gridCol w:w="243"/>
        <w:gridCol w:w="973"/>
        <w:gridCol w:w="166"/>
        <w:gridCol w:w="146"/>
        <w:gridCol w:w="381"/>
        <w:gridCol w:w="1337"/>
        <w:gridCol w:w="214"/>
      </w:tblGrid>
      <w:tr>
        <w:trPr/>
        <w:tc>
          <w:tcPr>
            <w:tcW w:w="2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Common Stock</w:t>
            </w:r>
            <w:r>
              <w:rPr>
                <w:rFonts w:ascii="Times New Roman" w:hAnsi="Times New Roman"/>
                <w:b/>
                <w:color w:val="000000"/>
                <w:sz w:val="13"/>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 (Deficit)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Capital</w:t>
            </w:r>
            <w:r>
              <w:rPr>
                <w:rFonts w:ascii="Times New Roman" w:hAnsi="Times New Roman"/>
                <w:b/>
                <w:color w:val="000000"/>
                <w:sz w:val="13"/>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A preferred stock to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Perceptive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Tranche C warrants to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495,289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(497,762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2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(a) All share and per share information have been adjusted to reflect the 1-for-20 reverse stock split effective September 15, 2025. See Note 2 – </w:t>
      </w:r>
      <w:r>
        <w:rPr>
          <w:rFonts w:ascii="Times New Roman" w:hAnsi="Times New Roman"/>
          <w:i/>
          <w:color w:val="000000"/>
          <w:sz w:val="16"/>
        </w:rPr>
        <w:t>Summary of Significant Accounting Policies</w:t>
      </w:r>
      <w:r>
        <w:rPr>
          <w:rFonts w:ascii="Times New Roman" w:hAnsi="Times New Roman"/>
          <w:color w:val="000000"/>
          <w:sz w:val="20"/>
        </w:rPr>
        <w:t xml:space="preserve"> </w:t>
      </w:r>
      <w:r>
        <w:rPr>
          <w:rFonts w:ascii="Times New Roman" w:hAnsi="Times New Roman"/>
          <w:color w:val="000000"/>
          <w:sz w:val="16"/>
        </w:rPr>
        <w:t>for further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sz w:val="20"/>
        </w:rPr>
      </w:pPr>
      <w:bookmarkStart w:id="35" w:name="statements_cash_flows"/>
      <w:bookmarkEnd w:id="35"/>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702" w:type="dxa"/>
        <w:jc w:val="left"/>
        <w:tblInd w:w="0" w:type="dxa"/>
        <w:tblLayout w:type="fixed"/>
        <w:tblCellMar>
          <w:top w:w="28" w:type="dxa"/>
          <w:left w:w="28" w:type="dxa"/>
          <w:bottom w:w="28" w:type="dxa"/>
          <w:right w:w="28" w:type="dxa"/>
        </w:tblCellMar>
      </w:tblPr>
      <w:tblGrid>
        <w:gridCol w:w="6636"/>
        <w:gridCol w:w="146"/>
        <w:gridCol w:w="221"/>
        <w:gridCol w:w="771"/>
        <w:gridCol w:w="173"/>
        <w:gridCol w:w="152"/>
        <w:gridCol w:w="221"/>
        <w:gridCol w:w="771"/>
        <w:gridCol w:w="611"/>
      </w:tblGrid>
      <w:tr>
        <w:trPr/>
        <w:tc>
          <w:tcPr>
            <w:tcW w:w="6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cash equivalents, and restricted</w:t>
              <w:br/>
              <w:t>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lease right-of-use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w:t>
              <w:noBreakHyphen/>
              <w:t>based compensation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 amortization of debt issuance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 excess and obsolescence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(23,242</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and 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(48,649</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 costs and intangible asset acquisition,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55,625</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term loan and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 and notes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provided by financing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16,417</w:t>
            </w:r>
          </w:p>
        </w:tc>
        <w:tc>
          <w:tcPr>
            <w:tcW w:w="1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52,050</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beginning of period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26,332</w:t>
            </w:r>
          </w:p>
        </w:tc>
        <w:tc>
          <w:tcPr>
            <w:tcW w:w="1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26,371</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19,075</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sz w:val="20"/>
        </w:rPr>
      </w:pP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(Continued from the previous page)</w:t>
      </w:r>
    </w:p>
    <w:p>
      <w:pPr>
        <w:pStyle w:val="TextBody"/>
        <w:bidi w:val="0"/>
        <w:spacing w:before="240" w:after="283"/>
        <w:jc w:val="left"/>
        <w:rPr>
          <w:rFonts w:ascii="Times New Roman" w:hAnsi="Times New Roman"/>
          <w:sz w:val="20"/>
        </w:rPr>
      </w:pPr>
      <w:r>
        <w:rPr>
          <w:rFonts w:ascii="Times New Roman" w:hAnsi="Times New Roman"/>
          <w:b/>
          <w:color w:val="000000"/>
          <w:sz w:val="20"/>
        </w:rPr>
        <w:t>Supplemental cash flow information</w:t>
      </w:r>
      <w:r>
        <w:rPr>
          <w:rFonts w:ascii="Times New Roman" w:hAnsi="Times New Roman"/>
          <w:color w:val="000000"/>
          <w:sz w:val="20"/>
        </w:rPr>
        <w:t>:</w:t>
      </w:r>
    </w:p>
    <w:p>
      <w:pPr>
        <w:pStyle w:val="TextBody"/>
        <w:bidi w:val="0"/>
        <w:jc w:val="left"/>
        <w:rPr/>
      </w:pPr>
      <w:r>
        <w:rPr/>
        <w:t> </w:t>
      </w:r>
    </w:p>
    <w:tbl>
      <w:tblPr>
        <w:tblW w:w="9889" w:type="dxa"/>
        <w:jc w:val="left"/>
        <w:tblInd w:w="0" w:type="dxa"/>
        <w:tblLayout w:type="fixed"/>
        <w:tblCellMar>
          <w:top w:w="28" w:type="dxa"/>
          <w:left w:w="28" w:type="dxa"/>
          <w:bottom w:w="28" w:type="dxa"/>
          <w:right w:w="28" w:type="dxa"/>
        </w:tblCellMar>
      </w:tblPr>
      <w:tblGrid>
        <w:gridCol w:w="7246"/>
        <w:gridCol w:w="146"/>
        <w:gridCol w:w="262"/>
        <w:gridCol w:w="710"/>
        <w:gridCol w:w="181"/>
        <w:gridCol w:w="181"/>
        <w:gridCol w:w="262"/>
        <w:gridCol w:w="710"/>
        <w:gridCol w:w="191"/>
      </w:tblGrid>
      <w:tr>
        <w:trPr/>
        <w:tc>
          <w:tcPr>
            <w:tcW w:w="7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financing costs included in accounts payable and other accrued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 obtained in exchange for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Perceptive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Tranche C warrants to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&amp; equipment included in accounts payable and accrued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BIODESIX, INC.</w:t>
      </w:r>
    </w:p>
    <w:p>
      <w:pPr>
        <w:pStyle w:val="TextBody"/>
        <w:bidi w:val="0"/>
        <w:spacing w:before="200" w:after="283"/>
        <w:jc w:val="center"/>
        <w:rPr>
          <w:rFonts w:ascii="Times New Roman" w:hAnsi="Times New Roman"/>
          <w:b/>
          <w:color w:val="000000"/>
          <w:sz w:val="20"/>
        </w:rPr>
      </w:pPr>
      <w:bookmarkStart w:id="36" w:name="notes_to_financial_statements"/>
      <w:bookmarkEnd w:id="36"/>
      <w:r>
        <w:rPr>
          <w:rFonts w:ascii="Times New Roman" w:hAnsi="Times New Roman"/>
          <w:b/>
          <w:color w:val="000000"/>
          <w:sz w:val="20"/>
        </w:rPr>
        <w:t>Notes to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Note 1 – Organization and Description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(the “Company”, “Biodesix”, “we” “us” and “our”), formerly Elston Technologies, Inc., was incorporated in Delaware in 2005. The Company’s headquarters are in Colorado and the Company performs its diagnostic tests and services in its laboratory facilities which are located in Louisville, Colorado and De Soto, Kansas. The Company conducts all of its operations within a single legal entity. Biodesix is a leading diagnostic solutions company, driven to improve clinical care and outcomes for patients. The Company develops diagnostic tests using a multi-omic approach to harness the strengths of different technologies that are best suited to address important clinical questions. 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Estimates</w:t>
      </w:r>
    </w:p>
    <w:p>
      <w:pPr>
        <w:pStyle w:val="TextBody"/>
        <w:bidi w:val="0"/>
        <w:spacing w:before="120" w:after="283"/>
        <w:jc w:val="both"/>
        <w:rPr>
          <w:rFonts w:ascii="Times New Roman" w:hAnsi="Times New Roman"/>
          <w:sz w:val="20"/>
        </w:rPr>
      </w:pPr>
      <w:r>
        <w:rPr>
          <w:rFonts w:ascii="Times New Roman" w:hAnsi="Times New Roman"/>
          <w:color w:val="212529"/>
          <w:sz w:val="20"/>
        </w:rPr>
        <w:t xml:space="preserve">The Company’s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Significant items subject to such estimates include: revenue recognition; the estimation of the fair value of goodwill and other intangible assets pursuant to the Company's annual impairment analysis; fair value of stock options; income tax uncertainties, including a valuation allowance for deferred tax assets; fair value of warrant liabilities; leases, including </w:t>
      </w:r>
      <w:r>
        <w:rPr>
          <w:rFonts w:ascii="Times New Roman" w:hAnsi="Times New Roman"/>
          <w:color w:val="000000"/>
          <w:sz w:val="20"/>
        </w:rPr>
        <w:t>the estimated incremental borrowing rates</w:t>
      </w:r>
      <w:r>
        <w:rPr>
          <w:rFonts w:ascii="Times New Roman" w:hAnsi="Times New Roman"/>
          <w:color w:val="212529"/>
          <w:sz w:val="20"/>
        </w:rPr>
        <w:t>;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recognized revenue and expenses that are not readily apparent from other sources. Actual results could differ from those estimates and assumptions.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loss is defined as a change in equity during a period from transactions and other events and circumstances from non-owner sources. The Company’s comprehensive loss was the same as its reported net loss for all periods presented.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15, 2025, we effected a 1-for-20 reverse stock split, which reduced the number of our shares of common stock outstanding on that date from 155,958,071 shares to 7,797,830 shares. The number of authorized shares of our common stock and preferred stock remained unchanged at 200.0 million and 5.0 million, respectively. The number of shares of common stock issuable upon settlement of outstanding restricted stock units, exercise of stock options, and exercise of warrants was reduced proportionately as a result of the reverse stock split. Additionally, the exercise price of all outstanding options and warrants, the number of shares of common stock issuable upon exercise of all outstanding options and warrants, and the number of shares reserved for future issuance pursuant to our equity incentive plans were all adjusted proportionately as a result of the 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common stock share data share-based calculations and exercise prices set forth in this report have been adjusted to reflect our 1-for-20 reverse stock split, which was effective September 15, 2025, on a retroactive basis for the periods presented.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decision-maker (CODM) in deciding how to allocate resources and assess performance. The Company's chief executive officer and chief financial officer, as a group, represents the entity's chief operating decision makers. The Company’s CODM views the Company’s operations and manages its business as a single operating segment focused on providing diagnostic testing in the clinical setting and providing services to biopharmaceutical companies.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15 — </w:t>
      </w:r>
      <w:r>
        <w:rPr>
          <w:rFonts w:ascii="Times New Roman" w:hAnsi="Times New Roman"/>
          <w:i/>
          <w:color w:val="000000"/>
          <w:sz w:val="20"/>
        </w:rPr>
        <w:t>Segment Reporting</w:t>
      </w:r>
      <w:r>
        <w:rPr>
          <w:rFonts w:ascii="Times New Roman" w:hAnsi="Times New Roman"/>
          <w:color w:val="000000"/>
          <w:sz w:val="20"/>
        </w:rPr>
        <w:t xml:space="preserve"> for additional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Diagnostic Tests, providing lung diagnostic testing services for healthcare providers associated with our five blood-based tests and (ii) Development Services, providing diagnostic testing services to biopharmaceutical, life sciences, and diagnostic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Diagnostic Tests revenues consist of blood-based lung tests and are recognized in the amount expected to be received in exchange for diagnostic tests when the diagnostic tests are delivered. The Company determines the transaction price and amount to accrue related to its blood-based lung diagnostic test contracts using a portfolio approach by considering: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nature of the payer and payer coverage;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 history;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test type;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historical amount of time until payment by a payer;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historical price concessions granted to groups of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there is a reimbursement contract between the payer and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 as a percentage of agreed upon rate (if applicable);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 paid per test;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current developments or changes that could impact reimbursement.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Variable consideration, if any, is estimated based on an analysis of historical experience and adjusted as better estimates become available. These estimates require significant judgment by management.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also provides services to patients with whom the Company does not have contracts as defined Accounting Standards Codification (ASC) 606, </w:t>
      </w:r>
      <w:r>
        <w:rPr>
          <w:rFonts w:ascii="Times New Roman" w:hAnsi="Times New Roman"/>
          <w:i/>
          <w:color w:val="000000"/>
          <w:sz w:val="20"/>
        </w:rPr>
        <w:t>Revenue from contracts with customers</w:t>
      </w:r>
      <w:r>
        <w:rPr>
          <w:rFonts w:ascii="Times New Roman" w:hAnsi="Times New Roman"/>
          <w:color w:val="000000"/>
          <w:sz w:val="20"/>
        </w:rPr>
        <w:t>. The Company recognizes revenue for these patients when contracts are established at the amount of consideration to which it expects to be entitled, or when the Company receives substantially all of the consideration subsequent to satisfaction and delivery of the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Customers for these services are typically large biopharmaceutical companies where collectability is reasonably assured and therefore revenue is accrued upon completion of the performance obligations. Revenue for these services is recognized upon delivery of the completed test results, upon completion of the contractual milestone(s), or over the term of the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consists of payments received for research, development, and testing services fees received prior to the completion of performance of these tests and services.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11 — </w:t>
      </w:r>
      <w:r>
        <w:rPr>
          <w:rFonts w:ascii="Times New Roman" w:hAnsi="Times New Roman"/>
          <w:i/>
          <w:color w:val="000000"/>
          <w:sz w:val="20"/>
        </w:rPr>
        <w:t>Revenue and Accounts Receivable Credit Concentration</w:t>
      </w:r>
      <w:r>
        <w:rPr>
          <w:rFonts w:ascii="Times New Roman" w:hAnsi="Times New Roman"/>
          <w:color w:val="000000"/>
          <w:sz w:val="20"/>
        </w:rPr>
        <w:t xml:space="preserve"> for additional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components of our cost of diagnostic tests and testing services consist of cost of materials, direct labor, including bonuses, benefit and share-based compensation, depreciation of laboratory equipment, rent costs, amortization of leasehold improvements and information technology costs associated with acquiring and processing test samples, including sample accessioning, test performance, quality control analyses, charges to collect and transport samples; curation of test results for physicians; and in some cases, license or royalty fees due to third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Costs associated with performing tests are expensed as the test is processed regardless of whether and when revenue is recognized with respect to that test.</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Research and Development </w:t>
      </w:r>
      <w:r>
        <w:rPr>
          <w:rFonts w:ascii="Times New Roman" w:hAnsi="Times New Roman"/>
          <w:b/>
          <w:i/>
          <w:color w:val="212529"/>
          <w:sz w:val="20"/>
        </w:rPr>
        <w:t>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include external and internal costs incurred to develop our technology, collect clinical samples, and conduct clinical studies to develop and support our products. External costs consist primarily of payments to clinical trial sites, sample acquisition costs and laboratory supplies purchased in connection with the Company’s discovery and preclinical activities, process development and clinical development activities, infrastructure expenses, including allocated facility occupancy and information technology costs. Internal expenses include employee-related costs, including salaries, share-based compensation, and related benefits for employees engaged in research and development functions.</w:t>
      </w:r>
    </w:p>
    <w:p>
      <w:pPr>
        <w:pStyle w:val="TextBody"/>
        <w:bidi w:val="0"/>
        <w:spacing w:before="120" w:after="283"/>
        <w:jc w:val="both"/>
        <w:rPr>
          <w:rFonts w:ascii="Times New Roman" w:hAnsi="Times New Roman"/>
          <w:color w:val="212529"/>
          <w:sz w:val="20"/>
        </w:rPr>
      </w:pPr>
      <w:r>
        <w:rPr>
          <w:rFonts w:ascii="Times New Roman" w:hAnsi="Times New Roman"/>
          <w:color w:val="212529"/>
          <w:sz w:val="20"/>
        </w:rPr>
        <w:t xml:space="preserve">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payments that do not match the periods over which materials or services are provided under such contracts.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12529"/>
          <w:sz w:val="20"/>
        </w:rPr>
      </w:pPr>
      <w:r>
        <w:rPr>
          <w:rFonts w:ascii="Times New Roman" w:hAnsi="Times New Roman"/>
          <w:color w:val="212529"/>
          <w:sz w:val="20"/>
        </w:rPr>
        <w:t xml:space="preserve">Company’s estimates depend on the timeliness and accuracy of the data provided by consultants and vendors regarding the status of each activity. The Company periodically evaluates the estimates to determine if adjustments are necessary or appropriate based on information received. Research and development costs are expensed as incurred.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Sales, Marketing, 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Selling expenses consist primarily of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share-based compensation, as well as marketing and educational activities and allocated overhead expenses.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marketing, general and administrative expenses also include costs for our marketing and sales organizations, and other functions including finance, legal, human resources, and information technology. These expenses consist principally of salaries, bonuses, employee benefits, travel, share-based compensation, as well as professional services fees such as consulting, audit, tax and legal fees, and general corporate costs and allocated overhead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Concentrations of Credit Risk and Other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its operating results.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credit risk concentration of accounts receivable as of December 31, 2025 and 2024, see Note 11 — </w:t>
      </w:r>
      <w:r>
        <w:rPr>
          <w:rFonts w:ascii="Times New Roman" w:hAnsi="Times New Roman"/>
          <w:i/>
          <w:color w:val="000000"/>
          <w:sz w:val="20"/>
        </w:rPr>
        <w:t>Revenue and Accounts Receivable Credit Concentration</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equivalents consist of short-term, highly-liquid instruments with an original maturity of three months or less from the date of purchase.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cash consists of deposits related to the Company’s corporate credit card. As of December 31, 2025 and 2024, the Company had $0.1 million restricted cash, respectively, which was included in ‘Other current assets’ in the accompanying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Accounts Receivable and Allowance for Doubtful Accounts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Accounts receivable are stated at the amount management expects to collect from customers based on their outstanding invoices. Management reviews accounts receivable quarterly to determine if any receivable will potentially be uncollectible and to estimate the amount of allowance for credit losses necessary to reduce accounts receivable to its estimated net realizable value based on historical experience, customer creditworthiness, facts, and circumstances specific to outstanding balances, and payment terms.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Inventory consists primarily of material supplies, which are consumed in the performance of testing services and charged to ‘Direct costs and expenses.’ Inventory is stated at cost and reported within ‘Other current assets’ in the balance sheet and was $1.3 million and $1.0 million for the years ended December 31, 2025 and 2024, respectively. The Company recorded an insignificant amount as reserve for excess inventory for both the years ended December 31, 2025 and 2024. During both the years ended December 31, 2025 and 2024, the Company recorded an insignificant amount to the statement of operations for excess and obsolete inventory.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stated at cost less accumulated depreciation.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in the period realized.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Long-lived assets to be held and used are evaluated for impairment when events or circumstances indicate the carrying value of a long-lived asset or asset group is less than the undiscounted cash flows from the use and eventual disposition over its remaining useful life. The Company assesses recoverability by comparing the sum or projected undiscounted cash flows from the use and eventual disposition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the asset or asset group to its carrying value, and records an impairment loss if the carrying value is greater than the undiscounted future cash flows. There were no impairments for the years ended December 31, 2025 and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Intangible assets primarily consist of intangible assets acquired as part of business combinations, external costs associated with patent applications that are probable of future economic benefits, and trademark costs. Finite-lived intangibles are stated at cost, net of accumulated amortization. The Company amortizes finite-lived intangible assets using the straight-line method over their estimated useful lives of 10 years, based on management's estimate of the period over which their economic benefits will be realized, product life and patent life. Trademarks are considered indefinite lived and are not amortized.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Intangible assets are reviewed for impairment whenever events or changes in circumstances indicate a reduction to fair value below their carrying amounts. The Company recorded $0.1 million and $0.2 million for impairments during the years ended December 31, 2025 and 2024, respectively, related to patents the Company is no longer pursuing.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Goodwill represents the excess of purchase price over amounts allocated to acquired assets and liabilities assumed in business combinations. The carrying value of goodwill is evaluated for impairment at least annually or more frequently when events or circumstances occur indicate a potential for impairment. The annual impairment test is performed on the last day of our fourth quarter. Prior to performing a quantitative evaluation, an assessment of qualitative factors may be performed to determine whether it is more likely than not that the fair value of the reporting unit exceeds its carrying value. In the event the Company determines that it is more likely than not the carrying value of our single reporting unit is higher than its estimated fair value, quantitative testing is performed comparing recorded values to estimated fair values. If impairment is present, the impairment loss is measured as the excess of the recorded goodwill over its implied fair value. Through December 31, 2025, there were no accumulated impairment losses.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acts as a lessee under all its lease agreements and holds various real estate leases for its headquarters and laboratory facilities in Colorado and Kansas and other various copier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determines if an arrangement is a lease at inception or upon modification of a contract. The Company capitalizes only those leases with an initial term of twelve months or more. Leases are classified as either financing or operating, with classification affecting the pattern of expense recognition in the statements of operations. When determining whether a lease is a finance lease or an operating lease, ASC 842 does not specifically define criteria to determine the “major part of remaining economic life of the underlying asset” and “substantially all of the fair value of the underlying asset.” For lease classification determination, Management continues to use (i) 75% or greater to determine whether the lease term is a major part of the remaining economic life of the underlying asset and (ii) 90% or greater to determine whether the present value of the sum of lease payments is substantially all of the fair value of the underlying asset.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ROU assets represent the Company's right to use an underlying asset for the lease term. Lease liabilities represent the Company's obligation to make lease payments under the lease. Operating lease ROU assets and liabilities are recognized at the lease commencement date based on the present value of lease payments over the lease term. In determining the present value of lease payments, the Company uses either the rate implicit in the lease or its incremental borrowing rate, as applicable, based on the information available at lease commencement date. The Company applies the estimated incremental borrowing rates on a lease-by-lease level based on the economic environment associated with the lease. The operating lease ROU asset also includes any lease prepayments, net of lease incentives. We account for lease and non-lease components (such as common area maintenance, utilities, insurance and taxes) as a single lease component for all classes of underlying assets. Certain of the Company's leases include options to extend or terminate the lease. As leases approach maturity, the Company considers various factors such as market conditions and the terms of any renewal and termination options that may exist to determine whether we will renew or terminate the lease, as such, we generally do not include renewal or termination options in our lease terms for calculating our lease liability, as the options allow us to maintain operational flexibility and we are not reasonably certain we will exercise these options at the time of the lease commencement. The Company's lease agreements do not contain any material residual value guarantees or restrictive covenants. Lease expense for lease payments of operating leases is recognized on a straight-line basis over the term of the lease. The Company uses the long-lived assets impairment guidance to determine recognition and measurement of an ROU asset impairment, if any. The Company monitors for events or changes in circumstances that require a reassessment.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has a $5.0 million cash refundable deposit to secure the performance of the Company’s obligations associated with the operating lease agreement with Centennial Valley Properties I, LLC (see Note 9 – </w:t>
      </w:r>
      <w:r>
        <w:rPr>
          <w:rFonts w:ascii="Times New Roman" w:hAnsi="Times New Roman"/>
          <w:i/>
          <w:color w:val="000000"/>
          <w:sz w:val="20"/>
        </w:rPr>
        <w:t>Leases</w:t>
      </w:r>
      <w:r>
        <w:rPr>
          <w:rFonts w:ascii="Times New Roman" w:hAnsi="Times New Roman"/>
          <w:color w:val="000000"/>
          <w:sz w:val="20"/>
        </w:rPr>
        <w:t>). As of December 31, 2025 and 2024, the $5.0 million refundable deposit is reported within 'Other long-term assets' in the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holds and acts as a lessee under various finance lease agreements for laboratory equipment in Colorado and Kansas. As of December 31, 2025 and 2024, the Company had $3.0 million and $2.2 million recorded as net finance lease ROU assets within 'Other long-term assets' in the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Additional information and disclosures required by this standard are contained in Note 9 — </w:t>
      </w:r>
      <w:r>
        <w:rPr>
          <w:rFonts w:ascii="Times New Roman" w:hAnsi="Times New Roman"/>
          <w:i/>
          <w:color w:val="000000"/>
          <w:sz w:val="20"/>
        </w:rPr>
        <w:t>Leases</w:t>
      </w:r>
      <w:r>
        <w:rPr>
          <w:rFonts w:ascii="Times New Roman" w:hAnsi="Times New Roman"/>
          <w:color w:val="000000"/>
          <w:sz w:val="2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three levels of the hierarchy and the related inputs are as follows:</w:t>
      </w:r>
    </w:p>
    <w:tbl>
      <w:tblPr>
        <w:tblW w:w="8961" w:type="dxa"/>
        <w:jc w:val="left"/>
        <w:tblInd w:w="0" w:type="dxa"/>
        <w:tblLayout w:type="fixed"/>
        <w:tblCellMar>
          <w:top w:w="28" w:type="dxa"/>
          <w:left w:w="28" w:type="dxa"/>
          <w:bottom w:w="28" w:type="dxa"/>
          <w:right w:w="28" w:type="dxa"/>
        </w:tblCellMar>
      </w:tblPr>
      <w:tblGrid>
        <w:gridCol w:w="586"/>
        <w:gridCol w:w="109"/>
        <w:gridCol w:w="8266"/>
      </w:tblGrid>
      <w:tr>
        <w:trPr/>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58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Inputs</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identical assets and liabilities.</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similar assets and liabilities;</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for identical or similar assets or liabilities in markets that are not active; or</w:t>
            </w:r>
          </w:p>
        </w:tc>
      </w:tr>
      <w:tr>
        <w:trPr/>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other than quoted prices that are observable for the asset or liability.</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for the asset or liability.</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4 — </w:t>
      </w:r>
      <w:r>
        <w:rPr>
          <w:rFonts w:ascii="Times New Roman" w:hAnsi="Times New Roman"/>
          <w:i/>
          <w:color w:val="000000"/>
          <w:sz w:val="20"/>
        </w:rPr>
        <w:t xml:space="preserve">Fair Value </w:t>
      </w:r>
      <w:r>
        <w:rPr>
          <w:rFonts w:ascii="Times New Roman" w:hAnsi="Times New Roman"/>
          <w:color w:val="000000"/>
          <w:sz w:val="20"/>
        </w:rPr>
        <w:t>for further discussion related to estimated fair value measurements.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Retirement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 defined contribution retirement plan in which all employees are eligible to participate. The plan is intended to qualify under Section 401(k) of the Internal Revenue Code. Employees may elect to have a percentage of their compensation contributed to the plan, subject to certain guidelines issued by the Internal Revenue Service. Beginning in 2025, the Company began making discretionary employer matching contributions. During the year ended December 31, 2025, the Company's total contributions to the plan were $0.7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contingent consideration was assessed at each balance sheet date and changes, if any, to the fair value were recorded as ‘Interest expense’ in the statements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warrant liabilities was assessed at each balance sheet date and changes, if any, to the fair value were recorded as 'Change in fair value of warrant liability, net' in the statements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Share</w:t>
        <w:noBreakHyphen/>
        <w:t>Based Compensation</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grants service condition and performance condition stock options. Stock options are granted with exercise prices equal to the fair market value of our common stock on the date of grant. The grant date fair value of each employee stock option is estimated on the date of grant using the Black-Scholes option-pricing model, which requires the use of assumptions, including the expected term of the option, expected volatility of our stock price, expected dividend yield, and the risk-free interest rate, among others. We estimate forfeitures and adjust these estimates to actual forfeitures as they occur. These assumptions involve inherent uncertainties including market conditions and employee behavior that are generally outside of the Company’s control. Service condition stock options are expensed based on the grant date fair value of the awards using the straight-line method over the requisite service period. Performance-condition stock options, if granted, vest based on achievement of multiple weighted performance goals, certification of performance achievement by the Compensation Committee of the Board of Directors, and continued service. For performance-condition stock options, compensation expense is updated for our expected performance level against performance goals at the end of each reporting period, which involves judgment as to achievement of certain performance metrics.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grants service-condition RSUs. The grant date fair values of these RSUs are based on the closing market price of our common stock on the grant date. We estimate forfeitures and adjust these estimates to actual forfeitures as they occur. The service-condition RSUs vest based on continued service with compensation expense recognized on a straight-line basis over the requisite service period.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12 — </w:t>
      </w:r>
      <w:r>
        <w:rPr>
          <w:rFonts w:ascii="Times New Roman" w:hAnsi="Times New Roman"/>
          <w:i/>
          <w:color w:val="000000"/>
          <w:sz w:val="20"/>
        </w:rPr>
        <w:t>Share-Based Compensation</w:t>
      </w:r>
      <w:r>
        <w:rPr>
          <w:rFonts w:ascii="Times New Roman" w:hAnsi="Times New Roman"/>
          <w:color w:val="000000"/>
          <w:sz w:val="20"/>
        </w:rPr>
        <w:t xml:space="preserve"> for additional information related to share-based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income taxes in accordance with ASC 740, </w:t>
      </w:r>
      <w:r>
        <w:rPr>
          <w:rFonts w:ascii="Times New Roman" w:hAnsi="Times New Roman"/>
          <w:i/>
          <w:color w:val="000000"/>
          <w:sz w:val="20"/>
        </w:rPr>
        <w:t>Income Taxes</w:t>
      </w:r>
      <w:r>
        <w:rPr>
          <w:rFonts w:ascii="Times New Roman" w:hAnsi="Times New Roman"/>
          <w:color w:val="000000"/>
          <w:sz w:val="20"/>
        </w:rPr>
        <w:t>, under which deferred income taxes are recognized based on the estimated future tax effects of differences between the financial statement and tax bases of assets and liabilities given the provisions of enacted tax laws. Deferred income tax provisions and benefits are based on changes to the assets or liabilities from year to year. In providing for deferred taxes, the Company considers tax regulations of the jurisdictions in which the Company operates, estimates of future taxable income, and available tax planning strategies. If tax regulations, operating results, or the ability to implement tax-planning strategies vary, adjustments to the carrying value of deferred tax assets and liabilities may be required. A valuation allowance is recorded when it is more likely than not that a deferred tax asset will not be realized. The recorded valuation allowance is based on significant estimates and judgments and if the facts and circumstances change, the valuation allowance could materially change. In accounting for uncertainty in income taxes, the Company recognizes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 The Company recognizes interest and penalties accrued on any unrecognized tax benefits as a component of income tax expense.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14 — </w:t>
      </w:r>
      <w:r>
        <w:rPr>
          <w:rFonts w:ascii="Times New Roman" w:hAnsi="Times New Roman"/>
          <w:i/>
          <w:color w:val="000000"/>
          <w:sz w:val="20"/>
        </w:rPr>
        <w:t>Income Taxes</w:t>
      </w:r>
      <w:r>
        <w:rPr>
          <w:rFonts w:ascii="Times New Roman" w:hAnsi="Times New Roman"/>
          <w:color w:val="000000"/>
          <w:sz w:val="20"/>
        </w:rPr>
        <w:t xml:space="preserve"> for additional information related to income taxes.</w:t>
      </w:r>
    </w:p>
    <w:p>
      <w:pPr>
        <w:pStyle w:val="TextBody"/>
        <w:bidi w:val="0"/>
        <w:spacing w:before="120" w:after="283"/>
        <w:jc w:val="left"/>
        <w:rPr>
          <w:rFonts w:ascii="Times New Roman" w:hAnsi="Times New Roman"/>
          <w:sz w:val="20"/>
        </w:rPr>
      </w:pPr>
      <w:r>
        <w:rPr>
          <w:rFonts w:ascii="Times New Roman" w:hAnsi="Times New Roman"/>
          <w:b/>
          <w:i/>
          <w:color w:val="000000"/>
          <w:sz w:val="20"/>
        </w:rPr>
        <w:t>Net Loss per Common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common share is calculated by dividing net loss by the weighted-average number of common shares outstanding during the period, without consideration of common stock equivalents. Diluted net loss per common share is computed by dividing net loss by the weighted-average number of common share equivalents outstanding for the period, if dilutive, using the treasury stock method. Potentially dilutive securities consisting of options to purchase common stock, warrants to purchase common stock, RSUs and shares subject to purchase under our employee stock purchase plan were excluded from the calculation of diluted net loss per common share because their effect would be anti-dilutive for all periods presented.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 Recent Issued Accounting Standards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adopted accounting standards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This ASU improves the transparency of income tax disclosures by requiring consistent categories and greater disaggregation of information in the rate reconciliation and income taxes paid by jurisdiction. This guidance became effective for the Company for the annual period beginning on January 1, 2025, and will be effective for interim periods beginning on January 1, 2026. The Company has adopted ASU 2023-09 for the year ended December 31, 2025, and applied the new disclosure requirements retrospectively to the prior period.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14 — </w:t>
      </w:r>
      <w:r>
        <w:rPr>
          <w:rFonts w:ascii="Times New Roman" w:hAnsi="Times New Roman"/>
          <w:i/>
          <w:color w:val="000000"/>
          <w:sz w:val="20"/>
        </w:rPr>
        <w:t>Income Taxes</w:t>
      </w:r>
      <w:r>
        <w:rPr>
          <w:rFonts w:ascii="Times New Roman" w:hAnsi="Times New Roman"/>
          <w:color w:val="000000"/>
          <w:sz w:val="20"/>
        </w:rPr>
        <w:t xml:space="preserve"> for additional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Standards being evaluated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This ASU improves the transparency of a public business entity's expense disclosures by requiring more detailed information about the types of expenses (including purchases of inventory, employee compensation, depreciation, amortization, and depletion) in commonly presented expense captions (such as cost of sales, SG&amp;A, and research and development). This guidance will become effective for the Company for the annual period beginning on January 1, 2027, and interim periods beginning on January 1, 2028, with early adoption permitted. The Company is currently evaluating this guidance and assessing the overall impact on its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In July 2025, the FASB issued ASU 2025</w:t>
        <w:noBreakHyphen/>
        <w:t xml:space="preserve">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This ASU provides a practical expedient for entities estimating expected credit losses on current trade receivables and contract assets arising from revenue transactions accounted for under Topic 606. The practical expedient allows entities to assume that current economic conditions as of the balance sheet date do not change for the remaining life of the current accounts receivable and current contract assets. Therefore, an entity will not need to develop reasonable and supportable forecasts of future economic conditions. The practical expedient applies only to current accounts receivable and current contract assets. Entities electing to apply the practical expedient must do so consistently across all current accounts receivable and current contract assets arising from transactions accounted for under Topic 606. If adopted, this guidance will become effective for the Company for annual periods beginning after December 15, 2025, including interim periods within those annual periods with early adoption permitted and is required to be applied prospectively. The Company is currently evaluating the available elections under the new standard, including whether to adopt the practical expedient. However, based on our preliminary assessment, we do not expect the adoption of ASU 2025</w:t>
        <w:noBreakHyphen/>
        <w:t>05 to have a material impact on our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This ASU clarifies the interim reporting requirements by improving navigability of Topic 270 and more clearly specifying what disclosures are required in an interim reporting period. It is not intended to significantly change interim reporting or expand or reduce interim disclosure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This guidance will become effective for the Company for the interim periods beginning after December 15, 2027, with early adoption permitted. The Company is currently evaluating this guidance and assessing the overall impact on its financial statements. However, based on our preliminary assessment, we do not expect the adoption of ASU 2025</w:t>
        <w:noBreakHyphen/>
        <w:t>11 to have a material impact on our interim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 Fair Value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Recurring Fair Value Measurements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borrowing instruments are recorded at their carrying values in the balance sheets, which may differ from their respective fair values. The fair value of borrowings as of December 31, 2025 and 2024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carrying value of outstanding borrowings approximates the fair value as of December 31, 2025. The difference between the carrying value and fair value of outstanding borrowings as of December 31, 2024 is due to an increase in the fair value of debt as a result of improved credit markets. The table below presents the carrying and fair values of outstanding borrowings, which are classified as Level 2, as of the dates indicated (in thousands):</w:t>
      </w:r>
    </w:p>
    <w:tbl>
      <w:tblPr>
        <w:tblW w:w="7199" w:type="dxa"/>
        <w:jc w:val="left"/>
        <w:tblInd w:w="0" w:type="dxa"/>
        <w:tblLayout w:type="fixed"/>
        <w:tblCellMar>
          <w:top w:w="28" w:type="dxa"/>
          <w:left w:w="28" w:type="dxa"/>
          <w:bottom w:w="28" w:type="dxa"/>
          <w:right w:w="28" w:type="dxa"/>
        </w:tblCellMar>
      </w:tblPr>
      <w:tblGrid>
        <w:gridCol w:w="1066"/>
        <w:gridCol w:w="146"/>
        <w:gridCol w:w="342"/>
        <w:gridCol w:w="1098"/>
        <w:gridCol w:w="146"/>
        <w:gridCol w:w="146"/>
        <w:gridCol w:w="242"/>
        <w:gridCol w:w="778"/>
        <w:gridCol w:w="146"/>
        <w:gridCol w:w="146"/>
        <w:gridCol w:w="342"/>
        <w:gridCol w:w="1098"/>
        <w:gridCol w:w="146"/>
        <w:gridCol w:w="146"/>
        <w:gridCol w:w="242"/>
        <w:gridCol w:w="77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sz w:val="20"/>
        </w:rPr>
      </w:pPr>
      <w:r>
        <w:rPr>
          <w:rFonts w:ascii="Times New Roman" w:hAnsi="Times New Roman"/>
          <w:color w:val="000000"/>
          <w:sz w:val="20"/>
        </w:rPr>
        <w:t xml:space="preserve">The financial liabilities that are measured and recorded at estimated fair value on a recurring basis consist of the warrant liabilities granted as consideration for the Perceptive Term Loan Facility (see Note 8 – </w:t>
      </w:r>
      <w:r>
        <w:rPr>
          <w:rFonts w:ascii="Times New Roman" w:hAnsi="Times New Roman"/>
          <w:i/>
          <w:color w:val="000000"/>
          <w:sz w:val="20"/>
        </w:rPr>
        <w:t>Debt</w:t>
      </w:r>
      <w:r>
        <w:rPr>
          <w:rFonts w:ascii="Times New Roman" w:hAnsi="Times New Roman"/>
          <w:color w:val="000000"/>
          <w:sz w:val="20"/>
        </w:rPr>
        <w:t>), contingent value rights granted to certain holders of our previously converted Series F Preferred Stock, and, prior to 2025, contingent consideration associated with our previous acquisition of Indi, which were accounted for as liabilities and remeasured through our statements of operations. The fair values of these financial liabilities are classified as Level 3 in the fair value hierarchy, however, as of December 31, 2025 and 2024, there are no liability balances associated with warrant liabilities, contingent value rights, or contingent consideration.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presents the changes in warrant liabilities for the dates indicated (in thousands):</w:t>
      </w:r>
    </w:p>
    <w:tbl>
      <w:tblPr>
        <w:tblW w:w="10138" w:type="dxa"/>
        <w:jc w:val="left"/>
        <w:tblInd w:w="0" w:type="dxa"/>
        <w:tblLayout w:type="fixed"/>
        <w:tblCellMar>
          <w:top w:w="28" w:type="dxa"/>
          <w:left w:w="28" w:type="dxa"/>
          <w:bottom w:w="28" w:type="dxa"/>
          <w:right w:w="28" w:type="dxa"/>
        </w:tblCellMar>
      </w:tblPr>
      <w:tblGrid>
        <w:gridCol w:w="5611"/>
        <w:gridCol w:w="146"/>
        <w:gridCol w:w="1271"/>
        <w:gridCol w:w="2899"/>
        <w:gridCol w:w="2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twelve months ended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9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Tranche C Warrants to additional paid-in capital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presents the changes in contingent consideration for the dates indicated (in thousands):</w:t>
      </w:r>
    </w:p>
    <w:tbl>
      <w:tblPr>
        <w:tblW w:w="7828" w:type="dxa"/>
        <w:jc w:val="left"/>
        <w:tblInd w:w="0" w:type="dxa"/>
        <w:tblLayout w:type="fixed"/>
        <w:tblCellMar>
          <w:top w:w="28" w:type="dxa"/>
          <w:left w:w="28" w:type="dxa"/>
          <w:bottom w:w="28" w:type="dxa"/>
          <w:right w:w="28" w:type="dxa"/>
        </w:tblCellMar>
      </w:tblPr>
      <w:tblGrid>
        <w:gridCol w:w="3301"/>
        <w:gridCol w:w="146"/>
        <w:gridCol w:w="928"/>
        <w:gridCol w:w="3242"/>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twelve months ended 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Beginning balances - January 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balances -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42"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8 – </w:t>
      </w:r>
      <w:r>
        <w:rPr>
          <w:rFonts w:ascii="Times New Roman" w:hAnsi="Times New Roman"/>
          <w:i/>
          <w:color w:val="000000"/>
          <w:sz w:val="20"/>
        </w:rPr>
        <w:t>Debt</w:t>
      </w:r>
      <w:r>
        <w:rPr>
          <w:rFonts w:ascii="Times New Roman" w:hAnsi="Times New Roman"/>
          <w:color w:val="000000"/>
          <w:sz w:val="20"/>
        </w:rPr>
        <w:t xml:space="preserve">), the Company issued Perceptive a warrant to purchase up to 250,000 shares of the Company's common stock (the Perceptive Warrant), including Initial Warrants (as defined in Note 10 – </w:t>
      </w:r>
      <w:r>
        <w:rPr>
          <w:rFonts w:ascii="Times New Roman" w:hAnsi="Times New Roman"/>
          <w:i/>
          <w:color w:val="000000"/>
          <w:sz w:val="20"/>
        </w:rPr>
        <w:t xml:space="preserve">Equity </w:t>
      </w:r>
      <w:r>
        <w:rPr>
          <w:rFonts w:ascii="Times New Roman" w:hAnsi="Times New Roman"/>
          <w:color w:val="000000"/>
          <w:sz w:val="20"/>
        </w:rPr>
        <w:t xml:space="preserve">below) and Tranche B and C Warrants. The Initial Warrants are equity classified (see Note 10 – </w:t>
      </w:r>
      <w:r>
        <w:rPr>
          <w:rFonts w:ascii="Times New Roman" w:hAnsi="Times New Roman"/>
          <w:i/>
          <w:color w:val="000000"/>
          <w:sz w:val="20"/>
        </w:rPr>
        <w:t>Equity</w:t>
      </w:r>
      <w:r>
        <w:rPr>
          <w:rFonts w:ascii="Times New Roman" w:hAnsi="Times New Roman"/>
          <w:color w:val="000000"/>
          <w:sz w:val="20"/>
        </w:rPr>
        <w:t xml:space="preserve">) while the Tranche B and C Warrants were initially classified as liabilities and recognized at fair value. On December 15, 2023 (the Tranche B Borrowing Date), the Company exercised its ability to draw the Tranche B loan (see Note 8 – </w:t>
      </w:r>
      <w:r>
        <w:rPr>
          <w:rFonts w:ascii="Times New Roman" w:hAnsi="Times New Roman"/>
          <w:i/>
          <w:color w:val="000000"/>
          <w:sz w:val="20"/>
        </w:rPr>
        <w:t>Debt</w:t>
      </w:r>
      <w:r>
        <w:rPr>
          <w:rFonts w:ascii="Times New Roman" w:hAnsi="Times New Roman"/>
          <w:color w:val="000000"/>
          <w:sz w:val="20"/>
        </w:rPr>
        <w:t xml:space="preserve">). In connection with the Tranche B draw, the Company remeasured the Tranche B Warrants through the Tranche B Borrowing Date and recorded the change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fair value through the statements of operations and, subsequently, reclassified the fair value to additional paid-in capital (see Note 10 – </w:t>
      </w:r>
      <w:r>
        <w:rPr>
          <w:rFonts w:ascii="Times New Roman" w:hAnsi="Times New Roman"/>
          <w:i/>
          <w:color w:val="000000"/>
          <w:sz w:val="20"/>
        </w:rPr>
        <w:t>Equity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fair value of the Tranche C Warrants was determined using a Black-Scholes option-pricing model and subject to certain unobservable inputs. The significant unobservable inputs used in the measurement of the fair value included the fair value of the Company's common stock, risk-free rate, the volatility of common stock, and the probability of the expected borrowing. The Tranche C loan had a prior commitment date through September 30, 2024 and, as of that date, the Company did not exercise its ability to draw the Tranche C loan. On February 28, 2025 (the Fifth Amendment Effective Date), the Company entered into the Fifth Amendment to the Credit Agreement and Guaranty (the Fifth Amendment) with Perceptive (see Note 8 – </w:t>
      </w:r>
      <w:r>
        <w:rPr>
          <w:rFonts w:ascii="Times New Roman" w:hAnsi="Times New Roman"/>
          <w:i/>
          <w:color w:val="000000"/>
          <w:sz w:val="20"/>
        </w:rPr>
        <w:t>Debt</w:t>
      </w:r>
      <w:r>
        <w:rPr>
          <w:rFonts w:ascii="Times New Roman" w:hAnsi="Times New Roman"/>
          <w:color w:val="000000"/>
          <w:sz w:val="20"/>
        </w:rPr>
        <w:t>), whereby subject to the terms and conditions of the Fifth Amendment, the Tranche C Loan Commitment Termination Date (as defined in the Credit Agreement) was extended, providing continued availability to the Tranche C Loan through December 31, 2025. In addition, on the Tranche C Loan Borrowing Date (as defined in the Credit Agreement), the Tranche C Warrants, as amended, would become vested and exercisable at an exercise price equal to $15.86, the Company's closing stock price on February 28,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8, 2025, the Company exercised its ability to draw the Tranche C loan under the Perceptive Term Loan Facility for $10.0 million (the Tranche C Loan) pursuant to the Credit Agreement. As consideration for drawing the Tranche C Loan, the Company agreed to modify the previously agreed upon per share exercise price of $15.86 for the Tranche C Warrants to a new per share exercise of $8.382, which was equal to the 10-day VWAP of the Company’s common stock on May 9, 2025, the business day immediately preceding the Tranche C Loan borrowing date. In connection with the Tranche C draw, the Company remeasured the Tranche C Warrants through the Tranche C Borrowing Date and recorded the change in fair value through the statement of operations and, subsequently, reclassified the fair value to additional paid-in capital (see Note 10 –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2025, the Company recorded a loss of $0.3 million as a change in fair value through the statements of operations due to changes in unobservable inputs. During the year ended December 31, 2024, the Company recorded no change in fair value through the statements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Contingent Value Rights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January 2016, the Company issued shares of Series F Preferred Stock (the Series F Offering) that were subsequently converted into common stock in connection with the Company's initial public offering in October 2020. In connection with the Series F Offering, investors who purchased more than their pro-rata amount in the financing received a calculated number of contingent value rights (CVRs). One CVR represents 0.00375% of the Company’s interest in the drug ficlatuzumab, which began a Phase 3 clinical trial in January 2024 (see Note 16 - </w:t>
      </w:r>
      <w:r>
        <w:rPr>
          <w:rFonts w:ascii="Times New Roman" w:hAnsi="Times New Roman"/>
          <w:i/>
          <w:color w:val="000000"/>
          <w:sz w:val="20"/>
        </w:rPr>
        <w:t>Commitments and Contingencies</w:t>
      </w:r>
      <w:r>
        <w:rPr>
          <w:rFonts w:ascii="Times New Roman" w:hAnsi="Times New Roman"/>
          <w:color w:val="000000"/>
          <w:sz w:val="20"/>
        </w:rPr>
        <w:t xml:space="preserve"> below). In January 2016, the Company issued 3,999 CVRs, or 15% interest in the drug ficlatuzumab, originally valued at $0.5 million. The initial estimated value of the CVRs were recorded as a liability and as a reduction to the Series F proceeds. Subsequent to recoupment of our initial co-development costs, upon receipt of a milestone, royalty, or any other type of payment from the Company’s ownership rights in the drug, the Company is required to make a cash payment to the CVR holders equal to 15% of net proceeds, as defined. During the years ended December 31, 2025 and 2024, the Company recorded no change in fair value due to the remote probability of receiving net proceeds in excess of our initial co-development costs.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required additional consideration to be paid by the Company to such shareholders upon attainment of a three-consecutive month gross margin target of $2.0 million within the seven-year period after the acquisition date, which was achieved during the three months ended June 30, 2021. Under the terms of the original agreement, when the gross margin target was achieved,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2021, the Company entered into an amendment to the original agreement in which all parties agreed to forgo the issuance of common stock and agreed that the Company would, in lieu thereof, make six quarterly installments of approximately $4.6 million each beginning in January 2022 and a final payment of approximately $9.3 million in July 2023 for a total of $37.0 million (the Milestone Payments and each individually a Milestone Payment). The aggregate amount of payments owed by the Company under this amendment was the same as if Indi had exercised the put right or the Company had exercised the call right provided for in the original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one installment of $5.0 million in April 2024, and one installment of $8.4 million in July 2024. In addition, the Company agreed to an exit fee of approximately $6.1 million to be paid in October 2024. Interest accrued on the difference between the payment schedule as agreed in the August 2021 amendment and the April 2022 amended payment schedule, at an aggregate per annum rate equal to 10%, with such interest payable quarterly on the following installment payment date. Our 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make these payments was subject to ongoing compliance under the Perceptive Term Loan Facility. On September 30, 2024, the Company obtained consent from Perceptive and prepaid the October 1, 2024 exit fee of $6.1 million to Indi. The Company has no remaining obligations to Indi.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2024, the Company recorded $1.1 million in interest expense due to the passage of time and fixed payment schedule.</w:t>
      </w:r>
    </w:p>
    <w:p>
      <w:pPr>
        <w:pStyle w:val="TextBody"/>
        <w:bidi w:val="0"/>
        <w:spacing w:before="240" w:after="283"/>
        <w:jc w:val="left"/>
        <w:rPr>
          <w:rFonts w:ascii="Times New Roman" w:hAnsi="Times New Roman"/>
          <w:sz w:val="20"/>
        </w:rPr>
      </w:pPr>
      <w:r>
        <w:rPr>
          <w:rFonts w:ascii="Times New Roman" w:hAnsi="Times New Roman"/>
          <w:b/>
          <w:color w:val="000000"/>
          <w:sz w:val="20"/>
        </w:rPr>
        <w:t>Note 5 – Property and Equipment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Property and equipment consist of the following (in thousands):</w:t>
      </w:r>
    </w:p>
    <w:tbl>
      <w:tblPr>
        <w:tblW w:w="7195" w:type="dxa"/>
        <w:jc w:val="left"/>
        <w:tblInd w:w="0" w:type="dxa"/>
        <w:tblLayout w:type="fixed"/>
        <w:tblCellMar>
          <w:top w:w="28" w:type="dxa"/>
          <w:left w:w="28" w:type="dxa"/>
          <w:bottom w:w="28" w:type="dxa"/>
          <w:right w:w="28" w:type="dxa"/>
        </w:tblCellMar>
      </w:tblPr>
      <w:tblGrid>
        <w:gridCol w:w="3076"/>
        <w:gridCol w:w="146"/>
        <w:gridCol w:w="384"/>
        <w:gridCol w:w="1341"/>
        <w:gridCol w:w="166"/>
        <w:gridCol w:w="146"/>
        <w:gridCol w:w="409"/>
        <w:gridCol w:w="1316"/>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Depreciation expense related to property and equipment was (in thousands):</w:t>
      </w:r>
    </w:p>
    <w:tbl>
      <w:tblPr>
        <w:tblW w:w="6514" w:type="dxa"/>
        <w:jc w:val="left"/>
        <w:tblInd w:w="0" w:type="dxa"/>
        <w:tblLayout w:type="fixed"/>
        <w:tblCellMar>
          <w:top w:w="28" w:type="dxa"/>
          <w:left w:w="28" w:type="dxa"/>
          <w:bottom w:w="28" w:type="dxa"/>
          <w:right w:w="28" w:type="dxa"/>
        </w:tblCellMar>
      </w:tblPr>
      <w:tblGrid>
        <w:gridCol w:w="3871"/>
        <w:gridCol w:w="146"/>
        <w:gridCol w:w="262"/>
        <w:gridCol w:w="710"/>
        <w:gridCol w:w="181"/>
        <w:gridCol w:w="181"/>
        <w:gridCol w:w="262"/>
        <w:gridCol w:w="710"/>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marketing,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 Goodwill and Intangible Assets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Intangible assets, excluding goodwill, consist of the following (in thousands):</w:t>
      </w:r>
    </w:p>
    <w:tbl>
      <w:tblPr>
        <w:tblW w:w="10205" w:type="dxa"/>
        <w:jc w:val="left"/>
        <w:tblInd w:w="0" w:type="dxa"/>
        <w:tblLayout w:type="fixed"/>
        <w:tblCellMar>
          <w:top w:w="28" w:type="dxa"/>
          <w:left w:w="28" w:type="dxa"/>
          <w:bottom w:w="28" w:type="dxa"/>
          <w:right w:w="28" w:type="dxa"/>
        </w:tblCellMar>
      </w:tblPr>
      <w:tblGrid>
        <w:gridCol w:w="1749"/>
        <w:gridCol w:w="146"/>
        <w:gridCol w:w="211"/>
        <w:gridCol w:w="676"/>
        <w:gridCol w:w="146"/>
        <w:gridCol w:w="146"/>
        <w:gridCol w:w="277"/>
        <w:gridCol w:w="969"/>
        <w:gridCol w:w="166"/>
        <w:gridCol w:w="146"/>
        <w:gridCol w:w="290"/>
        <w:gridCol w:w="785"/>
        <w:gridCol w:w="146"/>
        <w:gridCol w:w="146"/>
        <w:gridCol w:w="211"/>
        <w:gridCol w:w="676"/>
        <w:gridCol w:w="146"/>
        <w:gridCol w:w="146"/>
        <w:gridCol w:w="277"/>
        <w:gridCol w:w="969"/>
        <w:gridCol w:w="166"/>
        <w:gridCol w:w="146"/>
        <w:gridCol w:w="290"/>
        <w:gridCol w:w="785"/>
        <w:gridCol w:w="394"/>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not subject to</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Amortization expense related to definite-lived intangible assets was (in thousands): </w:t>
      </w:r>
    </w:p>
    <w:tbl>
      <w:tblPr>
        <w:tblW w:w="6349" w:type="dxa"/>
        <w:jc w:val="left"/>
        <w:tblInd w:w="0" w:type="dxa"/>
        <w:tblLayout w:type="fixed"/>
        <w:tblCellMar>
          <w:top w:w="28" w:type="dxa"/>
          <w:left w:w="28" w:type="dxa"/>
          <w:bottom w:w="28" w:type="dxa"/>
          <w:right w:w="28" w:type="dxa"/>
        </w:tblCellMar>
      </w:tblPr>
      <w:tblGrid>
        <w:gridCol w:w="3706"/>
        <w:gridCol w:w="146"/>
        <w:gridCol w:w="262"/>
        <w:gridCol w:w="710"/>
        <w:gridCol w:w="181"/>
        <w:gridCol w:w="181"/>
        <w:gridCol w:w="262"/>
        <w:gridCol w:w="710"/>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Future estimated amortization expense of intangible assets is (in thousands):</w:t>
      </w:r>
    </w:p>
    <w:tbl>
      <w:tblPr>
        <w:tblW w:w="3958" w:type="dxa"/>
        <w:jc w:val="left"/>
        <w:tblInd w:w="0" w:type="dxa"/>
        <w:tblLayout w:type="fixed"/>
        <w:tblCellMar>
          <w:top w:w="28" w:type="dxa"/>
          <w:left w:w="28" w:type="dxa"/>
          <w:bottom w:w="28" w:type="dxa"/>
          <w:right w:w="28" w:type="dxa"/>
        </w:tblCellMar>
      </w:tblPr>
      <w:tblGrid>
        <w:gridCol w:w="1696"/>
        <w:gridCol w:w="146"/>
        <w:gridCol w:w="465"/>
        <w:gridCol w:w="1260"/>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7 – Accrued Liabilities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Accrued liabilities consist of the following (in thousands):</w:t>
      </w:r>
    </w:p>
    <w:tbl>
      <w:tblPr>
        <w:tblW w:w="6690" w:type="dxa"/>
        <w:jc w:val="left"/>
        <w:tblInd w:w="0" w:type="dxa"/>
        <w:tblLayout w:type="fixed"/>
        <w:tblCellMar>
          <w:top w:w="28" w:type="dxa"/>
          <w:left w:w="28" w:type="dxa"/>
          <w:bottom w:w="28" w:type="dxa"/>
          <w:right w:w="28" w:type="dxa"/>
        </w:tblCellMar>
      </w:tblPr>
      <w:tblGrid>
        <w:gridCol w:w="2611"/>
        <w:gridCol w:w="146"/>
        <w:gridCol w:w="409"/>
        <w:gridCol w:w="1316"/>
        <w:gridCol w:w="146"/>
        <w:gridCol w:w="146"/>
        <w:gridCol w:w="409"/>
        <w:gridCol w:w="131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related accruals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 – Debt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long-term debt primarily consists of notes payable associated with our Perceptive Term Loan Facility which is described in further detail below. Long-term notes payable were as follows (in thousands):</w:t>
      </w:r>
    </w:p>
    <w:tbl>
      <w:tblPr>
        <w:tblW w:w="8380" w:type="dxa"/>
        <w:jc w:val="left"/>
        <w:tblInd w:w="0" w:type="dxa"/>
        <w:tblLayout w:type="fixed"/>
        <w:tblCellMar>
          <w:top w:w="28" w:type="dxa"/>
          <w:left w:w="28" w:type="dxa"/>
          <w:bottom w:w="28" w:type="dxa"/>
          <w:right w:w="28" w:type="dxa"/>
        </w:tblCellMar>
      </w:tblPr>
      <w:tblGrid>
        <w:gridCol w:w="4261"/>
        <w:gridCol w:w="146"/>
        <w:gridCol w:w="409"/>
        <w:gridCol w:w="1316"/>
        <w:gridCol w:w="166"/>
        <w:gridCol w:w="146"/>
        <w:gridCol w:w="409"/>
        <w:gridCol w:w="1316"/>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Perceptive Term Loan Facility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debt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i/>
          <w:color w:val="212529"/>
          <w:sz w:val="20"/>
        </w:rPr>
      </w:pPr>
      <w:r>
        <w:rPr>
          <w:rFonts w:ascii="Times New Roman" w:hAnsi="Times New Roman"/>
          <w:b/>
          <w:i/>
          <w:color w:val="212529"/>
          <w:sz w:val="20"/>
        </w:rPr>
        <w:t>Perceptive Term Loan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(the Perceptive Term Loan Facility). The Tranche A Loan, in an aggregate amount of up to $30.0 million (the Tranche A Loan), was funded under the Perceptive Term Loan Facility on November 21, 2022 (the Funding Date). The Company's net proceeds from the Tranche A Loan were approximately $27.9 million, after deducting debt issuance costs and expenses. In addition to the Tranche A Loan, the Perceptive Term Loan Facility included an additional Tranche B Loan, in an aggregate amount of up to $10.0 million, and an additional Tranche C Loan, in an aggregate amount of up to $10.0 million, which were accessible by the Company so long as the Company satisfied certain customary conditions precedent, including revenue milestones. On December 15, 2023, the Company exercised its ability to draw the Tranche B loan for $10.0 million. The Tranche C loan had a prior commitment date through September 30, 2024 and, as of that date, the Company did not exercise its ability to draw the Tranche C loan. On February 28, 2025, the Company entered into the Fifth Amendment to the Credit Agreement, whereby subject to the terms and conditions, the Tranche C Loan Commitment Termination Date was extended, providing continued availability to the Tranche C Loan through December 31, 2025 (see below). On May 8, 2025, the Company exercised its ability to draw the Tranche C loan for $10.0 million. The Perceptive Term Loan Facility has a maturity date of November 21, 2027 (the Maturity Date) and provides for an interest-only period during the term of the loan with principal due at the Maturity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Perceptive Term Loan Facility will accrue interest at an annual rate equal to the greater of (a) forward-looking one-month term SOFR as posted by CME Group Inc. and (b) 3.0% per annum, plus an applicable margin of 9.0%. As of December 31, 2025, the stated interest rate was approximately 12.70%.</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Amortization and Prepayment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Security Instruments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the Credit Agreement, the Company has issued, on the Funding Date, the Perceptive Warrant of up to 250,000 shares of the Company's common stock, including the Initial Warrants which are equity classified at a per share exercise price which was equal to $21.296, the 10-day volume weighted average price (VWAP) of the Company’s common stock, on the business day immediately prior to the Closing Date of the Tranche A Loan. In connection with the Tranche B borrowing, additional warrants became exercisable into 50,000 shares of common stock which had a per share exercise price equal to $21.296, which was equal to the Initial Warrant exercise price (the Tranche B Warrants).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addition to the Initial and Tranche B Warrants, additional warrants became exercisable into 50,000 shares of common stock concurrently with the borrowing date of the Tranche C Loan (the Tranche C Warrants). The Company initially accounted for the Tranche C Warrants as liabilities as the Tranche C Warrants did not meet the criteria for equity treatment (see Note 4 – </w:t>
      </w:r>
      <w:r>
        <w:rPr>
          <w:rFonts w:ascii="Times New Roman" w:hAnsi="Times New Roman"/>
          <w:i/>
          <w:color w:val="000000"/>
          <w:sz w:val="20"/>
        </w:rPr>
        <w:t>Fair Value</w:t>
      </w:r>
      <w:r>
        <w:rPr>
          <w:rFonts w:ascii="Times New Roman" w:hAnsi="Times New Roman"/>
          <w:color w:val="000000"/>
          <w:sz w:val="20"/>
        </w:rPr>
        <w:t>). As consideration for drawing the Tranche C Loan in May 2025, the Company agreed to modify the previously agreed upon per share exercise price of $21.296 for the Perceptive Warrant and per share exercise price of $32.508 for the First Amendment Warrants, to purchase up to 275,000 shares of the Company's common stock, at a new per share exercise of $8.382, which is equal to the 10-day VWAP of the Company’s common stock on May 9, 2025, the business day immediately preceding the Tranche C Loan borrowing date. The modification of the per share exercise price resulted in an increase in the fair value of the Tranche A, B, and First Amendment Warrants of $0.2 million, which was recorded as a debt issuance cost and increase to Additional Paid-In Capital.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Representations, Warranties, Covenants, and Events of Default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 million; and (ii) as of the last day of each fiscal quarter commencing on the fiscal quarter ending March 31, 2023, meet certain minimum net revenue threshold amounts agreed to between the Company and Perceptive.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30, 2024, the Company entered into the Fourth Amendment with the Lender, whereby subject to the terms and conditions of the Fourth Amendment, the Minimum Net Revenue Covenant (as defined in the Credit Agreement) was amended to reduce the relevant threshold as of the last day of each fiscal quarter commencing on the fiscal quarter ended June 30, 2025 through and including the fiscal quarter ended December 31,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the Company entered into the Fifth Amendment with the Lender, whereby subject to the terms and conditions of the Fifth Amendment, the Tranche C Loan revenue milestone was eliminated and the Commitment Termination Date (as defined in the Credit Agreement) was extended, providing continued availability to the Tranche C Loan in an aggregate amount equal to $10.0 million through December 31, 2025. In addition, on the Tranche C Loan Borrowing Date (as defined in the Credit Agreement), the Tranche C Warrants, as amended, will become vested and exercisable at an exercise price equal to $15.86, the Company's closing stock price on February 28,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December 31, 2025,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Closing Date, the Initial Warrants and Additional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amount of $5.2 million. The First Amendment Warrants were valued at $0.7 million using the Black-Scholes option-pricing model which the recognized as a discount on the Perceptive Term Loan Facility. The Company recorded the debt discount as a reduction to the principal amount of the debt and is amortized as interest expense over the life of the debt.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Scheduled principal repayments (maturities) of long-term obligations were as follows (in thousands): </w:t>
      </w:r>
    </w:p>
    <w:tbl>
      <w:tblPr>
        <w:tblW w:w="3018" w:type="dxa"/>
        <w:jc w:val="left"/>
        <w:tblInd w:w="0" w:type="dxa"/>
        <w:tblLayout w:type="fixed"/>
        <w:tblCellMar>
          <w:top w:w="28" w:type="dxa"/>
          <w:left w:w="28" w:type="dxa"/>
          <w:bottom w:w="28" w:type="dxa"/>
          <w:right w:w="28" w:type="dxa"/>
        </w:tblCellMar>
      </w:tblPr>
      <w:tblGrid>
        <w:gridCol w:w="756"/>
        <w:gridCol w:w="146"/>
        <w:gridCol w:w="409"/>
        <w:gridCol w:w="1316"/>
        <w:gridCol w:w="391"/>
      </w:tblGrid>
      <w:tr>
        <w:trPr/>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50,006</w:t>
            </w:r>
          </w:p>
        </w:tc>
        <w:tc>
          <w:tcPr>
            <w:tcW w:w="3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 – Leases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acts as a lessee under all its lease agreements. In January 2024 the Company relocated its corporate headquarters and laboratory facilities to Louisville, Colorado. The Company also leases laboratory and office space in De Soto, Kansas, under a non-cancelable lease agreement for approximately 10,838 square feet. On July 1, 2025, the Company amended the De Soto lease agreement to extend the term from October 2026 to June 2030. The Company also holds various copier and equipment leases under non-cancelable lease agreements that expire within the next five years.</w:t>
      </w:r>
    </w:p>
    <w:p>
      <w:pPr>
        <w:pStyle w:val="TextBody"/>
        <w:bidi w:val="0"/>
        <w:spacing w:before="120" w:after="283"/>
        <w:jc w:val="both"/>
        <w:rPr>
          <w:rFonts w:ascii="Times New Roman" w:hAnsi="Times New Roman"/>
          <w:sz w:val="20"/>
        </w:rPr>
      </w:pPr>
      <w:r>
        <w:rPr>
          <w:rFonts w:ascii="Times New Roman" w:hAnsi="Times New Roman"/>
          <w:b/>
          <w:i/>
          <w:color w:val="000000"/>
          <w:sz w:val="20"/>
        </w:rPr>
        <w:t>Centennial Valley Properties I, LLC Lease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11, 2022, the Company entered into a Lease Agreement (the Lease) with Centennial Valley Properties I, LLC and subsequently assigned to CVP I Owner LLC, a Colorado limited liability company (the Landlord) for office and laboratory space in Louisville, Colorado (the Leased Premises). The initial term of the Lease is twelve years (the Initial Term) from the commencement date, which was April 1, 2023 (the Commencement Date). The Company has two renewal options to extend the term of the Lease for an additional seven- or ten-year terms for each renewal.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Lease, the Company is leasing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included within 'Other long-term assets' in the balance sheets as of December 31, 2025 and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lease expense for all operating leases was $2.3 million for both the years ended December 31, 2025 and 2024. As of December 31, 2025, the weighted-average remaining lease term and discount rate associated with our operating leases were 9.1 years and 11.5%,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minimum lease payments associated with our operating leases were as follows (in thousands):</w:t>
      </w:r>
    </w:p>
    <w:tbl>
      <w:tblPr>
        <w:tblW w:w="5663" w:type="dxa"/>
        <w:jc w:val="left"/>
        <w:tblInd w:w="0" w:type="dxa"/>
        <w:tblLayout w:type="fixed"/>
        <w:tblCellMar>
          <w:top w:w="28" w:type="dxa"/>
          <w:left w:w="28" w:type="dxa"/>
          <w:bottom w:w="28" w:type="dxa"/>
          <w:right w:w="28" w:type="dxa"/>
        </w:tblCellMar>
      </w:tblPr>
      <w:tblGrid>
        <w:gridCol w:w="3381"/>
        <w:gridCol w:w="146"/>
        <w:gridCol w:w="384"/>
        <w:gridCol w:w="1341"/>
        <w:gridCol w:w="4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41,323</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25,403</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Company’s Restated Certificate of Incorporation authorizes the Company to issue up to 200,000,000 shares of common stock with a par value of $0.001 per share. The holder of each share of common stock is entitled to one vote per share. The common shareholders are entitled to dividends whenever funds and assets are legally available and when and if declared by the Board of Directors. The Company is currently subject to restrictions on the payment of dividends (see Note 8 – </w:t>
      </w:r>
      <w:r>
        <w:rPr>
          <w:rFonts w:ascii="Times New Roman" w:hAnsi="Times New Roman"/>
          <w:i/>
          <w:color w:val="000000"/>
          <w:sz w:val="20"/>
        </w:rPr>
        <w:t>Debt</w:t>
      </w:r>
      <w:r>
        <w:rPr>
          <w:rFonts w:ascii="Times New Roman" w:hAnsi="Times New Roman"/>
          <w:color w:val="000000"/>
          <w:sz w:val="20"/>
        </w:rPr>
        <w:t>) and no dividends have been declared as of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Restated Certificate of Incorporation authorizes the Company to issue up to 5,000,000 shares of preferred stock with a par value of $0.001 per share. As of December 31, 2025 and 2024, no shares of preferred stock were issued or outstanding.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At-The-Market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an at-the-market (ATM) facility that enables equity financing on an ongoing basis at the Company’s discretion. 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The Company will pay the agent a commission rate of up to 3% of the gross sales proceeds of any shares sold and has agreed to provide the sales agents with customary indemnification, contribution and reimbursement rights.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 During the year ended December 31, 2025, the Company raised approximately $7.3 million ($7.0 million after deducting underwriting discounts and commissions and offering expenses payable), in gross proceeds from the sale of 892,841 common shares at a weighted average price per share of $8.20. As of December 31, 2025, the Company had remaining available capacity for share issuances of up to $42.7 million under the 2024 ATM Program, subject to the restrictions and limitations of the facility, as well as volume limitations under applicable SEC rules and regulations that may limit the availability of the 2024 ATM Program as a source of funding, depending on current public float.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April 2024 Offering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9, 2024, the Company closed an underwritten offering of common stock and a concurrent private placement which are described in further detail below. Collectively, the Company raised net proceeds of approximately $51.3 million.</w:t>
      </w:r>
    </w:p>
    <w:p>
      <w:pPr>
        <w:pStyle w:val="TextBody"/>
        <w:bidi w:val="0"/>
        <w:spacing w:before="120" w:after="283"/>
        <w:jc w:val="both"/>
        <w:rPr>
          <w:rFonts w:ascii="Times New Roman" w:hAnsi="Times New Roman"/>
          <w:sz w:val="20"/>
        </w:rPr>
      </w:pPr>
      <w:r>
        <w:rPr>
          <w:rFonts w:ascii="Times New Roman" w:hAnsi="Times New Roman"/>
          <w:b/>
          <w:i/>
          <w:color w:val="000000"/>
          <w:sz w:val="20"/>
        </w:rPr>
        <w:t>Underwritten Offering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9, 2024, the Company closed an underwritten offering (the Offering) of 869,591 shares of its common stock (the Common Stock). The Common Stock was issued and sold pursuant to an underwriting agreement (the Underwriting Agreement), dated April 5, 2024, by and between the Company and TD Securities (USA) LLC, William Blair &amp; Company, L.L.C., and Canaccord Genuity LLC as representatives of the underwriters (the Underwriters), at a price to the public of $23.00 per share. The Company received net proceeds of approximately $18.2 million from the Offering after deducting underwriting discounts and commissions and estimated offering expenses payable by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The Underwriting Agreement also includes lock up restrictions that will be in effect during the period ending 90 days subsequent to April 5, 2024. The representations, warranties, and agreements contained in the Underwriting Agreement were made only for purposes of such agreement and as of specific dates, were solely for the benefit of the parties to such agreement, and may be subject to limitations agreed upon by the contracting parties. </w:t>
      </w:r>
    </w:p>
    <w:p>
      <w:pPr>
        <w:pStyle w:val="TextBody"/>
        <w:bidi w:val="0"/>
        <w:spacing w:before="120" w:after="283"/>
        <w:jc w:val="both"/>
        <w:rPr>
          <w:rFonts w:ascii="Times New Roman" w:hAnsi="Times New Roman"/>
          <w:sz w:val="20"/>
        </w:rPr>
      </w:pPr>
      <w:r>
        <w:rPr>
          <w:rFonts w:ascii="Times New Roman" w:hAnsi="Times New Roman"/>
          <w:color w:val="000000"/>
          <w:sz w:val="20"/>
        </w:rPr>
        <w:t>The Offering was made pursuant to the Company’s effective Registration Statement on Form S-3 (File No. 333-261095) previously filed with the SEC on November 29, 2021 and a prospectus supplement, dated April 5, 2024 relating to the Offering</w:t>
      </w:r>
      <w:r>
        <w:rPr>
          <w:rFonts w:ascii="Times New Roman" w:hAnsi="Times New Roman"/>
          <w:i/>
          <w:color w:val="000000"/>
          <w:sz w:val="2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Concurrent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5, 2024, the Company entered into securities purchase agreements (the Securities Purchase Agreements) with various investors, including certain members of management, certain of its directors and funds affiliated with those directors (the Investors) for the issuance and sale by the Company of an aggregate of 38,042 shares of Series A Non-Voting Convertible Preferred Stock, par value $0.001 per share (the Series A Preferred Stock) in an offering (the Concurrent Private Placement). The Preferred Stock was issued to the Investors pursuant to an exemption from the registration requirements of the Securities Act of 1933, as amended (the Securities Act) afforded by Section 4(a)(2) of the Securities Act. Pursuant to the terms of the Securities Purchase Agreements, the Company agreed to submit to its stockholders the approval of the (i) conversion of the Preferred Stock into shares of Common Stock in accordance with Nasdaq Stock Market Rules (the Conversion Proposal) and (ii) the issuance of Series A Preferred Stock to certain members of management, certain of its directors and funds affiliated with those directors (the Issuance Proposal) at its 2024 annual meeting of stockholders. The Securities Purchase Agreements include customary representations, warranties and covenants by the parties to the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Securities Purchase Agreements, the Investors purchased the Preferred Stock at a purchase price of $920.00 per share for an aggregate purchase price of approximately $35.0 million, net of fees of approximately $1.9 million.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Registration Rights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Concurrent Private Placement, the Company also entered into a Registration Rights Agreement, dated April 5, 2024 (the Registration Rights Agreement), with the Investors, which provides that the Company will register the resale of the shares of Common Stock issuable upon conversion of the Preferred Stock. Pursuant to the Registration Rights Agreement, the Company was required to prepare and file an initial registration statement with the SEC as soon as reasonably practicable, but in no event later than April 23, 2024 (the Filing Deadline), and to use reasonable best efforts to have the registration statement declared effective within 50 days after the closing of the Concurrent Private Placement, subject to the approval of the conversion of the Private Placement Shares being received at the Company’s 2024 annual meeting of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8, 2024, the Company filed a Certificate of Designations of Preferences, Rights and Limitations of the Series A Non-Voting Convertible Preferred Stock with the Secretary of State of the State of Delaware (the Certificate of Designations) in connection with the Concurrent Private Placement. The Certificate of Designations provided for the issuance of up to 38,042 shares of the Series A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stockholder approval of the Conversion Proposal, each share of Series A Preferred Stock automatically converted into 40 shares of Common Stock, subject to certain limitations, including that a holder of Series A Preferred Stock was prohibited from converting shares of Series A Preferred Stock into shares of Common Stock if, as a result of such conversion, such holder, together with its affiliates, would beneficially own more than a specified percentage (established by the holder between 0% and 19.9%) of the total number of shares of Common Stock issued and outstanding immediately after giving effect to such conversion.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21, 2024, the Company held its 2024 annual meeting of stockholders in which the Conversion Proposal and Issuance Proposal were approved by the Company's stockholders. Upon approval, each share of Series A Preferred Stock automatically converted into 40 shares of Common Stock and, on May 23, 2024, the Company issued 1,521,714 shares of Common Stock in exchange for all Series A Preferred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2018, the Company issued Series G warrants to purchase shares of convertible preferred stock in conjunction with the sale of certain convertible preferred shares and issuance of debt. The Series G warrants were immediately exercisable upon issuance and expire on February 23, 2028. Through the effective date of the Company’s initial public offering (IPO) in October 2020, the Series G warrants were remeasured to an estimate of fair value using a Black-Scholes option-pricing model. As a result of the Company’s IPO, the Series G warrants were automatically converted to warrants to purchase 5,166 shares of common stock with a weighted average exercise price of $89.04 and were also transferred to additional paid-in capital. All common stock warrants remain outstanding as of December 31,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8 – </w:t>
      </w:r>
      <w:r>
        <w:rPr>
          <w:rFonts w:ascii="Times New Roman" w:hAnsi="Times New Roman"/>
          <w:i/>
          <w:color w:val="000000"/>
          <w:sz w:val="20"/>
        </w:rPr>
        <w:t>Debt</w:t>
      </w:r>
      <w:r>
        <w:rPr>
          <w:rFonts w:ascii="Times New Roman" w:hAnsi="Times New Roman"/>
          <w:color w:val="000000"/>
          <w:sz w:val="20"/>
        </w:rPr>
        <w:t xml:space="preserve">), the Company issued the Perceptive Warrant to purchase up to 250,000 shares of the Company's common stock, including the Initial Warrants. The per share exercise price for the Initial Warrants was equal to $21.296. The Initial Warrants are equity classified and were immediately exercisable upon issuance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expire on November 21, 2032. The Initial Warrants were valued at $2.9 million using the Black-Scholes option-pricing model assuming an expected term of 10 years, a volatility of 81.3%, a dividend yield of 0% and a risk-free interest rate of 3.67%. All Initial Warrants remain outstanding as of December 31,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10, 2023, as consideration for the First Amendment (see Note 8 – </w:t>
      </w:r>
      <w:r>
        <w:rPr>
          <w:rFonts w:ascii="Times New Roman" w:hAnsi="Times New Roman"/>
          <w:i/>
          <w:color w:val="000000"/>
          <w:sz w:val="20"/>
        </w:rPr>
        <w:t>Debt</w:t>
      </w:r>
      <w:r>
        <w:rPr>
          <w:rFonts w:ascii="Times New Roman" w:hAnsi="Times New Roman"/>
          <w:color w:val="000000"/>
          <w:sz w:val="20"/>
        </w:rPr>
        <w:t>), the Company agreed to issue to Perceptive a warrant to purchase up to 25,000 shares of the Company’s common stock (the First Amendment Warrants). The per share exercise price was equal to $32.508. The First Amendment Warrants are equity classified and immediately exercisable upon issuance and expire on May 10, 2033. The First Amendment Warrants were valued at $0.7 million using the Black-Scholes option-pricing model assuming an expected term of 10 years, a volatility of 78.7%, a dividend yield of 0% and a risk-free interest rate of 3.49%. All First Amendment Warrants remain outstanding as of December 31,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December 15, 2023 (the Tranche B Borrowing Date), the Company exercised its ability to draw the Tranche B loan (see Note 8 – </w:t>
      </w:r>
      <w:r>
        <w:rPr>
          <w:rFonts w:ascii="Times New Roman" w:hAnsi="Times New Roman"/>
          <w:i/>
          <w:color w:val="000000"/>
          <w:sz w:val="20"/>
        </w:rPr>
        <w:t>Debt</w:t>
      </w:r>
      <w:r>
        <w:rPr>
          <w:rFonts w:ascii="Times New Roman" w:hAnsi="Times New Roman"/>
          <w:color w:val="000000"/>
          <w:sz w:val="20"/>
        </w:rPr>
        <w:t>). In connection with the Tranche B draw, the Company remeasured the Tranche B Warrants through the Tranche B Borrowing Date and recorded the change in fair value through the statements of operations and, subsequently, reclassified the fair value to additional paid-in capital. The per share exercise price for the Tranche B Warrants was equal to $21.296. The Tranche B Warrants are now equity classified and immediately exercisable upon issuance and expire on December 15, 2033. The Tranche B Warrants were valued at $1.3 million using the Black-Scholes option-pricing model assuming an expected term of 10 years, a volatility of 76.2%, a dividend yield of 0% and a risk-free interest rate of 3.91%. All Tranche B Warrants remain outstanding as of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drawing the Tranche C Loan, the Company agreed to modify the previously agreed upon per share exercise price of $21.296 for the Perceptive Warrant and per share exercise price of $32.508 for the First Amendment Warrants, to purchase up to 275,000 shares of the Company's common stock, at a new per share exercise of $8.382, which is equal to the 10-day VWAP of the Company’s common stock on May 9, 2025, the business day immediately preceding the Tranche C Loan borrowing date. The modification of the per share exercise price resulted in an increase in the fair value of the Tranche A, B, and First Amendment Warrants of $0.2 million, which was recorded as a debt issuance cost and increase to Additional Paid-In Capital.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8, 2025, the Company exercised its ability to draw the Tranche C loan (see Note 8 – </w:t>
      </w:r>
      <w:r>
        <w:rPr>
          <w:rFonts w:ascii="Times New Roman" w:hAnsi="Times New Roman"/>
          <w:i/>
          <w:color w:val="000000"/>
          <w:sz w:val="20"/>
        </w:rPr>
        <w:t>Debt</w:t>
      </w:r>
      <w:r>
        <w:rPr>
          <w:rFonts w:ascii="Times New Roman" w:hAnsi="Times New Roman"/>
          <w:color w:val="000000"/>
          <w:sz w:val="20"/>
        </w:rPr>
        <w:t>). In connection with the Tranche C draw, the Company measured the Tranche C Warrants through May 12, 2025 (the Tranche C Borrowing Date) and recorded the change in fair value through the statements of operations and, subsequently, reclassified the fair value to additional paid-in capital. The per share exercise price for the Tranche C Warrants is equal to $8.382. The Tranche C Warrants are now equity classified and immediately exercisable upon issuance and expire on May 12, 2035. The Tranche C Warrants were valued at $0.3 million using the Black-Scholes option-pricing model assuming an expected term of 10 years, a volatility of 72.1%, a dividend yield of 0% and a risk-free interest rate of 4.45%. All Tranche C Warrants remain outstanding as of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 Revenue and Accounts Receivable Credit Concentration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Diagnostic Tests, providing lung diagnostic testing services for healthcare providers associated with our five blood-based tests and (ii) Development Services, providing diagnostic testing services to biopharmaceutical, life sciences, and diagnostic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revenues consist of blood-based lung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Tests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Revenue for these services is recognized upon delivery of the completed test results, upon completion of the contractual milestone(s), or over the term of contract.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Revenues consisted of the following (in thousands): </w:t>
      </w:r>
    </w:p>
    <w:tbl>
      <w:tblPr>
        <w:tblW w:w="4783" w:type="dxa"/>
        <w:jc w:val="left"/>
        <w:tblInd w:w="0" w:type="dxa"/>
        <w:tblLayout w:type="fixed"/>
        <w:tblCellMar>
          <w:top w:w="28" w:type="dxa"/>
          <w:left w:w="28" w:type="dxa"/>
          <w:bottom w:w="28" w:type="dxa"/>
          <w:right w:w="28" w:type="dxa"/>
        </w:tblCellMar>
      </w:tblPr>
      <w:tblGrid>
        <w:gridCol w:w="1936"/>
        <w:gridCol w:w="146"/>
        <w:gridCol w:w="236"/>
        <w:gridCol w:w="756"/>
        <w:gridCol w:w="163"/>
        <w:gridCol w:w="163"/>
        <w:gridCol w:w="236"/>
        <w:gridCol w:w="756"/>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64,708</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9,302</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88,499</w:t>
            </w:r>
          </w:p>
        </w:tc>
        <w:tc>
          <w:tcPr>
            <w:tcW w:w="1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71,323</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consists of cash payments from customers received or to be received in advance of delivery. As test results are delivered, the Company recognizes the deferred revenue in ‘Revenues’ in the statements of operations. The Company had $0.7 million in ‘Deferred revenue’ recorded in the balance sheet as of December 31, 2024 and $4.0 million was added throughout 2025 to ‘Deferred revenue’ for up-front cash payments received while $3.7 million was recognized in 'Revenues' during the year ended December 31, 2025. The ‘Deferred revenue’ of $1.0 million recorded in the balance sheet as of December 31, 2025 is expected to be recognized in revenues over the next twelve months as test results are delivered and services are performed. As of December 31, 2025 and 2024, the Company had $0.1 million and $0.2 million in non-current deferred revenue, respectively, recorded within ‘Other long-term liabilities’ in the balance sheets which represent amounts to be recognized in excess of twelve months from the respective balance sheet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2025, the Company executed a Development Services contract for which the Company received $3.0 million as a non-refundable, up-front payment during the three months ended December 31, 2025. As of December 31, 2025, approximately $0.7 million remains in ‘Deferred revenue’ in the balance sheet.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collect reimbursement on behalf of customers covered by Medicare, which accounted for 32% and 39% of the Company’s total revenue for the years ended December 31, 2025 and 2024, respectively. No other customers were in excess of 10% of revenue for the years ended December 31, 2025 and 2024.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tbl>
      <w:tblPr>
        <w:tblW w:w="5710" w:type="dxa"/>
        <w:jc w:val="left"/>
        <w:tblInd w:w="0" w:type="dxa"/>
        <w:tblLayout w:type="fixed"/>
        <w:tblCellMar>
          <w:top w:w="28" w:type="dxa"/>
          <w:left w:w="28" w:type="dxa"/>
          <w:bottom w:w="28" w:type="dxa"/>
          <w:right w:w="28" w:type="dxa"/>
        </w:tblCellMar>
      </w:tblPr>
      <w:tblGrid>
        <w:gridCol w:w="1381"/>
        <w:gridCol w:w="146"/>
        <w:gridCol w:w="511"/>
        <w:gridCol w:w="1214"/>
        <w:gridCol w:w="271"/>
        <w:gridCol w:w="146"/>
        <w:gridCol w:w="544"/>
        <w:gridCol w:w="1181"/>
        <w:gridCol w:w="316"/>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Daiichi Sankyo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12 – Share 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Predecessor 2016 and 2006 Equity Incentive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2006 Equity Incentive Plan (2006 Plan), the Company was authorized to grant incentive stock options, non-statutory stock options, stock appreciation rights, restricted stock awards and RSUs. No additional awards may be granted under the 2006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2016, the Company adopted the 2016 Equity Incentive Plan (2016 Plan) as a successor to and continuation of the prior 2006 Plan. The 2016 Plan provided for the grant of incentive stock options, non-statutory stock options, stock appreciation rights, restricted stock awards, RSUs, and other stock awards to directors, employees, and consultants. Awards granted under the 2016 Plan or the 2006 Plan that were unallocated, expired or otherwise terminated, or were forfeited, cancelled, or repurchased by the Company, became available for future issuance under the 2016 Plan. In addition, shares subject to an award were withheld to satisfy a participant’s tax withholding obligations, or were reacquired by the Company as consideration for the exercise or purchase price of a stock award also became available for future issuance under the 2016 Incentive Plan. No additional awards may be granted under the 2016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upon the closing of our IPO, the Company’s Board of Directors approved the 2020 Equity Incentive Plan (2020 Plan), which replaced the 2016 Plan. The 2020 Plan provides for the grant of incentive stock options, non-statutory stock options, stock appreciation rights, restricted stock awards, RSUs, performance awards and other stock awards. Officers, directors, employees, consultants, agents, and independent contractors who provide services to the Company may receive awards. The terms of all awards are governed by an agreement between the Company and the recipients, as administered and approved by the Compensation Committee of the Board of Directors). Any awards that expire or are forfeited under the 2016 Plan or 2006 Plan become available for issuance under the 2020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2020 Plan includes an annual increase on the first day of each calendar year, beginning with the calendar year ending December 31, 2022, and continuing until, and including, the calendar year ending December 31, 2030. The annual increase will be equal to the lesser of (i) 4% of the number of shares of our common stock issued and outstanding as of December 31st of the immediately preceding calendar year and (ii) such lesser amount determined by the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the extent an equity award granted under the 2020 Plan (other than any substitute award) or granted under any other equity plan maintained by us under which awards are outstanding as of the effective date of the 2020 Plan (the Prior Plans) expires or otherwise terminates without having been exercised or paid in full, or is settled in cash, the shares subject to such award will become available for future grant under the 2020 Plan. In addition, to the extent shares subject to an award are withheld to satisfy a participant’s tax withholding obligation upon the exercise or settlement of such award (other than any substitute award) or to pay the exercise price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 granted under the 2020 Plan or a prior plan, such shares will become available for future grant under the 2020 Plan. The total number of shares available for grant under all plans as of December 31, 2025 was 98,393.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with our IPO in October 2020, the Company’s Board of Directors and its stockholders approved the Company’s Employee Stock Purchase Plan (the ESPP). The maximum number of shares of our common stock available under the ESPP will automatically increase on the first trading day of each calendar year by an amount equal to the lesser of (i) 1% of the shares of our common stock issued and outstanding on December 31st of the immediately preceding calendar year, (ii) 16,905 shares of our common stock or (iii) an amount determined by our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No employee may participate in an offering period if the employee owns 5% or more of the total combined voting power or value of the Company’s stock. The ESPP provides for successive six-month offering periods beginning on September 1st and March 1st of each year. During the years ended December 31, 2025 and 2024, 48,608 shares and 23,591 shares were issued under the ESPP, respectively. The total number of shares available for grant under the ESPP as of December 31, 2025 was 49,642.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Awards Granted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granted incentive stock options, non-statutory stock options, performance-based stock options, and RSUs.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Incentive stock options, which may only be issued to employees, are granted at an exercise price per share equal to the closing market price of the Company’s common stock on the grant date, and vest over time as determined by the Compensation Committee, provided that the term of the options may not exceed ten years from the date of grant. Accelerated vesting may occur in the event of an optionee's death, disability, or other events.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Non-statutory stock options, which may be issued to employees, non-employees and directors, are granted at an exercise price per share equal to the closing market price of the Company’s common stock on the grant date, and vest over time as determined by the Compensation Committee, provided that the term of the options may not exceed ten years from the date of grant. Accelerated vesting may occur in the event of an optionee's death, disability, or other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RSUs and the related terms and conditions are awarded at the discretion of the Compensation Committee. RSU holders have a contractual right to receive a share of common stock when vested. RSUs vest over time as determined by the Compensation Committee. RSU agreements may provide for accelerated vesting in the event of a stock unit holder's death, disability, or retirement or other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Compensation Committee may grant other stock awards that are based on or related to shares of our common stock, such as awards of shares of common stock granted as bonus and not subject to any vesting conditions, deferred stock units, stock purchase rights, performance-based stock options and shares of our common stock issued in lieu of our obligations to pay cash under any compensatory plan or arrangement.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Bonus-To-Options Program</w:t>
      </w:r>
    </w:p>
    <w:p>
      <w:pPr>
        <w:pStyle w:val="TextBody"/>
        <w:bidi w:val="0"/>
        <w:spacing w:before="120" w:after="283"/>
        <w:jc w:val="both"/>
        <w:rPr>
          <w:rFonts w:ascii="Times New Roman" w:hAnsi="Times New Roman"/>
          <w:sz w:val="20"/>
        </w:rPr>
      </w:pPr>
      <w:r>
        <w:rPr>
          <w:rFonts w:ascii="Times New Roman" w:hAnsi="Times New Roman"/>
          <w:color w:val="000000"/>
          <w:sz w:val="20"/>
        </w:rPr>
        <w:t>The Company also had a Bonus-to-Options Program (the Bonus Option Program) which was separate from previously described plans and was initially adopted by the Board of Directors in 2008, and subsequently amended and restated in 2010, 2011, 2015, and 2022. The Bonus Option Program, which is limited to participation of the Chief Executive Officer, direct reports to the Chief Executive Officer and Vice Presidents of the Company, allowed participants who so elected to convert a portion of their annual cash bonus into fully vested, non-qualified stock options to purchase shares of common stock (Bonus Options). The exercise price for the options under the Bonus Option Program equaled the closing market price of the Company's common stock on the grant date, as disclosed below under “</w:t>
      </w:r>
      <w:r>
        <w:rPr>
          <w:rFonts w:ascii="Times New Roman" w:hAnsi="Times New Roman"/>
          <w:i/>
          <w:color w:val="000000"/>
          <w:sz w:val="20"/>
        </w:rPr>
        <w:t>Fair Value of Common Stock</w:t>
      </w:r>
      <w:r>
        <w:rPr>
          <w:rFonts w:ascii="Times New Roman" w:hAnsi="Times New Roman"/>
          <w:color w:val="000000"/>
          <w:sz w:val="20"/>
        </w:rPr>
        <w:t>”. Beginning with fiscal year 2025, the Company terminated the Bonus Option Program to convert future annual cash bonuses to stock options. Bonus options previously granted through the Bonus Option Program will remain vested and outstanding until they are exercised, forfeited, or expire. Bonus Options issued must be exercised within a ten-year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recorded the following activity related to the Bonus Option Program during the year ended December 31, 2025 (in thousands, excepted weighted average exercise price and weighted average contractual life):</w:t>
      </w:r>
    </w:p>
    <w:tbl>
      <w:tblPr>
        <w:tblW w:w="9695" w:type="dxa"/>
        <w:jc w:val="left"/>
        <w:tblInd w:w="0" w:type="dxa"/>
        <w:tblLayout w:type="fixed"/>
        <w:tblCellMar>
          <w:top w:w="28" w:type="dxa"/>
          <w:left w:w="28" w:type="dxa"/>
          <w:bottom w:w="28" w:type="dxa"/>
          <w:right w:w="28" w:type="dxa"/>
        </w:tblCellMar>
      </w:tblPr>
      <w:tblGrid>
        <w:gridCol w:w="2926"/>
        <w:gridCol w:w="146"/>
        <w:gridCol w:w="257"/>
        <w:gridCol w:w="748"/>
        <w:gridCol w:w="146"/>
        <w:gridCol w:w="146"/>
        <w:gridCol w:w="453"/>
        <w:gridCol w:w="1227"/>
        <w:gridCol w:w="146"/>
        <w:gridCol w:w="146"/>
        <w:gridCol w:w="483"/>
        <w:gridCol w:w="1197"/>
        <w:gridCol w:w="146"/>
        <w:gridCol w:w="146"/>
        <w:gridCol w:w="375"/>
        <w:gridCol w:w="616"/>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Exercisable </w:t>
              <w:noBreakHyphen/>
              <w:t xml:space="preserv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no expense during the year ended December 31, 2025 and $0.8 million during the year ended December 31, 2024, associated with the estimate of options to be delivered to eligible participants under the Bonus Option Program and which were granted in the first quarter of 2025, by the Compensation Committee of the Board of Directors. In determining the amount of share-based compensation to recognize under the Bonus Option Program, the Company estimated the bonus attainment for the year and determined the expected number of options to be delivered to eligible participants. A Black-Scholes option pricing model was used to determine the estimated fair value of the expected number of options to be delivered to eligible participants. The key elements in determining the estimated fair value included assumptions for volatility, the risk-free interest rate, expected dividends and strike price, utilizing the measurement date closing stock price until the grants are authorized.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Share-Based Compensation Expense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Share-based compensation expense reported in the Company’s statements of operations was (in thousands):</w:t>
      </w:r>
    </w:p>
    <w:tbl>
      <w:tblPr>
        <w:tblW w:w="6549" w:type="dxa"/>
        <w:jc w:val="left"/>
        <w:tblInd w:w="0" w:type="dxa"/>
        <w:tblLayout w:type="fixed"/>
        <w:tblCellMar>
          <w:top w:w="28" w:type="dxa"/>
          <w:left w:w="28" w:type="dxa"/>
          <w:bottom w:w="28" w:type="dxa"/>
          <w:right w:w="28" w:type="dxa"/>
        </w:tblCellMar>
      </w:tblPr>
      <w:tblGrid>
        <w:gridCol w:w="3706"/>
        <w:gridCol w:w="146"/>
        <w:gridCol w:w="262"/>
        <w:gridCol w:w="710"/>
        <w:gridCol w:w="181"/>
        <w:gridCol w:w="181"/>
        <w:gridCol w:w="262"/>
        <w:gridCol w:w="710"/>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unrecognized remaining share-based compensation expense for options and RSUs was approximately $3.9 million as of December 31, 2025 and is expected to be amortized to expense over the next 2.2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Stock option activity during the year ended December 31, 2025, excluding the Bonus Option Program described above, was (in thousands, except weighted average exercise price and weighted average contractual life):</w:t>
      </w:r>
    </w:p>
    <w:tbl>
      <w:tblPr>
        <w:tblW w:w="9715" w:type="dxa"/>
        <w:jc w:val="left"/>
        <w:tblInd w:w="0" w:type="dxa"/>
        <w:tblLayout w:type="fixed"/>
        <w:tblCellMar>
          <w:top w:w="28" w:type="dxa"/>
          <w:left w:w="28" w:type="dxa"/>
          <w:bottom w:w="28" w:type="dxa"/>
          <w:right w:w="28" w:type="dxa"/>
        </w:tblCellMar>
      </w:tblPr>
      <w:tblGrid>
        <w:gridCol w:w="2926"/>
        <w:gridCol w:w="146"/>
        <w:gridCol w:w="257"/>
        <w:gridCol w:w="748"/>
        <w:gridCol w:w="166"/>
        <w:gridCol w:w="146"/>
        <w:gridCol w:w="453"/>
        <w:gridCol w:w="1227"/>
        <w:gridCol w:w="146"/>
        <w:gridCol w:w="146"/>
        <w:gridCol w:w="483"/>
        <w:gridCol w:w="1197"/>
        <w:gridCol w:w="146"/>
        <w:gridCol w:w="146"/>
        <w:gridCol w:w="330"/>
        <w:gridCol w:w="661"/>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Exercisable </w:t>
              <w:noBreakHyphen/>
              <w:t xml:space="preserv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fair value of the Bonus Options and stock options to purchase common stock granted during the years ended December 31, 2025 and 2024 was $12.18 and $22.74, respectively.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Fair Value of 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estimated grant date fair value of stock options was calculated using the Black-Scholes option-pricing model, based on the following assumptions: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Expected Term</w:t>
      </w:r>
      <w:r>
        <w:rPr>
          <w:rFonts w:ascii="Times New Roman" w:hAnsi="Times New Roman"/>
          <w:color w:val="000000"/>
          <w:sz w:val="20"/>
        </w:rPr>
        <w:t>: The expected term represents the period that the options granted are expected to be outstanding using the simplified method (based on the mid-point between the vesting date and the end of the contractual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The Company uses an average historical stock price of selected comparable companies over the expected term of the awards as the Company does not have sufficient trading history for its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The Company uses the risk-free interest rate over the expected term of the options based on the constant maturity rate of U.S. Treasury securities with similar maturities as of the date of the grant.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xml:space="preserve">: The Company is currently subject to restrictions on the payment of dividends (see Note 8 – </w:t>
      </w:r>
      <w:r>
        <w:rPr>
          <w:rFonts w:ascii="Times New Roman" w:hAnsi="Times New Roman"/>
          <w:i/>
          <w:color w:val="000000"/>
          <w:sz w:val="20"/>
        </w:rPr>
        <w:t>Debt</w:t>
      </w:r>
      <w:r>
        <w:rPr>
          <w:rFonts w:ascii="Times New Roman" w:hAnsi="Times New Roman"/>
          <w:color w:val="000000"/>
          <w:sz w:val="20"/>
        </w:rPr>
        <w:t>) and no dividends have been declared as of December 31, 2025 and 2024. The Company has not paid and does not anticipate paying any dividends in the near future. Therefore, the expected dividend yield was zero.</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fair value of each option grant was estimated on the grant date with the following weighted average assumptions for the years indicated:</w:t>
      </w:r>
    </w:p>
    <w:tbl>
      <w:tblPr>
        <w:tblW w:w="4901" w:type="dxa"/>
        <w:jc w:val="left"/>
        <w:tblInd w:w="0" w:type="dxa"/>
        <w:tblLayout w:type="fixed"/>
        <w:tblCellMar>
          <w:top w:w="28" w:type="dxa"/>
          <w:left w:w="28" w:type="dxa"/>
          <w:bottom w:w="28" w:type="dxa"/>
          <w:right w:w="28" w:type="dxa"/>
        </w:tblCellMar>
      </w:tblPr>
      <w:tblGrid>
        <w:gridCol w:w="2131"/>
        <w:gridCol w:w="146"/>
        <w:gridCol w:w="205"/>
        <w:gridCol w:w="656"/>
        <w:gridCol w:w="381"/>
        <w:gridCol w:w="205"/>
        <w:gridCol w:w="205"/>
        <w:gridCol w:w="65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w:t>
              <w:noBreakHyphen/>
              <w:t>free rate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Restricted stock unit activity during the year ended December 31, 2025 was (in thousands, except weighted average grant date fair value per share):</w:t>
      </w:r>
    </w:p>
    <w:tbl>
      <w:tblPr>
        <w:tblW w:w="8290" w:type="dxa"/>
        <w:jc w:val="left"/>
        <w:tblInd w:w="0" w:type="dxa"/>
        <w:tblLayout w:type="fixed"/>
        <w:tblCellMar>
          <w:top w:w="28" w:type="dxa"/>
          <w:left w:w="28" w:type="dxa"/>
          <w:bottom w:w="28" w:type="dxa"/>
          <w:right w:w="28" w:type="dxa"/>
        </w:tblCellMar>
      </w:tblPr>
      <w:tblGrid>
        <w:gridCol w:w="2926"/>
        <w:gridCol w:w="146"/>
        <w:gridCol w:w="415"/>
        <w:gridCol w:w="1205"/>
        <w:gridCol w:w="166"/>
        <w:gridCol w:w="146"/>
        <w:gridCol w:w="780"/>
        <w:gridCol w:w="2115"/>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 Net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Basic and diluted loss per share as of the dates indicated were (in thousands, except per share amounts):</w:t>
      </w:r>
    </w:p>
    <w:tbl>
      <w:tblPr>
        <w:tblW w:w="7307" w:type="dxa"/>
        <w:jc w:val="left"/>
        <w:tblInd w:w="0" w:type="dxa"/>
        <w:tblLayout w:type="fixed"/>
        <w:tblCellMar>
          <w:top w:w="28" w:type="dxa"/>
          <w:left w:w="28" w:type="dxa"/>
          <w:bottom w:w="28" w:type="dxa"/>
          <w:right w:w="28" w:type="dxa"/>
        </w:tblCellMar>
      </w:tblPr>
      <w:tblGrid>
        <w:gridCol w:w="4461"/>
        <w:gridCol w:w="146"/>
        <w:gridCol w:w="221"/>
        <w:gridCol w:w="771"/>
        <w:gridCol w:w="173"/>
        <w:gridCol w:w="152"/>
        <w:gridCol w:w="221"/>
        <w:gridCol w:w="77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w:t>
              <w:br/>
              <w:t>   in computing net loss per share, basic and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1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potentially dilutive securities as of December 31, 2025 and 2024 primarily represent the shares subject to future issuance under stock options awards, warrants, RSUs, and shares subject to purchase under our ESPP, the terms of which are described in further detail in Note 12 – </w:t>
      </w:r>
      <w:r>
        <w:rPr>
          <w:rFonts w:ascii="Times New Roman" w:hAnsi="Times New Roman"/>
          <w:i/>
          <w:color w:val="000000"/>
          <w:sz w:val="20"/>
        </w:rPr>
        <w:t>Share Based Compensation</w:t>
      </w:r>
      <w:r>
        <w:rPr>
          <w:rFonts w:ascii="Times New Roman" w:hAnsi="Times New Roman"/>
          <w:color w:val="000000"/>
          <w:sz w:val="20"/>
        </w:rPr>
        <w:t xml:space="preserve">. The potentially dilutive securities would be subject to the treasury stock method when dilutive.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outstanding common stock equivalents were excluded from diluted net loss attributable to common stockholders for the periods presented because inclusion would be anti-dilutive (in thousands):</w:t>
      </w:r>
    </w:p>
    <w:tbl>
      <w:tblPr>
        <w:tblW w:w="5816" w:type="dxa"/>
        <w:jc w:val="left"/>
        <w:tblInd w:w="0" w:type="dxa"/>
        <w:tblLayout w:type="fixed"/>
        <w:tblCellMar>
          <w:top w:w="28" w:type="dxa"/>
          <w:left w:w="28" w:type="dxa"/>
          <w:bottom w:w="28" w:type="dxa"/>
          <w:right w:w="28" w:type="dxa"/>
        </w:tblCellMar>
      </w:tblPr>
      <w:tblGrid>
        <w:gridCol w:w="2971"/>
        <w:gridCol w:w="146"/>
        <w:gridCol w:w="236"/>
        <w:gridCol w:w="682"/>
        <w:gridCol w:w="236"/>
        <w:gridCol w:w="236"/>
        <w:gridCol w:w="236"/>
        <w:gridCol w:w="682"/>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2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14 - Income Taxes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Since inception, the Company has incurred net taxable losses, and accordingly, no current provision for income taxes has been recorded. Deferred income taxes reflect the net tax effects of temporary differences between the carrying amount of assets and liabilities for financial reporting purposes and the amounts for income tax purposes. Significant components of our deferred income tax assets and liabilities are as follows (in thousands):</w:t>
      </w:r>
    </w:p>
    <w:tbl>
      <w:tblPr>
        <w:tblW w:w="7284" w:type="dxa"/>
        <w:jc w:val="left"/>
        <w:tblInd w:w="0" w:type="dxa"/>
        <w:tblLayout w:type="fixed"/>
        <w:tblCellMar>
          <w:top w:w="28" w:type="dxa"/>
          <w:left w:w="28" w:type="dxa"/>
          <w:bottom w:w="28" w:type="dxa"/>
          <w:right w:w="28" w:type="dxa"/>
        </w:tblCellMar>
      </w:tblPr>
      <w:tblGrid>
        <w:gridCol w:w="4171"/>
        <w:gridCol w:w="146"/>
        <w:gridCol w:w="211"/>
        <w:gridCol w:w="841"/>
        <w:gridCol w:w="166"/>
        <w:gridCol w:w="146"/>
        <w:gridCol w:w="211"/>
        <w:gridCol w:w="781"/>
        <w:gridCol w:w="61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limitation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research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7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100,926</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 after valuation allowance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4, 2025, the One Big Beautiful Bill Act (the OBBBA) was enacted into law. The OBBBA includes several significant tax law changes applicable to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Key provisions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Section 174 Research and Experimental Expenditures</w:t>
      </w:r>
      <w:r>
        <w:rPr>
          <w:rFonts w:ascii="Times New Roman" w:hAnsi="Times New Roman"/>
          <w:color w:val="000000"/>
          <w:sz w:val="20"/>
        </w:rPr>
        <w:t>: The OBBBA repeals the requirement to capitalize and amortize domestic research and experimental expenditures. Effective for tax years beginning after December 31, 2024, such expenditures may be immediately expensed. Taxpayers may elect to reverse previously capitalized Section 174 amounts over a one- or two-year period.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Section 163(j) Interest Deduction Limitation</w:t>
      </w:r>
      <w:r>
        <w:rPr>
          <w:rFonts w:ascii="Times New Roman" w:hAnsi="Times New Roman"/>
          <w:color w:val="000000"/>
          <w:sz w:val="20"/>
        </w:rPr>
        <w:t>: The calculation of adjusted taxable income for purposes of the Section 163(j) limitation will include an addback for depreciation and amortization, potentially increasing the Company’s allowable interest deductions.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Bonus Depreciation</w:t>
      </w:r>
      <w:r>
        <w:rPr>
          <w:rFonts w:ascii="Times New Roman" w:hAnsi="Times New Roman"/>
          <w:color w:val="000000"/>
          <w:sz w:val="20"/>
        </w:rPr>
        <w:t>: The OBBBA extends 100% bonus depreciation for qualified property. This provision allows for immediate expensing of eligible capital investments, which may accelerate tax deductions for the Company’s future capital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the Company maintains a full valuation allowance against its net deferred tax assets and liabilities. Accordingly, the enactment of the OBBBA did not have a material impact to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regularly assesses the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of realizable deferred tax assets, the Company will adjust its valuation allowance with a corresponding impact to the provision for income taxes in the period in which such determination is made. The Company’s management believes that, based on a number of factors, it is more likely than not, that all or some portion of the deferred tax assets will not be realized. Accordingly, for the years ended December 31, 2025 and 2024, the Company has provided a valuation allowance against the Company’s U.S. net deferred tax assets. The net change in the valuation allowance for the year ended December 31, 2025 and 2024, was an increase of $7.5 million and $6.0 million,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Company had net operating loss carryforwards for federal income tax purposes of approximately $358.9 million which will begin to expire in 2026, with $182.0 million lasting indefinitely. As of December 31, 2025, the Company had net operating loss carryforwards for state income tax purposes of approximately $199.4 million, which began to expire on December 31, 2025. The Internal Revenue Code of 1986, as amended, imposes restrictions on the utilization of net operating losses in the event of an “ownership change” of a corporation. Accordingly, a company’s ability to use net operating losses may be limited as prescribed under Internal Revenue Code Section 382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and similar state provisions.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the Company had federal and state research credit carryforwards of approximately $0.7 million and zero, respectively. The federal research credit carryforwards will begin to expire in 2027.</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2025, the Company determined that it has uncertain tax positions related to its U.S. research and development credits. The Company's policy is to recognize interest and penalties accrued on any unrecognized tax benefits as a component of income tax expense. As of December 31, 2025 and 2024, there was no accrued interest and penalties related to uncertain tax positions. As of December 31, 2025, no unrecognized tax benefits, if recognized, would have an impact on the Company's effective tax rate. The Company does not believe it is reasonably possible that its unrecognized tax benefits will significantly change in the next twelve months. A reconciliation of beginning and ending balances for unrecognized tax benefits is as follows (in thousands):</w:t>
      </w:r>
    </w:p>
    <w:tbl>
      <w:tblPr>
        <w:tblW w:w="7677" w:type="dxa"/>
        <w:jc w:val="left"/>
        <w:tblInd w:w="0" w:type="dxa"/>
        <w:tblLayout w:type="fixed"/>
        <w:tblCellMar>
          <w:top w:w="28" w:type="dxa"/>
          <w:left w:w="28" w:type="dxa"/>
          <w:bottom w:w="28" w:type="dxa"/>
          <w:right w:w="28" w:type="dxa"/>
        </w:tblCellMar>
      </w:tblPr>
      <w:tblGrid>
        <w:gridCol w:w="4611"/>
        <w:gridCol w:w="346"/>
        <w:gridCol w:w="276"/>
        <w:gridCol w:w="550"/>
        <w:gridCol w:w="191"/>
        <w:gridCol w:w="191"/>
        <w:gridCol w:w="276"/>
        <w:gridCol w:w="825"/>
        <w:gridCol w:w="411"/>
      </w:tblGrid>
      <w:tr>
        <w:trPr/>
        <w:tc>
          <w:tcPr>
            <w:tcW w:w="46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for tax positions related to the current year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for tax positions related to prior years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Reductions for tax positions related to prior years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Reductions related to settlements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Reductions related to a lapse of statute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monitors proposed and issued tax law, regulations, and cases to determine the potential impact of uncertain income tax positions. As of December 31, 2025, the Company had not identified any potential subsequent events that would have a material impact on unrecognized income tax benefits within the next twelve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Income tax expense differed from the amount computed by applying the federal statutory income tax rate of 21% to pretax income after the adoption of ASU 2023-09 for the years ended December 31, 2025 and 2024 as a result of the following (in thousands, except percentages):</w:t>
      </w:r>
    </w:p>
    <w:tbl>
      <w:tblPr>
        <w:tblW w:w="8190" w:type="dxa"/>
        <w:jc w:val="left"/>
        <w:tblInd w:w="0" w:type="dxa"/>
        <w:tblLayout w:type="fixed"/>
        <w:tblCellMar>
          <w:top w:w="28" w:type="dxa"/>
          <w:left w:w="28" w:type="dxa"/>
          <w:bottom w:w="28" w:type="dxa"/>
          <w:right w:w="28" w:type="dxa"/>
        </w:tblCellMar>
      </w:tblPr>
      <w:tblGrid>
        <w:gridCol w:w="3406"/>
        <w:gridCol w:w="146"/>
        <w:gridCol w:w="211"/>
        <w:gridCol w:w="631"/>
        <w:gridCol w:w="166"/>
        <w:gridCol w:w="146"/>
        <w:gridCol w:w="163"/>
        <w:gridCol w:w="588"/>
        <w:gridCol w:w="271"/>
        <w:gridCol w:w="146"/>
        <w:gridCol w:w="211"/>
        <w:gridCol w:w="631"/>
        <w:gridCol w:w="166"/>
        <w:gridCol w:w="146"/>
        <w:gridCol w:w="163"/>
        <w:gridCol w:w="588"/>
        <w:gridCol w:w="4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developments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ownership limitation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Meals &amp;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files income tax returns in the U.S. federal and various state jurisdictions with varying statutes of limitations. In both 2025 and 2024, state and local income taxes in California, Florida, Illinois, New Jersey, and New York comprise the majority of the ‘State and local income taxes, net of federal benefit’ category, although no income taxes were paid to any jurisdiction. The Company’s federal and state returns for all years will remain open to examination by federal and state tax authorities for three and four years, respectively, from the date of utilization of any net operating loss carryforwards.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15 – Segment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Operating segments are defined as components of an enterprise about which separate discrete information is available for evaluation by the chief operating decision-maker (CODM) in deciding how to allocate resources and assess performance. The Company's chief executive officer and chief financial officer, as a group, represents the entity's chief operating decision makers. The Company’s CODM views the Company’s operations and manages its business as a single operating segment focused on diagnostic testing in the clinical setting and providing services to biopharmaceutical companies (see Note 11 – </w:t>
      </w:r>
      <w:r>
        <w:rPr>
          <w:rFonts w:ascii="Times New Roman" w:hAnsi="Times New Roman"/>
          <w:i/>
          <w:color w:val="000000"/>
          <w:sz w:val="20"/>
        </w:rPr>
        <w:t>Revenue and Accounts Receivable Credit Concentration</w:t>
      </w:r>
      <w:r>
        <w:rPr>
          <w:rFonts w:ascii="Times New Roman" w:hAnsi="Times New Roman"/>
          <w:color w:val="000000"/>
          <w:sz w:val="20"/>
        </w:rPr>
        <w:t xml:space="preserve">). The CODM views the Company's operations as a single operating segment as each revenue stream utilizes the same equipment and resources. In addition, discrete financial information is not available for each revenue stream other than gross margin. The accounting policies of the segment are the same as those described in Note 2 – </w:t>
      </w:r>
      <w:r>
        <w:rPr>
          <w:rFonts w:ascii="Times New Roman" w:hAnsi="Times New Roman"/>
          <w:i/>
          <w:color w:val="000000"/>
          <w:sz w:val="20"/>
        </w:rPr>
        <w:t>Summary of Significant Accounting Policies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Substantially all of the Company’s revenue and all long-lived assets were derived or are located in the United States for the years ended December 31, 2025 and 2024. The measure of segment assets is reported on the balance sheet as total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single operating segment, the CODM assesses how to allocate resources and measures the Company's performance based on net income or loss that is reported on the statement of operations as net loss. The CODM uses net income or loss to evaluate the return generated from segment assets in deciding whether to reinvest into the segment or into other parts of the entity, such as acquisitions. Net income or loss is used to monitor budget versus actual results, which are used in assessing performance of the segment and in establishing management's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CODM regularly reviews the following significant expenses and other segment items. A summary of the significant expenses and other segment items reported in the Company’s statements of operations as of the dates indicated is as follows (in thousands):</w:t>
      </w:r>
    </w:p>
    <w:tbl>
      <w:tblPr>
        <w:tblW w:w="10205" w:type="dxa"/>
        <w:jc w:val="left"/>
        <w:tblInd w:w="0" w:type="dxa"/>
        <w:tblLayout w:type="fixed"/>
        <w:tblCellMar>
          <w:top w:w="28" w:type="dxa"/>
          <w:left w:w="28" w:type="dxa"/>
          <w:bottom w:w="28" w:type="dxa"/>
          <w:right w:w="28" w:type="dxa"/>
        </w:tblCellMar>
      </w:tblPr>
      <w:tblGrid>
        <w:gridCol w:w="7367"/>
        <w:gridCol w:w="146"/>
        <w:gridCol w:w="220"/>
        <w:gridCol w:w="768"/>
        <w:gridCol w:w="172"/>
        <w:gridCol w:w="151"/>
        <w:gridCol w:w="220"/>
        <w:gridCol w:w="768"/>
        <w:gridCol w:w="393"/>
      </w:tblGrid>
      <w:tr>
        <w:trPr/>
        <w:tc>
          <w:tcPr>
            <w:tcW w:w="73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71,323</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 (less employee related expenses and 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related expenses (less 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Contracted services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 education and event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equipment service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6,682</w:t>
            </w:r>
          </w:p>
        </w:tc>
        <w:tc>
          <w:tcPr>
            <w:tcW w:w="1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7,078</w:t>
            </w:r>
          </w:p>
        </w:tc>
        <w:tc>
          <w:tcPr>
            <w:tcW w:w="3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(35,265</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Other segment items in segment net loss primarily include software and IT related expenses, administrative and professional development expenses, risk management and insurance expenses, other non-cash expenses, and allocated overhead expenses.</w:t>
      </w:r>
    </w:p>
    <w:p>
      <w:pPr>
        <w:pStyle w:val="TextBody"/>
        <w:bidi w:val="0"/>
        <w:spacing w:before="240" w:after="283"/>
        <w:jc w:val="left"/>
        <w:rPr>
          <w:rFonts w:ascii="Times New Roman" w:hAnsi="Times New Roman"/>
          <w:sz w:val="20"/>
        </w:rPr>
      </w:pPr>
      <w:r>
        <w:rPr>
          <w:rFonts w:ascii="Times New Roman" w:hAnsi="Times New Roman"/>
          <w:b/>
          <w:color w:val="000000"/>
          <w:sz w:val="20"/>
        </w:rPr>
        <w:t>Note 16 –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w:t>
        <w:noBreakHyphen/>
        <w:t>Development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conducted a proof of concept (POC) clinical study of ficlatuzumab for NSCLC in which BDX004 was used to select clinical trial subjects (the NSCLC POC Trial). Under the agreement, the Company and AVEO shared equally in the costs of the NSCLC POC Trial, and each were responsible for 50% of development and regulatory costs associated with all future clinical trials agreed upon by the Company and AVEO.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2020, the Company exercised its opt-out right with AVEO for the payment of 50% of development and regulatory costs for ficlatuzumab effective December 2, 2020 (the AVEO Effective Date). Following the AVEO Effective Date, the Company is entitled to a 10% royalty of net sales of ficlatuzumab and 25% of license income generated from the licensing of ficlatuzumab from AVEO. In September 2021, AVEO announced that the FDA has granted Fast Track Designation (FTD) to ficlatuzumab for the treatment of patients with relapsed or recurrent head and neck squamous cell carcinoma. In November 2021 AVEO also announced plans to initiate a registrational Phase 3 clinical trial for ficlatuzumab. On January 19, 2023, LG Chem, Ltd. (LG Chem) announced the acquisition of AVEO which would become the US foundation for LG Chem Life Sciences' Oncology Division. In January 2024, LG Chem announced the initiation of the Phase 3 clinical trial for ficlatuzumab and, if approved by the FDA, LG Chem plans to launch the ficlatuzumab product in the global market, including the United States, by 2028. There were no royalties received related to this agreement for the years ended December 31, 2025 and 2024.</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2019, the Company entered into a non-exclusive license agreement with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There are no license fees related to this agreement. In May 2024, the Company amended the agreement to extend the Bio-Rad License from August 2024 to August 2026. In August 2019, the Company also agreed to purchase all of the necessary supplies and reagents for such testing exclusively from Bio-Rad, pursuant to a separately executed supply agreement (the Supply Agreement) with Bio-Rad.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13, 2021 (the CellCarta Effective Date), we reached agreement with CellCarta Biosciences Inc. (formerly “Caprion Biosciences, Inc.”) (the CellCarta License) on a new royalty bearing license agreement for the Nodify XL2 test. The parties agreed to terminate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for each of the years ended December 31, 2025 and 2024 was $0.4 million and $0.3 million,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31, 2019, we completed an acquisition of Freenome's United States operations (formerly "Oncimmune USA" or "Oncimmune") including its COLA/CLIA lab in De Soto, Kansas and its pulmonary nodule malignancy test, then marketed in the United States as the EarlyCDT Lung® test. We renamed and relaunched the test on February 28, 2020 as the Nodify CDT test. As part of the acquisition of the assets of Oncimmune, the Company entered into several agreements to govern the relationship between the parties. The Company agreed to a license agreement and royalty payment related to the Nodify CDT test of 8% of recognized revenue for non-screening tests up to an annual minimum volume and 5% thereafter. Royalty expenses were $1.7 million and $1.5 million for the years ended December 31, 2025 and 2024,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 Claims and Assessments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17 – Subsequent Events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At-the-Market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Subsequent to December 31, 2025, the Company raised an additional $14.7 million ($14.4 million after deducting underwriting discounts and commissions and offering expenses payable), in gross proceeds from the sale of 1,615,003 common shares at a weighted average price per share of $9.12.</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Perceptive Term Loan Facility Extension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25, 2026 (the Sixth Amendment Effective Date), the Company entered into the Sixth Amendment to the Credit Agreement (the Sixth Amendment) with Perceptive, whereby subject to the terms and conditions of the Sixth Amendment, the Perceptive Term Loan Facility Maturity Date was extended to November 21, 2028 (the Extended Maturity Date). Consistent with the existing financial covenants, the Company must continue to, at all times prior to the Extended Maturity Date, (i) maintain a minimum cash balance of $2.5 million and (ii) meet certain minimum net revenue threshold amounts agreed to between the Company and Perceptive through and including the fiscal quarter ended December 31, 2028. The Perceptive Term Loan Facility continues to provide for an interest-only period through the Extended Maturity Date at an annual rate equal to the greater of (a) forward-looking one-month term SOFR as posted by CME Group Inc. and (b) 3.0% per annum, plus an applicable margin of 9.0%.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the Sixth Amendment, the Company agreed to issue to Perceptive a warrant to purchase up to 100,000 shares of the Company’s common stock, which were immediately vested and exercisable at a per share exercise price equal to $12.93, the Company’s closing stock price on the Sixth Amendment Effective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7" w:name="bdsx-ex4_11.htm"/>
      <w:bookmarkStart w:id="38" w:name="ksbdsxex4_11"/>
      <w:bookmarkEnd w:id="37"/>
      <w:bookmarkEnd w:id="38"/>
      <w:r>
        <w:rPr>
          <w:rFonts w:ascii="Times New Roman" w:hAnsi="Times New Roman"/>
          <w:b/>
          <w:color w:val="000000"/>
          <w:sz w:val="22"/>
        </w:rPr>
        <w:t>Exhibit 4.11</w:t>
      </w:r>
      <w:r>
        <w:br w:type="page"/>
      </w:r>
    </w:p>
    <w:p>
      <w:pPr>
        <w:pStyle w:val="Heading1"/>
        <w:bidi w:val="0"/>
        <w:spacing w:before="0" w:after="240"/>
        <w:jc w:val="center"/>
        <w:rPr>
          <w:rFonts w:ascii="Times New Roman" w:hAnsi="Times New Roman"/>
          <w:caps/>
          <w:color w:val="000000"/>
          <w:sz w:val="24"/>
        </w:rPr>
      </w:pPr>
      <w:r>
        <w:rPr>
          <w:rFonts w:ascii="Times New Roman" w:hAnsi="Times New Roman"/>
          <w:caps/>
          <w:color w:val="000000"/>
          <w:sz w:val="24"/>
        </w:rPr>
        <w:t>WARRANT certificate</w:t>
      </w:r>
    </w:p>
    <w:p>
      <w:pPr>
        <w:pStyle w:val="TextBody"/>
        <w:bidi w:val="0"/>
        <w:spacing w:before="0" w:after="240"/>
        <w:jc w:val="center"/>
        <w:rPr>
          <w:rFonts w:ascii="Times New Roman" w:hAnsi="Times New Roman"/>
          <w:sz w:val="20"/>
        </w:rPr>
      </w:pPr>
      <w:r>
        <w:rPr>
          <w:rFonts w:ascii="Times New Roman" w:hAnsi="Times New Roman"/>
          <w:color w:val="000000"/>
          <w:sz w:val="24"/>
        </w:rPr>
        <w:t xml:space="preserve">THIS WARRANT </w:t>
      </w:r>
      <w:r>
        <w:rPr>
          <w:rFonts w:ascii="Times New Roman" w:hAnsi="Times New Roman"/>
          <w:caps/>
          <w:color w:val="000000"/>
          <w:sz w:val="24"/>
        </w:rPr>
        <w:t>certificate</w:t>
      </w:r>
      <w:r>
        <w:rPr>
          <w:rFonts w:ascii="Times New Roman" w:hAnsi="Times New Roman"/>
          <w:color w:val="000000"/>
          <w:sz w:val="20"/>
        </w:rPr>
        <w:t xml:space="preserve"> </w:t>
      </w:r>
      <w:r>
        <w:rPr>
          <w:rFonts w:ascii="Times New Roman" w:hAnsi="Times New Roman"/>
          <w:color w:val="000000"/>
          <w:sz w:val="24"/>
        </w:rPr>
        <w:t xml:space="preserve">AND THE SECURITIES ISSUABLE UPON EXERCISE OF THIS WARRANT </w:t>
      </w:r>
      <w:r>
        <w:rPr>
          <w:rFonts w:ascii="Times New Roman" w:hAnsi="Times New Roman"/>
          <w:caps/>
          <w:color w:val="000000"/>
          <w:sz w:val="24"/>
        </w:rPr>
        <w:t>certificate</w:t>
      </w:r>
      <w:r>
        <w:rPr>
          <w:rFonts w:ascii="Times New Roman" w:hAnsi="Times New Roman"/>
          <w:color w:val="000000"/>
          <w:sz w:val="20"/>
        </w:rPr>
        <w:t xml:space="preserve"> </w:t>
      </w:r>
      <w:r>
        <w:rPr>
          <w:rFonts w:ascii="Times New Roman" w:hAnsi="Times New Roman"/>
          <w:color w:val="000000"/>
          <w:sz w:val="24"/>
        </w:rPr>
        <w:t>HAVE NOT BEEN REGISTERED UNDER THE SECURITIES ACT OF 1933, AS AMENDED (THE “</w:t>
      </w:r>
      <w:r>
        <w:rPr>
          <w:rFonts w:ascii="Times New Roman" w:hAnsi="Times New Roman"/>
          <w:b/>
          <w:i/>
          <w:color w:val="000000"/>
          <w:sz w:val="24"/>
        </w:rPr>
        <w:t>SECURITIES ACT</w:t>
      </w:r>
      <w:r>
        <w:rPr>
          <w:rFonts w:ascii="Times New Roman" w:hAnsi="Times New Roman"/>
          <w:color w:val="000000"/>
          <w:sz w:val="20"/>
        </w:rPr>
        <w:t>”</w:t>
      </w:r>
      <w:r>
        <w:rPr>
          <w:rFonts w:ascii="Times New Roman" w:hAnsi="Times New Roman"/>
          <w:color w:val="000000"/>
          <w:sz w:val="24"/>
        </w:rPr>
        <w:t>), OR QUALIFIED UNDER ANY STATE OR FOREIGN SECURITIES LAWS AND MAY NOT BE OFFERED FOR SALE, SOLD, PLEDGED, HYPOTHECATED OR OTHERWISE TRANSFERRED OR ASSIGNED UNLESS (I) A REGISTRATION STATEMENT COVERING SUCH SHARES IS EFFECTIVE UNDER THE SECURITIES ACT AND IS QUALIFIED UNDER APPLICABLE STATE AND FOREIGN LAW OR (II) THE TRANSACTION IS EXEMPT FROM THE REGISTRATION AND PROSPECTUS DELIVERY REQUIREMENTS UNDER THE SECURITIES ACT AND THE QUALIFICATION REQUIREMENTS UNDER APPLICABLE STATE AND FOREIGN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Warrant Shares Issuable: Up to 100,000 Shares of Common Stock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Warrant Certificate No.: HW-03</w:t>
      </w:r>
    </w:p>
    <w:p>
      <w:pPr>
        <w:pStyle w:val="TextBody"/>
        <w:bidi w:val="0"/>
        <w:spacing w:before="0" w:after="240"/>
        <w:jc w:val="left"/>
        <w:rPr>
          <w:rFonts w:ascii="Times New Roman" w:hAnsi="Times New Roman"/>
          <w:sz w:val="20"/>
        </w:rPr>
      </w:pPr>
      <w:r>
        <w:rPr>
          <w:rFonts w:ascii="Times New Roman" w:hAnsi="Times New Roman"/>
          <w:color w:val="000000"/>
          <w:sz w:val="24"/>
        </w:rPr>
        <w:t>Issue Date: February 25, 2026 (the “</w:t>
      </w:r>
      <w:r>
        <w:rPr>
          <w:rFonts w:ascii="Times New Roman" w:hAnsi="Times New Roman"/>
          <w:b/>
          <w:i/>
          <w:color w:val="000000"/>
          <w:sz w:val="24"/>
        </w:rPr>
        <w:t>Issue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FOR VALUE RECEIVED, Biodesix,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hereby certifies that Perceptive Credit Holdings IV, LP or any of its registered assigns (collectively, the “</w:t>
      </w:r>
      <w:r>
        <w:rPr>
          <w:rFonts w:ascii="Times New Roman" w:hAnsi="Times New Roman"/>
          <w:b/>
          <w:i/>
          <w:color w:val="000000"/>
          <w:sz w:val="24"/>
        </w:rPr>
        <w:t>Holder</w:t>
      </w:r>
      <w:r>
        <w:rPr>
          <w:rFonts w:ascii="Times New Roman" w:hAnsi="Times New Roman"/>
          <w:color w:val="000000"/>
          <w:sz w:val="20"/>
        </w:rPr>
        <w:t>”</w:t>
      </w:r>
      <w:r>
        <w:rPr>
          <w:rFonts w:ascii="Times New Roman" w:hAnsi="Times New Roman"/>
          <w:color w:val="000000"/>
          <w:sz w:val="24"/>
        </w:rPr>
        <w:t xml:space="preserve">) is entitled to purchase from the Company up to 100,000 duly authorized, validly issued, fully paid and nonassessable shares of the Company’s Common Stock at the per share Exercise Price (defined below), all subject to the terms, conditions and adjustments set forth below in this Warrant Certificate. Certain capitalized terms used herein are defined in </w:t>
      </w:r>
      <w:r>
        <w:rPr>
          <w:rFonts w:ascii="Times New Roman" w:hAnsi="Times New Roman"/>
          <w:b/>
          <w:color w:val="000000"/>
          <w:sz w:val="24"/>
        </w:rPr>
        <w:t>Section 1</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This Warrant Certificate has been issued pursuant to the terms of the Sixth Amendment to Credit Agreement and Guaranty, dated as of February 25, 2026 (the “</w:t>
      </w:r>
      <w:r>
        <w:rPr>
          <w:rFonts w:ascii="Times New Roman" w:hAnsi="Times New Roman"/>
          <w:b/>
          <w:i/>
          <w:color w:val="000000"/>
          <w:sz w:val="24"/>
        </w:rPr>
        <w:t>Sixth Amendment</w:t>
      </w:r>
      <w:r>
        <w:rPr>
          <w:rFonts w:ascii="Times New Roman" w:hAnsi="Times New Roman"/>
          <w:color w:val="000000"/>
          <w:sz w:val="20"/>
        </w:rPr>
        <w:t>”</w:t>
      </w:r>
      <w:r>
        <w:rPr>
          <w:rFonts w:ascii="Times New Roman" w:hAnsi="Times New Roman"/>
          <w:color w:val="000000"/>
          <w:sz w:val="24"/>
        </w:rPr>
        <w:t xml:space="preserve">), which amends that certain Credit and Guaranty Agreement, dated as of November 16, 2022 (as amended pursuant to that certain First Amendment to Credit Agreement and Guaranty, dated as of May 10, 2023, as amended pursuant to that certain Second Amendment to Credit Agreement and Guaranty, dated as of August 4, 2023, as amended pursuant to that certain Third Amendment to Credit Agreement and Guaranty, dated as of February 29, 2024, as amended pursuant to that certain Fourth Amendment to Credit Agreement and Guaranty, dated as of October 30, 2024, and as amended pursuant to that certain Fifth Amendment to Credit Agreement and Guaranty, dated as of February 28, 2025 (the </w:t>
      </w:r>
      <w:r>
        <w:rPr>
          <w:rFonts w:ascii="Times New Roman" w:hAnsi="Times New Roman"/>
          <w:color w:val="000000"/>
          <w:sz w:val="20"/>
        </w:rPr>
        <w:t>“</w:t>
      </w:r>
      <w:r>
        <w:rPr>
          <w:rFonts w:ascii="Times New Roman" w:hAnsi="Times New Roman"/>
          <w:b/>
          <w:i/>
          <w:color w:val="000000"/>
          <w:sz w:val="24"/>
        </w:rPr>
        <w:t>Existing</w:t>
      </w:r>
      <w:r>
        <w:rPr>
          <w:rFonts w:ascii="Times New Roman" w:hAnsi="Times New Roman"/>
          <w:color w:val="000000"/>
          <w:sz w:val="20"/>
        </w:rPr>
        <w:t xml:space="preserve"> </w:t>
      </w:r>
      <w:r>
        <w:rPr>
          <w:rFonts w:ascii="Times New Roman" w:hAnsi="Times New Roman"/>
          <w:b/>
          <w:i/>
          <w:color w:val="000000"/>
          <w:sz w:val="24"/>
        </w:rPr>
        <w:t>Credit Agreement</w:t>
      </w:r>
      <w:r>
        <w:rPr>
          <w:rFonts w:ascii="Times New Roman" w:hAnsi="Times New Roman"/>
          <w:color w:val="000000"/>
          <w:sz w:val="20"/>
        </w:rPr>
        <w:t>”</w:t>
      </w:r>
      <w:r>
        <w:rPr>
          <w:rFonts w:ascii="Times New Roman" w:hAnsi="Times New Roman"/>
          <w:color w:val="000000"/>
          <w:sz w:val="24"/>
        </w:rPr>
        <w:t>; the Existing Credit Agreement as amended by the Sixth Amendment, the “</w:t>
      </w:r>
      <w:r>
        <w:rPr>
          <w:rFonts w:ascii="Times New Roman" w:hAnsi="Times New Roman"/>
          <w:b/>
          <w:i/>
          <w:color w:val="000000"/>
          <w:sz w:val="24"/>
        </w:rPr>
        <w:t>Credit Agreement</w:t>
      </w:r>
      <w:r>
        <w:rPr>
          <w:rFonts w:ascii="Times New Roman" w:hAnsi="Times New Roman"/>
          <w:color w:val="000000"/>
          <w:sz w:val="20"/>
        </w:rPr>
        <w:t>”</w:t>
      </w:r>
      <w:r>
        <w:rPr>
          <w:rFonts w:ascii="Times New Roman" w:hAnsi="Times New Roman"/>
          <w:color w:val="000000"/>
          <w:sz w:val="24"/>
        </w:rPr>
        <w:t>), among the Company, as the borrower, the guarantors party thereto and Perceptive Credit Opportunities Fund IV, LP, as the lender.</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w:t>
      </w:r>
    </w:p>
    <w:p>
      <w:pPr>
        <w:pStyle w:val="TextBody"/>
        <w:bidi w:val="0"/>
        <w:spacing w:before="0" w:after="240"/>
        <w:jc w:val="left"/>
        <w:rPr/>
      </w:pPr>
      <w:r>
        <w:rPr>
          <w:rFonts w:ascii="Times New Roman" w:hAnsi="Times New Roman"/>
          <w:b/>
          <w:color w:val="000000"/>
          <w:sz w:val="24"/>
        </w:rPr>
        <w:t>Definitions</w:t>
      </w:r>
      <w:r>
        <w:rPr>
          <w:rFonts w:ascii="Times New Roman" w:hAnsi="Times New Roman"/>
          <w:color w:val="000000"/>
          <w:sz w:val="24"/>
        </w:rPr>
        <w:t>. The following terms when used herein have the following meanings:</w:t>
      </w:r>
    </w:p>
    <w:p>
      <w:pPr>
        <w:pStyle w:val="TextBody"/>
        <w:bidi w:val="0"/>
        <w:spacing w:before="0" w:after="240"/>
        <w:jc w:val="left"/>
        <w:rPr/>
      </w:pPr>
      <w:r>
        <w:rPr>
          <w:color w:val="000000"/>
        </w:rPr>
        <w:t>“</w:t>
      </w:r>
      <w:r>
        <w:rPr>
          <w:rFonts w:ascii="Times New Roman" w:hAnsi="Times New Roman"/>
          <w:b/>
          <w:i/>
          <w:color w:val="000000"/>
          <w:sz w:val="24"/>
        </w:rPr>
        <w:t>Acquisition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3(m)</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Aggregate Exercise Price</w:t>
      </w:r>
      <w:r>
        <w:rPr>
          <w:rFonts w:ascii="Times New Roman" w:hAnsi="Times New Roman"/>
          <w:color w:val="000000"/>
          <w:sz w:val="20"/>
        </w:rPr>
        <w:t xml:space="preserve">” </w:t>
      </w:r>
      <w:r>
        <w:rPr>
          <w:rFonts w:ascii="Times New Roman" w:hAnsi="Times New Roman"/>
          <w:color w:val="000000"/>
          <w:sz w:val="24"/>
        </w:rPr>
        <w:t>means, with respect to any exercise of this Warrant Certificate for Warrant Shares, an amount equal to the product of (i) the number of Warrant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Shares in respect of which this Warrant Certificate is then being exercised pursuant to </w:t>
      </w:r>
      <w:r>
        <w:rPr>
          <w:rFonts w:ascii="Times New Roman" w:hAnsi="Times New Roman"/>
          <w:b/>
          <w:color w:val="000000"/>
          <w:sz w:val="24"/>
        </w:rPr>
        <w:t xml:space="preserve">Section 3 </w:t>
      </w:r>
      <w:r>
        <w:rPr>
          <w:rFonts w:ascii="Times New Roman" w:hAnsi="Times New Roman"/>
          <w:color w:val="000000"/>
          <w:sz w:val="24"/>
        </w:rPr>
        <w:t>multiplied by (ii) the Exercise Price.</w:t>
      </w:r>
    </w:p>
    <w:p>
      <w:pPr>
        <w:pStyle w:val="TextBody"/>
        <w:bidi w:val="0"/>
        <w:spacing w:before="0" w:after="240"/>
        <w:jc w:val="left"/>
        <w:rPr/>
      </w:pPr>
      <w:r>
        <w:rPr>
          <w:color w:val="000000"/>
        </w:rPr>
        <w:t>“</w:t>
      </w:r>
      <w:r>
        <w:rPr>
          <w:rFonts w:ascii="Times New Roman" w:hAnsi="Times New Roman"/>
          <w:b/>
          <w:i/>
          <w:color w:val="000000"/>
          <w:sz w:val="24"/>
        </w:rPr>
        <w:t>Anticipated Sale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3(j)</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i/>
          <w:color w:val="000000"/>
          <w:sz w:val="24"/>
        </w:rPr>
        <w:t>Bloomberg</w:t>
      </w:r>
      <w:r>
        <w:rPr>
          <w:rFonts w:ascii="Times New Roman" w:hAnsi="Times New Roman"/>
          <w:color w:val="000000"/>
          <w:sz w:val="20"/>
        </w:rPr>
        <w:t xml:space="preserve">” </w:t>
      </w:r>
      <w:r>
        <w:rPr>
          <w:rFonts w:ascii="Times New Roman" w:hAnsi="Times New Roman"/>
          <w:color w:val="000000"/>
          <w:sz w:val="24"/>
        </w:rPr>
        <w:t>has the meaning set forth within the definition of VWAP.</w:t>
      </w:r>
    </w:p>
    <w:p>
      <w:pPr>
        <w:pStyle w:val="TextBody"/>
        <w:bidi w:val="0"/>
        <w:spacing w:before="0" w:after="240"/>
        <w:jc w:val="left"/>
        <w:rPr/>
      </w:pPr>
      <w:r>
        <w:rPr>
          <w:color w:val="000000"/>
        </w:rPr>
        <w:t>“</w:t>
      </w:r>
      <w:r>
        <w:rPr>
          <w:rFonts w:ascii="Times New Roman" w:hAnsi="Times New Roman"/>
          <w:b/>
          <w:i/>
          <w:color w:val="000000"/>
          <w:sz w:val="24"/>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left"/>
        <w:rPr/>
      </w:pPr>
      <w:r>
        <w:rPr>
          <w:color w:val="000000"/>
        </w:rPr>
        <w:t>“</w:t>
      </w:r>
      <w:r>
        <w:rPr>
          <w:rFonts w:ascii="Times New Roman" w:hAnsi="Times New Roman"/>
          <w:b/>
          <w:i/>
          <w:color w:val="000000"/>
          <w:sz w:val="24"/>
        </w:rPr>
        <w:t>Business Day</w:t>
      </w:r>
      <w:r>
        <w:rPr>
          <w:rFonts w:ascii="Times New Roman" w:hAnsi="Times New Roman"/>
          <w:color w:val="000000"/>
          <w:sz w:val="20"/>
        </w:rPr>
        <w:t xml:space="preserve">” </w:t>
      </w:r>
      <w:r>
        <w:rPr>
          <w:rFonts w:ascii="Times New Roman" w:hAnsi="Times New Roman"/>
          <w:color w:val="000000"/>
          <w:sz w:val="24"/>
        </w:rPr>
        <w:t>means any day, except a Saturday, Sunday or legal holiday, on which banking institutions in the city of New York, New York are authorized or obligated by law or executive order to close.</w:t>
      </w:r>
    </w:p>
    <w:p>
      <w:pPr>
        <w:pStyle w:val="TextBody"/>
        <w:bidi w:val="0"/>
        <w:spacing w:before="0" w:after="240"/>
        <w:jc w:val="left"/>
        <w:rPr/>
      </w:pPr>
      <w:r>
        <w:rPr>
          <w:color w:val="000000"/>
        </w:rPr>
        <w:t>“</w:t>
      </w:r>
      <w:r>
        <w:rPr>
          <w:rFonts w:ascii="Times New Roman" w:hAnsi="Times New Roman"/>
          <w:b/>
          <w:i/>
          <w:color w:val="000000"/>
          <w:sz w:val="24"/>
        </w:rPr>
        <w:t>Cash Acquisition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3(m)</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Cashless Exercise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3(b)</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i/>
          <w:color w:val="000000"/>
          <w:sz w:val="24"/>
        </w:rPr>
        <w:t>Charter</w:t>
      </w:r>
      <w:r>
        <w:rPr>
          <w:rFonts w:ascii="Times New Roman" w:hAnsi="Times New Roman"/>
          <w:color w:val="000000"/>
          <w:sz w:val="20"/>
        </w:rPr>
        <w:t xml:space="preserve">” </w:t>
      </w:r>
      <w:r>
        <w:rPr>
          <w:rFonts w:ascii="Times New Roman" w:hAnsi="Times New Roman"/>
          <w:color w:val="000000"/>
          <w:sz w:val="24"/>
        </w:rPr>
        <w:t>means the Company’s Amended and Restated Certificate of Incorporation filed with the Secretary of State of the State of Delaware on October 30, 2020 (as the same may be amended).</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Common Stock</w:t>
      </w:r>
      <w:r>
        <w:rPr>
          <w:rFonts w:ascii="Times New Roman" w:hAnsi="Times New Roman"/>
          <w:color w:val="000000"/>
          <w:sz w:val="20"/>
        </w:rPr>
        <w:t xml:space="preserve">” </w:t>
      </w:r>
      <w:r>
        <w:rPr>
          <w:rFonts w:ascii="Times New Roman" w:hAnsi="Times New Roman"/>
          <w:color w:val="000000"/>
          <w:sz w:val="24"/>
        </w:rPr>
        <w:t>means the common stock, par value $0.001 per share, of the Company, and any capital stock into which such Common Stock shall have been converted, exchanged or reclassified following the date hereof.</w:t>
      </w:r>
    </w:p>
    <w:p>
      <w:pPr>
        <w:pStyle w:val="TextBody"/>
        <w:bidi w:val="0"/>
        <w:spacing w:before="0" w:after="240"/>
        <w:jc w:val="left"/>
        <w:rPr/>
      </w:pPr>
      <w:r>
        <w:rPr>
          <w:color w:val="000000"/>
        </w:rPr>
        <w:t>“</w:t>
      </w:r>
      <w:r>
        <w:rPr>
          <w:rFonts w:ascii="Times New Roman" w:hAnsi="Times New Roman"/>
          <w:b/>
          <w:i/>
          <w:color w:val="000000"/>
          <w:sz w:val="24"/>
        </w:rPr>
        <w:t>Company</w:t>
      </w:r>
      <w:r>
        <w:rPr>
          <w:rFonts w:ascii="Times New Roman" w:hAnsi="Times New Roman"/>
          <w:color w:val="000000"/>
          <w:sz w:val="20"/>
        </w:rPr>
        <w:t xml:space="preserve">” </w:t>
      </w:r>
      <w:r>
        <w:rPr>
          <w:rFonts w:ascii="Times New Roman" w:hAnsi="Times New Roman"/>
          <w:color w:val="000000"/>
          <w:sz w:val="24"/>
        </w:rPr>
        <w:t>has the meaning set forth in the preamble.</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Credit Agreement</w:t>
      </w:r>
      <w:r>
        <w:rPr>
          <w:rFonts w:ascii="Times New Roman" w:hAnsi="Times New Roman"/>
          <w:color w:val="000000"/>
          <w:sz w:val="20"/>
        </w:rPr>
        <w:t xml:space="preserve">” </w:t>
      </w:r>
      <w:r>
        <w:rPr>
          <w:rFonts w:ascii="Times New Roman" w:hAnsi="Times New Roman"/>
          <w:color w:val="000000"/>
          <w:sz w:val="24"/>
        </w:rPr>
        <w:t>has the meaning set forth in the preamble.</w:t>
      </w:r>
    </w:p>
    <w:p>
      <w:pPr>
        <w:pStyle w:val="TextBody"/>
        <w:bidi w:val="0"/>
        <w:spacing w:before="0" w:after="240"/>
        <w:jc w:val="left"/>
        <w:rPr/>
      </w:pPr>
      <w:r>
        <w:rPr>
          <w:color w:val="000000"/>
        </w:rPr>
        <w:t>“</w:t>
      </w:r>
      <w:r>
        <w:rPr>
          <w:rFonts w:ascii="Times New Roman" w:hAnsi="Times New Roman"/>
          <w:b/>
          <w:i/>
          <w:color w:val="000000"/>
          <w:sz w:val="24"/>
        </w:rPr>
        <w:t xml:space="preserve">Delivery Deadline” </w:t>
      </w:r>
      <w:r>
        <w:rPr>
          <w:rFonts w:ascii="Times New Roman" w:hAnsi="Times New Roman"/>
          <w:color w:val="000000"/>
          <w:sz w:val="24"/>
        </w:rPr>
        <w:t>means two (2) Business Days after delivery of an Exercise Certificate in respect of such exercise.</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Delivery Failure</w:t>
      </w:r>
      <w:r>
        <w:rPr>
          <w:rFonts w:ascii="Times New Roman" w:hAnsi="Times New Roman"/>
          <w:color w:val="000000"/>
          <w:sz w:val="20"/>
        </w:rPr>
        <w:t xml:space="preserve">” </w:t>
      </w:r>
      <w:r>
        <w:rPr>
          <w:rFonts w:ascii="Times New Roman" w:hAnsi="Times New Roman"/>
          <w:color w:val="000000"/>
          <w:sz w:val="24"/>
        </w:rPr>
        <w:t>means the failure by the Company, for any reason, to deliver Warrant Shares to the Holder or its designee on or prior to the Delivery Deadline.</w:t>
      </w:r>
    </w:p>
    <w:p>
      <w:pPr>
        <w:pStyle w:val="TextBody"/>
        <w:bidi w:val="0"/>
        <w:spacing w:before="0" w:after="240"/>
        <w:jc w:val="left"/>
        <w:rPr/>
      </w:pPr>
      <w:r>
        <w:rPr>
          <w:color w:val="000000"/>
        </w:rPr>
        <w:t>“</w:t>
      </w:r>
      <w:r>
        <w:rPr>
          <w:rFonts w:ascii="Times New Roman" w:hAnsi="Times New Roman"/>
          <w:b/>
          <w:i/>
          <w:color w:val="000000"/>
          <w:sz w:val="24"/>
        </w:rPr>
        <w:t>DTC</w:t>
      </w:r>
      <w:r>
        <w:rPr>
          <w:rFonts w:ascii="Times New Roman" w:hAnsi="Times New Roman"/>
          <w:color w:val="000000"/>
          <w:sz w:val="20"/>
        </w:rPr>
        <w:t xml:space="preserve">” </w:t>
      </w:r>
      <w:r>
        <w:rPr>
          <w:rFonts w:ascii="Times New Roman" w:hAnsi="Times New Roman"/>
          <w:color w:val="000000"/>
          <w:sz w:val="24"/>
        </w:rPr>
        <w:t>means the Depository Trust Company.</w:t>
      </w:r>
    </w:p>
    <w:p>
      <w:pPr>
        <w:pStyle w:val="TextBody"/>
        <w:bidi w:val="0"/>
        <w:spacing w:before="0" w:after="240"/>
        <w:jc w:val="left"/>
        <w:rPr/>
      </w:pPr>
      <w:r>
        <w:rPr>
          <w:color w:val="000000"/>
        </w:rPr>
        <w:t>“</w:t>
      </w:r>
      <w:r>
        <w:rPr>
          <w:rFonts w:ascii="Times New Roman" w:hAnsi="Times New Roman"/>
          <w:b/>
          <w:i/>
          <w:color w:val="000000"/>
          <w:sz w:val="24"/>
        </w:rPr>
        <w:t>Existing Credit Agreement</w:t>
      </w:r>
      <w:r>
        <w:rPr>
          <w:rFonts w:ascii="Times New Roman" w:hAnsi="Times New Roman"/>
          <w:color w:val="000000"/>
          <w:sz w:val="20"/>
        </w:rPr>
        <w:t xml:space="preserve">” </w:t>
      </w:r>
      <w:r>
        <w:rPr>
          <w:rFonts w:ascii="Times New Roman" w:hAnsi="Times New Roman"/>
          <w:color w:val="000000"/>
          <w:sz w:val="24"/>
        </w:rPr>
        <w:t>has the meaning set forth in the recitals.</w:t>
      </w:r>
    </w:p>
    <w:p>
      <w:pPr>
        <w:pStyle w:val="TextBody"/>
        <w:bidi w:val="0"/>
        <w:spacing w:before="0" w:after="240"/>
        <w:jc w:val="left"/>
        <w:rPr/>
      </w:pPr>
      <w:r>
        <w:rPr>
          <w:color w:val="000000"/>
        </w:rPr>
        <w:t>“</w:t>
      </w:r>
      <w:r>
        <w:rPr>
          <w:rFonts w:ascii="Times New Roman" w:hAnsi="Times New Roman"/>
          <w:b/>
          <w:i/>
          <w:color w:val="000000"/>
          <w:sz w:val="24"/>
        </w:rPr>
        <w:t>DWAC</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3(i)</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i/>
          <w:color w:val="000000"/>
          <w:sz w:val="24"/>
        </w:rPr>
        <w:t>Effectiveness Date</w:t>
      </w:r>
      <w:r>
        <w:rPr>
          <w:rFonts w:ascii="Times New Roman" w:hAnsi="Times New Roman"/>
          <w:color w:val="000000"/>
          <w:sz w:val="20"/>
        </w:rPr>
        <w:t xml:space="preserve">” </w:t>
      </w:r>
      <w:r>
        <w:rPr>
          <w:rFonts w:ascii="Times New Roman" w:hAnsi="Times New Roman"/>
          <w:color w:val="000000"/>
          <w:sz w:val="24"/>
        </w:rPr>
        <w:t>means, with respect to the Registration Statement required to be filed under Section 6(b), the 30th calendar day following the Filing Date (or, in the event of a “full review” by the SEC, the 60th calendar day following the date hereof); provided, however, that in the event the Company is notified by the SEC that such Registration Statement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further, if such Effectiveness Date falls on a day that is not a Trading Day, then the Effectiveness Date shall be the next succeeding Trading Day.</w:t>
      </w:r>
    </w:p>
    <w:p>
      <w:pPr>
        <w:pStyle w:val="TextBody"/>
        <w:bidi w:val="0"/>
        <w:spacing w:before="0" w:after="240"/>
        <w:jc w:val="left"/>
        <w:rPr/>
      </w:pPr>
      <w:r>
        <w:rPr>
          <w:color w:val="000000"/>
        </w:rPr>
        <w:t>“</w:t>
      </w:r>
      <w:r>
        <w:rPr>
          <w:rFonts w:ascii="Times New Roman" w:hAnsi="Times New Roman"/>
          <w:b/>
          <w:i/>
          <w:color w:val="000000"/>
          <w:sz w:val="24"/>
        </w:rPr>
        <w:t>Form S-3</w:t>
      </w:r>
      <w:r>
        <w:rPr>
          <w:rFonts w:ascii="Times New Roman" w:hAnsi="Times New Roman"/>
          <w:color w:val="000000"/>
          <w:sz w:val="20"/>
        </w:rPr>
        <w:t xml:space="preserve">” </w:t>
      </w:r>
      <w:r>
        <w:rPr>
          <w:rFonts w:ascii="Times New Roman" w:hAnsi="Times New Roman"/>
          <w:color w:val="000000"/>
          <w:sz w:val="24"/>
        </w:rPr>
        <w:t>means the registration statement form promulgated by the SEC for use in registering securities under the Securities Act.</w:t>
      </w:r>
    </w:p>
    <w:p>
      <w:pPr>
        <w:pStyle w:val="TextBody"/>
        <w:bidi w:val="0"/>
        <w:jc w:val="left"/>
        <w:rPr/>
      </w:pPr>
      <w:r>
        <w:rPr>
          <w:color w:val="000000"/>
        </w:rPr>
        <w:t>“</w:t>
      </w:r>
      <w:r>
        <w:rPr>
          <w:rFonts w:ascii="Times New Roman" w:hAnsi="Times New Roman"/>
          <w:b/>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w:t>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b/>
          <w:i/>
          <w:color w:val="000000"/>
          <w:sz w:val="24"/>
        </w:rPr>
        <w:t>Exercise Certificate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3(a)(i)</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i/>
          <w:color w:val="000000"/>
          <w:sz w:val="24"/>
        </w:rPr>
        <w:t>Exercise Date</w:t>
      </w:r>
      <w:r>
        <w:rPr>
          <w:rFonts w:ascii="Times New Roman" w:hAnsi="Times New Roman"/>
          <w:color w:val="000000"/>
          <w:sz w:val="20"/>
        </w:rPr>
        <w:t xml:space="preserve">” </w:t>
      </w:r>
      <w:r>
        <w:rPr>
          <w:rFonts w:ascii="Times New Roman" w:hAnsi="Times New Roman"/>
          <w:color w:val="000000"/>
          <w:sz w:val="24"/>
        </w:rPr>
        <w:t xml:space="preserve">means, for any given exercise of this Warrant Certificate, whether in whole or in part, the date on which the conditions to such exercise as set forth in </w:t>
      </w:r>
      <w:r>
        <w:rPr>
          <w:rFonts w:ascii="Times New Roman" w:hAnsi="Times New Roman"/>
          <w:b/>
          <w:color w:val="000000"/>
          <w:sz w:val="24"/>
        </w:rPr>
        <w:t>Section 3</w:t>
      </w:r>
      <w:r>
        <w:rPr>
          <w:rFonts w:ascii="Times New Roman" w:hAnsi="Times New Roman"/>
          <w:color w:val="000000"/>
          <w:sz w:val="20"/>
        </w:rPr>
        <w:t xml:space="preserve"> </w:t>
      </w:r>
      <w:r>
        <w:rPr>
          <w:rFonts w:ascii="Times New Roman" w:hAnsi="Times New Roman"/>
          <w:color w:val="000000"/>
          <w:sz w:val="24"/>
        </w:rPr>
        <w:t>shall have been satisfied at or prior to 5:00 p.m., Eastern time, on a Business Day, including, without limitation, the receipt by the Company of the Exercise Certificate and the Aggregate Exercise Price.</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Exercise Period</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2</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i/>
          <w:color w:val="000000"/>
          <w:sz w:val="24"/>
        </w:rPr>
        <w:t>Exercise Price</w:t>
      </w:r>
      <w:r>
        <w:rPr>
          <w:rFonts w:ascii="Times New Roman" w:hAnsi="Times New Roman"/>
          <w:color w:val="000000"/>
          <w:sz w:val="20"/>
        </w:rPr>
        <w:t xml:space="preserve">” </w:t>
      </w:r>
      <w:r>
        <w:rPr>
          <w:rFonts w:ascii="Times New Roman" w:hAnsi="Times New Roman"/>
          <w:color w:val="000000"/>
          <w:sz w:val="24"/>
        </w:rPr>
        <w:t>means $12.93.</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Fair Market Value</w:t>
      </w:r>
      <w:r>
        <w:rPr>
          <w:rFonts w:ascii="Times New Roman" w:hAnsi="Times New Roman"/>
          <w:color w:val="000000"/>
          <w:sz w:val="20"/>
        </w:rPr>
        <w:t xml:space="preserve">” </w:t>
      </w:r>
      <w:r>
        <w:rPr>
          <w:rFonts w:ascii="Times New Roman" w:hAnsi="Times New Roman"/>
          <w:color w:val="000000"/>
          <w:sz w:val="24"/>
        </w:rPr>
        <w:t>means, if the Company’s equity securities are listed on a Trading Market, as of any particular Trading Day, (i) the VWAP of such equity securities for such day or (ii) if there have been no sales on any Trading Market on any such day, the average of the highest bid and lowest asked prices for the Company’s equity securities on all applicable Trading Markets at the end of such day. If the Company’s equity securities are not listed, quoted or otherwise available for trading, the “Fair Market Value” of the applicable class of equity securities shall be the fair market value, per share, of such equity securities as determined jointly by the Board and the Holder.</w:t>
      </w:r>
    </w:p>
    <w:p>
      <w:pPr>
        <w:pStyle w:val="TextBody"/>
        <w:bidi w:val="0"/>
        <w:spacing w:before="0" w:after="240"/>
        <w:jc w:val="left"/>
        <w:rPr/>
      </w:pPr>
      <w:r>
        <w:rPr>
          <w:color w:val="000000"/>
        </w:rPr>
        <w:t>“</w:t>
      </w:r>
      <w:r>
        <w:rPr>
          <w:rFonts w:ascii="Times New Roman" w:hAnsi="Times New Roman"/>
          <w:b/>
          <w:i/>
          <w:color w:val="000000"/>
          <w:sz w:val="24"/>
        </w:rPr>
        <w:t>FAST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3(i)</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i/>
          <w:color w:val="000000"/>
          <w:sz w:val="24"/>
        </w:rPr>
        <w:t>Filing Date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6(b)</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i/>
          <w:color w:val="000000"/>
          <w:sz w:val="24"/>
        </w:rPr>
        <w:t>First Warrant Certificate</w:t>
      </w:r>
      <w:r>
        <w:rPr>
          <w:rFonts w:ascii="Times New Roman" w:hAnsi="Times New Roman"/>
          <w:color w:val="000000"/>
          <w:sz w:val="20"/>
        </w:rPr>
        <w:t xml:space="preserve">” </w:t>
      </w:r>
      <w:r>
        <w:rPr>
          <w:rFonts w:ascii="Times New Roman" w:hAnsi="Times New Roman"/>
          <w:color w:val="000000"/>
          <w:sz w:val="24"/>
        </w:rPr>
        <w:t>means that certain Warrant Certificate (HW-01) by and between the Company and the Holder, dated as of November 21, 2022, as amended by that certain First Amendment to Warrant Certificate, dated as of February 28, 2025, and Second Amendment to Warrant Certificate, dated as of May 12, 2025.</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Fundamental Change</w:t>
      </w:r>
      <w:r>
        <w:rPr>
          <w:rFonts w:ascii="Times New Roman" w:hAnsi="Times New Roman"/>
          <w:color w:val="000000"/>
          <w:sz w:val="20"/>
        </w:rPr>
        <w:t xml:space="preserve">” </w:t>
      </w:r>
      <w:r>
        <w:rPr>
          <w:rFonts w:ascii="Times New Roman" w:hAnsi="Times New Roman"/>
          <w:color w:val="000000"/>
          <w:sz w:val="24"/>
        </w:rPr>
        <w:t>means any event or circumstance that constitutes or results in (i) a Change in Control, as defined in the Credit Agreement (as in effect as of the date hereof) or (ii) the liquidation, bankruptcy, dissolution or winding-up (or the occurrence of any analogous proceeding) of the Company.</w:t>
      </w:r>
    </w:p>
    <w:p>
      <w:pPr>
        <w:pStyle w:val="TextBody"/>
        <w:bidi w:val="0"/>
        <w:spacing w:before="0" w:after="240"/>
        <w:jc w:val="left"/>
        <w:rPr/>
      </w:pPr>
      <w:r>
        <w:rPr>
          <w:color w:val="000000"/>
        </w:rPr>
        <w:t>“</w:t>
      </w:r>
      <w:r>
        <w:rPr>
          <w:rFonts w:ascii="Times New Roman" w:hAnsi="Times New Roman"/>
          <w:b/>
          <w:i/>
          <w:color w:val="000000"/>
          <w:sz w:val="24"/>
        </w:rPr>
        <w:t>Holder</w:t>
      </w:r>
      <w:r>
        <w:rPr>
          <w:rFonts w:ascii="Times New Roman" w:hAnsi="Times New Roman"/>
          <w:color w:val="000000"/>
          <w:sz w:val="20"/>
        </w:rPr>
        <w:t xml:space="preserve">” </w:t>
      </w:r>
      <w:r>
        <w:rPr>
          <w:rFonts w:ascii="Times New Roman" w:hAnsi="Times New Roman"/>
          <w:color w:val="000000"/>
          <w:sz w:val="24"/>
        </w:rPr>
        <w:t>has the meaning set forth in the preamble.</w:t>
      </w:r>
    </w:p>
    <w:p>
      <w:pPr>
        <w:pStyle w:val="TextBody"/>
        <w:bidi w:val="0"/>
        <w:spacing w:before="0" w:after="240"/>
        <w:jc w:val="left"/>
        <w:rPr/>
      </w:pPr>
      <w:r>
        <w:rPr>
          <w:color w:val="000000"/>
        </w:rPr>
        <w:t>“</w:t>
      </w:r>
      <w:r>
        <w:rPr>
          <w:rFonts w:ascii="Times New Roman" w:hAnsi="Times New Roman"/>
          <w:b/>
          <w:i/>
          <w:color w:val="000000"/>
          <w:sz w:val="24"/>
        </w:rPr>
        <w:t>Issue Date</w:t>
      </w:r>
      <w:r>
        <w:rPr>
          <w:rFonts w:ascii="Times New Roman" w:hAnsi="Times New Roman"/>
          <w:color w:val="000000"/>
          <w:sz w:val="20"/>
        </w:rPr>
        <w:t xml:space="preserve">” </w:t>
      </w:r>
      <w:r>
        <w:rPr>
          <w:rFonts w:ascii="Times New Roman" w:hAnsi="Times New Roman"/>
          <w:color w:val="000000"/>
          <w:sz w:val="24"/>
        </w:rPr>
        <w:t>has the meaning set forth in the preamble.</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b/>
          <w:i/>
          <w:color w:val="000000"/>
          <w:sz w:val="24"/>
        </w:rPr>
        <w:t>Liquidity Event</w:t>
      </w:r>
      <w:r>
        <w:rPr>
          <w:rFonts w:ascii="Times New Roman" w:hAnsi="Times New Roman"/>
          <w:color w:val="000000"/>
          <w:sz w:val="20"/>
        </w:rPr>
        <w:t xml:space="preserve">” </w:t>
      </w:r>
      <w:r>
        <w:rPr>
          <w:rFonts w:ascii="Times New Roman" w:hAnsi="Times New Roman"/>
          <w:color w:val="000000"/>
          <w:sz w:val="24"/>
        </w:rPr>
        <w:t>means: (a) a merger or consolidation in which the Company is a constituent party or a subsidiary of the Company is a constituent party and the Company issues shares of its capital stock pursuant to such merger or consolidation, except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(b) 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 or (c) the liquidation, dissolution or winding up of the Company, whether voluntary or involuntary.</w:t>
      </w:r>
    </w:p>
    <w:p>
      <w:pPr>
        <w:pStyle w:val="TextBody"/>
        <w:bidi w:val="0"/>
        <w:spacing w:before="0" w:after="240"/>
        <w:jc w:val="left"/>
        <w:rPr/>
      </w:pPr>
      <w:r>
        <w:rPr>
          <w:color w:val="000000"/>
        </w:rPr>
        <w:t>“</w:t>
      </w:r>
      <w:r>
        <w:rPr>
          <w:rFonts w:ascii="Times New Roman" w:hAnsi="Times New Roman"/>
          <w:b/>
          <w:i/>
          <w:color w:val="000000"/>
          <w:sz w:val="24"/>
        </w:rPr>
        <w:t>Nasdaq</w:t>
      </w:r>
      <w:r>
        <w:rPr>
          <w:rFonts w:ascii="Times New Roman" w:hAnsi="Times New Roman"/>
          <w:color w:val="000000"/>
          <w:sz w:val="20"/>
        </w:rPr>
        <w:t xml:space="preserve">” </w:t>
      </w:r>
      <w:r>
        <w:rPr>
          <w:rFonts w:ascii="Times New Roman" w:hAnsi="Times New Roman"/>
          <w:color w:val="000000"/>
          <w:sz w:val="24"/>
        </w:rPr>
        <w:t>means The Nasdaq Stock Market, Inc.</w:t>
      </w:r>
    </w:p>
    <w:p>
      <w:pPr>
        <w:pStyle w:val="TextBody"/>
        <w:bidi w:val="0"/>
        <w:spacing w:before="0" w:after="240"/>
        <w:jc w:val="left"/>
        <w:rPr/>
      </w:pPr>
      <w:r>
        <w:rPr>
          <w:color w:val="000000"/>
        </w:rPr>
        <w:t>“</w:t>
      </w:r>
      <w:r>
        <w:rPr>
          <w:rFonts w:ascii="Times New Roman" w:hAnsi="Times New Roman"/>
          <w:b/>
          <w:i/>
          <w:color w:val="000000"/>
          <w:sz w:val="24"/>
        </w:rPr>
        <w:t>OTC Bulletin Board</w:t>
      </w:r>
      <w:r>
        <w:rPr>
          <w:rFonts w:ascii="Times New Roman" w:hAnsi="Times New Roman"/>
          <w:color w:val="000000"/>
          <w:sz w:val="20"/>
        </w:rPr>
        <w:t xml:space="preserve">” </w:t>
      </w:r>
      <w:r>
        <w:rPr>
          <w:rFonts w:ascii="Times New Roman" w:hAnsi="Times New Roman"/>
          <w:color w:val="000000"/>
          <w:sz w:val="24"/>
        </w:rPr>
        <w:t>means the National Association of Securities Dealers, Inc. OTC Bulletin Board.</w:t>
      </w:r>
    </w:p>
    <w:p>
      <w:pPr>
        <w:pStyle w:val="TextBody"/>
        <w:bidi w:val="0"/>
        <w:spacing w:before="0" w:after="240"/>
        <w:jc w:val="left"/>
        <w:rPr/>
      </w:pPr>
      <w:r>
        <w:rPr>
          <w:color w:val="000000"/>
        </w:rPr>
        <w:t>“</w:t>
      </w:r>
      <w:r>
        <w:rPr>
          <w:rFonts w:ascii="Times New Roman" w:hAnsi="Times New Roman"/>
          <w:b/>
          <w:i/>
          <w:color w:val="000000"/>
          <w:sz w:val="24"/>
        </w:rPr>
        <w:t>Person</w:t>
      </w:r>
      <w:r>
        <w:rPr>
          <w:rFonts w:ascii="Times New Roman" w:hAnsi="Times New Roman"/>
          <w:color w:val="000000"/>
          <w:sz w:val="20"/>
        </w:rPr>
        <w:t xml:space="preserve">” </w:t>
      </w:r>
      <w:r>
        <w:rPr>
          <w:rFonts w:ascii="Times New Roman" w:hAnsi="Times New Roman"/>
          <w:color w:val="000000"/>
          <w:sz w:val="24"/>
        </w:rPr>
        <w:t>means any individual, sole proprietorship, partnership, limited liability company, corporation, joint venture, trust, incorporated organization or government or department or agency thereof.</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Regulation D</w:t>
      </w:r>
      <w:r>
        <w:rPr>
          <w:rFonts w:ascii="Times New Roman" w:hAnsi="Times New Roman"/>
          <w:color w:val="000000"/>
          <w:sz w:val="20"/>
        </w:rPr>
        <w:t xml:space="preserve">” </w:t>
      </w:r>
      <w:r>
        <w:rPr>
          <w:rFonts w:ascii="Times New Roman" w:hAnsi="Times New Roman"/>
          <w:color w:val="000000"/>
          <w:sz w:val="24"/>
        </w:rPr>
        <w:t>means Regulation D promulgated under the Securities Act.</w:t>
      </w:r>
    </w:p>
    <w:p>
      <w:pPr>
        <w:pStyle w:val="TextBody"/>
        <w:bidi w:val="0"/>
        <w:spacing w:before="0" w:after="240"/>
        <w:jc w:val="left"/>
        <w:rPr/>
      </w:pPr>
      <w:r>
        <w:rPr>
          <w:color w:val="000000"/>
        </w:rPr>
        <w:t>“</w:t>
      </w:r>
      <w:r>
        <w:rPr>
          <w:rFonts w:ascii="Times New Roman" w:hAnsi="Times New Roman"/>
          <w:b/>
          <w:i/>
          <w:color w:val="000000"/>
          <w:sz w:val="24"/>
        </w:rPr>
        <w:t>Prospectus</w:t>
      </w:r>
      <w:r>
        <w:rPr>
          <w:rFonts w:ascii="Times New Roman" w:hAnsi="Times New Roman"/>
          <w:color w:val="000000"/>
          <w:sz w:val="20"/>
        </w:rPr>
        <w:t xml:space="preserve">” </w:t>
      </w:r>
      <w:r>
        <w:rPr>
          <w:rFonts w:ascii="Times New Roman" w:hAnsi="Times New Roman"/>
          <w:color w:val="000000"/>
          <w:sz w:val="24"/>
        </w:rPr>
        <w:t>means the prospectus or prospectuses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or prospectuses.</w:t>
      </w:r>
    </w:p>
    <w:p>
      <w:pPr>
        <w:pStyle w:val="TextBody"/>
        <w:bidi w:val="0"/>
        <w:spacing w:before="0" w:after="240"/>
        <w:jc w:val="left"/>
        <w:rPr/>
      </w:pPr>
      <w:r>
        <w:rPr>
          <w:color w:val="000000"/>
        </w:rPr>
        <w:t>“</w:t>
      </w:r>
      <w:r>
        <w:rPr>
          <w:rFonts w:ascii="Times New Roman" w:hAnsi="Times New Roman"/>
          <w:b/>
          <w:i/>
          <w:color w:val="000000"/>
          <w:sz w:val="24"/>
        </w:rPr>
        <w:t>Purchase Rights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5</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i/>
          <w:color w:val="000000"/>
          <w:sz w:val="24"/>
        </w:rPr>
        <w:t>Registrable Securities</w:t>
      </w:r>
      <w:r>
        <w:rPr>
          <w:rFonts w:ascii="Times New Roman" w:hAnsi="Times New Roman"/>
          <w:color w:val="000000"/>
          <w:sz w:val="20"/>
        </w:rPr>
        <w:t xml:space="preserve">” </w:t>
      </w:r>
      <w:r>
        <w:rPr>
          <w:rFonts w:ascii="Times New Roman" w:hAnsi="Times New Roman"/>
          <w:color w:val="000000"/>
          <w:sz w:val="24"/>
        </w:rPr>
        <w:t>means the Warrant Shares issuable upon the exercise of this Warrant Certificate, the First Warrant Certificate and the Second Warrant Certificate, as applicable. For purposes of the registration rights set forth herein, such Warrant Shares shall be deemed Registrable Securities at all times that the Holder has the right to acquire them from the Company, whether or not such exercise has actually been effected; provided, however,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 such Registrable Securities is declared effective by the SEC under the Securities Act and such Registrable Securities have been disposed of by the Holder in accordance with such effective Registration Statement, or (b) such Registrable Securities have been previously sold in accordance with Rule 144.</w:t>
      </w:r>
    </w:p>
    <w:p>
      <w:pPr>
        <w:pStyle w:val="TextBody"/>
        <w:bidi w:val="0"/>
        <w:spacing w:before="0" w:after="240"/>
        <w:jc w:val="left"/>
        <w:rPr/>
      </w:pPr>
      <w:r>
        <w:rPr>
          <w:color w:val="000000"/>
        </w:rPr>
        <w:t>“</w:t>
      </w:r>
      <w:r>
        <w:rPr>
          <w:rFonts w:ascii="Times New Roman" w:hAnsi="Times New Roman"/>
          <w:b/>
          <w:i/>
          <w:color w:val="000000"/>
          <w:sz w:val="24"/>
        </w:rPr>
        <w:t>Rule 501</w:t>
      </w:r>
      <w:r>
        <w:rPr>
          <w:rFonts w:ascii="Times New Roman" w:hAnsi="Times New Roman"/>
          <w:color w:val="000000"/>
          <w:sz w:val="20"/>
        </w:rPr>
        <w:t xml:space="preserve">” </w:t>
      </w:r>
      <w:r>
        <w:rPr>
          <w:rFonts w:ascii="Times New Roman" w:hAnsi="Times New Roman"/>
          <w:color w:val="000000"/>
          <w:sz w:val="24"/>
        </w:rPr>
        <w:t>means Rule 501 promulgated by the SEC under the Securities Act.</w:t>
      </w:r>
    </w:p>
    <w:p>
      <w:pPr>
        <w:pStyle w:val="TextBody"/>
        <w:bidi w:val="0"/>
        <w:spacing w:before="0" w:after="240"/>
        <w:jc w:val="left"/>
        <w:rPr/>
      </w:pPr>
      <w:r>
        <w:rPr>
          <w:color w:val="000000"/>
        </w:rPr>
        <w:t>“</w:t>
      </w:r>
      <w:r>
        <w:rPr>
          <w:rFonts w:ascii="Times New Roman" w:hAnsi="Times New Roman"/>
          <w:b/>
          <w:i/>
          <w:color w:val="000000"/>
          <w:sz w:val="24"/>
        </w:rPr>
        <w:t>Rule 415</w:t>
      </w:r>
      <w:r>
        <w:rPr>
          <w:rFonts w:ascii="Times New Roman" w:hAnsi="Times New Roman"/>
          <w:color w:val="000000"/>
          <w:sz w:val="20"/>
        </w:rPr>
        <w:t xml:space="preserve">” </w:t>
      </w:r>
      <w:r>
        <w:rPr>
          <w:rFonts w:ascii="Times New Roman" w:hAnsi="Times New Roman"/>
          <w:color w:val="000000"/>
          <w:sz w:val="24"/>
        </w:rPr>
        <w:t>means Rule 415 promulgated by the SEC under the Securities Act.</w:t>
      </w:r>
    </w:p>
    <w:p>
      <w:pPr>
        <w:pStyle w:val="TextBody"/>
        <w:bidi w:val="0"/>
        <w:spacing w:before="0" w:after="240"/>
        <w:jc w:val="left"/>
        <w:rPr/>
      </w:pPr>
      <w:r>
        <w:rPr>
          <w:color w:val="000000"/>
        </w:rPr>
        <w:t>“</w:t>
      </w:r>
      <w:r>
        <w:rPr>
          <w:rFonts w:ascii="Times New Roman" w:hAnsi="Times New Roman"/>
          <w:b/>
          <w:i/>
          <w:color w:val="000000"/>
          <w:sz w:val="24"/>
        </w:rPr>
        <w:t>Rule 144</w:t>
      </w:r>
      <w:r>
        <w:rPr>
          <w:rFonts w:ascii="Times New Roman" w:hAnsi="Times New Roman"/>
          <w:color w:val="000000"/>
          <w:sz w:val="20"/>
        </w:rPr>
        <w:t xml:space="preserve">” </w:t>
      </w:r>
      <w:r>
        <w:rPr>
          <w:rFonts w:ascii="Times New Roman" w:hAnsi="Times New Roman"/>
          <w:color w:val="000000"/>
          <w:sz w:val="24"/>
        </w:rPr>
        <w:t>means Rule 144 promulgated by the SEC under the Securities Act.</w:t>
      </w:r>
    </w:p>
    <w:p>
      <w:pPr>
        <w:pStyle w:val="TextBody"/>
        <w:bidi w:val="0"/>
        <w:spacing w:before="0" w:after="240"/>
        <w:jc w:val="left"/>
        <w:rPr/>
      </w:pPr>
      <w:r>
        <w:rPr>
          <w:color w:val="000000"/>
        </w:rPr>
        <w:t>“</w:t>
      </w:r>
      <w:r>
        <w:rPr>
          <w:rFonts w:ascii="Times New Roman" w:hAnsi="Times New Roman"/>
          <w:b/>
          <w:i/>
          <w:color w:val="000000"/>
          <w:sz w:val="24"/>
        </w:rPr>
        <w:t>Registration Statement</w:t>
      </w:r>
      <w:r>
        <w:rPr>
          <w:rFonts w:ascii="Times New Roman" w:hAnsi="Times New Roman"/>
          <w:color w:val="000000"/>
          <w:sz w:val="20"/>
        </w:rPr>
        <w:t xml:space="preserve">” </w:t>
      </w:r>
      <w:r>
        <w:rPr>
          <w:rFonts w:ascii="Times New Roman" w:hAnsi="Times New Roman"/>
          <w:color w:val="000000"/>
          <w:sz w:val="24"/>
        </w:rPr>
        <w:t>means any registration statement of the Company which covers any of the Registrable Securities, including the Prospectus, amendments and supplements to such Registration Statement, including post-effective amendments, all exhibits and all materials incorporated by reference in such Registration Statement.</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SEC</w:t>
      </w:r>
      <w:r>
        <w:rPr>
          <w:rFonts w:ascii="Times New Roman" w:hAnsi="Times New Roman"/>
          <w:color w:val="000000"/>
          <w:sz w:val="20"/>
        </w:rPr>
        <w:t xml:space="preserve">” </w:t>
      </w:r>
      <w:r>
        <w:rPr>
          <w:rFonts w:ascii="Times New Roman" w:hAnsi="Times New Roman"/>
          <w:color w:val="000000"/>
          <w:sz w:val="24"/>
        </w:rPr>
        <w:t>means the Securities and Exchange Commission or any successor thereto.</w:t>
      </w:r>
    </w:p>
    <w:p>
      <w:pPr>
        <w:pStyle w:val="TextBody"/>
        <w:bidi w:val="0"/>
        <w:spacing w:before="0" w:after="240"/>
        <w:jc w:val="left"/>
        <w:rPr/>
      </w:pPr>
      <w:r>
        <w:rPr>
          <w:color w:val="000000"/>
        </w:rPr>
        <w:t>“</w:t>
      </w:r>
      <w:r>
        <w:rPr>
          <w:rFonts w:ascii="Times New Roman" w:hAnsi="Times New Roman"/>
          <w:b/>
          <w:i/>
          <w:color w:val="000000"/>
          <w:sz w:val="24"/>
        </w:rPr>
        <w:t>Second Warrant Certificate</w:t>
      </w:r>
      <w:r>
        <w:rPr>
          <w:rFonts w:ascii="Times New Roman" w:hAnsi="Times New Roman"/>
          <w:color w:val="000000"/>
          <w:sz w:val="20"/>
        </w:rPr>
        <w:t xml:space="preserve">” </w:t>
      </w:r>
      <w:r>
        <w:rPr>
          <w:rFonts w:ascii="Times New Roman" w:hAnsi="Times New Roman"/>
          <w:color w:val="000000"/>
          <w:sz w:val="24"/>
        </w:rPr>
        <w:t>means that certain Warrant Certificate (HW-02) by and between the Company and the Holder, dated as of May 10, 2023, as amended by that certain First Amendment to Warrant Certificate, dated as of May 12, 2025.</w:t>
      </w:r>
    </w:p>
    <w:p>
      <w:pPr>
        <w:pStyle w:val="TextBody"/>
        <w:bidi w:val="0"/>
        <w:spacing w:before="0" w:after="240"/>
        <w:jc w:val="left"/>
        <w:rPr/>
      </w:pPr>
      <w:r>
        <w:rPr>
          <w:color w:val="000000"/>
        </w:rPr>
        <w:t>“</w:t>
      </w:r>
      <w:r>
        <w:rPr>
          <w:rFonts w:ascii="Times New Roman" w:hAnsi="Times New Roman"/>
          <w:b/>
          <w:i/>
          <w:color w:val="000000"/>
          <w:sz w:val="24"/>
        </w:rPr>
        <w:t>Sixth Amendment</w:t>
      </w:r>
      <w:r>
        <w:rPr>
          <w:rFonts w:ascii="Times New Roman" w:hAnsi="Times New Roman"/>
          <w:color w:val="000000"/>
          <w:sz w:val="20"/>
        </w:rPr>
        <w:t xml:space="preserve">” </w:t>
      </w:r>
      <w:r>
        <w:rPr>
          <w:rFonts w:ascii="Times New Roman" w:hAnsi="Times New Roman"/>
          <w:color w:val="000000"/>
          <w:sz w:val="24"/>
        </w:rPr>
        <w:t>has the meaning set forth in the recitals.</w:t>
      </w:r>
    </w:p>
    <w:p>
      <w:pPr>
        <w:pStyle w:val="TextBody"/>
        <w:bidi w:val="0"/>
        <w:spacing w:before="0" w:after="240"/>
        <w:jc w:val="left"/>
        <w:rPr/>
      </w:pPr>
      <w:r>
        <w:rPr>
          <w:color w:val="000000"/>
        </w:rPr>
        <w:t>“</w:t>
      </w:r>
      <w:r>
        <w:rPr>
          <w:rFonts w:ascii="Times New Roman" w:hAnsi="Times New Roman"/>
          <w:b/>
          <w:i/>
          <w:color w:val="000000"/>
          <w:sz w:val="24"/>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w:t>
      </w:r>
    </w:p>
    <w:p>
      <w:pPr>
        <w:pStyle w:val="TextBody"/>
        <w:bidi w:val="0"/>
        <w:spacing w:before="0" w:after="240"/>
        <w:jc w:val="left"/>
        <w:rPr/>
      </w:pPr>
      <w:r>
        <w:rPr>
          <w:color w:val="000000"/>
        </w:rPr>
        <w:t>“</w:t>
      </w:r>
      <w:r>
        <w:rPr>
          <w:rFonts w:ascii="Times New Roman" w:hAnsi="Times New Roman"/>
          <w:b/>
          <w:i/>
          <w:color w:val="000000"/>
          <w:sz w:val="24"/>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trading.</w:t>
      </w:r>
    </w:p>
    <w:p>
      <w:pPr>
        <w:pStyle w:val="TextBody"/>
        <w:bidi w:val="0"/>
        <w:spacing w:before="0" w:after="240"/>
        <w:jc w:val="left"/>
        <w:rPr/>
      </w:pPr>
      <w:r>
        <w:rPr>
          <w:color w:val="000000"/>
        </w:rPr>
        <w:t>“</w:t>
      </w:r>
      <w:r>
        <w:rPr>
          <w:rFonts w:ascii="Times New Roman" w:hAnsi="Times New Roman"/>
          <w:b/>
          <w:i/>
          <w:color w:val="000000"/>
          <w:sz w:val="24"/>
        </w:rPr>
        <w:t>Trading Market</w:t>
      </w:r>
      <w:r>
        <w:rPr>
          <w:rFonts w:ascii="Times New Roman" w:hAnsi="Times New Roman"/>
          <w:color w:val="000000"/>
          <w:sz w:val="20"/>
        </w:rPr>
        <w:t xml:space="preserve">” </w:t>
      </w:r>
      <w:r>
        <w:rPr>
          <w:rFonts w:ascii="Times New Roman" w:hAnsi="Times New Roman"/>
          <w:color w:val="000000"/>
          <w:sz w:val="24"/>
        </w:rPr>
        <w:t>means Nasdaq or, if the Company’s equity securities are not listed on Nasdaq, such other principal US or foreign exchange or market (including the OTC Bulletin Board) on which the Company’s equity securities are quoted or available for trading.</w:t>
      </w:r>
    </w:p>
    <w:p>
      <w:pPr>
        <w:pStyle w:val="TextBody"/>
        <w:bidi w:val="0"/>
        <w:spacing w:before="0" w:after="240"/>
        <w:jc w:val="left"/>
        <w:rPr/>
      </w:pPr>
      <w:r>
        <w:rPr>
          <w:color w:val="000000"/>
        </w:rPr>
        <w:t>“</w:t>
      </w:r>
      <w:r>
        <w:rPr>
          <w:rFonts w:ascii="Times New Roman" w:hAnsi="Times New Roman"/>
          <w:b/>
          <w:i/>
          <w:color w:val="000000"/>
          <w:sz w:val="24"/>
        </w:rPr>
        <w:t>Transfer Agent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3(c)(ii)</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i/>
          <w:color w:val="000000"/>
          <w:sz w:val="24"/>
        </w:rPr>
        <w:t>Unlegended Shares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12(a)(iii)</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i/>
          <w:color w:val="000000"/>
          <w:sz w:val="24"/>
        </w:rPr>
        <w:t>Unrestricted Conditions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12(a)(ii)</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i/>
          <w:color w:val="000000"/>
          <w:sz w:val="24"/>
        </w:rPr>
        <w:t>VWAP</w:t>
      </w:r>
      <w:r>
        <w:rPr>
          <w:rFonts w:ascii="Times New Roman" w:hAnsi="Times New Roman"/>
          <w:color w:val="000000"/>
          <w:sz w:val="20"/>
        </w:rPr>
        <w:t xml:space="preserve">” </w:t>
      </w:r>
      <w:r>
        <w:rPr>
          <w:rFonts w:ascii="Times New Roman" w:hAnsi="Times New Roman"/>
          <w:color w:val="000000"/>
          <w:sz w:val="24"/>
        </w:rPr>
        <w:t>means, for any security as of any day or period of days (as the case may be), the volume weighted average sale price on Nasdaq as reported by, or based upon data reported by Bloomberg Financial Markets or an equivalent, reliable reporting service reasonably acceptable to the Holder and the Company (collectively, “</w:t>
      </w:r>
      <w:r>
        <w:rPr>
          <w:rFonts w:ascii="Times New Roman" w:hAnsi="Times New Roman"/>
          <w:b/>
          <w:i/>
          <w:color w:val="000000"/>
          <w:sz w:val="24"/>
        </w:rPr>
        <w:t>Bloomberg</w:t>
      </w:r>
      <w:r>
        <w:rPr>
          <w:rFonts w:ascii="Times New Roman" w:hAnsi="Times New Roman"/>
          <w:color w:val="000000"/>
          <w:sz w:val="20"/>
        </w:rPr>
        <w:t>”</w:t>
      </w:r>
      <w:r>
        <w:rPr>
          <w:rFonts w:ascii="Times New Roman" w:hAnsi="Times New Roman"/>
          <w:color w:val="000000"/>
          <w:sz w:val="24"/>
        </w:rPr>
        <w:t>) or, if Nasdaq is not the principal trading market for such security, the volume weighted average sale price of such security on the principal securities exchange or trading market where such security is listed or traded as reported by Bloomberg or, if no volume weighted average sale price is reported for such security by Bloomberg, then the last closing trade price of such security as reported by Bloomberg, or, if no last closing trade price is reported for such security by Bloomberg, the average of the bid prices of any market makers for such security that are listed in the over the counter market by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Financial Industry Regulatory Authority, Inc. or on the OTC Bulletin Board (or any successor) or in the “pink sheets” (or any successor) by the OTC Markets Group, Inc.;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VWAP cannot be calculated for such security on such date in the manner provided above, the VWAP shall be the fair market value as mutually determined by the Company and the Holder.</w:t>
      </w:r>
    </w:p>
    <w:p>
      <w:pPr>
        <w:pStyle w:val="TextBody"/>
        <w:bidi w:val="0"/>
        <w:spacing w:before="0" w:after="240"/>
        <w:jc w:val="left"/>
        <w:rPr/>
      </w:pPr>
      <w:r>
        <w:rPr>
          <w:color w:val="000000"/>
        </w:rPr>
        <w:t>“</w:t>
      </w:r>
      <w:r>
        <w:rPr>
          <w:rFonts w:ascii="Times New Roman" w:hAnsi="Times New Roman"/>
          <w:b/>
          <w:i/>
          <w:color w:val="000000"/>
          <w:sz w:val="24"/>
        </w:rPr>
        <w:t>Warrant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b/>
          <w:i/>
          <w:color w:val="000000"/>
          <w:sz w:val="24"/>
        </w:rPr>
        <w:t>Warrant Certificate</w:t>
      </w:r>
      <w:r>
        <w:rPr>
          <w:rFonts w:ascii="Times New Roman" w:hAnsi="Times New Roman"/>
          <w:color w:val="000000"/>
          <w:sz w:val="20"/>
        </w:rPr>
        <w:t xml:space="preserve">” </w:t>
      </w:r>
      <w:r>
        <w:rPr>
          <w:rFonts w:ascii="Times New Roman" w:hAnsi="Times New Roman"/>
          <w:color w:val="000000"/>
          <w:sz w:val="24"/>
        </w:rPr>
        <w:t>means this Warrant Certificate and all subsequent warrant certificates issued upon division, combination or transfer of, or in substitution for, this Warrant Certificate.</w:t>
      </w:r>
    </w:p>
    <w:p>
      <w:pPr>
        <w:pStyle w:val="TextBody"/>
        <w:bidi w:val="0"/>
        <w:spacing w:before="0" w:after="240"/>
        <w:jc w:val="left"/>
        <w:rPr/>
      </w:pPr>
      <w:r>
        <w:rPr>
          <w:color w:val="000000"/>
        </w:rPr>
        <w:t>“</w:t>
      </w:r>
      <w:r>
        <w:rPr>
          <w:rFonts w:ascii="Times New Roman" w:hAnsi="Times New Roman"/>
          <w:b/>
          <w:i/>
          <w:color w:val="000000"/>
          <w:sz w:val="24"/>
        </w:rPr>
        <w:t>Warrant Register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i/>
          <w:color w:val="000000"/>
          <w:sz w:val="24"/>
        </w:rPr>
        <w:t>Warrant Shares</w:t>
      </w:r>
      <w:r>
        <w:rPr>
          <w:rFonts w:ascii="Times New Roman" w:hAnsi="Times New Roman"/>
          <w:color w:val="000000"/>
          <w:sz w:val="20"/>
        </w:rPr>
        <w:t xml:space="preserve">” </w:t>
      </w:r>
      <w:r>
        <w:rPr>
          <w:rFonts w:ascii="Times New Roman" w:hAnsi="Times New Roman"/>
          <w:color w:val="000000"/>
          <w:sz w:val="24"/>
        </w:rPr>
        <w:t>means the shares of Common Stock or other capital stock of the Company then purchasable upon exercise of this Warrant Certificate in accordance with the terms of this Warrant Certificate.</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w:t>
      </w:r>
    </w:p>
    <w:p>
      <w:pPr>
        <w:pStyle w:val="TextBody"/>
        <w:bidi w:val="0"/>
        <w:spacing w:before="0" w:after="240"/>
        <w:jc w:val="left"/>
        <w:rPr/>
      </w:pPr>
      <w:r>
        <w:rPr>
          <w:rFonts w:ascii="Times New Roman" w:hAnsi="Times New Roman"/>
          <w:b/>
          <w:color w:val="000000"/>
          <w:sz w:val="24"/>
        </w:rPr>
        <w:t>Term of Warrant Certificate</w:t>
      </w:r>
      <w:r>
        <w:rPr>
          <w:rFonts w:ascii="Times New Roman" w:hAnsi="Times New Roman"/>
          <w:color w:val="000000"/>
          <w:sz w:val="24"/>
        </w:rPr>
        <w:t xml:space="preserve">. Subject to the terms and conditions hereof, and subject to any automatic exercise pursuant to </w:t>
      </w:r>
      <w:r>
        <w:rPr>
          <w:rFonts w:ascii="Times New Roman" w:hAnsi="Times New Roman"/>
          <w:b/>
          <w:color w:val="000000"/>
          <w:sz w:val="24"/>
        </w:rPr>
        <w:t>Section 3(m)</w:t>
      </w:r>
      <w:r>
        <w:rPr>
          <w:rFonts w:ascii="Times New Roman" w:hAnsi="Times New Roman"/>
          <w:color w:val="000000"/>
          <w:sz w:val="24"/>
        </w:rPr>
        <w:t>, at any time or from time to time on or after the date hereof and prior to 5:00 p.m., Eastern time, on the tenth anniversary of such date or, if such day is not a Business Day, on the next preceding Business Day (the “</w:t>
      </w:r>
      <w:r>
        <w:rPr>
          <w:rFonts w:ascii="Times New Roman" w:hAnsi="Times New Roman"/>
          <w:b/>
          <w:i/>
          <w:color w:val="000000"/>
          <w:sz w:val="24"/>
        </w:rPr>
        <w:t>Exercise Period</w:t>
      </w:r>
      <w:r>
        <w:rPr>
          <w:color w:val="000000"/>
        </w:rPr>
        <w:t>”</w:t>
      </w:r>
      <w:r>
        <w:rPr>
          <w:rFonts w:ascii="Times New Roman" w:hAnsi="Times New Roman"/>
          <w:color w:val="000000"/>
          <w:sz w:val="24"/>
        </w:rPr>
        <w:t>), the Holder of this Warrant Certificate may exercise this Warrant Certificate for all or any part of the Warrant Shares purchasable hereunder (subject to adjustment as provided herein).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3.</w:t>
      </w:r>
    </w:p>
    <w:p>
      <w:pPr>
        <w:pStyle w:val="TextBody"/>
        <w:bidi w:val="0"/>
        <w:spacing w:before="0" w:after="240"/>
        <w:jc w:val="left"/>
        <w:rPr/>
      </w:pPr>
      <w:r>
        <w:rPr>
          <w:rFonts w:ascii="Times New Roman" w:hAnsi="Times New Roman"/>
          <w:b/>
          <w:color w:val="000000"/>
          <w:sz w:val="24"/>
        </w:rPr>
        <w:t>Exercise of Warrant Certificate</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b/>
          <w:color w:val="000000"/>
          <w:sz w:val="24"/>
        </w:rPr>
        <w:t>Exercise Procedure</w:t>
      </w:r>
      <w:r>
        <w:rPr>
          <w:rFonts w:ascii="Times New Roman" w:hAnsi="Times New Roman"/>
          <w:color w:val="000000"/>
          <w:sz w:val="24"/>
        </w:rPr>
        <w:t>. This Warrant Certificate may be exercised from time to time on any Business Day during the Exercise Period, for all or any part of the unexercised Warrant Shares, upon: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color w:val="000000"/>
          <w:sz w:val="24"/>
        </w:rPr>
        <w:t xml:space="preserve">delivery to the Company at its then principal executive office of an Exercise Certificate in the form attached hereto as </w:t>
      </w:r>
      <w:r>
        <w:rPr>
          <w:rFonts w:ascii="Times New Roman" w:hAnsi="Times New Roman"/>
          <w:b/>
          <w:color w:val="000000"/>
          <w:sz w:val="24"/>
        </w:rPr>
        <w:t>Exhibit A</w:t>
      </w:r>
      <w:r>
        <w:rPr>
          <w:color w:val="000000"/>
        </w:rPr>
        <w:t xml:space="preserve"> </w:t>
      </w:r>
      <w:r>
        <w:rPr>
          <w:rFonts w:ascii="Times New Roman" w:hAnsi="Times New Roman"/>
          <w:color w:val="000000"/>
          <w:sz w:val="24"/>
        </w:rPr>
        <w:t>(each, an “</w:t>
      </w:r>
      <w:r>
        <w:rPr>
          <w:rFonts w:ascii="Times New Roman" w:hAnsi="Times New Roman"/>
          <w:b/>
          <w:i/>
          <w:color w:val="000000"/>
          <w:sz w:val="24"/>
        </w:rPr>
        <w:t>Exercise Certificate</w:t>
      </w:r>
      <w:r>
        <w:rPr>
          <w:color w:val="000000"/>
        </w:rPr>
        <w:t>”</w:t>
      </w:r>
      <w:r>
        <w:rPr>
          <w:rFonts w:ascii="Times New Roman" w:hAnsi="Times New Roman"/>
          <w:color w:val="000000"/>
          <w:sz w:val="24"/>
        </w:rPr>
        <w:t>), duly completed (including specifying the number of Warrant Shares to be purchased) and executed;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pPr>
      <w:r>
        <w:rPr>
          <w:rFonts w:ascii="Times New Roman" w:hAnsi="Times New Roman"/>
          <w:color w:val="000000"/>
          <w:sz w:val="24"/>
        </w:rPr>
        <w:t xml:space="preserve">payment to the Company of the Aggregate Exercise Price in accordance with </w:t>
      </w:r>
      <w:r>
        <w:rPr>
          <w:rFonts w:ascii="Times New Roman" w:hAnsi="Times New Roman"/>
          <w:b/>
          <w:color w:val="000000"/>
          <w:sz w:val="24"/>
        </w:rPr>
        <w:t>Section 3(b)</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b/>
          <w:color w:val="000000"/>
          <w:sz w:val="24"/>
        </w:rPr>
        <w:t>Payment of the Aggregate Exercise Price</w:t>
      </w:r>
      <w:r>
        <w:rPr>
          <w:rFonts w:ascii="Times New Roman" w:hAnsi="Times New Roman"/>
          <w:color w:val="000000"/>
          <w:sz w:val="24"/>
        </w:rPr>
        <w:t xml:space="preserve">. Payment of the Aggregate Exercise Price shall be made, at the option of the Holder as expressed in the Exercise Certificate, by any of the following methods: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delivery to the Company of a certified or official bank check payable to the order of the Company or by wire transfer of immediately available funds to an account designated in writing by the Company, in the amount of such Aggregate Exercise Price;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instructing the Company to withhold a number of Warrant Shares then issuable upon exercise of this Warrant Certificate with an aggregate Fair Market Value as of the Exercise Date equal to such Aggregate Exercise Price;</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surrendering to the Company (x) Warrant Shares previously acquired by the Holder with an aggregate Fair Market Value as of the Exercise Date equal to such Aggregate Exercise Price or (y) any other securities or any debt of the Company (including shares of Common Stock) having a value as of the Exercise Date equal to the Aggregate Exercise Price (which value (A) in the case of debt, shall be the principal amount thereof plus accrued and unpaid interest, and (B) in the case of shares of Common Stock, shall be the Fair Market Value thereof);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combination of the foregoing.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 the event of any withholding of Warrant Shares or surrender of other equity securities pursuant to </w:t>
      </w:r>
      <w:r>
        <w:rPr>
          <w:rFonts w:ascii="Times New Roman" w:hAnsi="Times New Roman"/>
          <w:b/>
          <w:color w:val="000000"/>
          <w:sz w:val="24"/>
        </w:rPr>
        <w:t>Section 3(b)(ii)</w:t>
      </w:r>
      <w:r>
        <w:rPr>
          <w:rFonts w:ascii="Times New Roman" w:hAnsi="Times New Roman"/>
          <w:color w:val="000000"/>
          <w:sz w:val="24"/>
        </w:rPr>
        <w:t xml:space="preserve">, </w:t>
      </w:r>
      <w:r>
        <w:rPr>
          <w:rFonts w:ascii="Times New Roman" w:hAnsi="Times New Roman"/>
          <w:b/>
          <w:color w:val="000000"/>
          <w:sz w:val="24"/>
        </w:rPr>
        <w:t>(iii)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rPr>
        <w:t>(iv)</w:t>
      </w:r>
      <w:r>
        <w:rPr>
          <w:rFonts w:ascii="Times New Roman" w:hAnsi="Times New Roman"/>
          <w:color w:val="000000"/>
          <w:sz w:val="20"/>
        </w:rPr>
        <w:t xml:space="preserve"> </w:t>
      </w:r>
      <w:r>
        <w:rPr>
          <w:rFonts w:ascii="Times New Roman" w:hAnsi="Times New Roman"/>
          <w:color w:val="000000"/>
          <w:sz w:val="24"/>
        </w:rPr>
        <w:t>(solely to the extent of such withholding or surrender, a “</w:t>
      </w:r>
      <w:r>
        <w:rPr>
          <w:rFonts w:ascii="Times New Roman" w:hAnsi="Times New Roman"/>
          <w:b/>
          <w:i/>
          <w:color w:val="000000"/>
          <w:sz w:val="24"/>
        </w:rPr>
        <w:t>Cashless Exercise</w:t>
      </w:r>
      <w:r>
        <w:rPr>
          <w:rFonts w:ascii="Times New Roman" w:hAnsi="Times New Roman"/>
          <w:color w:val="000000"/>
          <w:sz w:val="20"/>
        </w:rPr>
        <w:t>”</w:t>
      </w:r>
      <w:r>
        <w:rPr>
          <w:rFonts w:ascii="Times New Roman" w:hAnsi="Times New Roman"/>
          <w:color w:val="000000"/>
          <w:sz w:val="24"/>
        </w:rPr>
        <w:t xml:space="preserve">) where the number of shares whose value is equal to the Aggregate Exercise Price is not a whole number, the number of shares withheld by or surrendered to the Company shall be rounded up to the nearest whole share and the Company shall make a cash payment to the Holder (by delivery of a certified or official bank check or by wire transfer of immediately available funds) based on the incremental fraction of a share being so withheld by or surrendered to the Company in an amount equal to the product of (x) such incremental fraction of a share being so withheld or surrendered multiplied by (y) the value thereof as of the Exercise Date determined in accordance with </w:t>
      </w:r>
      <w:r>
        <w:rPr>
          <w:rFonts w:ascii="Times New Roman" w:hAnsi="Times New Roman"/>
          <w:b/>
          <w:color w:val="000000"/>
          <w:sz w:val="24"/>
        </w:rPr>
        <w:t>Section 3(b)(iii)</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Rule 144, it is acknowledged and agreed that (i) the Warrant Shares issuable upon any exercise of this Warrant Certificate in any Cashless Exercise transaction shall be deemed to have been acquired on the date hereof, and (ii) the holding period for any Warrant Shares issuable upon the exercise of this Warrant Certificate in any Cashless Exercise transaction shall be deemed to have commenced on the date 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b/>
          <w:color w:val="000000"/>
          <w:sz w:val="24"/>
        </w:rPr>
        <w:t>Delivery of Stock Certificates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color w:val="000000"/>
          <w:sz w:val="24"/>
        </w:rPr>
        <w:t xml:space="preserve">With respect to any exercise of this Warrant Certificate by the Holder, upon receipt by the Company of an Exercise Certificate and delivery of the Aggregate Exercise Price (in accordance with </w:t>
      </w:r>
      <w:r>
        <w:rPr>
          <w:rFonts w:ascii="Times New Roman" w:hAnsi="Times New Roman"/>
          <w:b/>
          <w:color w:val="000000"/>
          <w:sz w:val="24"/>
        </w:rPr>
        <w:t>Section 3(b)</w:t>
      </w:r>
      <w:r>
        <w:rPr>
          <w:rFonts w:ascii="Times New Roman" w:hAnsi="Times New Roman"/>
          <w:color w:val="000000"/>
          <w:sz w:val="24"/>
        </w:rPr>
        <w:t xml:space="preserve">), the Company shall, on or before the Delivery Deadline, issue and deliver (or cause its Transfer Agent to issue and deliver) in accordance with the terms hereof to or upon the order of the Holder that number of Warrant Shares for the portion of this Warrant Certificate so exercised on such date, together with cash in lieu of any fraction of a share, as provided in </w:t>
      </w:r>
      <w:r>
        <w:rPr>
          <w:rFonts w:ascii="Times New Roman" w:hAnsi="Times New Roman"/>
          <w:b/>
          <w:color w:val="000000"/>
          <w:sz w:val="24"/>
        </w:rPr>
        <w:t>Section 3(d)</w:t>
      </w:r>
      <w:r>
        <w:rPr>
          <w:rFonts w:ascii="Times New Roman" w:hAnsi="Times New Roman"/>
          <w:color w:val="000000"/>
          <w:sz w:val="24"/>
        </w:rPr>
        <w:t xml:space="preserve">. The stock certificate or certificates so delivered shall be, to the extent possible, in such denomination or denominations as the exercising Holder shall reasonably request in the Exercise Certificate and shall be registered in the name of the Holder or, subject to compliance with </w:t>
      </w:r>
      <w:r>
        <w:rPr>
          <w:rFonts w:ascii="Times New Roman" w:hAnsi="Times New Roman"/>
          <w:b/>
          <w:color w:val="000000"/>
          <w:sz w:val="24"/>
        </w:rPr>
        <w:t>Section 8</w:t>
      </w:r>
      <w:r>
        <w:rPr>
          <w:rFonts w:ascii="Times New Roman" w:hAnsi="Times New Roman"/>
          <w:color w:val="000000"/>
          <w:sz w:val="24"/>
        </w:rPr>
        <w:t>, such other Person’s name as shall be designated in the Exercise Certificate. This Warrant Certificate shall be deemed to have been exercised and such certificate or certificates of Warrant Shares shall be deemed to have been issued, and the Holder or any other Person so designated to be named therein shall be deemed to have become a holder of record of such Warrant Shares for all purposes, as of the Exercise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If, at the time of exercise, the Company has a Transfer Agent, then upon the exercise of this Warrant Certificate in whole or in part, the Company shall, at its own cost and expense, take all necessary action, including obtaining and delivering an opinion of counsel,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to assure that the Company’s transfer agent (the “</w:t>
      </w:r>
      <w:r>
        <w:rPr>
          <w:rFonts w:ascii="Times New Roman" w:hAnsi="Times New Roman"/>
          <w:b/>
          <w:i/>
          <w:color w:val="000000"/>
          <w:sz w:val="24"/>
        </w:rPr>
        <w:t>Transfer Agent</w:t>
      </w:r>
      <w:r>
        <w:rPr>
          <w:color w:val="000000"/>
        </w:rPr>
        <w:t>”</w:t>
      </w:r>
      <w:r>
        <w:rPr>
          <w:rFonts w:ascii="Times New Roman" w:hAnsi="Times New Roman"/>
          <w:color w:val="000000"/>
          <w:sz w:val="24"/>
        </w:rPr>
        <w:t xml:space="preserve">) shall issue Warrant Shares in the name of the Holder (or its nominee) or such other Persons as designated by the Holder (in compliance with </w:t>
      </w:r>
      <w:r>
        <w:rPr>
          <w:rFonts w:ascii="Times New Roman" w:hAnsi="Times New Roman"/>
          <w:b/>
          <w:color w:val="000000"/>
          <w:sz w:val="24"/>
        </w:rPr>
        <w:t>Section 8</w:t>
      </w:r>
      <w:r>
        <w:rPr>
          <w:rFonts w:ascii="Times New Roman" w:hAnsi="Times New Roman"/>
          <w:color w:val="000000"/>
          <w:sz w:val="24"/>
        </w:rPr>
        <w:t>) and in such denominations to be specified in the Exercise Certificate. The Company represents and warrants that no instructions other than the foregoing instructions will be given to the Transfer Agent and that, unless waived by the Holder, this Warrant Certificate and the Warrant Shares will be free-trading, and freely transferable, and will not contain a legend restricting the resale or transferability of the Warrant Shares if the Unrestricted Conditions are met.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addition to any other remedies which may be available to the Holder, in the event of any Delivery Failure relating to the issuance of Warrant Shares upon exercise of this Warrant Certificate, the Holder will be entitled to revoke all or part of the relevant Exercise Certificate by delivery of a notice to such effect to the Company whereupon the Company and the Holder shall each be restored to their respective positions immediately prior to the delivery of such Exercise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b/>
          <w:color w:val="000000"/>
          <w:sz w:val="24"/>
        </w:rPr>
        <w:t>Fractional Shares</w:t>
      </w:r>
      <w:r>
        <w:rPr>
          <w:rFonts w:ascii="Times New Roman" w:hAnsi="Times New Roman"/>
          <w:color w:val="000000"/>
          <w:sz w:val="24"/>
        </w:rPr>
        <w:t>. The Company shall not be required to issue a fractional Warrant Share upon exercise of any Warrant Certificate. As to any fraction of a Warrant Share that the Holder would otherwise be entitled to purchase upon such exercise, the Company shall (unless waived by the Holder) pay to such Holder an amount in cash (by delivery of a certified or official bank check or by wire transfer of immediately available funds) equal to the product of (i) such fraction multiplied by (ii) the Fair Market Value of one Warrant Share on the Exercise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b/>
          <w:color w:val="000000"/>
          <w:sz w:val="24"/>
        </w:rPr>
        <w:t>Surrender of this Warrant Certificate; Delivery of New Warrant Certificate</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color w:val="000000"/>
          <w:sz w:val="24"/>
        </w:rPr>
        <w:t xml:space="preserve">The Holder shall not be required to physically surrender this Warrant Certificate to the Company until the Holder has purchased all of the Warrant Shares available hereunder and this Warrant Certificate has been exercised in full, in which case, the Holder shall, at the written request of the Company, surrender this Warrant Certificate to the Company for cancellation within three (3) Business Days after the date the final Exercise Certificate is delivered to the Company. Partial exercises of this Warrant Certificate resulting in purchases of a portion of the total number of Warrant Shares available hereunder shall have the effect of lowering the outstanding number of Warrant Shares purchasable hereunder in an amount equal to the number of Warrant Shares purchased. The Holder and the Company shall maintain records showing the number of Warrant Shares purchased and the date of such purchases. The Holder and any assignee, by acceptance of this Warrant Certificate, acknowledge and agree that, by reason of the provisions of this </w:t>
      </w:r>
      <w:r>
        <w:rPr>
          <w:rFonts w:ascii="Times New Roman" w:hAnsi="Times New Roman"/>
          <w:b/>
          <w:color w:val="000000"/>
          <w:sz w:val="24"/>
        </w:rPr>
        <w:t>Section 3(e)</w:t>
      </w:r>
      <w:r>
        <w:rPr>
          <w:rFonts w:ascii="Times New Roman" w:hAnsi="Times New Roman"/>
          <w:color w:val="000000"/>
          <w:sz w:val="24"/>
        </w:rPr>
        <w:t xml:space="preserve">, following the purchase of a portion of the Warrant Shares hereunder, the number of Warrant Shares available for purchase hereunder at any given time may be less than the amount stated on the face hereof.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pPr>
      <w:r>
        <w:rPr>
          <w:rFonts w:ascii="Times New Roman" w:hAnsi="Times New Roman"/>
          <w:color w:val="000000"/>
          <w:sz w:val="24"/>
        </w:rPr>
        <w:t xml:space="preserve">Notwithstanding the foregoing, the Holder may request that the Company (and the Company shall), at the time of delivery of the certificate or certificates representing the Warrant Shares being issued in accordance with </w:t>
      </w:r>
      <w:r>
        <w:rPr>
          <w:rFonts w:ascii="Times New Roman" w:hAnsi="Times New Roman"/>
          <w:b/>
          <w:color w:val="000000"/>
          <w:sz w:val="24"/>
        </w:rPr>
        <w:t>Section 3(c)</w:t>
      </w:r>
      <w:r>
        <w:rPr>
          <w:rFonts w:ascii="Times New Roman" w:hAnsi="Times New Roman"/>
          <w:color w:val="000000"/>
          <w:sz w:val="24"/>
        </w:rPr>
        <w:t xml:space="preserve">, deliver to the Holder a new Warrant Certificate evidencing the rights of the Holder to purchase the unexpired and unexercised Warrant Shares called for by this Warrant Certificate. Unless otherwise agreed upon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by the Holder in its sole discretion, such new Warrant Certificate shall in all other respects be identical to this Warrant Certificate.</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b/>
          <w:color w:val="000000"/>
          <w:sz w:val="24"/>
        </w:rPr>
        <w:t>Valid Issuance of Warrant Certificate and Warrant Shares; Payment of Taxes</w:t>
      </w:r>
      <w:r>
        <w:rPr>
          <w:rFonts w:ascii="Times New Roman" w:hAnsi="Times New Roman"/>
          <w:color w:val="000000"/>
          <w:sz w:val="24"/>
        </w:rPr>
        <w:t>. The Company hereby represents, covenants and agrees: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Warrant Certificate is, and any Warrant Certificate issued in substitution for or replacement of this Warrant Certificate shall be, upon issuance, duly authorized and validly issued.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Warrant Shares issuable upon the exercise of this Warrant Certificate (or any substitute or replacement Warrant Certificate) pursuant to the terms hereof shall be, upon issuance, and the Company shall take all such actions as may be necessary or appropriate in order that such Warrant Shares are, validly issued, fully paid and non-assessable, issued without violation of any preemptive or similar rights of any stockholder of the Company and free and clear of all taxes, liens and charges.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shall take all such actions as may be necessary to ensure that all such Warrant Shares are issued without violation by the Company of any applicable law or governmental regulation or any requirements of any Trading Market upon which shares of Common Stock or other securities constituting Warrant Shares may be listed at the time of such exercise (except for official notice of issuance which shall be immediately delivered by the Company upon each such issuance).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shall pay all expenses in connection with, and all taxes and other governmental charges that may be imposed with respect to, the issuance or delivery of Warrant Shares upon exercise of this Warrant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pPr>
      <w:r>
        <w:rPr>
          <w:rFonts w:ascii="Times New Roman" w:hAnsi="Times New Roman"/>
          <w:b/>
          <w:color w:val="000000"/>
          <w:sz w:val="24"/>
        </w:rPr>
        <w:t>Conditional Exercise</w:t>
      </w:r>
      <w:r>
        <w:rPr>
          <w:rFonts w:ascii="Times New Roman" w:hAnsi="Times New Roman"/>
          <w:color w:val="000000"/>
          <w:sz w:val="24"/>
        </w:rPr>
        <w:t>. Notwithstanding any other provision hereof, if an exercise of any portion of this Warrant Certificate is to be made in connection with a public offering, a Fundamental Change or any sale of the Company (pursuant to a merger, sale of stock, or otherwise), such exercise may, at the election of the Holder, be conditioned upon the consummation of such transaction, in which case such exercise shall not be deemed to be effective until immediately prior to the consummation of such transaction.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left"/>
        <w:rPr/>
      </w:pPr>
      <w:r>
        <w:rPr>
          <w:rFonts w:ascii="Times New Roman" w:hAnsi="Times New Roman"/>
          <w:b/>
          <w:color w:val="000000"/>
          <w:sz w:val="24"/>
        </w:rPr>
        <w:t>Reservation of Shares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During the Exercise Period, the Company shall at all times reserve and keep available out of its authorized but unissued shares of Common Stock or other securities constituting Warrant Shares, solely for the purpose of issuance upon the exercise of this Warrant Certificate, the maximum number of Warrant Shares issuable upon the exercise of this Warrant Certificate, and the par value per Warrant Share shall at all times be less than or equal to the Exercise Price. The Company shall not increase the par value of any Warrant Shares receivable upon the exercise of this Warrant Certificate above the Exercise Price, and shall take all such actions as may be necessary or appropriate in order that the Company may validly and legally issue fully paid and nonassessable shares of Common Stock upon the exercise of this Warrant Certificate.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b/>
          <w:color w:val="000000"/>
          <w:sz w:val="24"/>
        </w:rPr>
        <w:t>Delivery of Electronic Shares</w:t>
      </w:r>
      <w:r>
        <w:rPr>
          <w:rFonts w:ascii="Times New Roman" w:hAnsi="Times New Roman"/>
          <w:color w:val="000000"/>
          <w:sz w:val="24"/>
        </w:rPr>
        <w:t>. If the Company has a Transfer Agent and the Transfer Agent is participating in the DTC Fast Automated Securities Transfer (“</w:t>
      </w:r>
      <w:r>
        <w:rPr>
          <w:rFonts w:ascii="Times New Roman" w:hAnsi="Times New Roman"/>
          <w:b/>
          <w:i/>
          <w:color w:val="000000"/>
          <w:sz w:val="24"/>
        </w:rPr>
        <w:t>FAST</w:t>
      </w:r>
      <w:r>
        <w:rPr>
          <w:color w:val="000000"/>
        </w:rPr>
        <w:t>”</w:t>
      </w:r>
      <w:r>
        <w:rPr>
          <w:rFonts w:ascii="Times New Roman" w:hAnsi="Times New Roman"/>
          <w:color w:val="000000"/>
          <w:sz w:val="24"/>
        </w:rPr>
        <w:t>) program, upon written request of the Holder and in lieu of delivering physical certificates representing any shares of Common Stock (including any Warrant Shares) to be delivered under or in connection with this Warrant Certificate, the Company shall use its commercially reasonable best efforts to cause the Transfer Agent to electronically transmit such Common Stock to the Holder by crediting the account of the Holder’s prime broker with the DTC through its Deposit Withdrawal Agent Commission (“</w:t>
      </w:r>
      <w:r>
        <w:rPr>
          <w:rFonts w:ascii="Times New Roman" w:hAnsi="Times New Roman"/>
          <w:b/>
          <w:i/>
          <w:color w:val="000000"/>
          <w:sz w:val="24"/>
        </w:rPr>
        <w:t>DWAC</w:t>
      </w:r>
      <w:r>
        <w:rPr>
          <w:color w:val="000000"/>
        </w:rPr>
        <w:t>”</w:t>
      </w:r>
      <w:r>
        <w:rPr>
          <w:rFonts w:ascii="Times New Roman" w:hAnsi="Times New Roman"/>
          <w:color w:val="000000"/>
          <w:sz w:val="24"/>
        </w:rPr>
        <w:t>) system. The time periods for delivery and penalties described herein shall apply to the electronic transmittals described herein. Any delivery not effected by electronic transmission shall be effected by delivery of physical certificates.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left"/>
        <w:rPr/>
      </w:pPr>
      <w:r>
        <w:rPr>
          <w:rFonts w:ascii="Times New Roman" w:hAnsi="Times New Roman"/>
          <w:b/>
          <w:color w:val="000000"/>
          <w:sz w:val="24"/>
        </w:rPr>
        <w:t>Make Whole</w:t>
      </w:r>
      <w:r>
        <w:rPr>
          <w:rFonts w:ascii="Times New Roman" w:hAnsi="Times New Roman"/>
          <w:color w:val="000000"/>
          <w:sz w:val="24"/>
        </w:rPr>
        <w:t>. In addition to any other rights available to the Holder, if as a result of a Delivery Failure in respect of Warrant Shares the Holder is required by its broker to purchase (in an open market transaction or otherwise) or the Holder’s brokerage firm otherwise purchases shares of Common Stock to deliver in satisfaction of a sale anticipated to be made by the Holder of all or portion of such Warrant Shares which are the subject of such Delivery Failure (an “</w:t>
      </w:r>
      <w:r>
        <w:rPr>
          <w:rFonts w:ascii="Times New Roman" w:hAnsi="Times New Roman"/>
          <w:b/>
          <w:color w:val="000000"/>
          <w:sz w:val="24"/>
        </w:rPr>
        <w:t>Anticipated Sale</w:t>
      </w:r>
      <w:r>
        <w:rPr>
          <w:color w:val="000000"/>
        </w:rPr>
        <w:t>”</w:t>
      </w:r>
      <w:r>
        <w:rPr>
          <w:rFonts w:ascii="Times New Roman" w:hAnsi="Times New Roman"/>
          <w:color w:val="000000"/>
          <w:sz w:val="24"/>
        </w:rPr>
        <w:t>), then the Company shall (i) pay in cash to the Holder the amount by which (x) the Holder’s total purchase price (including brokerage commissions, if any) for the shares of Common Stock so purchased exceeds (y) an amount equal to the product of (A) the number of Warrant Shares that the Holder anticipated to sell in such Anticipated Sale, multiplied by (B) the Exercise Price that would have been payable for such Warrant Shares, and (ii) at the option of the Holder, either reinstate the portion of this Warrant Certificate and equivalent number of Warrant Shares in respect of which such Delivery Failure occurred or deliver to the Holder the number of Warrant Shares that would have been issued had the Company timely complied with its obligations hereunder to issue such Warrant Shares upon such exercise. The Holder shall provide the Company written notice indicating the amounts payable to the Holder, together with applicable confirmations and other evidence reasonably requested by the Company. Nothing herein shall limit the Holder’s right to pursue any other remedies available to it hereunder at law or in equity including, without limitation, a decree of specific performance and/or injunctive relief with respect to any Delivery Failure.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left"/>
        <w:rPr/>
      </w:pPr>
      <w:r>
        <w:rPr>
          <w:rFonts w:ascii="Times New Roman" w:hAnsi="Times New Roman"/>
          <w:b/>
          <w:color w:val="000000"/>
          <w:sz w:val="24"/>
        </w:rPr>
        <w:t>Dispute Resolution</w:t>
      </w:r>
      <w:r>
        <w:rPr>
          <w:rFonts w:ascii="Times New Roman" w:hAnsi="Times New Roman"/>
          <w:color w:val="000000"/>
          <w:sz w:val="24"/>
        </w:rPr>
        <w:t>. In the case of any dispute as to the determination of Fair Market Value, any closing sales price or VWAP of the Common Stock, the arithmetic calculation of the Exercise Price or any other computation required to be made hereunder, in the event the Holder and the Company are unable to settle such dispute within five (5) Business Days, then either party may elect to submit the disputed matter(s) for resolution. Such investment bank’s determination of such disputed matter(s) shall be binding upon all parties absent demonstrable error, and the Company and the Holder shall each pay one half of the fees and costs of such investment banker or accountant.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left"/>
        <w:rPr/>
      </w:pPr>
      <w:r>
        <w:rPr>
          <w:rFonts w:ascii="Times New Roman" w:hAnsi="Times New Roman"/>
          <w:b/>
          <w:color w:val="000000"/>
          <w:sz w:val="24"/>
        </w:rPr>
        <w:t>Automatic Exercise</w:t>
      </w:r>
      <w:r>
        <w:rPr>
          <w:rFonts w:ascii="Times New Roman" w:hAnsi="Times New Roman"/>
          <w:color w:val="000000"/>
          <w:sz w:val="24"/>
        </w:rPr>
        <w:t xml:space="preserve">. If a Liquidity Event occurs with respect to the Company at any time prior to the expiration of the Exercise Period and there remain any Warrant Shares subject to this Warrant Certificate, this Warrant Certificate shall be deemed to be automatically exercised in full for the full number of remaining Warrant Shares, without the requirement for the delivery of an Exercise Certificate, and the Holder shall receive its pro rata share of the proceeds from such Liquidity Event as if the Warrant Shares were outstanding immediately prior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 xml:space="preserve">to the Liquidity Event (subject to set-off against the Aggregate Exercise Price); </w:t>
      </w:r>
      <w:r>
        <w:rPr>
          <w:rFonts w:ascii="Times New Roman" w:hAnsi="Times New Roman"/>
          <w:i/>
          <w:color w:val="000000"/>
          <w:sz w:val="24"/>
        </w:rPr>
        <w:t xml:space="preserve">provided that </w:t>
      </w:r>
      <w:r>
        <w:rPr>
          <w:rFonts w:ascii="Times New Roman" w:hAnsi="Times New Roman"/>
          <w:color w:val="000000"/>
          <w:sz w:val="24"/>
        </w:rPr>
        <w:t>unless the giving of notice is not possible due to the circumstances of the Liquidity Event, the Company shall give the Holder notice of any anticipated Liquidity Event as soon as practicable but in any event not less than ten (10) Business Days prior to the anticipated consummation of the Liquidity Event and if the Holder does not wish to automatically have this Warrant Certificate exercised, the Holder may opt out of such automatic exercise by written notice to the Company in advance of the consummation of the Liquidity Event. For the avoidance of doubt, if the Holder opts out of having the Warrant Certificate exercised in connection with a Liquidity Event then, if the Liquidity Event involves a merger or consolidation of the Company with or into another entity and (x) the Company is the surviving entity, this Warrant Certificate shall continue to remain outstanding following the consummation of the Liquidity Event for the duration of the Exercise Period or (y) if the Company is not the surviving entity, this Warrant Certificate shall be reissued for equity securities in the entity that survives the Liquidity Event and shall remain outstanding for the duration of the Exercise Period.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left"/>
        <w:rPr/>
      </w:pPr>
      <w:r>
        <w:rPr>
          <w:rFonts w:ascii="Times New Roman" w:hAnsi="Times New Roman"/>
          <w:b/>
          <w:color w:val="000000"/>
          <w:sz w:val="24"/>
        </w:rPr>
        <w:t>Treatment of Warrant Certificate Upon Acquisition of Company</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color w:val="000000"/>
          <w:sz w:val="24"/>
        </w:rPr>
        <w:t>For the purpose of this Warrant Certificate, “</w:t>
      </w:r>
      <w:r>
        <w:rPr>
          <w:rFonts w:ascii="Times New Roman" w:hAnsi="Times New Roman"/>
          <w:b/>
          <w:color w:val="000000"/>
          <w:sz w:val="24"/>
        </w:rPr>
        <w:t>Acquisition</w:t>
      </w:r>
      <w:r>
        <w:rPr>
          <w:color w:val="000000"/>
        </w:rPr>
        <w:t xml:space="preserve">” </w:t>
      </w:r>
      <w:r>
        <w:rPr>
          <w:rFonts w:ascii="Times New Roman" w:hAnsi="Times New Roman"/>
          <w:color w:val="000000"/>
          <w:sz w:val="24"/>
        </w:rPr>
        <w:t>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 majority of the Company’s then-total outstanding combined voting power.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pPr>
      <w:r>
        <w:rPr>
          <w:rFonts w:ascii="Times New Roman" w:hAnsi="Times New Roman"/>
          <w:color w:val="000000"/>
          <w:sz w:val="24"/>
        </w:rPr>
        <w:t>In the event of an Acquisition in which the consideration to be received by the Company’s stockholders consists solely of cash (a “</w:t>
      </w:r>
      <w:r>
        <w:rPr>
          <w:rFonts w:ascii="Times New Roman" w:hAnsi="Times New Roman"/>
          <w:b/>
          <w:color w:val="000000"/>
          <w:sz w:val="24"/>
        </w:rPr>
        <w:t>Cash Acquisition</w:t>
      </w:r>
      <w:r>
        <w:rPr>
          <w:color w:val="000000"/>
        </w:rPr>
        <w:t>”</w:t>
      </w:r>
      <w:r>
        <w:rPr>
          <w:rFonts w:ascii="Times New Roman" w:hAnsi="Times New Roman"/>
          <w:color w:val="000000"/>
          <w:sz w:val="24"/>
        </w:rPr>
        <w:t xml:space="preserve">), either (x) Holder shall exercise this Warrant Certificate pursuant to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and such exercise will be deemed effective immediately prior to and contingent upon the consummation of such Cash Acquisition or (y) if Holder elects not to exercise the Warrant, this Warrant will expire immediately prior to the consummation of such Cash Acquisition.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shall provide Holder with written notice of its request relating to the Cash Acquisition (together with such information as Holder may reasonably require regarding the treatment of this Warrant in connection with such contemplated Cash Acquisition giving rise to such notice), which is to be delivered to Holder not less than thirty (30) days prior to the closing of the proposed Cash Acquisition. Notwithstanding the foregoing, if, immediately prior to the Cash Acquisition, the fair market value of one Warrant Share above would be greater than the Exercise Price in effect on such date, then this Warrant shall automatically be deemed on and as of such date to be exercised pursuant a Cashless Exercise with respect to all Warrant Shares for which it shall not previously have been exercised, and the Company shall promptly notify the Holder of the number of shares of Common Stock (or such other securities) issued upon such exercise to the Holder.</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the closing of any Acquisition other than a Cash Acquisition defined above, the acquiring, surviving or successor entity shall assume the obligations of this Warrant, and this Warrant shall thereafter be exercisable for the same securities and/or other property as would have been paid for the shares of Common Stock issuable upon exercise of the unexercised portion of this Warrant as if such shares of Common Stock were outstanding on and as of the closing of such Acquisition, subject to further adjustment from time to time in accordance with the provisions of this Warrant.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left"/>
        <w:rPr/>
      </w:pPr>
      <w:r>
        <w:rPr>
          <w:rFonts w:ascii="Times New Roman" w:hAnsi="Times New Roman"/>
          <w:b/>
          <w:color w:val="000000"/>
          <w:sz w:val="24"/>
        </w:rPr>
        <w:t>Holder’s Exercise Limitations</w:t>
      </w:r>
      <w:r>
        <w:rPr>
          <w:rFonts w:ascii="Times New Roman" w:hAnsi="Times New Roman"/>
          <w:color w:val="000000"/>
          <w:sz w:val="24"/>
        </w:rPr>
        <w:t xml:space="preserve">. The Company shall not effect any exercise of this Warrant, and a Holder shall not have the right to exercise any portion of this Warrant, pursuant to this </w:t>
      </w:r>
      <w:r>
        <w:rPr>
          <w:rFonts w:ascii="Times New Roman" w:hAnsi="Times New Roman"/>
          <w:b/>
          <w:color w:val="000000"/>
          <w:sz w:val="24"/>
        </w:rPr>
        <w:t>Section 3</w:t>
      </w:r>
      <w:r>
        <w:rPr>
          <w:color w:val="000000"/>
        </w:rPr>
        <w:t xml:space="preserve"> </w:t>
      </w:r>
      <w:r>
        <w:rPr>
          <w:rFonts w:ascii="Times New Roman" w:hAnsi="Times New Roman"/>
          <w:color w:val="000000"/>
          <w:sz w:val="24"/>
        </w:rPr>
        <w:t xml:space="preserve">or otherwise, to the extent that after giving effect to such issuance after exercise as set forth on the Exercise Certificate,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equivalents beneficially owned by the Holder and its affiliates shall include the number of shares of Common Stock equivalents issuable upon exercise of this Warrant with respect to which such determination is being made, but shall exclude the number of shares of Common Stock equivalents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w:t>
      </w:r>
      <w:r>
        <w:rPr>
          <w:rFonts w:ascii="Times New Roman" w:hAnsi="Times New Roman"/>
          <w:b/>
          <w:color w:val="000000"/>
          <w:sz w:val="24"/>
        </w:rPr>
        <w:t>Section 3(n)</w:t>
      </w:r>
      <w:r>
        <w:rPr>
          <w:rFonts w:ascii="Times New Roman" w:hAnsi="Times New Roman"/>
          <w:color w:val="000000"/>
          <w:sz w:val="24"/>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 w:hAnsi="Times New Roman"/>
          <w:b/>
          <w:color w:val="000000"/>
          <w:sz w:val="24"/>
        </w:rPr>
        <w:t>Section 3(n)</w:t>
      </w:r>
      <w:r>
        <w:rPr>
          <w:color w:val="000000"/>
        </w:rPr>
        <w:t xml:space="preserve"> </w:t>
      </w:r>
      <w:r>
        <w:rPr>
          <w:rFonts w:ascii="Times New Roman" w:hAnsi="Times New Roman"/>
          <w:color w:val="000000"/>
          <w:sz w:val="24"/>
        </w:rPr>
        <w:t xml:space="preserve">applies, the determination of whether this Warrant is exercisable (in relation to other securities owned by the Holder together with any affiliates) and of which portion of this Warrant is exercisable shall be in the sole discretion of the Holder, and the submission of an Exercise Certificate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Times New Roman" w:hAnsi="Times New Roman"/>
          <w:b/>
          <w:color w:val="000000"/>
          <w:sz w:val="24"/>
        </w:rPr>
        <w:t>Section 3(n)</w:t>
      </w:r>
      <w:r>
        <w:rPr>
          <w:rFonts w:ascii="Times New Roman" w:hAnsi="Times New Roman"/>
          <w:color w:val="000000"/>
          <w:sz w:val="24"/>
        </w:rPr>
        <w:t xml:space="preserve">, in determining the number of outstanding shares of Common Stock, a Holder may rely on the number of outstanding shares of Common Stock as reflected in (A) the Company’s most recent periodic or annual report filed with the SEC, as the case may be, (B) a more recent public announcement by the Company, or (C) a more recent written notice from the Company or the Transfer Agent setting forth the number of shares of Common Stock outstanding. Upon the written request of a Holder, the Company shall within three (3) Business Days confirm orally and in writing to the Holder the number of shares of Common Stock then outstanding. In any case, the number of outstanding shares of Common Stock shall be determined after giving effect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to the conversion or exercise of securities of the Company, including this Warrant, by the Holder or its affiliates since the date as of which such number of outstanding shares of Common Stock was reported. The “</w:t>
      </w:r>
      <w:r>
        <w:rPr>
          <w:rFonts w:ascii="Times New Roman" w:hAnsi="Times New Roman"/>
          <w:b/>
          <w:i/>
          <w:color w:val="000000"/>
          <w:sz w:val="24"/>
        </w:rPr>
        <w:t>Beneficial Ownership Limitation</w:t>
      </w:r>
      <w:r>
        <w:rPr>
          <w:color w:val="000000"/>
        </w:rPr>
        <w:t xml:space="preserve">” </w:t>
      </w:r>
      <w:r>
        <w:rPr>
          <w:rFonts w:ascii="Times New Roman" w:hAnsi="Times New Roman"/>
          <w:color w:val="000000"/>
          <w:sz w:val="24"/>
        </w:rPr>
        <w:t xml:space="preserve">shall be 9.99% of the number of shares of Common Stock and Common Stock equivalents outstanding immediately after giving effect to the issuance of Warrant Shares issuable upon exercise of this Warrant if at the time of exercise the Company is a “reporting issuer” under the Securities Exchange Act of 1934. The provisions of this paragraph shall be construed and implemented in a manner otherwise than in strict conformity with the terms of this </w:t>
      </w:r>
      <w:r>
        <w:rPr>
          <w:rFonts w:ascii="Times New Roman" w:hAnsi="Times New Roman"/>
          <w:b/>
          <w:color w:val="000000"/>
          <w:sz w:val="24"/>
        </w:rPr>
        <w:t>Section 3(n)</w:t>
      </w:r>
      <w:r>
        <w:rPr>
          <w:color w:val="000000"/>
        </w:rPr>
        <w:t xml:space="preserve"> </w:t>
      </w:r>
      <w:r>
        <w:rPr>
          <w:rFonts w:ascii="Times New Roman" w:hAnsi="Times New Roman"/>
          <w:color w:val="000000"/>
          <w:sz w:val="24"/>
        </w:rPr>
        <w:t>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4.</w:t>
      </w:r>
    </w:p>
    <w:p>
      <w:pPr>
        <w:pStyle w:val="TextBody"/>
        <w:bidi w:val="0"/>
        <w:spacing w:before="0" w:after="240"/>
        <w:jc w:val="left"/>
        <w:rPr/>
      </w:pPr>
      <w:r>
        <w:rPr>
          <w:rFonts w:ascii="Times New Roman" w:hAnsi="Times New Roman"/>
          <w:b/>
          <w:color w:val="000000"/>
          <w:sz w:val="24"/>
        </w:rPr>
        <w:t>Anti-Dilution Adjustments</w:t>
      </w:r>
      <w:r>
        <w:rPr>
          <w:rFonts w:ascii="Times New Roman" w:hAnsi="Times New Roman"/>
          <w:color w:val="000000"/>
          <w:sz w:val="24"/>
        </w:rPr>
        <w:t xml:space="preserve">. In order to prevent dilution of the purchase rights granted under this Warrant Certificate, the number of Warrant Shares issuable upon exercise of this Warrant Certificate shall be subject to adjustment from time to time as provided in this </w:t>
      </w:r>
      <w:r>
        <w:rPr>
          <w:rFonts w:ascii="Times New Roman" w:hAnsi="Times New Roman"/>
          <w:b/>
          <w:color w:val="000000"/>
          <w:sz w:val="24"/>
        </w:rPr>
        <w:t>Section 4</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b/>
          <w:color w:val="000000"/>
          <w:sz w:val="24"/>
        </w:rPr>
        <w:t>Adjustment to Number of Warrant Shares Upon Dividend, Subdivision or Combination of Common Stock</w:t>
      </w:r>
      <w:r>
        <w:rPr>
          <w:rFonts w:ascii="Times New Roman" w:hAnsi="Times New Roman"/>
          <w:color w:val="000000"/>
          <w:sz w:val="24"/>
        </w:rPr>
        <w:t xml:space="preserve">. If the Company shall, at any time or from time to time after the Issue Date, (i) pay a dividend or make any other distribution upon the Common Stock or any other capital stock of the Company payable in shares of Common Stock or in options or convertible securities, or (ii) subdivide (by any stock split, recapitalization or otherwise) its outstanding shares of Common Stock into a greater number of shares, the number of Warrant Shares issuable upon exercise of this Warrant Certificate immediately prior to any such dividend, distribution or subdivision shall be proportionately increased. If the Company at any time combines (by combination, reverse stock split or otherwise) its outstanding shares of Common Stock into a smaller number of shares, the number of Warrant Shares issuable upon exercise of this Warrant Certificate immediately prior to such combination shall be proportionately decreased. Any adjustment under this </w:t>
      </w:r>
      <w:r>
        <w:rPr>
          <w:rFonts w:ascii="Times New Roman" w:hAnsi="Times New Roman"/>
          <w:b/>
          <w:color w:val="000000"/>
          <w:sz w:val="24"/>
        </w:rPr>
        <w:t>Section 4(a)</w:t>
      </w:r>
      <w:r>
        <w:rPr>
          <w:color w:val="000000"/>
        </w:rPr>
        <w:t xml:space="preserve"> </w:t>
      </w:r>
      <w:r>
        <w:rPr>
          <w:rFonts w:ascii="Times New Roman" w:hAnsi="Times New Roman"/>
          <w:color w:val="000000"/>
          <w:sz w:val="24"/>
        </w:rPr>
        <w:t>shall become effective at the close of business on the date the dividend, subdivision or combination becomes effective.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b/>
          <w:color w:val="000000"/>
          <w:sz w:val="24"/>
        </w:rPr>
        <w:t>Adjustment to Number of Warrant Shares Upon Reorganization, Reclassification, Consolidation or Merger</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color w:val="000000"/>
          <w:sz w:val="24"/>
        </w:rPr>
        <w:t xml:space="preserve">Unless the Holder otherwise consents (in its sole discretion), in the event of any (A) capital reorganization of the Company, (B) reclassification of the stock of the Company (other than a change in par value or from par value to no par value or from no par value to par value or as a result of a stock dividend or subdivision, split-up or combination of shares), (C) Fundamental Change or (D) other similar transaction (other than any such transaction covered by </w:t>
      </w:r>
      <w:r>
        <w:rPr>
          <w:rFonts w:ascii="Times New Roman" w:hAnsi="Times New Roman"/>
          <w:b/>
          <w:color w:val="000000"/>
          <w:sz w:val="24"/>
        </w:rPr>
        <w:t xml:space="preserve">Section 3(m) </w:t>
      </w:r>
      <w:r>
        <w:rPr>
          <w:rFonts w:ascii="Times New Roman" w:hAnsi="Times New Roman"/>
          <w:color w:val="000000"/>
          <w:sz w:val="24"/>
        </w:rPr>
        <w:t xml:space="preserve">or </w:t>
      </w:r>
      <w:r>
        <w:rPr>
          <w:rFonts w:ascii="Times New Roman" w:hAnsi="Times New Roman"/>
          <w:b/>
          <w:color w:val="000000"/>
          <w:sz w:val="24"/>
        </w:rPr>
        <w:t>Section 4(a)</w:t>
      </w:r>
      <w:r>
        <w:rPr>
          <w:rFonts w:ascii="Times New Roman" w:hAnsi="Times New Roman"/>
          <w:color w:val="000000"/>
          <w:sz w:val="24"/>
        </w:rPr>
        <w:t>), including a Liquidity Event in which the Warrant Certificate is not exercised, in each case which entitles the holders of Common Stock to receive (either directly or upon subsequent liquidation) stock, securities or assets with respect to or in exchange for Common Stock: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this Warrant Certificate shall, immediately after such reorganization, reclassification, consolidation, merger, sale or similar transaction, remain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outstanding and shall thereafter, in lieu of or in addition to (as the case may be) the number of Warrant Shares then exercisable under this Warrant Certificate,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Certificate in full immediately prior to the time of such reorganization, reclassification, consolidation, merger, sale or similar transaction and acquired the number of Warrant Shares then issuable hereunder as a result of such exercise (without taking into account any limitations or restrictions on the exercisability of this Warrant Certificate);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rPr>
        <w:t xml:space="preserve">appropriate adjustment (in form and substance satisfactory to the Holder) shall be made with respect to the Holder’s rights under this Warrant Certificate to insure that the provisions of this </w:t>
      </w:r>
      <w:r>
        <w:rPr>
          <w:rFonts w:ascii="Times New Roman" w:hAnsi="Times New Roman"/>
          <w:b/>
          <w:color w:val="000000"/>
          <w:sz w:val="24"/>
        </w:rPr>
        <w:t>Section 4</w:t>
      </w:r>
      <w:r>
        <w:rPr>
          <w:color w:val="000000"/>
        </w:rPr>
        <w:t xml:space="preserve"> </w:t>
      </w:r>
      <w:r>
        <w:rPr>
          <w:rFonts w:ascii="Times New Roman" w:hAnsi="Times New Roman"/>
          <w:color w:val="000000"/>
          <w:sz w:val="24"/>
        </w:rPr>
        <w:t>shall thereafter be applicable, as nearly as possible, to this Warrant Certificate in relation to any shares of stock, securities or assets thereafter acquirable upon exercise of this Warrant Certificate.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provisions of this </w:t>
      </w:r>
      <w:r>
        <w:rPr>
          <w:rFonts w:ascii="Times New Roman" w:hAnsi="Times New Roman"/>
          <w:b/>
          <w:color w:val="000000"/>
          <w:sz w:val="24"/>
        </w:rPr>
        <w:t>Section 4(b)</w:t>
      </w:r>
      <w:r>
        <w:rPr>
          <w:rFonts w:ascii="Times New Roman" w:hAnsi="Times New Roman"/>
          <w:color w:val="000000"/>
          <w:sz w:val="20"/>
        </w:rPr>
        <w:t xml:space="preserve"> </w:t>
      </w:r>
      <w:r>
        <w:rPr>
          <w:rFonts w:ascii="Times New Roman" w:hAnsi="Times New Roman"/>
          <w:color w:val="000000"/>
          <w:sz w:val="24"/>
        </w:rPr>
        <w:t>shall similarly apply to successive reorganizations, reclassifications, consolidations, mergers, sales or similar transactions.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pPr>
      <w:r>
        <w:rPr>
          <w:rFonts w:ascii="Times New Roman" w:hAnsi="Times New Roman"/>
          <w:color w:val="000000"/>
          <w:sz w:val="24"/>
        </w:rPr>
        <w:t xml:space="preserve">Notwithstanding anything to the contrary contained herein, with respect to any corporate event or other transaction contemplated by this </w:t>
      </w:r>
      <w:r>
        <w:rPr>
          <w:rFonts w:ascii="Times New Roman" w:hAnsi="Times New Roman"/>
          <w:b/>
          <w:color w:val="000000"/>
          <w:sz w:val="24"/>
        </w:rPr>
        <w:t>Section 4(b)</w:t>
      </w:r>
      <w:r>
        <w:rPr>
          <w:rFonts w:ascii="Times New Roman" w:hAnsi="Times New Roman"/>
          <w:color w:val="000000"/>
          <w:sz w:val="24"/>
        </w:rPr>
        <w:t xml:space="preserve">, the Holder shall have the right to elect, prior to the consummation of such event or transaction, to exercise its rights under </w:t>
      </w:r>
      <w:r>
        <w:rPr>
          <w:rFonts w:ascii="Times New Roman" w:hAnsi="Times New Roman"/>
          <w:b/>
          <w:color w:val="000000"/>
          <w:sz w:val="24"/>
        </w:rPr>
        <w:t>Section 2</w:t>
      </w:r>
      <w:r>
        <w:rPr>
          <w:color w:val="000000"/>
        </w:rPr>
        <w:t xml:space="preserve"> </w:t>
      </w:r>
      <w:r>
        <w:rPr>
          <w:rFonts w:ascii="Times New Roman" w:hAnsi="Times New Roman"/>
          <w:color w:val="000000"/>
          <w:sz w:val="24"/>
        </w:rPr>
        <w:t xml:space="preserve">instead of giving effect to </w:t>
      </w:r>
      <w:r>
        <w:rPr>
          <w:rFonts w:ascii="Times New Roman" w:hAnsi="Times New Roman"/>
          <w:b/>
          <w:color w:val="000000"/>
          <w:sz w:val="24"/>
        </w:rPr>
        <w:t>Section 4(b)(i)</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b/>
          <w:color w:val="000000"/>
          <w:sz w:val="24"/>
        </w:rPr>
        <w:t>Certain Events</w:t>
      </w:r>
      <w:r>
        <w:rPr>
          <w:rFonts w:ascii="Times New Roman" w:hAnsi="Times New Roman"/>
          <w:color w:val="000000"/>
          <w:sz w:val="24"/>
        </w:rPr>
        <w:t xml:space="preserve">. If any event of the type contemplated by the provisions of this </w:t>
      </w:r>
      <w:r>
        <w:rPr>
          <w:rFonts w:ascii="Times New Roman" w:hAnsi="Times New Roman"/>
          <w:b/>
          <w:color w:val="000000"/>
          <w:sz w:val="24"/>
        </w:rPr>
        <w:t>Section 4</w:t>
      </w:r>
      <w:r>
        <w:rPr>
          <w:color w:val="000000"/>
        </w:rPr>
        <w:t xml:space="preserve"> </w:t>
      </w:r>
      <w:r>
        <w:rPr>
          <w:rFonts w:ascii="Times New Roman" w:hAnsi="Times New Roman"/>
          <w:color w:val="000000"/>
          <w:sz w:val="24"/>
        </w:rPr>
        <w:t xml:space="preserve">but not expressly provided for by such provisions (including, without limitation, the granting of stock appreciation rights, phantom stock rights or other rights with equity features) occurs, then the Board shall make an appropriate adjustment in the number of Warrant Shares issuable upon exercise of this Warrant Certificate so as to protect the rights of the Holder in a manner consistent with the provisions of this </w:t>
      </w:r>
      <w:r>
        <w:rPr>
          <w:rFonts w:ascii="Times New Roman" w:hAnsi="Times New Roman"/>
          <w:b/>
          <w:color w:val="000000"/>
          <w:sz w:val="24"/>
        </w:rPr>
        <w:t>Section 4</w:t>
      </w:r>
      <w:r>
        <w:rPr>
          <w:rFonts w:ascii="Times New Roman" w:hAnsi="Times New Roman"/>
          <w:color w:val="000000"/>
          <w:sz w:val="24"/>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no such adjustment pursuant to this </w:t>
      </w:r>
      <w:r>
        <w:rPr>
          <w:rFonts w:ascii="Times New Roman" w:hAnsi="Times New Roman"/>
          <w:b/>
          <w:color w:val="000000"/>
          <w:sz w:val="24"/>
        </w:rPr>
        <w:t>Section 4(c)</w:t>
      </w:r>
      <w:r>
        <w:rPr>
          <w:color w:val="000000"/>
        </w:rPr>
        <w:t xml:space="preserve"> </w:t>
      </w:r>
      <w:r>
        <w:rPr>
          <w:rFonts w:ascii="Times New Roman" w:hAnsi="Times New Roman"/>
          <w:color w:val="000000"/>
          <w:sz w:val="24"/>
        </w:rPr>
        <w:t xml:space="preserve">shall decrease the number of Warrant Shares issuable hereunder as otherwise determined pursuant to this </w:t>
      </w:r>
      <w:r>
        <w:rPr>
          <w:rFonts w:ascii="Times New Roman" w:hAnsi="Times New Roman"/>
          <w:b/>
          <w:color w:val="000000"/>
          <w:sz w:val="24"/>
        </w:rPr>
        <w:t>Section 4</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b/>
          <w:color w:val="000000"/>
          <w:sz w:val="24"/>
        </w:rPr>
        <w:t>Certificate as to Adjustment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promptly as reasonably practicable following any adjustment of the number of Warrant Shares issuable upon exercise of this Warrant Certificate, but in any event not later than three Business Days thereafter, the Company shall furnish to the Holder a certificate of an executive officer setting forth in reasonable detail such adjustment and the facts upon which it is based and certifying the calculation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As promptly as reasonably practicable following the receipt by the Company of a written request by the Holder, but in any event not later than three Business Days thereafter, the Company shall furnish to the Holder a certificate of an executive officer certifying the number of Warrant Shares for which this Warrant Certificate is exercisable, or the amount, if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any, of other shares of stock, securities or assets then issuable upon exercise of this Warrant Certificate.</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b/>
          <w:color w:val="000000"/>
          <w:sz w:val="24"/>
        </w:rPr>
        <w:t>Notices</w:t>
      </w:r>
      <w:r>
        <w:rPr>
          <w:rFonts w:ascii="Times New Roman" w:hAnsi="Times New Roman"/>
          <w:color w:val="000000"/>
          <w:sz w:val="24"/>
        </w:rPr>
        <w:t>. In the event that the Company shall take a record of the holders of its Common Stock (or other capital stock or securities at the time issuable upon exercise of this Warrant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approving or enabling any capital reorganization of the Company, any reclassification of the Common Stock of the Company or any Fundamental Change;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then, and in each such case, the Company shall send or cause to be sent to the Holder at least thirty (30) days prior to the applicable record date or the applicable expected effective date, as the case may be, for the event, a written notice specifying, as the case may be, (A) the record date for such dividend, distribution, meeting or consent or other right or action, and a description of such dividend, distribution or other right or action to be taken at such meeting or by written consent, or (B) the effective date on which such Fundamental Change is proposed to take place, and the date, if any is to be fixed, as of which the books of the Company shall close or a record shall be taken with respect to which the holders of record of Common Stock (or such other capital stock or securities at the time issuable upon exercise of this Warrant Certificate) shall be entitled to exchange their shares of Common Stock (or such other capital stock or securities) for securities or other property deliverable upon such Fundamental Change, and the amount per share and character of such exchange applicable to this Warrant Certificate and the Warrant Shares.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5.</w:t>
      </w:r>
    </w:p>
    <w:p>
      <w:pPr>
        <w:pStyle w:val="TextBody"/>
        <w:bidi w:val="0"/>
        <w:spacing w:before="0" w:after="240"/>
        <w:jc w:val="left"/>
        <w:rPr/>
      </w:pPr>
      <w:r>
        <w:rPr>
          <w:rFonts w:ascii="Times New Roman" w:hAnsi="Times New Roman"/>
          <w:b/>
          <w:color w:val="000000"/>
          <w:sz w:val="24"/>
        </w:rPr>
        <w:t>Purchase Rights</w:t>
      </w:r>
      <w:r>
        <w:rPr>
          <w:rFonts w:ascii="Times New Roman" w:hAnsi="Times New Roman"/>
          <w:color w:val="000000"/>
          <w:sz w:val="24"/>
        </w:rPr>
        <w:t xml:space="preserve">. In addition to any adjustments pursuant to </w:t>
      </w:r>
      <w:r>
        <w:rPr>
          <w:rFonts w:ascii="Times New Roman" w:hAnsi="Times New Roman"/>
          <w:b/>
          <w:color w:val="000000"/>
          <w:sz w:val="24"/>
        </w:rPr>
        <w:t>Section 4</w:t>
      </w:r>
      <w:r>
        <w:rPr>
          <w:rFonts w:ascii="Times New Roman" w:hAnsi="Times New Roman"/>
          <w:color w:val="000000"/>
          <w:sz w:val="24"/>
        </w:rPr>
        <w:t xml:space="preserve">, if at any time the Company grants, issues or sells any shares of Common Stock or rights to purchase capital stock, securities or other property </w:t>
      </w:r>
      <w:r>
        <w:rPr>
          <w:rFonts w:ascii="Times New Roman" w:hAnsi="Times New Roman"/>
          <w:i/>
          <w:color w:val="000000"/>
          <w:sz w:val="24"/>
        </w:rPr>
        <w:t>pro rata</w:t>
      </w:r>
      <w:r>
        <w:rPr>
          <w:color w:val="000000"/>
        </w:rPr>
        <w:t xml:space="preserve"> </w:t>
      </w:r>
      <w:r>
        <w:rPr>
          <w:rFonts w:ascii="Times New Roman" w:hAnsi="Times New Roman"/>
          <w:color w:val="000000"/>
          <w:sz w:val="24"/>
        </w:rPr>
        <w:t>to the record holders of Common Stock (the “</w:t>
      </w:r>
      <w:r>
        <w:rPr>
          <w:rFonts w:ascii="Times New Roman" w:hAnsi="Times New Roman"/>
          <w:b/>
          <w:i/>
          <w:color w:val="000000"/>
          <w:sz w:val="24"/>
        </w:rPr>
        <w:t>Purchase Rights</w:t>
      </w:r>
      <w:r>
        <w:rPr>
          <w:color w:val="000000"/>
        </w:rPr>
        <w:t>”</w:t>
      </w:r>
      <w:r>
        <w:rPr>
          <w:rFonts w:ascii="Times New Roman" w:hAnsi="Times New Roman"/>
          <w:color w:val="000000"/>
          <w:sz w:val="24"/>
        </w:rPr>
        <w:t>), then the Holder shall be entitled (but not required) to acquire, upon the same terms applicable to such Purchase Rights, the aggregate Purchase Rights which the Holder would have acquired if the Holder had held the number of Warrant Shares acquirable upon complete exercise of this Warrant Certificate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6.</w:t>
      </w:r>
    </w:p>
    <w:p>
      <w:pPr>
        <w:pStyle w:val="TextBody"/>
        <w:bidi w:val="0"/>
        <w:spacing w:before="0" w:after="240"/>
        <w:jc w:val="left"/>
        <w:rPr/>
      </w:pPr>
      <w:r>
        <w:rPr>
          <w:rFonts w:ascii="Times New Roman" w:hAnsi="Times New Roman"/>
          <w:b/>
          <w:color w:val="000000"/>
          <w:sz w:val="24"/>
        </w:rPr>
        <w:t>Registration Rights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b/>
          <w:color w:val="000000"/>
          <w:sz w:val="24"/>
        </w:rPr>
        <w:t xml:space="preserve">Piggyback Registration Rights. </w:t>
      </w:r>
      <w:r>
        <w:rPr>
          <w:rFonts w:ascii="Times New Roman" w:hAnsi="Times New Roman"/>
          <w:color w:val="000000"/>
          <w:sz w:val="24"/>
        </w:rPr>
        <w:t xml:space="preserve">If the Company proposes to register (including, for this purpose, a registration effected by the Company for stockholders other than the Holders) any of its securities, the Company shall, at such time, promptly give the Holder notice of such registration. Upon the request of the Holder given within twenty (20) days after such notice is given by the Company, the Company shall cause to be registered all of the Warrant Shares that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 xml:space="preserve">the Holder has requested to be included in such registration. The Company shall have the right to terminate or withdraw any registration initiated by it under this </w:t>
      </w:r>
      <w:r>
        <w:rPr>
          <w:rFonts w:ascii="Times New Roman" w:hAnsi="Times New Roman"/>
          <w:b/>
          <w:color w:val="000000"/>
          <w:sz w:val="24"/>
        </w:rPr>
        <w:t xml:space="preserve">Section 6(a) </w:t>
      </w:r>
      <w:r>
        <w:rPr>
          <w:rFonts w:ascii="Times New Roman" w:hAnsi="Times New Roman"/>
          <w:color w:val="000000"/>
          <w:sz w:val="24"/>
        </w:rPr>
        <w:t>before the effective date of such registration, whether or not the Holder has elected to include Warrant Shares in such registration.</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b/>
          <w:color w:val="000000"/>
          <w:sz w:val="24"/>
        </w:rPr>
        <w:t xml:space="preserve">Shelf Registration. </w:t>
      </w:r>
      <w:r>
        <w:rPr>
          <w:rFonts w:ascii="Times New Roman" w:hAnsi="Times New Roman"/>
          <w:color w:val="000000"/>
          <w:sz w:val="24"/>
        </w:rPr>
        <w:t xml:space="preserve">In addition to the rights set forth in </w:t>
      </w:r>
      <w:r>
        <w:rPr>
          <w:rFonts w:ascii="Times New Roman" w:hAnsi="Times New Roman"/>
          <w:b/>
          <w:color w:val="000000"/>
          <w:sz w:val="24"/>
        </w:rPr>
        <w:t>Section 6(a),</w:t>
      </w:r>
      <w:r>
        <w:rPr>
          <w:color w:val="000000"/>
        </w:rPr>
        <w:t xml:space="preserve"> </w:t>
      </w:r>
      <w:r>
        <w:rPr>
          <w:rFonts w:ascii="Times New Roman" w:hAnsi="Times New Roman"/>
          <w:color w:val="000000"/>
          <w:sz w:val="24"/>
        </w:rPr>
        <w:t>on or prior to the date ninety (90) days after the Issue Date (the “</w:t>
      </w:r>
      <w:r>
        <w:rPr>
          <w:rFonts w:ascii="Times New Roman" w:hAnsi="Times New Roman"/>
          <w:b/>
          <w:i/>
          <w:color w:val="000000"/>
          <w:sz w:val="24"/>
        </w:rPr>
        <w:t>Filing Date</w:t>
      </w:r>
      <w:r>
        <w:rPr>
          <w:color w:val="000000"/>
        </w:rPr>
        <w:t>”</w:t>
      </w:r>
      <w:r>
        <w:rPr>
          <w:rFonts w:ascii="Times New Roman" w:hAnsi="Times New Roman"/>
          <w:color w:val="000000"/>
          <w:sz w:val="24"/>
        </w:rPr>
        <w:t xml:space="preserve">), the Company shall prepare and file with the SEC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The Company shall use its reasonable best efforts to cause a Registration Statement filed pursuant to this </w:t>
      </w:r>
      <w:r>
        <w:rPr>
          <w:rFonts w:ascii="Times New Roman" w:hAnsi="Times New Roman"/>
          <w:b/>
          <w:color w:val="000000"/>
          <w:sz w:val="24"/>
        </w:rPr>
        <w:t>Section 6(b)</w:t>
      </w:r>
      <w:r>
        <w:rPr>
          <w:color w:val="000000"/>
        </w:rPr>
        <w:t xml:space="preserve"> </w:t>
      </w:r>
      <w:r>
        <w:rPr>
          <w:rFonts w:ascii="Times New Roman" w:hAnsi="Times New Roman"/>
          <w:color w:val="000000"/>
          <w:sz w:val="24"/>
        </w:rPr>
        <w:t xml:space="preserve">to be declared effective under the Securities Act as promptly as possible after the filing thereof, but in any event no later than the Effectiveness Date, and shall use its best efforts to keep such Registration Statement continuously effective under the Securities Act until the date that the Holder no longer owns any Registrable Securities (including underlying this Warrant Certificate).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b/>
          <w:color w:val="000000"/>
          <w:sz w:val="24"/>
        </w:rPr>
        <w:t>Company Obligations; Cooperation</w:t>
      </w:r>
      <w:r>
        <w:rPr>
          <w:rFonts w:ascii="Times New Roman" w:hAnsi="Times New Roman"/>
          <w:color w:val="000000"/>
          <w:sz w:val="24"/>
        </w:rPr>
        <w:t xml:space="preserve">. With respect to any Registration Statement covering any Warrant Shares, the Company shall be responsible for preparing and filing the Registration Statement, keeping such Registration Statement effective for a reasonable amount of time, preparing amendments and supplements to such Registration Statement, entering into a customary underwriting agreement with respect to such registration (if applicable), and complying with all other legal and regulatory requirements relating to such Registration Statement. The Holder shall reasonably cooperate with the Company with respect to the preparation and filing of any Registration Statement pursuant to which any of its Registrable Securities shall be registered. All expenses associated with a registration under this </w:t>
      </w:r>
      <w:r>
        <w:rPr>
          <w:rFonts w:ascii="Times New Roman" w:hAnsi="Times New Roman"/>
          <w:b/>
          <w:color w:val="000000"/>
          <w:sz w:val="24"/>
        </w:rPr>
        <w:t xml:space="preserve">Section 6 </w:t>
      </w:r>
      <w:r>
        <w:rPr>
          <w:rFonts w:ascii="Times New Roman" w:hAnsi="Times New Roman"/>
          <w:color w:val="000000"/>
          <w:sz w:val="24"/>
        </w:rPr>
        <w:t>shall be borne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Indemnification.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color w:val="000000"/>
          <w:sz w:val="24"/>
        </w:rPr>
        <w:t xml:space="preserve">To the extent permitted by law, the Company will indemnify and hold harmless the Holder, and the partners, members, officers, directors, and stockholders of the Holder; legal counsel and accountants for the Holder; any underwriter (as defined in the Securities Act) for the Holder; and each Person, if any, who controls the Holder or underwriter within the meaning of the Securities Act or the Exchange Act, against any loss, damage, claim or liability, and the Company will pay to each such Holder, underwriter, controlling Person, or other aforementioned Person any legal or other expenses reasonably incurred thereby in connection with investigating or defending any claim or proceeding from which any loss, damage, claim or liability may result, as such expenses are incurred;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indemnity agreement contained in this </w:t>
      </w:r>
      <w:r>
        <w:rPr>
          <w:rFonts w:ascii="Times New Roman" w:hAnsi="Times New Roman"/>
          <w:b/>
          <w:color w:val="000000"/>
          <w:sz w:val="24"/>
        </w:rPr>
        <w:t>Section 6(d)(i)</w:t>
      </w:r>
      <w:r>
        <w:rPr>
          <w:color w:val="000000"/>
        </w:rPr>
        <w:t xml:space="preserve"> </w:t>
      </w:r>
      <w:r>
        <w:rPr>
          <w:rFonts w:ascii="Times New Roman" w:hAnsi="Times New Roman"/>
          <w:color w:val="000000"/>
          <w:sz w:val="24"/>
        </w:rPr>
        <w:t xml:space="preserve">shall not apply to amounts paid in settlement of any such claim or proceeding if such settlement is effected without the consent of the Company, which consent shall not be unreasonably withheld, nor shall the Company be liable for any loss, damage, claim or liability to the extent arising out of or based upon actions or omissions made in reliance upon and in conformity with written information furnished by or on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behalf of the Holder, underwriter, controlling Person, or other aforementioned Person expressly for use in connection with such registration.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pPr>
      <w:r>
        <w:rPr>
          <w:rFonts w:ascii="Times New Roman" w:hAnsi="Times New Roman"/>
          <w:color w:val="000000"/>
          <w:sz w:val="24"/>
        </w:rPr>
        <w:t xml:space="preserve">To the extent permitted by law, the Holder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Person selling securities in such registration statement, and any controlling Person of any such underwriter or other Person, against any loss, damage, claim or liability, in each case only to the extent that such loss, damage, claim or liability arises out of or is based upon actions or omissions made in reliance upon and in conformity with written information furnished by or on behalf of the Holder expressly for use in connection with such registration; and the Holder will pay to the Company and each other aforementioned Person any legal or other expenses reasonably incurred thereby in connection with investigating or defending any claim or proceeding from which loss, damage, claim or liability may result, as such expenses are incurred;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indemnity agreement contained in this </w:t>
      </w:r>
      <w:r>
        <w:rPr>
          <w:rFonts w:ascii="Times New Roman" w:hAnsi="Times New Roman"/>
          <w:b/>
          <w:color w:val="000000"/>
          <w:sz w:val="24"/>
        </w:rPr>
        <w:t>Section 6(d)(ii)</w:t>
      </w:r>
      <w:r>
        <w:rPr>
          <w:color w:val="000000"/>
        </w:rPr>
        <w:t xml:space="preserve"> </w:t>
      </w:r>
      <w:r>
        <w:rPr>
          <w:rFonts w:ascii="Times New Roman" w:hAnsi="Times New Roman"/>
          <w:color w:val="000000"/>
          <w:sz w:val="24"/>
        </w:rPr>
        <w:t xml:space="preserve">shall not apply to amounts paid in settlement of any such claim or proceeding if such settlement is effected without the consent of the Holder, which consent shall not be unreasonably withheld; and </w:t>
      </w:r>
      <w:r>
        <w:rPr>
          <w:rFonts w:ascii="Times New Roman" w:hAnsi="Times New Roman"/>
          <w:color w:val="000000"/>
          <w:sz w:val="24"/>
          <w:u w:val="single"/>
        </w:rPr>
        <w:t>provided</w:t>
      </w:r>
      <w:r>
        <w:rPr>
          <w:color w:val="000000"/>
        </w:rPr>
        <w:t xml:space="preserve"> </w:t>
      </w:r>
      <w:r>
        <w:rPr>
          <w:rFonts w:ascii="Times New Roman" w:hAnsi="Times New Roman"/>
          <w:color w:val="000000"/>
          <w:sz w:val="24"/>
          <w:u w:val="single"/>
        </w:rPr>
        <w:t>further</w:t>
      </w:r>
      <w:r>
        <w:rPr>
          <w:color w:val="000000"/>
        </w:rPr>
        <w:t xml:space="preserve"> </w:t>
      </w:r>
      <w:r>
        <w:rPr>
          <w:rFonts w:ascii="Times New Roman" w:hAnsi="Times New Roman"/>
          <w:color w:val="000000"/>
          <w:sz w:val="24"/>
        </w:rPr>
        <w:t xml:space="preserve">that in no event shall the aggregate amounts payable by the Holder by way of indemnity or contribution under this </w:t>
      </w:r>
      <w:r>
        <w:rPr>
          <w:rFonts w:ascii="Times New Roman" w:hAnsi="Times New Roman"/>
          <w:b/>
          <w:color w:val="000000"/>
          <w:sz w:val="24"/>
        </w:rPr>
        <w:t>Section 6(d)</w:t>
      </w:r>
      <w:r>
        <w:rPr>
          <w:color w:val="000000"/>
        </w:rPr>
        <w:t xml:space="preserve"> </w:t>
      </w:r>
      <w:r>
        <w:rPr>
          <w:rFonts w:ascii="Times New Roman" w:hAnsi="Times New Roman"/>
          <w:color w:val="000000"/>
          <w:sz w:val="24"/>
        </w:rPr>
        <w:t>exceed the proceeds from the offering received by the Holder (net of expenses), except in the case of fraud or willful misconduct by the Holder.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b/>
          <w:color w:val="000000"/>
          <w:sz w:val="24"/>
        </w:rPr>
        <w:t>Rule 144 Reporting</w:t>
      </w:r>
      <w:r>
        <w:rPr>
          <w:rFonts w:ascii="Times New Roman" w:hAnsi="Times New Roman"/>
          <w:color w:val="000000"/>
          <w:sz w:val="24"/>
        </w:rPr>
        <w:t>. With a view to making available to the Holder the benefits of Rule 144 and any other rule or regulation of the SEC that may at any time permit the Holder to sell securities of the Company to the public without registration or pursuant to a registration on Form S</w:t>
        <w:noBreakHyphen/>
        <w:t>3, the Company shall: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color w:val="000000"/>
          <w:sz w:val="24"/>
        </w:rPr>
        <w:t>make and keep available adequate current</w:t>
      </w:r>
      <w:r>
        <w:rPr>
          <w:color w:val="000000"/>
          <w:u w:val="single"/>
        </w:rPr>
        <w:t xml:space="preserve"> </w:t>
      </w:r>
      <w:r>
        <w:rPr>
          <w:rFonts w:ascii="Times New Roman" w:hAnsi="Times New Roman"/>
          <w:color w:val="000000"/>
          <w:sz w:val="24"/>
        </w:rPr>
        <w:t>public information, as those terms are understood and defined in Rule 144, at all times after the effective date of the registration statement filed by the Company for its initial public offering;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furnish to the Holder, so long as the Holder owns any Registrable Securities, forthwith upon request (A) to the extent accurate,</w:t>
      </w:r>
      <w:r>
        <w:rPr>
          <w:color w:val="000000"/>
          <w:u w:val="single"/>
        </w:rPr>
        <w:t xml:space="preserve"> </w:t>
      </w:r>
      <w:r>
        <w:rPr>
          <w:rFonts w:ascii="Times New Roman" w:hAnsi="Times New Roman"/>
          <w:color w:val="000000"/>
          <w:sz w:val="24"/>
        </w:rPr>
        <w:t>a written statement by the Company that it qualifies as a registrant whose securities may be resold pursuant to Form S</w:t>
        <w:noBreakHyphen/>
        <w:t>3; and (B) such other information as may be reasonably requested in availing the Holder of any rule or regulation of the SEC that permits the selling of any such securities without registration or pursuant to Form S</w:t>
        <w:noBreakHyphen/>
        <w:t>3.</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7.</w:t>
      </w:r>
    </w:p>
    <w:p>
      <w:pPr>
        <w:pStyle w:val="TextBody"/>
        <w:bidi w:val="0"/>
        <w:spacing w:before="0" w:after="240"/>
        <w:jc w:val="left"/>
        <w:rPr/>
      </w:pPr>
      <w:r>
        <w:rPr>
          <w:rFonts w:ascii="Times New Roman" w:hAnsi="Times New Roman"/>
          <w:b/>
          <w:color w:val="000000"/>
          <w:sz w:val="24"/>
        </w:rPr>
        <w:t>Warrant Register</w:t>
      </w:r>
      <w:r>
        <w:rPr>
          <w:rFonts w:ascii="Times New Roman" w:hAnsi="Times New Roman"/>
          <w:color w:val="000000"/>
          <w:sz w:val="24"/>
        </w:rPr>
        <w:t>. The Company shall keep and properly maintain at its principal executive offices a register (the “</w:t>
      </w:r>
      <w:r>
        <w:rPr>
          <w:rFonts w:ascii="Times New Roman" w:hAnsi="Times New Roman"/>
          <w:b/>
          <w:i/>
          <w:color w:val="000000"/>
          <w:sz w:val="24"/>
        </w:rPr>
        <w:t>Warrant Register</w:t>
      </w:r>
      <w:r>
        <w:rPr>
          <w:color w:val="000000"/>
        </w:rPr>
        <w:t>”</w:t>
      </w:r>
      <w:r>
        <w:rPr>
          <w:rFonts w:ascii="Times New Roman" w:hAnsi="Times New Roman"/>
          <w:color w:val="000000"/>
          <w:sz w:val="24"/>
        </w:rPr>
        <w:t xml:space="preserve">) for the registration of this Warrant Certificate and any transfers thereof. The Company may deem and treat the Person in whose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name this Warrant Certificate is registered on such register as the Holder thereof for all purposes, and the Company shall not be affected by any notice to the contrary, except any assignment, division, combination or other transfer of this Warrant Certificate effected in accordance with the provisions of this Warrant Certificate.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8.</w:t>
      </w:r>
    </w:p>
    <w:p>
      <w:pPr>
        <w:pStyle w:val="TextBody"/>
        <w:bidi w:val="0"/>
        <w:spacing w:before="0" w:after="240"/>
        <w:jc w:val="left"/>
        <w:rPr/>
      </w:pPr>
      <w:r>
        <w:rPr>
          <w:rFonts w:ascii="Times New Roman" w:hAnsi="Times New Roman"/>
          <w:b/>
          <w:color w:val="000000"/>
          <w:sz w:val="24"/>
        </w:rPr>
        <w:t>Transfer of Warrant Certificate</w:t>
      </w:r>
      <w:r>
        <w:rPr>
          <w:rFonts w:ascii="Times New Roman" w:hAnsi="Times New Roman"/>
          <w:color w:val="000000"/>
          <w:sz w:val="24"/>
        </w:rPr>
        <w:t xml:space="preserve">. Subject to </w:t>
      </w:r>
      <w:r>
        <w:rPr>
          <w:rFonts w:ascii="Times New Roman" w:hAnsi="Times New Roman"/>
          <w:b/>
          <w:color w:val="000000"/>
          <w:sz w:val="24"/>
        </w:rPr>
        <w:t>Section 12</w:t>
      </w:r>
      <w:r>
        <w:rPr>
          <w:color w:val="000000"/>
        </w:rPr>
        <w:t xml:space="preserve"> </w:t>
      </w:r>
      <w:r>
        <w:rPr>
          <w:rFonts w:ascii="Times New Roman" w:hAnsi="Times New Roman"/>
          <w:color w:val="000000"/>
          <w:sz w:val="24"/>
        </w:rPr>
        <w:t xml:space="preserve">hereof, this Warrant Certificate and all rights hereunder are transferable, in whole or in part, by the Holder without charge to the Holder, upon surrender of this Warrant Certificate to the Company at its then principal executive offices with a properly completed and duly executed Assignment in the form attached hereto as </w:t>
      </w:r>
      <w:r>
        <w:rPr>
          <w:rFonts w:ascii="Times New Roman" w:hAnsi="Times New Roman"/>
          <w:b/>
          <w:color w:val="000000"/>
          <w:sz w:val="24"/>
        </w:rPr>
        <w:t>Exhibit B</w:t>
      </w:r>
      <w:r>
        <w:rPr>
          <w:rFonts w:ascii="Times New Roman" w:hAnsi="Times New Roman"/>
          <w:color w:val="000000"/>
          <w:sz w:val="24"/>
        </w:rPr>
        <w:t xml:space="preserve">. Upon such compliance, surrender and delivery, the Company shall execute and deliver a new Warrant Certificate or Warrant Certificates in the name of the assignee or assignees and in the denominations specified in such instrument of assignment, and shall issue to the assignor a new Warrant Certificate evidencing the portion of this Warrant Certificate, if any, not so assigned and this Warrant Certificate shall promptly be cancelled.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9.</w:t>
      </w:r>
    </w:p>
    <w:p>
      <w:pPr>
        <w:pStyle w:val="TextBody"/>
        <w:bidi w:val="0"/>
        <w:spacing w:before="0" w:after="240"/>
        <w:jc w:val="left"/>
        <w:rPr/>
      </w:pPr>
      <w:r>
        <w:rPr>
          <w:rFonts w:ascii="Times New Roman" w:hAnsi="Times New Roman"/>
          <w:b/>
          <w:color w:val="000000"/>
          <w:sz w:val="24"/>
        </w:rPr>
        <w:t>The Holder Not Deemed a Stockholder; Limitations on Liability</w:t>
      </w:r>
      <w:r>
        <w:rPr>
          <w:rFonts w:ascii="Times New Roman" w:hAnsi="Times New Roman"/>
          <w:color w:val="000000"/>
          <w:sz w:val="24"/>
        </w:rPr>
        <w:t xml:space="preserve">. Except as otherwise specifically provided herein, prior to the issuance to the Holder of the Warrant Shares to which the Holder is then entitled to receive upon the due exercise of this Warrant Certificate, the Holder shall not be entitled to vote or receive dividends or be deemed the holder of shares of capital stock of the Company for any purpose, nor shall anything contained in this Warrant Certificate be construed to confer upon the Holder,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In addition, nothing contained in this Warrant Certificate shall be construed as imposing any liabilities on the Holder to purchase any securities (upon exercise of this Warrant Certificate or otherwise) or as a stockholder of the Company, whether such liabilities are asserted by the Company or by creditors of the Company. Notwithstanding this </w:t>
      </w:r>
      <w:r>
        <w:rPr>
          <w:rFonts w:ascii="Times New Roman" w:hAnsi="Times New Roman"/>
          <w:b/>
          <w:color w:val="000000"/>
          <w:sz w:val="24"/>
        </w:rPr>
        <w:t>Section 9</w:t>
      </w:r>
      <w:r>
        <w:rPr>
          <w:rFonts w:ascii="Times New Roman" w:hAnsi="Times New Roman"/>
          <w:color w:val="000000"/>
          <w:sz w:val="24"/>
        </w:rPr>
        <w:t>, the Company shall provide the Holder with copies of the same notices and other information given to the stockholders of the Company generally, contemporaneously with the giving thereof to the stockholders.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10.</w:t>
      </w:r>
    </w:p>
    <w:p>
      <w:pPr>
        <w:pStyle w:val="TextBody"/>
        <w:bidi w:val="0"/>
        <w:spacing w:before="0" w:after="240"/>
        <w:jc w:val="left"/>
        <w:rPr/>
      </w:pPr>
      <w:r>
        <w:rPr>
          <w:rFonts w:ascii="Times New Roman" w:hAnsi="Times New Roman"/>
          <w:b/>
          <w:color w:val="000000"/>
          <w:sz w:val="24"/>
        </w:rPr>
        <w:t>Replacement on Loss; Division and Combination</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b/>
          <w:color w:val="000000"/>
          <w:sz w:val="24"/>
        </w:rPr>
        <w:t>Replacement of Warrant Certificate</w:t>
      </w:r>
      <w:r>
        <w:rPr>
          <w:color w:val="000000"/>
        </w:rPr>
        <w:t xml:space="preserve"> </w:t>
      </w:r>
      <w:r>
        <w:rPr>
          <w:rFonts w:ascii="Times New Roman" w:hAnsi="Times New Roman"/>
          <w:b/>
          <w:color w:val="000000"/>
          <w:sz w:val="24"/>
        </w:rPr>
        <w:t>on Loss</w:t>
      </w:r>
      <w:r>
        <w:rPr>
          <w:rFonts w:ascii="Times New Roman" w:hAnsi="Times New Roman"/>
          <w:color w:val="000000"/>
          <w:sz w:val="24"/>
        </w:rPr>
        <w:t xml:space="preserve">. Upon receipt of evidence reasonably satisfactory to the Company of the loss, theft, destruction or mutilation of this Warrant Certificate and upon delivery of an indemnity reasonably satisfactory to it (it being understood that a written indemnification agreement or affidavit of loss of the Holder shall be a sufficient indemnity) and, in case of mutilation, upon surrender of such Warrant Certificate for cancellation to the Company, the Company at its own expense shall execute and deliver to the Holder, in lieu hereof, a new Warrant Certificate of like tenor and exercisable for an equivalent number of Warrant Shares as this Warrant Certificate so lost, stolen, mutilated or destroyed;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in the case of mutilation, no indemnity shall be required if this Warrant Certificate in identifiable form is surrendered to the Company for cancellation.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b/>
          <w:color w:val="000000"/>
          <w:sz w:val="24"/>
        </w:rPr>
        <w:t>Division and Combination of Warrant Certificate</w:t>
      </w:r>
      <w:r>
        <w:rPr>
          <w:rFonts w:ascii="Times New Roman" w:hAnsi="Times New Roman"/>
          <w:color w:val="000000"/>
          <w:sz w:val="24"/>
        </w:rPr>
        <w:t xml:space="preserve">. Subject to compliance with the applicable provisions of this Warrant Certificate as to any transfer or other assignment which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may be involved in such division or combination, this Warrant Certificate may be divided or, following any such division of this Warrant Certificate, subsequently combined with other Warrant Certificates, upon the surrender of this Warrant Certificate or Warrant Certificates to the Company at its then principal executive offices, together with a written notice specifying the names and denominations in which new Warrant Certificates are to be issued, signed by the respective Holders or their agents or attorneys. Subject to compliance with the applicable provisions of this Warrant Certificate as to any transfer or assignment which may be involved in such division or combination, the Company shall at its own expense execute and deliver a new Warrant Certificate or Warrant Certificates in exchange for this Warrant Certificate or Warrant Certificates so surrendered in accordance with such notice. Such new Warrant Certificate or Warrant Certificates shall be of like tenor to the surrendered Warrant Certificate or Warrant Certificates and shall be exercisable in the aggregate for an equivalent number of Warrant Shares as this Warrant Certificate or Warrant Certificates so surrendered in accordance with such notice.</w:t>
      </w:r>
      <w:r>
        <w:rPr>
          <w:color w:val="00000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11.</w:t>
      </w:r>
    </w:p>
    <w:p>
      <w:pPr>
        <w:pStyle w:val="TextBody"/>
        <w:bidi w:val="0"/>
        <w:spacing w:before="0" w:after="240"/>
        <w:jc w:val="left"/>
        <w:rPr/>
      </w:pPr>
      <w:r>
        <w:rPr>
          <w:rFonts w:ascii="Times New Roman" w:hAnsi="Times New Roman"/>
          <w:b/>
          <w:color w:val="000000"/>
          <w:sz w:val="24"/>
        </w:rPr>
        <w:t>No Impairment</w:t>
      </w:r>
      <w:r>
        <w:rPr>
          <w:rFonts w:ascii="Times New Roman" w:hAnsi="Times New Roman"/>
          <w:color w:val="000000"/>
          <w:sz w:val="24"/>
        </w:rPr>
        <w:t>. The Company shall not, by amendment of its Charter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Certificate and in the taking of all such action as may reasonably be requested by the Holder in order to protect the exercise rights of the Holder against dilution or other impairment, consistent with the tenor and purpose of this Warrant Certificate.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12.</w:t>
      </w:r>
    </w:p>
    <w:p>
      <w:pPr>
        <w:pStyle w:val="TextBody"/>
        <w:bidi w:val="0"/>
        <w:spacing w:before="0" w:after="240"/>
        <w:jc w:val="left"/>
        <w:rPr/>
      </w:pPr>
      <w:r>
        <w:rPr>
          <w:rFonts w:ascii="Times New Roman" w:hAnsi="Times New Roman"/>
          <w:b/>
          <w:color w:val="000000"/>
          <w:sz w:val="24"/>
        </w:rPr>
        <w:t>Compliance with the Securities Act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b/>
          <w:color w:val="000000"/>
          <w:sz w:val="24"/>
        </w:rPr>
        <w:t>Agreement to Comply with the Securities Act, etc.</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b/>
          <w:color w:val="000000"/>
          <w:sz w:val="24"/>
        </w:rPr>
        <w:t>Legend</w:t>
      </w:r>
      <w:r>
        <w:rPr>
          <w:rFonts w:ascii="Times New Roman" w:hAnsi="Times New Roman"/>
          <w:color w:val="000000"/>
          <w:sz w:val="24"/>
        </w:rPr>
        <w:t xml:space="preserve">. The Holder, by acceptance of this Warrant Certificate, agrees to comply in all respects with the provisions of this </w:t>
      </w:r>
      <w:r>
        <w:rPr>
          <w:rFonts w:ascii="Times New Roman" w:hAnsi="Times New Roman"/>
          <w:b/>
          <w:color w:val="000000"/>
          <w:sz w:val="24"/>
        </w:rPr>
        <w:t>Section 12</w:t>
      </w:r>
      <w:r>
        <w:rPr>
          <w:color w:val="000000"/>
        </w:rPr>
        <w:t xml:space="preserve"> </w:t>
      </w:r>
      <w:r>
        <w:rPr>
          <w:rFonts w:ascii="Times New Roman" w:hAnsi="Times New Roman"/>
          <w:color w:val="000000"/>
          <w:sz w:val="24"/>
        </w:rPr>
        <w:t xml:space="preserve">and the restrictive legend requirements set forth on the face of this Warrant Certificate and further agrees that such Holder shall not offer, sell or otherwise dispose of this Warrant Certificate or any Warrant Shares to be issued upon exercise hereof except under circumstances that will not result in a violation of the Securities Act. Subject to </w:t>
      </w:r>
      <w:r>
        <w:rPr>
          <w:rFonts w:ascii="Times New Roman" w:hAnsi="Times New Roman"/>
          <w:b/>
          <w:color w:val="000000"/>
          <w:sz w:val="24"/>
        </w:rPr>
        <w:t>clause (ii)</w:t>
      </w:r>
      <w:r>
        <w:rPr>
          <w:color w:val="000000"/>
        </w:rPr>
        <w:t xml:space="preserve"> </w:t>
      </w:r>
      <w:r>
        <w:rPr>
          <w:rFonts w:ascii="Times New Roman" w:hAnsi="Times New Roman"/>
          <w:color w:val="000000"/>
          <w:sz w:val="24"/>
        </w:rPr>
        <w:t>below, this Warrant Certificate and all Warrant Shares issued upon exercise of this Warrant Certificate (unless registered under the Securities Act) shall be stamped or imprinted with a legend in substantially the following form:</w:t>
      </w:r>
    </w:p>
    <w:p>
      <w:pPr>
        <w:pStyle w:val="TextBody"/>
        <w:bidi w:val="0"/>
        <w:spacing w:before="0" w:after="240"/>
        <w:jc w:val="both"/>
        <w:rPr/>
      </w:pPr>
      <w:r>
        <w:rPr>
          <w:color w:val="000000"/>
        </w:rPr>
        <w:t>“</w:t>
      </w:r>
      <w:r>
        <w:rPr>
          <w:rFonts w:ascii="Times New Roman" w:hAnsi="Times New Roman"/>
          <w:color w:val="000000"/>
          <w:sz w:val="24"/>
        </w:rPr>
        <w:t xml:space="preserve">THIS WARRANT </w:t>
      </w:r>
      <w:r>
        <w:rPr>
          <w:rFonts w:ascii="Times New Roman" w:hAnsi="Times New Roman"/>
          <w:caps/>
          <w:color w:val="000000"/>
          <w:sz w:val="24"/>
        </w:rPr>
        <w:t>Certificate</w:t>
      </w:r>
      <w:r>
        <w:rPr>
          <w:rFonts w:ascii="Times New Roman" w:hAnsi="Times New Roman"/>
          <w:color w:val="000000"/>
          <w:sz w:val="20"/>
        </w:rPr>
        <w:t xml:space="preserve"> </w:t>
      </w:r>
      <w:r>
        <w:rPr>
          <w:rFonts w:ascii="Times New Roman" w:hAnsi="Times New Roman"/>
          <w:color w:val="000000"/>
          <w:sz w:val="24"/>
        </w:rPr>
        <w:t xml:space="preserve">AND THE SECURITIES ISSUABLE UPON EXERCISE OF THIS WARRANT </w:t>
      </w:r>
      <w:r>
        <w:rPr>
          <w:rFonts w:ascii="Times New Roman" w:hAnsi="Times New Roman"/>
          <w:caps/>
          <w:color w:val="000000"/>
          <w:sz w:val="24"/>
        </w:rPr>
        <w:t>Certificate</w:t>
      </w:r>
      <w:r>
        <w:rPr>
          <w:rFonts w:ascii="Times New Roman" w:hAnsi="Times New Roman"/>
          <w:color w:val="000000"/>
          <w:sz w:val="20"/>
        </w:rPr>
        <w:t xml:space="preserve"> </w:t>
      </w:r>
      <w:r>
        <w:rPr>
          <w:rFonts w:ascii="Times New Roman" w:hAnsi="Times New Roman"/>
          <w:color w:val="000000"/>
          <w:sz w:val="24"/>
        </w:rPr>
        <w:t>HAVE NOT BEEN REGISTERED UNDER THE SECURITIES ACT OF 1933, AS AMENDED (THE “</w:t>
      </w:r>
      <w:r>
        <w:rPr>
          <w:rFonts w:ascii="Times New Roman" w:hAnsi="Times New Roman"/>
          <w:b/>
          <w:i/>
          <w:color w:val="000000"/>
          <w:sz w:val="24"/>
        </w:rPr>
        <w:t>ACT</w:t>
      </w:r>
      <w:r>
        <w:rPr>
          <w:rFonts w:ascii="Times New Roman" w:hAnsi="Times New Roman"/>
          <w:color w:val="000000"/>
          <w:sz w:val="20"/>
        </w:rPr>
        <w:t>”</w:t>
      </w:r>
      <w:r>
        <w:rPr>
          <w:rFonts w:ascii="Times New Roman" w:hAnsi="Times New Roman"/>
          <w:color w:val="000000"/>
          <w:sz w:val="24"/>
        </w:rPr>
        <w:t>), OR QUALIFIED UNDER ANY STATE OR FOREIGN SECURITIES LAWS AND MAY NOT BE OFFERED FOR SALE, SOLD, PLEDGED, HYPOTHECATED OR OTHERWISE TRANSFERRED OR ASSIGNED UNLESS (I) A REGISTRATION STATEMENT COVERING SUCH SHARES IS EFFECTIVE UNDER THE ACT AND IS QUALIFIED UNDER APPLICABLE STATE AND FOREIGN LAW OR (II) THE TRANSACTION IS EXEMPT FROM THE REGISTRATION AND PROSPECTUS DELIVERY REQUIREMENTS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 THE ACT AND THE QUALIFICATION REQUIREMENTS UNDER APPLICABLE STATE AND FOREIGN LAW AND, IF THE COMPANY REQUESTS, AN OPINION SATISFACTORY TO THE COMPANY TO SUCH EFFECT HAS BEEN RENDERED BY COUNSEL.”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pPr>
      <w:r>
        <w:rPr>
          <w:rFonts w:ascii="Times New Roman" w:hAnsi="Times New Roman"/>
          <w:b/>
          <w:color w:val="000000"/>
          <w:sz w:val="24"/>
        </w:rPr>
        <w:t>Removal of Restrictive Legends</w:t>
      </w:r>
      <w:r>
        <w:rPr>
          <w:rFonts w:ascii="Times New Roman" w:hAnsi="Times New Roman"/>
          <w:color w:val="000000"/>
          <w:sz w:val="24"/>
        </w:rPr>
        <w:t xml:space="preserve">. Neither this Warrant Certificate nor any certificates evidencing Warrant Shares or any other shares of Common Stock issuable or deliverable under or in connection with this Warrant Certificate shall contain any legend restricting the transfer thereof (including the legend set forth above in </w:t>
      </w:r>
      <w:r>
        <w:rPr>
          <w:rFonts w:ascii="Times New Roman" w:hAnsi="Times New Roman"/>
          <w:b/>
          <w:color w:val="000000"/>
          <w:sz w:val="24"/>
        </w:rPr>
        <w:t>clause (i)</w:t>
      </w:r>
      <w:r>
        <w:rPr>
          <w:rFonts w:ascii="Times New Roman" w:hAnsi="Times New Roman"/>
          <w:color w:val="000000"/>
          <w:sz w:val="24"/>
        </w:rPr>
        <w:t>) in any of the following circumstances: (A) while a Registration Statement covering the sale or resale of Warrant Shares is effective under the Securities Act, (B) following any sale of this Warrant Certificate, any Warrant Shares or any other shares of Common Stock issued or delivered to the Holder under or in connection here with pursuant to Rule 144, (C) if this Warrant Certificate, Warrant Shares or any other such share of Common Stock are eligible for sale under Rule 144(b)(1), or (D) if such legend is not required under applicable requirements of the Securities Act (including judicial interpretations and pronouncements issued by the staff of the SEC) (collectively, the “</w:t>
      </w:r>
      <w:r>
        <w:rPr>
          <w:rFonts w:ascii="Times New Roman" w:hAnsi="Times New Roman"/>
          <w:b/>
          <w:i/>
          <w:color w:val="000000"/>
          <w:sz w:val="24"/>
        </w:rPr>
        <w:t>Unrestricted Conditions</w:t>
      </w:r>
      <w:r>
        <w:rPr>
          <w:color w:val="000000"/>
        </w:rPr>
        <w:t>”</w:t>
      </w:r>
      <w:r>
        <w:rPr>
          <w:rFonts w:ascii="Times New Roman" w:hAnsi="Times New Roman"/>
          <w:color w:val="000000"/>
          <w:sz w:val="24"/>
        </w:rPr>
        <w:t xml:space="preserve">). The Company shall cause its counsel to issue a legal opinion to the Transfer Agent if required by such Transfer Agent to effect the issuance of Warrant Shares or the or any other shares of equity securities issuable or deliverable under or in connection with this Warrant Certificate, as applicable, without a restrictive legend or removal of the legend hereunder. If the Unrestricted Conditions are met at the time of issuance of this Warrant Certificate, the Warrant Shares or such other shares of equity securities, then this Warrant Certificate, Warrant Shares or other equity securities, as the case may be, shall be issued free of all legends.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b/>
          <w:color w:val="000000"/>
          <w:sz w:val="24"/>
        </w:rPr>
        <w:t>Replacement Warrant Certificate</w:t>
      </w:r>
      <w:r>
        <w:rPr>
          <w:rFonts w:ascii="Times New Roman" w:hAnsi="Times New Roman"/>
          <w:color w:val="000000"/>
          <w:sz w:val="24"/>
        </w:rPr>
        <w:t>. The Company agrees that at such time as the Unrestricted Conditions have been satisfied it shall promptly (but in any event within three (3) Business Days) following written request from the Holder issue a replacement Warrant Certificate or replacement Warrant Shares or replacement shares in respect of such other Common Stock, as the case may be, free of all restrictive legends.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pPr>
      <w:r>
        <w:rPr>
          <w:rFonts w:ascii="Times New Roman" w:hAnsi="Times New Roman"/>
          <w:b/>
          <w:color w:val="000000"/>
          <w:sz w:val="24"/>
        </w:rPr>
        <w:t>Sale of Unlegended Shares</w:t>
      </w:r>
      <w:r>
        <w:rPr>
          <w:rFonts w:ascii="Times New Roman" w:hAnsi="Times New Roman"/>
          <w:color w:val="000000"/>
          <w:sz w:val="24"/>
        </w:rPr>
        <w:t xml:space="preserve">. The Holder agrees that the removal of the restrictive legend from this Warrant Certificate and any certificates representing securities as set forth in </w:t>
      </w:r>
      <w:r>
        <w:rPr>
          <w:rFonts w:ascii="Times New Roman" w:hAnsi="Times New Roman"/>
          <w:b/>
          <w:color w:val="000000"/>
          <w:sz w:val="24"/>
        </w:rPr>
        <w:t>Section 12(a)(ii)</w:t>
      </w:r>
      <w:r>
        <w:rPr>
          <w:color w:val="000000"/>
        </w:rPr>
        <w:t xml:space="preserve"> </w:t>
      </w:r>
      <w:r>
        <w:rPr>
          <w:rFonts w:ascii="Times New Roman" w:hAnsi="Times New Roman"/>
          <w:color w:val="000000"/>
          <w:sz w:val="24"/>
        </w:rPr>
        <w:t>above is predicated upon the Company’s reliance that the Holder will sell this Warrant Certificate or any such securities pursuant to either an effective Registration Statement or otherwise pursuant to the requirements of the Securities Act, including any applicable prospectus delivery requirements, or an exemption therefrom, and that if such securities are sold pursuant to a Registration Statement, they will be sold in compliance with the plan of distribution set forth therein.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b/>
          <w:color w:val="000000"/>
          <w:sz w:val="24"/>
        </w:rPr>
        <w:t>Representations of the Holder</w:t>
      </w:r>
      <w:r>
        <w:rPr>
          <w:rFonts w:ascii="Times New Roman" w:hAnsi="Times New Roman"/>
          <w:color w:val="000000"/>
          <w:sz w:val="24"/>
        </w:rPr>
        <w:t>. In connection with the issuance of this Warrant Certificate, the Holder specifically represents, as of the date hereof, to the Company by acceptance of this Warrant Certificate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Holder is an “accredited investor” as defined in Rule 501 of Regulation D promulgated under the Securities Act. The Holder is acquiring this Warrant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Certificate and the Warrant Shares to be issued upon exercise hereof for investment for its own account and not with a view towards, or for resale in connection with, the public sale or distribution of this Warrant Certificate or the Warrant Shares, except pursuant to sales registered or exempted under the Securities Act.</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Holder understands and acknowledges that this Warrant Certificate and the Warrant Shares to be issued upon exercise hereof are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under the Securities Act, as presently in effect, and understands the resale limitations imposed thereby and by the Securities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Holder acknowledges that it can bear the economic and financial risk of its investment for an indefinite period, and has such knowledge and experience in financial or business matters that it is capable of evaluating the merits and risks of the investment in this Warrant Certificate and the Warrant Shares. The Holder has had an opportunity to ask questions and receive answers from the Company regarding the terms and conditions of the offering of this Warrant Certificate and the business, properties, prospects and financial condition of the Company.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13.</w:t>
      </w:r>
    </w:p>
    <w:p>
      <w:pPr>
        <w:pStyle w:val="TextBody"/>
        <w:bidi w:val="0"/>
        <w:spacing w:before="0" w:after="240"/>
        <w:jc w:val="left"/>
        <w:rPr/>
      </w:pPr>
      <w:r>
        <w:rPr>
          <w:rFonts w:ascii="Times New Roman" w:hAnsi="Times New Roman"/>
          <w:b/>
          <w:color w:val="000000"/>
          <w:sz w:val="24"/>
        </w:rPr>
        <w:t>Notices</w:t>
      </w:r>
      <w:r>
        <w:rPr>
          <w:rFonts w:ascii="Times New Roman" w:hAnsi="Times New Roman"/>
          <w:color w:val="000000"/>
          <w:sz w:val="24"/>
        </w:rPr>
        <w:t xml:space="preserve">.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Times New Roman" w:hAnsi="Times New Roman"/>
          <w:b/>
          <w:color w:val="000000"/>
          <w:sz w:val="24"/>
        </w:rPr>
        <w:t>Section 13</w:t>
      </w:r>
      <w:r>
        <w:rPr>
          <w:rFonts w:ascii="Times New Roman" w:hAnsi="Times New Roman"/>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If to the Company: Biodesix, Inc.</w:t>
      </w:r>
    </w:p>
    <w:p>
      <w:pPr>
        <w:pStyle w:val="TextBody"/>
        <w:bidi w:val="0"/>
        <w:jc w:val="left"/>
        <w:rPr>
          <w:rFonts w:ascii="Times New Roman" w:hAnsi="Times New Roman"/>
          <w:color w:val="000000"/>
          <w:sz w:val="24"/>
        </w:rPr>
      </w:pPr>
      <w:r>
        <w:rPr>
          <w:rFonts w:ascii="Times New Roman" w:hAnsi="Times New Roman"/>
          <w:color w:val="000000"/>
          <w:sz w:val="24"/>
        </w:rPr>
        <w:t>919 West Dillon Road</w:t>
      </w:r>
    </w:p>
    <w:p>
      <w:pPr>
        <w:pStyle w:val="TextBody"/>
        <w:bidi w:val="0"/>
        <w:jc w:val="left"/>
        <w:rPr>
          <w:rFonts w:ascii="Times New Roman" w:hAnsi="Times New Roman"/>
          <w:color w:val="000000"/>
          <w:sz w:val="24"/>
        </w:rPr>
      </w:pPr>
      <w:r>
        <w:rPr>
          <w:rFonts w:ascii="Times New Roman" w:hAnsi="Times New Roman"/>
          <w:color w:val="000000"/>
          <w:sz w:val="24"/>
        </w:rPr>
        <w:t>Louisville, CO 80027</w:t>
      </w:r>
    </w:p>
    <w:p>
      <w:pPr>
        <w:pStyle w:val="TextBody"/>
        <w:bidi w:val="0"/>
        <w:jc w:val="left"/>
        <w:rPr>
          <w:rFonts w:ascii="Times New Roman" w:hAnsi="Times New Roman"/>
          <w:color w:val="000000"/>
          <w:sz w:val="24"/>
        </w:rPr>
      </w:pPr>
      <w:r>
        <w:rPr>
          <w:rFonts w:ascii="Times New Roman" w:hAnsi="Times New Roman"/>
          <w:color w:val="000000"/>
          <w:sz w:val="24"/>
        </w:rPr>
        <w:t>Attention: Scott Hutton/Robin Harper Cowie</w:t>
      </w:r>
    </w:p>
    <w:p>
      <w:pPr>
        <w:pStyle w:val="TextBody"/>
        <w:bidi w:val="0"/>
        <w:jc w:val="left"/>
        <w:rPr>
          <w:rFonts w:ascii="Times New Roman" w:hAnsi="Times New Roman"/>
          <w:color w:val="000000"/>
          <w:sz w:val="24"/>
        </w:rPr>
      </w:pPr>
      <w:r>
        <w:rPr>
          <w:rFonts w:ascii="Times New Roman" w:hAnsi="Times New Roman"/>
          <w:color w:val="000000"/>
          <w:sz w:val="24"/>
        </w:rPr>
        <w:t>E-mail: scott.hutton@biodesix.com/robin.cowie@biodesix.com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with a copy to: </w:t>
      </w:r>
    </w:p>
    <w:p>
      <w:pPr>
        <w:pStyle w:val="TextBody"/>
        <w:bidi w:val="0"/>
        <w:jc w:val="left"/>
        <w:rPr>
          <w:rFonts w:ascii="Times New Roman" w:hAnsi="Times New Roman"/>
          <w:color w:val="000000"/>
          <w:sz w:val="24"/>
        </w:rPr>
      </w:pPr>
      <w:r>
        <w:rPr>
          <w:rFonts w:ascii="Times New Roman" w:hAnsi="Times New Roman"/>
          <w:color w:val="000000"/>
          <w:sz w:val="24"/>
        </w:rPr>
        <w:t>Sidley Austin LLP</w:t>
      </w:r>
    </w:p>
    <w:p>
      <w:pPr>
        <w:pStyle w:val="TextBody"/>
        <w:bidi w:val="0"/>
        <w:jc w:val="left"/>
        <w:rPr>
          <w:rFonts w:ascii="Times New Roman" w:hAnsi="Times New Roman"/>
          <w:color w:val="000000"/>
          <w:sz w:val="24"/>
        </w:rPr>
      </w:pPr>
      <w:r>
        <w:rPr>
          <w:rFonts w:ascii="Times New Roman" w:hAnsi="Times New Roman"/>
          <w:color w:val="000000"/>
          <w:sz w:val="24"/>
        </w:rPr>
        <w:t>555 California Street, Suite 2000</w:t>
      </w:r>
    </w:p>
    <w:p>
      <w:pPr>
        <w:pStyle w:val="TextBody"/>
        <w:bidi w:val="0"/>
        <w:jc w:val="left"/>
        <w:rPr>
          <w:rFonts w:ascii="Times New Roman" w:hAnsi="Times New Roman"/>
          <w:color w:val="000000"/>
          <w:sz w:val="24"/>
        </w:rPr>
      </w:pPr>
      <w:r>
        <w:rPr>
          <w:rFonts w:ascii="Times New Roman" w:hAnsi="Times New Roman"/>
          <w:color w:val="000000"/>
          <w:sz w:val="24"/>
        </w:rPr>
        <w:t>San Francisco, CA 94104</w:t>
      </w:r>
    </w:p>
    <w:p>
      <w:pPr>
        <w:pStyle w:val="TextBody"/>
        <w:bidi w:val="0"/>
        <w:jc w:val="left"/>
        <w:rPr>
          <w:rFonts w:ascii="Times New Roman" w:hAnsi="Times New Roman"/>
          <w:color w:val="000000"/>
          <w:sz w:val="24"/>
        </w:rPr>
      </w:pPr>
      <w:r>
        <w:rPr>
          <w:rFonts w:ascii="Times New Roman" w:hAnsi="Times New Roman"/>
          <w:color w:val="000000"/>
          <w:sz w:val="24"/>
        </w:rPr>
        <w:t>Attention: Frank Rahmani/Samir Gandhi</w:t>
      </w:r>
    </w:p>
    <w:p>
      <w:pPr>
        <w:pStyle w:val="TextBody"/>
        <w:bidi w:val="0"/>
        <w:jc w:val="left"/>
        <w:rPr>
          <w:rFonts w:ascii="Times New Roman" w:hAnsi="Times New Roman"/>
          <w:color w:val="000000"/>
          <w:sz w:val="24"/>
        </w:rPr>
      </w:pPr>
      <w:r>
        <w:rPr>
          <w:rFonts w:ascii="Times New Roman" w:hAnsi="Times New Roman"/>
          <w:color w:val="000000"/>
          <w:sz w:val="24"/>
        </w:rPr>
        <w:t>E-mail: frahmani@sidley.com/sgandhi@sidley.com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If to the Holder: Perceptive Credit Holdings IV, LP</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 Perceptive Advisors LLC</w:t>
      </w:r>
    </w:p>
    <w:p>
      <w:pPr>
        <w:pStyle w:val="TextBody"/>
        <w:bidi w:val="0"/>
        <w:jc w:val="left"/>
        <w:rPr>
          <w:rFonts w:ascii="Times New Roman" w:hAnsi="Times New Roman"/>
          <w:color w:val="000000"/>
          <w:sz w:val="24"/>
        </w:rPr>
      </w:pPr>
      <w:r>
        <w:rPr>
          <w:rFonts w:ascii="Times New Roman" w:hAnsi="Times New Roman"/>
          <w:color w:val="000000"/>
          <w:sz w:val="24"/>
        </w:rPr>
        <w:t>51 Astor Place, 10th Floor</w:t>
      </w:r>
    </w:p>
    <w:p>
      <w:pPr>
        <w:pStyle w:val="TextBody"/>
        <w:bidi w:val="0"/>
        <w:jc w:val="left"/>
        <w:rPr>
          <w:rFonts w:ascii="Times New Roman" w:hAnsi="Times New Roman"/>
          <w:color w:val="000000"/>
          <w:sz w:val="24"/>
        </w:rPr>
      </w:pPr>
      <w:r>
        <w:rPr>
          <w:rFonts w:ascii="Times New Roman" w:hAnsi="Times New Roman"/>
          <w:color w:val="000000"/>
          <w:sz w:val="24"/>
        </w:rPr>
        <w:t>New York, NY 10003</w:t>
      </w:r>
    </w:p>
    <w:p>
      <w:pPr>
        <w:pStyle w:val="TextBody"/>
        <w:bidi w:val="0"/>
        <w:jc w:val="left"/>
        <w:rPr>
          <w:rFonts w:ascii="Times New Roman" w:hAnsi="Times New Roman"/>
          <w:color w:val="000000"/>
          <w:sz w:val="24"/>
        </w:rPr>
      </w:pPr>
      <w:r>
        <w:rPr>
          <w:rFonts w:ascii="Times New Roman" w:hAnsi="Times New Roman"/>
          <w:color w:val="000000"/>
          <w:sz w:val="24"/>
        </w:rPr>
        <w:t>Attention: Sandeep Dixit</w:t>
      </w:r>
    </w:p>
    <w:p>
      <w:pPr>
        <w:pStyle w:val="TextBody"/>
        <w:bidi w:val="0"/>
        <w:jc w:val="left"/>
        <w:rPr>
          <w:rFonts w:ascii="Times New Roman" w:hAnsi="Times New Roman"/>
          <w:color w:val="000000"/>
          <w:sz w:val="24"/>
        </w:rPr>
      </w:pPr>
      <w:r>
        <w:rPr>
          <w:rFonts w:ascii="Times New Roman" w:hAnsi="Times New Roman"/>
          <w:color w:val="000000"/>
          <w:sz w:val="24"/>
        </w:rPr>
        <w:t xml:space="preserve">E-mail: Sandeep@perceptivelife.com </w:t>
      </w:r>
    </w:p>
    <w:p>
      <w:pPr>
        <w:pStyle w:val="TextBody"/>
        <w:bidi w:val="0"/>
        <w:jc w:val="left"/>
        <w:rPr>
          <w:rFonts w:ascii="Times New Roman" w:hAnsi="Times New Roman"/>
          <w:color w:val="000000"/>
          <w:sz w:val="24"/>
        </w:rPr>
      </w:pPr>
      <w:r>
        <w:rPr>
          <w:rFonts w:ascii="Times New Roman" w:hAnsi="Times New Roman"/>
          <w:color w:val="000000"/>
          <w:sz w:val="24"/>
        </w:rPr>
        <w:t>PCOFReporting@perceptivelife.com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a copy to: Chapman and Cutler LLP</w:t>
      </w:r>
    </w:p>
    <w:p>
      <w:pPr>
        <w:pStyle w:val="TextBody"/>
        <w:bidi w:val="0"/>
        <w:jc w:val="left"/>
        <w:rPr>
          <w:rFonts w:ascii="Times New Roman" w:hAnsi="Times New Roman"/>
          <w:color w:val="000000"/>
          <w:sz w:val="24"/>
        </w:rPr>
      </w:pPr>
      <w:r>
        <w:rPr>
          <w:rFonts w:ascii="Times New Roman" w:hAnsi="Times New Roman"/>
          <w:color w:val="000000"/>
          <w:sz w:val="24"/>
        </w:rPr>
        <w:t>1270 Avenue of the Americas</w:t>
      </w:r>
    </w:p>
    <w:p>
      <w:pPr>
        <w:pStyle w:val="TextBody"/>
        <w:bidi w:val="0"/>
        <w:jc w:val="left"/>
        <w:rPr>
          <w:rFonts w:ascii="Times New Roman" w:hAnsi="Times New Roman"/>
          <w:color w:val="000000"/>
          <w:sz w:val="24"/>
        </w:rPr>
      </w:pPr>
      <w:r>
        <w:rPr>
          <w:rFonts w:ascii="Times New Roman" w:hAnsi="Times New Roman"/>
          <w:color w:val="000000"/>
          <w:sz w:val="24"/>
        </w:rPr>
        <w:t>New York, NY 10020</w:t>
      </w:r>
    </w:p>
    <w:p>
      <w:pPr>
        <w:pStyle w:val="TextBody"/>
        <w:bidi w:val="0"/>
        <w:jc w:val="left"/>
        <w:rPr>
          <w:rFonts w:ascii="Times New Roman" w:hAnsi="Times New Roman"/>
          <w:color w:val="000000"/>
          <w:sz w:val="24"/>
        </w:rPr>
      </w:pPr>
      <w:r>
        <w:rPr>
          <w:rFonts w:ascii="Times New Roman" w:hAnsi="Times New Roman"/>
          <w:color w:val="000000"/>
          <w:sz w:val="24"/>
        </w:rPr>
        <w:t>Attention: Nicholas Whitney</w:t>
      </w:r>
    </w:p>
    <w:p>
      <w:pPr>
        <w:pStyle w:val="TextBody"/>
        <w:bidi w:val="0"/>
        <w:jc w:val="left"/>
        <w:rPr>
          <w:rFonts w:ascii="Times New Roman" w:hAnsi="Times New Roman"/>
          <w:color w:val="000000"/>
          <w:sz w:val="24"/>
        </w:rPr>
      </w:pPr>
      <w:r>
        <w:rPr>
          <w:rFonts w:ascii="Times New Roman" w:hAnsi="Times New Roman"/>
          <w:color w:val="000000"/>
          <w:sz w:val="24"/>
        </w:rPr>
        <w:t>whitney@chapman.com</w:t>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14.</w:t>
      </w:r>
    </w:p>
    <w:p>
      <w:pPr>
        <w:pStyle w:val="TextBody"/>
        <w:bidi w:val="0"/>
        <w:spacing w:before="0" w:after="240"/>
        <w:jc w:val="left"/>
        <w:rPr/>
      </w:pPr>
      <w:r>
        <w:rPr>
          <w:rFonts w:ascii="Times New Roman" w:hAnsi="Times New Roman"/>
          <w:b/>
          <w:color w:val="000000"/>
          <w:sz w:val="24"/>
        </w:rPr>
        <w:t>Cumulative Remedies</w:t>
      </w:r>
      <w:r>
        <w:rPr>
          <w:rFonts w:ascii="Times New Roman" w:hAnsi="Times New Roman"/>
          <w:color w:val="000000"/>
          <w:sz w:val="24"/>
        </w:rPr>
        <w:t xml:space="preserve">. The rights and remedies provided in this Warrant Certificate are cumulative and are not exclusive of, and are in addition to and not in substitution for, any other rights or remedies available at law, in equity or otherwise.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15.</w:t>
      </w:r>
    </w:p>
    <w:p>
      <w:pPr>
        <w:pStyle w:val="TextBody"/>
        <w:bidi w:val="0"/>
        <w:spacing w:before="0" w:after="240"/>
        <w:jc w:val="left"/>
        <w:rPr/>
      </w:pPr>
      <w:r>
        <w:rPr>
          <w:rFonts w:ascii="Times New Roman" w:hAnsi="Times New Roman"/>
          <w:b/>
          <w:color w:val="000000"/>
          <w:sz w:val="24"/>
        </w:rPr>
        <w:t>Equitable Relief</w:t>
      </w:r>
      <w:r>
        <w:rPr>
          <w:rFonts w:ascii="Times New Roman" w:hAnsi="Times New Roman"/>
          <w:color w:val="000000"/>
          <w:sz w:val="24"/>
        </w:rPr>
        <w:t>. Each of the Company and the Holder acknowledges that a breach or threatened breach by such party of any of its obligations under this Warrant Certificate would give rise to 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equitable relief, including a restraining order, an injunction, specific performance and any other relief that may be available from a court of competent jurisdiction. The Holder and the Company further acknowledge and agree that (i) sums payable hereunder are meant to be treated as liquidated damages and not penalties, (ii) the amount of loss or damages likely to be incurred by the Holder as a result of the Company’s breach of any its obligations hereunder is incapable or is difficult to precisely estimate, (iii) the amounts payable hereunder (and calculations in respect thereof) are reasonable and are not plainly or grossly disproportionate to the probable loss likely to be incurred by the Holder, and (iv) the parties hereto are sophisticated business parties and have been represented by sophisticated and able legal and financial counsel and negotiated this Agreement at arm’s length.</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16.</w:t>
      </w:r>
    </w:p>
    <w:p>
      <w:pPr>
        <w:pStyle w:val="TextBody"/>
        <w:bidi w:val="0"/>
        <w:spacing w:before="0" w:after="240"/>
        <w:jc w:val="left"/>
        <w:rPr/>
      </w:pPr>
      <w:r>
        <w:rPr>
          <w:rFonts w:ascii="Times New Roman" w:hAnsi="Times New Roman"/>
          <w:b/>
          <w:color w:val="000000"/>
          <w:sz w:val="24"/>
        </w:rPr>
        <w:t>Entire Agreement</w:t>
      </w:r>
      <w:r>
        <w:rPr>
          <w:rFonts w:ascii="Times New Roman" w:hAnsi="Times New Roman"/>
          <w:color w:val="000000"/>
          <w:sz w:val="24"/>
        </w:rPr>
        <w:t xml:space="preserve">. This Warrant Certificate constitutes the sole and entire agreement of the parties to this Warrant Certificate with respect to the subject matter contained herein, and supersedes all prior and contemporaneous understandings and agreements, both written and oral, with respect to such subject matter.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17.</w:t>
      </w:r>
    </w:p>
    <w:p>
      <w:pPr>
        <w:pStyle w:val="TextBody"/>
        <w:bidi w:val="0"/>
        <w:spacing w:before="0" w:after="240"/>
        <w:jc w:val="left"/>
        <w:rPr/>
      </w:pPr>
      <w:r>
        <w:rPr>
          <w:rFonts w:ascii="Times New Roman" w:hAnsi="Times New Roman"/>
          <w:b/>
          <w:color w:val="000000"/>
          <w:sz w:val="24"/>
        </w:rPr>
        <w:t>Successor and Assigns</w:t>
      </w:r>
      <w:r>
        <w:rPr>
          <w:rFonts w:ascii="Times New Roman" w:hAnsi="Times New Roman"/>
          <w:color w:val="000000"/>
          <w:sz w:val="24"/>
        </w:rPr>
        <w:t xml:space="preserve">. This Warrant Certificate and the rights evidenced hereby shall be binding upon and shall inure to the benefit of the parties hereto and the successors of the Company and the successors and permitted assigns of the Holder. Such successors and/or permitted assigns of the Holder shall be deemed to be a “Holder” for all purposes hereunder.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18.</w:t>
      </w:r>
    </w:p>
    <w:p>
      <w:pPr>
        <w:pStyle w:val="TextBody"/>
        <w:bidi w:val="0"/>
        <w:spacing w:before="0" w:after="240"/>
        <w:jc w:val="left"/>
        <w:rPr/>
      </w:pPr>
      <w:r>
        <w:rPr>
          <w:rFonts w:ascii="Times New Roman" w:hAnsi="Times New Roman"/>
          <w:b/>
          <w:color w:val="000000"/>
          <w:sz w:val="24"/>
        </w:rPr>
        <w:t>No Third-Party Beneficiaries</w:t>
      </w:r>
      <w:r>
        <w:rPr>
          <w:rFonts w:ascii="Times New Roman" w:hAnsi="Times New Roman"/>
          <w:color w:val="000000"/>
          <w:sz w:val="24"/>
        </w:rPr>
        <w:t xml:space="preserve">. This Warrant Certificate is for the sole benefit of the Company and the Holder and their respective successors and, in the case of the Holder,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permitted assigns and nothing herein, express or implied, is intended to or shall confer upon any other Person any legal or equitable right, benefit or remedy of any nature whatsoever, under or by reason of this Warrant Certificate.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19.</w:t>
      </w:r>
    </w:p>
    <w:p>
      <w:pPr>
        <w:pStyle w:val="TextBody"/>
        <w:bidi w:val="0"/>
        <w:spacing w:before="0" w:after="240"/>
        <w:jc w:val="left"/>
        <w:rPr/>
      </w:pPr>
      <w:r>
        <w:rPr>
          <w:rFonts w:ascii="Times New Roman" w:hAnsi="Times New Roman"/>
          <w:b/>
          <w:color w:val="000000"/>
          <w:sz w:val="24"/>
        </w:rPr>
        <w:t>Headings</w:t>
      </w:r>
      <w:r>
        <w:rPr>
          <w:rFonts w:ascii="Times New Roman" w:hAnsi="Times New Roman"/>
          <w:color w:val="000000"/>
          <w:sz w:val="24"/>
        </w:rPr>
        <w:t>. The headings in this Warrant Certificate are for reference only and shall not affect the interpretation of this Warrant Certificate.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20.</w:t>
      </w:r>
    </w:p>
    <w:p>
      <w:pPr>
        <w:pStyle w:val="TextBody"/>
        <w:bidi w:val="0"/>
        <w:spacing w:before="0" w:after="240"/>
        <w:jc w:val="left"/>
        <w:rPr/>
      </w:pPr>
      <w:r>
        <w:rPr>
          <w:rFonts w:ascii="Times New Roman" w:hAnsi="Times New Roman"/>
          <w:b/>
          <w:color w:val="000000"/>
          <w:sz w:val="24"/>
        </w:rPr>
        <w:t>Amendment and Modification; Waiver</w:t>
      </w:r>
      <w:r>
        <w:rPr>
          <w:rFonts w:ascii="Times New Roman" w:hAnsi="Times New Roman"/>
          <w:color w:val="000000"/>
          <w:sz w:val="24"/>
        </w:rPr>
        <w:t xml:space="preserve">. Except as otherwise provided herein, this Warrant Certificate may only be amended, modified or supplemented by an agreement in writing signed by each party hereto.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21.</w:t>
      </w:r>
    </w:p>
    <w:p>
      <w:pPr>
        <w:pStyle w:val="TextBody"/>
        <w:bidi w:val="0"/>
        <w:spacing w:before="0" w:after="240"/>
        <w:jc w:val="left"/>
        <w:rPr/>
      </w:pPr>
      <w:r>
        <w:rPr>
          <w:rFonts w:ascii="Times New Roman" w:hAnsi="Times New Roman"/>
          <w:b/>
          <w:color w:val="000000"/>
          <w:sz w:val="24"/>
        </w:rPr>
        <w:t>Severability</w:t>
      </w:r>
      <w:r>
        <w:rPr>
          <w:rFonts w:ascii="Times New Roman" w:hAnsi="Times New Roman"/>
          <w:color w:val="000000"/>
          <w:sz w:val="24"/>
        </w:rPr>
        <w:t xml:space="preserve">. If any term or provision of this Warrant Certificate is invalid, illegal or unenforceable in any jurisdiction, such invalidity, illegality or unenforceability shall not affect any other term or provision of this Warrant Certificate or invalidate or render unenforceable such term or provision in any other jurisdiction.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22.</w:t>
      </w:r>
    </w:p>
    <w:p>
      <w:pPr>
        <w:pStyle w:val="TextBody"/>
        <w:bidi w:val="0"/>
        <w:spacing w:before="0" w:after="240"/>
        <w:jc w:val="left"/>
        <w:rPr/>
      </w:pPr>
      <w:r>
        <w:rPr>
          <w:rFonts w:ascii="Times New Roman" w:hAnsi="Times New Roman"/>
          <w:b/>
          <w:color w:val="000000"/>
          <w:sz w:val="24"/>
        </w:rPr>
        <w:t>Governing Law</w:t>
      </w:r>
      <w:r>
        <w:rPr>
          <w:rFonts w:ascii="Times New Roman" w:hAnsi="Times New Roman"/>
          <w:color w:val="000000"/>
          <w:sz w:val="24"/>
        </w:rPr>
        <w:t xml:space="preserve">. This Warrant Certificate shall be governed by and construed in accordance with the internal laws of the State of New York without giving effect to any choice or conflict of law provision or rule (whether of the State of New York or any other jurisdiction) that would cause the application of laws of any jurisdiction other than those of the State of New York.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23.</w:t>
      </w:r>
    </w:p>
    <w:p>
      <w:pPr>
        <w:pStyle w:val="TextBody"/>
        <w:bidi w:val="0"/>
        <w:spacing w:before="0" w:after="240"/>
        <w:jc w:val="left"/>
        <w:rPr/>
      </w:pPr>
      <w:r>
        <w:rPr>
          <w:rFonts w:ascii="Times New Roman" w:hAnsi="Times New Roman"/>
          <w:b/>
          <w:color w:val="000000"/>
          <w:sz w:val="24"/>
        </w:rPr>
        <w:t>Submission to Jurisdiction</w:t>
      </w:r>
      <w:r>
        <w:rPr>
          <w:rFonts w:ascii="Times New Roman" w:hAnsi="Times New Roman"/>
          <w:color w:val="000000"/>
          <w:sz w:val="24"/>
        </w:rPr>
        <w:t>. Any legal suit, action or proceeding arising out of or based upon this Warrant Certificate or the transactions contemplated hereby may be instituted in the federal courts of the United States of America or the courts of the State of New York in each case located in the city of New York and County of New York, and each party irrevocably submits to the exclusive jurisdiction of such courts in any such suit, action or proceeding. Service of process, summons, notice or other document by certified or registered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24.</w:t>
      </w:r>
    </w:p>
    <w:p>
      <w:pPr>
        <w:pStyle w:val="TextBody"/>
        <w:bidi w:val="0"/>
        <w:spacing w:before="0" w:after="240"/>
        <w:jc w:val="left"/>
        <w:rPr/>
      </w:pPr>
      <w:r>
        <w:rPr>
          <w:rFonts w:ascii="Times New Roman" w:hAnsi="Times New Roman"/>
          <w:b/>
          <w:color w:val="000000"/>
          <w:sz w:val="24"/>
        </w:rPr>
        <w:t>Waiver of Jury Trial</w:t>
      </w:r>
      <w:r>
        <w:rPr>
          <w:rFonts w:ascii="Times New Roman" w:hAnsi="Times New Roman"/>
          <w:color w:val="000000"/>
          <w:sz w:val="24"/>
        </w:rPr>
        <w:t xml:space="preserve">. </w:t>
      </w:r>
      <w:r>
        <w:rPr>
          <w:rFonts w:ascii="Times New Roman" w:hAnsi="Times New Roman"/>
          <w:b/>
          <w:smallCaps/>
          <w:color w:val="000000"/>
          <w:sz w:val="24"/>
        </w:rPr>
        <w:t xml:space="preserve">Each of the Company and the Holder acknowledges and agrees that any controversy which may arise under this Warrant Certificate is likely to involve complicated and difficult issues and, therefore, each such party irrevocably and unconditionally waives any right it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may have to a trial by jury in respect of any legal action arising out of or relating to this Warrant Certificate or the transactions contemplated hereby.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25.</w:t>
      </w:r>
    </w:p>
    <w:p>
      <w:pPr>
        <w:pStyle w:val="TextBody"/>
        <w:bidi w:val="0"/>
        <w:spacing w:before="0" w:after="240"/>
        <w:jc w:val="left"/>
        <w:rPr/>
      </w:pPr>
      <w:r>
        <w:rPr>
          <w:rFonts w:ascii="Times New Roman" w:hAnsi="Times New Roman"/>
          <w:b/>
          <w:color w:val="000000"/>
          <w:sz w:val="24"/>
        </w:rPr>
        <w:t>Counterparts</w:t>
      </w:r>
      <w:r>
        <w:rPr>
          <w:rFonts w:ascii="Times New Roman" w:hAnsi="Times New Roman"/>
          <w:color w:val="000000"/>
          <w:sz w:val="24"/>
        </w:rPr>
        <w:t>. This Warrant Certificate may be executed in counterparts, each of which shall be deemed an original, but all of which together shall be deemed to be one and the same agreement. A signed copy of this Warrant Certificate delivered by facsimile, e-mail or other means of electronic transmission shall be deemed to have the same legal effect as delivery of an original signed copy of this Warrant Certificate.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Section 26.</w:t>
      </w:r>
    </w:p>
    <w:p>
      <w:pPr>
        <w:pStyle w:val="TextBody"/>
        <w:bidi w:val="0"/>
        <w:spacing w:before="0" w:after="240"/>
        <w:jc w:val="left"/>
        <w:rPr/>
      </w:pPr>
      <w:r>
        <w:rPr>
          <w:rFonts w:ascii="Times New Roman" w:hAnsi="Times New Roman"/>
          <w:b/>
          <w:color w:val="000000"/>
          <w:sz w:val="24"/>
        </w:rPr>
        <w:t>No Strict Construction</w:t>
      </w:r>
      <w:r>
        <w:rPr>
          <w:rFonts w:ascii="Times New Roman" w:hAnsi="Times New Roman"/>
          <w:color w:val="000000"/>
          <w:sz w:val="24"/>
        </w:rPr>
        <w:t xml:space="preserve">. This Warrant Certificate shall be construed without regard to any presumption or rule requiring construction or interpretation against the party drafting an instrument or causing any instrument to be drafted. </w:t>
      </w:r>
    </w:p>
    <w:p>
      <w:pPr>
        <w:pStyle w:val="TextBody"/>
        <w:bidi w:val="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Company has duly executed this Warrant Certificate on the Issue Date.</w:t>
      </w:r>
    </w:p>
    <w:p>
      <w:pPr>
        <w:pStyle w:val="TextBody"/>
        <w:bidi w:val="0"/>
        <w:jc w:val="left"/>
        <w:rPr>
          <w:rFonts w:ascii="Times New Roman" w:hAnsi="Times New Roman"/>
          <w:color w:val="000000"/>
          <w:sz w:val="24"/>
        </w:rPr>
      </w:pPr>
      <w:r>
        <w:rPr>
          <w:rFonts w:ascii="Times New Roman" w:hAnsi="Times New Roman"/>
          <w:color w:val="000000"/>
          <w:sz w:val="24"/>
        </w:rPr>
        <w:t>BIODESIX,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____/s/ Robin Harper Cowie</w:t>
      </w:r>
      <w:r>
        <w:rPr>
          <w:rFonts w:ascii="Times New Roman" w:hAnsi="Times New Roman"/>
          <w:color w:val="000000"/>
          <w:sz w:val="24"/>
        </w:rPr>
        <w:t>______________</w:t>
      </w:r>
    </w:p>
    <w:p>
      <w:pPr>
        <w:pStyle w:val="TextBody"/>
        <w:bidi w:val="0"/>
        <w:jc w:val="left"/>
        <w:rPr>
          <w:rFonts w:ascii="Times New Roman" w:hAnsi="Times New Roman"/>
          <w:color w:val="000000"/>
          <w:sz w:val="24"/>
        </w:rPr>
      </w:pPr>
      <w:r>
        <w:rPr>
          <w:rFonts w:ascii="Times New Roman" w:hAnsi="Times New Roman"/>
          <w:color w:val="000000"/>
          <w:sz w:val="24"/>
        </w:rPr>
        <w:t>Name: Robin Harper Cowie</w:t>
      </w:r>
    </w:p>
    <w:p>
      <w:pPr>
        <w:pStyle w:val="TextBody"/>
        <w:bidi w:val="0"/>
        <w:jc w:val="left"/>
        <w:rPr>
          <w:rFonts w:ascii="Times New Roman" w:hAnsi="Times New Roman"/>
          <w:color w:val="000000"/>
          <w:sz w:val="24"/>
        </w:rPr>
      </w:pPr>
      <w:r>
        <w:rPr>
          <w:rFonts w:ascii="Times New Roman" w:hAnsi="Times New Roman"/>
          <w:color w:val="000000"/>
          <w:sz w:val="24"/>
        </w:rPr>
        <w:t>Title: Chief Financial Officer</w:t>
      </w:r>
    </w:p>
    <w:p>
      <w:pPr>
        <w:pStyle w:val="TextBody"/>
        <w:bidi w:val="0"/>
        <w:jc w:val="center"/>
        <w:rPr>
          <w:rFonts w:ascii="Times New Roman" w:hAnsi="Times New Roman"/>
          <w:sz w:val="20"/>
        </w:rPr>
      </w:pPr>
      <w:r>
        <w:rPr>
          <w:rFonts w:ascii="Times New Roman" w:hAnsi="Times New Roman"/>
          <w:color w:val="000000"/>
          <w:sz w:val="18"/>
        </w:rPr>
        <w:t>Signature Page</w:t>
      </w:r>
      <w:r>
        <w:rPr>
          <w:rFonts w:ascii="Times New Roman" w:hAnsi="Times New Roman"/>
          <w:color w:val="000000"/>
          <w:sz w:val="20"/>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Warrant Certificate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Accepted and agreed,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PERCEPTIVE CREDIT HOLDINGS IV, LP</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Perceptive Credit Opportunities GP, LLC, its general partner</w:t>
      </w:r>
    </w:p>
    <w:p>
      <w:pPr>
        <w:pStyle w:val="TextBody"/>
        <w:bidi w:val="0"/>
        <w:jc w:val="left"/>
        <w:rPr/>
      </w:pPr>
      <w:r>
        <w:rPr/>
        <w:t> </w:t>
      </w:r>
    </w:p>
    <w:p>
      <w:pPr>
        <w:pStyle w:val="TextBody"/>
        <w:bidi w:val="0"/>
        <w:spacing w:before="400" w:after="283"/>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Sandeep Dixit</w:t>
      </w:r>
    </w:p>
    <w:p>
      <w:pPr>
        <w:pStyle w:val="TextBody"/>
        <w:bidi w:val="0"/>
        <w:jc w:val="both"/>
        <w:rPr>
          <w:rFonts w:ascii="Times New Roman" w:hAnsi="Times New Roman"/>
          <w:color w:val="000000"/>
          <w:sz w:val="24"/>
        </w:rPr>
      </w:pPr>
      <w:r>
        <w:rPr>
          <w:rFonts w:ascii="Times New Roman" w:hAnsi="Times New Roman"/>
          <w:color w:val="000000"/>
          <w:sz w:val="24"/>
        </w:rPr>
        <w:t>Name: Sandeep Dixit</w:t>
      </w:r>
    </w:p>
    <w:p>
      <w:pPr>
        <w:pStyle w:val="TextBody"/>
        <w:bidi w:val="0"/>
        <w:jc w:val="both"/>
        <w:rPr>
          <w:rFonts w:ascii="Times New Roman" w:hAnsi="Times New Roman"/>
          <w:color w:val="000000"/>
          <w:sz w:val="24"/>
        </w:rPr>
      </w:pPr>
      <w:r>
        <w:rPr>
          <w:rFonts w:ascii="Times New Roman" w:hAnsi="Times New Roman"/>
          <w:color w:val="000000"/>
          <w:sz w:val="24"/>
        </w:rPr>
        <w:t>Title: Chief Credit Officer</w:t>
      </w:r>
    </w:p>
    <w:p>
      <w:pPr>
        <w:pStyle w:val="TextBody"/>
        <w:bidi w:val="0"/>
        <w:spacing w:before="400" w:after="283"/>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Sam Chawla</w:t>
      </w:r>
    </w:p>
    <w:p>
      <w:pPr>
        <w:pStyle w:val="TextBody"/>
        <w:bidi w:val="0"/>
        <w:jc w:val="both"/>
        <w:rPr>
          <w:rFonts w:ascii="Times New Roman" w:hAnsi="Times New Roman"/>
          <w:color w:val="000000"/>
          <w:sz w:val="24"/>
        </w:rPr>
      </w:pPr>
      <w:r>
        <w:rPr>
          <w:rFonts w:ascii="Times New Roman" w:hAnsi="Times New Roman"/>
          <w:color w:val="000000"/>
          <w:sz w:val="24"/>
        </w:rPr>
        <w:t>Name: Sam Chawla</w:t>
      </w:r>
    </w:p>
    <w:p>
      <w:pPr>
        <w:pStyle w:val="TextBody"/>
        <w:bidi w:val="0"/>
        <w:jc w:val="left"/>
        <w:rPr>
          <w:rFonts w:ascii="Times New Roman" w:hAnsi="Times New Roman"/>
          <w:color w:val="000000"/>
          <w:sz w:val="24"/>
        </w:rPr>
      </w:pPr>
      <w:r>
        <w:rPr>
          <w:rFonts w:ascii="Times New Roman" w:hAnsi="Times New Roman"/>
          <w:color w:val="000000"/>
          <w:sz w:val="24"/>
        </w:rPr>
        <w:t>Title: Portfolio Manager</w:t>
      </w:r>
    </w:p>
    <w:p>
      <w:pPr>
        <w:pStyle w:val="TextBody"/>
        <w:bidi w:val="0"/>
        <w:jc w:val="center"/>
        <w:rPr>
          <w:rFonts w:ascii="Times New Roman" w:hAnsi="Times New Roman"/>
          <w:sz w:val="20"/>
        </w:rPr>
      </w:pPr>
      <w:r>
        <w:rPr>
          <w:rFonts w:ascii="Times New Roman" w:hAnsi="Times New Roman"/>
          <w:color w:val="000000"/>
          <w:sz w:val="18"/>
        </w:rPr>
        <w:t>Signature Page</w:t>
      </w:r>
      <w:r>
        <w:rPr>
          <w:rFonts w:ascii="Times New Roman" w:hAnsi="Times New Roman"/>
          <w:color w:val="000000"/>
          <w:sz w:val="20"/>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Warrant Certificate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right"/>
        <w:rPr>
          <w:rFonts w:ascii="Times New Roman" w:hAnsi="Times New Roman"/>
          <w:color w:val="000000"/>
          <w:sz w:val="24"/>
        </w:rPr>
      </w:pPr>
      <w:r>
        <w:rPr>
          <w:rFonts w:ascii="Times New Roman" w:hAnsi="Times New Roman"/>
          <w:color w:val="000000"/>
          <w:sz w:val="24"/>
        </w:rPr>
        <w:t xml:space="preserve">Exhibit A </w:t>
        <w:br/>
        <w:t>to Warrant Certificate</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Form of Exercise CERTIFICATE</w:t>
      </w:r>
    </w:p>
    <w:p>
      <w:pPr>
        <w:pStyle w:val="TextBody"/>
        <w:bidi w:val="0"/>
        <w:jc w:val="center"/>
        <w:rPr>
          <w:rFonts w:ascii="Times New Roman" w:hAnsi="Times New Roman"/>
          <w:color w:val="000000"/>
          <w:sz w:val="24"/>
        </w:rPr>
      </w:pPr>
      <w:r>
        <w:rPr>
          <w:rFonts w:ascii="Times New Roman" w:hAnsi="Times New Roman"/>
          <w:color w:val="000000"/>
          <w:sz w:val="24"/>
        </w:rPr>
        <w:t>(To be signed only upon exercise of Warrant Certificate)</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________________</w:t>
      </w:r>
    </w:p>
    <w:p>
      <w:pPr>
        <w:pStyle w:val="TextBody"/>
        <w:bidi w:val="0"/>
        <w:spacing w:before="0" w:after="240"/>
        <w:jc w:val="left"/>
        <w:rPr>
          <w:rFonts w:ascii="Times New Roman" w:hAnsi="Times New Roman"/>
          <w:sz w:val="20"/>
        </w:rPr>
      </w:pPr>
      <w:r>
        <w:rPr>
          <w:rFonts w:ascii="Times New Roman" w:hAnsi="Times New Roman"/>
          <w:color w:val="000000"/>
          <w:sz w:val="24"/>
        </w:rPr>
        <w:t>The undersigned, as holder of a right to purchase shares of Common Stock of Biodesix,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pursuant to that certain Warrant Certificate of the Company, dated as of February 25, 2026 and bearing Warrant Certificate No. [__] (the “</w:t>
      </w:r>
      <w:r>
        <w:rPr>
          <w:rFonts w:ascii="Times New Roman" w:hAnsi="Times New Roman"/>
          <w:b/>
          <w:i/>
          <w:color w:val="000000"/>
          <w:sz w:val="24"/>
        </w:rPr>
        <w:t>Warrant Certificate</w:t>
      </w:r>
      <w:r>
        <w:rPr>
          <w:rFonts w:ascii="Times New Roman" w:hAnsi="Times New Roman"/>
          <w:color w:val="000000"/>
          <w:sz w:val="20"/>
        </w:rPr>
        <w:t>”</w:t>
      </w:r>
      <w:r>
        <w:rPr>
          <w:rFonts w:ascii="Times New Roman" w:hAnsi="Times New Roman"/>
          <w:color w:val="000000"/>
          <w:sz w:val="24"/>
        </w:rPr>
        <w:t>), hereby irrevocably elects to exercise the purchase right represented by such Warrant Certificate for, and to purchase thereunder, [________ (_____)] shares of Common Stock of the Company comprising Warrant Shares and herewith makes payment of [___________ Dollars ($________)] therefor by the following method: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(Check all that apply):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______ (check if applicable) The undersigned hereby elects to make payment of the Aggregate Exercise Price of [__________ Dollars ($_______)] for [(______)] shares of Common Stock comprising Warrant Shares using the method described in </w:t>
      </w:r>
      <w:r>
        <w:rPr>
          <w:rFonts w:ascii="Times New Roman" w:hAnsi="Times New Roman"/>
          <w:b/>
          <w:color w:val="000000"/>
          <w:sz w:val="24"/>
        </w:rPr>
        <w:t>Section 3(b)(i)</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______ (check if applicable) The undersigned hereby elects to make payment of the Aggregate Exercise Price of [__________ Dollars ($_______)] for [(______)] shares of Common Stock comprising Warrant Shares using the method described in </w:t>
      </w:r>
      <w:r>
        <w:rPr>
          <w:rFonts w:ascii="Times New Roman" w:hAnsi="Times New Roman"/>
          <w:b/>
          <w:color w:val="000000"/>
          <w:sz w:val="24"/>
        </w:rPr>
        <w:t>Section 3(b)(ii)</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______ (check if applicable) The undersigned hereby elects to make payment of the Aggregate Exercise Price of [__________ Dollars ($_______)] for [(______)] shares of Common Stock comprising Warrant Shares using the method described in </w:t>
      </w:r>
      <w:r>
        <w:rPr>
          <w:rFonts w:ascii="Times New Roman" w:hAnsi="Times New Roman"/>
          <w:b/>
          <w:color w:val="000000"/>
          <w:sz w:val="24"/>
        </w:rPr>
        <w:t>Section 3(b)(iii)</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Unless otherwise defined herein, capitalized terms have the meanings provided in the Warrant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DATED: ______________</w:t>
      </w:r>
    </w:p>
    <w:p>
      <w:pPr>
        <w:pStyle w:val="TextBody"/>
        <w:bidi w:val="0"/>
        <w:jc w:val="left"/>
        <w:rPr>
          <w:rFonts w:ascii="Times New Roman" w:hAnsi="Times New Roman"/>
          <w:color w:val="000000"/>
          <w:sz w:val="24"/>
        </w:rPr>
      </w:pPr>
      <w:r>
        <w:rPr>
          <w:rFonts w:ascii="Times New Roman" w:hAnsi="Times New Roman"/>
          <w:color w:val="000000"/>
          <w:sz w:val="24"/>
        </w:rPr>
        <w:t>PERCEPTIVE CREDIT HOLDINGS IV, LP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right"/>
        <w:rPr>
          <w:rFonts w:ascii="Times New Roman" w:hAnsi="Times New Roman"/>
          <w:color w:val="000000"/>
          <w:sz w:val="24"/>
        </w:rPr>
      </w:pPr>
      <w:r>
        <w:rPr>
          <w:rFonts w:ascii="Times New Roman" w:hAnsi="Times New Roman"/>
          <w:color w:val="000000"/>
          <w:sz w:val="24"/>
        </w:rPr>
        <w:t>Exhibit B</w:t>
        <w:br/>
        <w:t>to Warrant Certificate</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Form of Assignment</w:t>
      </w:r>
    </w:p>
    <w:p>
      <w:pPr>
        <w:pStyle w:val="TextBody"/>
        <w:bidi w:val="0"/>
        <w:spacing w:before="0" w:after="240"/>
        <w:jc w:val="left"/>
        <w:rPr>
          <w:rFonts w:ascii="Times New Roman" w:hAnsi="Times New Roman"/>
          <w:sz w:val="20"/>
        </w:rPr>
      </w:pPr>
      <w:r>
        <w:rPr>
          <w:rFonts w:ascii="Times New Roman" w:hAnsi="Times New Roman"/>
          <w:color w:val="000000"/>
          <w:sz w:val="24"/>
        </w:rPr>
        <w:t>THE UNDERSIGNED, Perceptive Credit Holdings IV, LP, is the holder (in such capacity, the “</w:t>
      </w:r>
      <w:r>
        <w:rPr>
          <w:rFonts w:ascii="Times New Roman" w:hAnsi="Times New Roman"/>
          <w:b/>
          <w:i/>
          <w:color w:val="000000"/>
          <w:sz w:val="24"/>
        </w:rPr>
        <w:t>Holder</w:t>
      </w:r>
      <w:r>
        <w:rPr>
          <w:rFonts w:ascii="Times New Roman" w:hAnsi="Times New Roman"/>
          <w:color w:val="000000"/>
          <w:sz w:val="20"/>
        </w:rPr>
        <w:t>”</w:t>
      </w:r>
      <w:r>
        <w:rPr>
          <w:rFonts w:ascii="Times New Roman" w:hAnsi="Times New Roman"/>
          <w:color w:val="000000"/>
          <w:sz w:val="24"/>
        </w:rPr>
        <w:t>) of a warrant certificate issued by Biodesix,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bearing Warrant Certificate No. [__] (the “</w:t>
      </w:r>
      <w:r>
        <w:rPr>
          <w:rFonts w:ascii="Times New Roman" w:hAnsi="Times New Roman"/>
          <w:b/>
          <w:i/>
          <w:color w:val="000000"/>
          <w:sz w:val="24"/>
        </w:rPr>
        <w:t>Warrant Certificate</w:t>
      </w:r>
      <w:r>
        <w:rPr>
          <w:rFonts w:ascii="Times New Roman" w:hAnsi="Times New Roman"/>
          <w:color w:val="000000"/>
          <w:sz w:val="20"/>
        </w:rPr>
        <w:t>”</w:t>
      </w:r>
      <w:r>
        <w:rPr>
          <w:rFonts w:ascii="Times New Roman" w:hAnsi="Times New Roman"/>
          <w:color w:val="000000"/>
          <w:sz w:val="24"/>
        </w:rPr>
        <w:t>), entitling the Holder to purchase up to [___] shares of the Company’s Common Stock. Unless otherwise defined, capitalized terms used herein have the meanings ascribed thereto in the Warrant Certificate.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FOR VALUE RECEIVED, the Holder hereby sells, assigns and transfers to [NAME OF ASSIGNEE] (the “</w:t>
      </w:r>
      <w:r>
        <w:rPr>
          <w:rFonts w:ascii="Times New Roman" w:hAnsi="Times New Roman"/>
          <w:b/>
          <w:i/>
          <w:color w:val="000000"/>
          <w:sz w:val="24"/>
        </w:rPr>
        <w:t>Assignee</w:t>
      </w:r>
      <w:r>
        <w:rPr>
          <w:rFonts w:ascii="Times New Roman" w:hAnsi="Times New Roman"/>
          <w:color w:val="000000"/>
          <w:sz w:val="20"/>
        </w:rPr>
        <w:t>”</w:t>
      </w:r>
      <w:r>
        <w:rPr>
          <w:rFonts w:ascii="Times New Roman" w:hAnsi="Times New Roman"/>
          <w:color w:val="000000"/>
          <w:sz w:val="24"/>
        </w:rPr>
        <w:t xml:space="preserve">) the right to acquire [all Warrant Shares entitled to be purchased upon exercise of the Warrant Certificate] [______] of the Warrant Shares entitled to be purchased upon exercise of the Warrant Certificate]. In furtherance of the foregoing assignment, the Holder hereby irrevocably instructs the Company to (i) memorialize such assignment on the Warrant Register as required pursuant to </w:t>
      </w:r>
      <w:r>
        <w:rPr>
          <w:rFonts w:ascii="Times New Roman" w:hAnsi="Times New Roman"/>
          <w:b/>
          <w:color w:val="000000"/>
          <w:sz w:val="24"/>
        </w:rPr>
        <w:t>Section 7</w:t>
      </w:r>
      <w:r>
        <w:rPr>
          <w:rFonts w:ascii="Times New Roman" w:hAnsi="Times New Roman"/>
          <w:color w:val="000000"/>
          <w:sz w:val="20"/>
        </w:rPr>
        <w:t xml:space="preserve"> </w:t>
      </w:r>
      <w:r>
        <w:rPr>
          <w:rFonts w:ascii="Times New Roman" w:hAnsi="Times New Roman"/>
          <w:color w:val="000000"/>
          <w:sz w:val="24"/>
        </w:rPr>
        <w:t xml:space="preserve">of the Warrant Certificate, and (ii) pursuant to </w:t>
      </w:r>
      <w:r>
        <w:rPr>
          <w:rFonts w:ascii="Times New Roman" w:hAnsi="Times New Roman"/>
          <w:b/>
          <w:color w:val="000000"/>
          <w:sz w:val="24"/>
        </w:rPr>
        <w:t>Section 8</w:t>
      </w:r>
      <w:r>
        <w:rPr>
          <w:rFonts w:ascii="Times New Roman" w:hAnsi="Times New Roman"/>
          <w:color w:val="000000"/>
          <w:sz w:val="20"/>
        </w:rPr>
        <w:t xml:space="preserve"> </w:t>
      </w:r>
      <w:r>
        <w:rPr>
          <w:rFonts w:ascii="Times New Roman" w:hAnsi="Times New Roman"/>
          <w:color w:val="000000"/>
          <w:sz w:val="24"/>
        </w:rPr>
        <w:t>of the Warrant Certificate, execute and deliver to the Assignee [and the Holder] a new Warrant Certificate [new Warrant Certificates] reflecting the foregoing assignment ([each] a “</w:t>
      </w:r>
      <w:r>
        <w:rPr>
          <w:rFonts w:ascii="Times New Roman" w:hAnsi="Times New Roman"/>
          <w:b/>
          <w:i/>
          <w:color w:val="000000"/>
          <w:sz w:val="24"/>
        </w:rPr>
        <w:t>Substitute Warrant Certificate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Assignee acknowledges and agrees that its Substitute Warrant Certificate and the Warrant Shares to be issued upon exercise thereof are being acquired for investment and that the Assignee will not offer, sell or otherwise dispose of its Substitute Warrant Certificate or any Warrant Shares to be issued upon exercise or conversion thereof except under circumstances which will not result in a violation of the Securities Act or any applicable state securities laws. The Assignee represents and warrants for the benefit of the Company that the Assignee is an “accredited investor” within the meaning of Rule 501 of Regulation D promulgated under the Securities Act of 1933, as amended.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To the extent required pursuant to </w:t>
      </w:r>
      <w:r>
        <w:rPr>
          <w:rFonts w:ascii="Times New Roman" w:hAnsi="Times New Roman"/>
          <w:b/>
          <w:color w:val="000000"/>
          <w:sz w:val="24"/>
        </w:rPr>
        <w:t>Section 12</w:t>
      </w:r>
      <w:r>
        <w:rPr>
          <w:rFonts w:ascii="Times New Roman" w:hAnsi="Times New Roman"/>
          <w:color w:val="000000"/>
          <w:sz w:val="20"/>
        </w:rPr>
        <w:t xml:space="preserve"> </w:t>
      </w:r>
      <w:r>
        <w:rPr>
          <w:rFonts w:ascii="Times New Roman" w:hAnsi="Times New Roman"/>
          <w:color w:val="000000"/>
          <w:sz w:val="24"/>
        </w:rPr>
        <w:t xml:space="preserve">of the Warrant Certificate, the Assignee acknowledges and agrees that a restrictive legend shall be applied to the Assignee’s Substitute Warrant Certificate and the Warrant Shares issuable upon exercise of such certificate substantially consistent with the legend set forth in </w:t>
      </w:r>
      <w:r>
        <w:rPr>
          <w:rFonts w:ascii="Times New Roman" w:hAnsi="Times New Roman"/>
          <w:b/>
          <w:color w:val="000000"/>
          <w:sz w:val="24"/>
        </w:rPr>
        <w:t>Section 12(a)(i)</w:t>
      </w: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PERCEPTIVE CREDIT HOLDINGS IV, LP</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Accepted and agreed,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[NAME OF ASSIGNEE]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smallCaps/>
          <w:color w:val="000000"/>
          <w:sz w:val="22"/>
        </w:rPr>
      </w:pPr>
      <w:bookmarkStart w:id="39" w:name="bdsx-ex10_32.htm"/>
      <w:bookmarkStart w:id="40" w:name="ksbdsxex10_32"/>
      <w:bookmarkEnd w:id="39"/>
      <w:bookmarkEnd w:id="40"/>
      <w:r>
        <w:rPr>
          <w:rFonts w:ascii="Times New Roman" w:hAnsi="Times New Roman"/>
          <w:b/>
          <w:smallCaps/>
          <w:color w:val="000000"/>
          <w:sz w:val="22"/>
        </w:rPr>
        <w:t>Exhibit 10.32</w:t>
      </w:r>
      <w:r>
        <w:br w:type="page"/>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Sixth Amendment to Credit Agreement and Guaranty</w:t>
      </w:r>
    </w:p>
    <w:p>
      <w:pPr>
        <w:pStyle w:val="TextBody"/>
        <w:bidi w:val="0"/>
        <w:spacing w:before="280" w:after="283"/>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Sixth Amendment to Credit Agreement and Guaranty (herein, this </w:t>
      </w:r>
      <w:r>
        <w:rPr>
          <w:rFonts w:ascii="Times New Roman" w:hAnsi="Times New Roman"/>
          <w:color w:val="000000"/>
          <w:sz w:val="20"/>
        </w:rPr>
        <w:t>“</w:t>
      </w:r>
      <w:r>
        <w:rPr>
          <w:rFonts w:ascii="Times New Roman" w:hAnsi="Times New Roman"/>
          <w:i/>
          <w:color w:val="000000"/>
          <w:sz w:val="22"/>
        </w:rPr>
        <w:t>Agreement”</w:t>
      </w:r>
      <w:r>
        <w:rPr>
          <w:rFonts w:ascii="Times New Roman" w:hAnsi="Times New Roman"/>
          <w:color w:val="000000"/>
          <w:sz w:val="22"/>
        </w:rPr>
        <w:t>) is entered into as of February 25, 2026 (the “</w:t>
      </w:r>
      <w:r>
        <w:rPr>
          <w:rFonts w:ascii="Times New Roman" w:hAnsi="Times New Roman"/>
          <w:i/>
          <w:color w:val="000000"/>
          <w:sz w:val="22"/>
        </w:rPr>
        <w:t>Sixth Amendment Effective Date</w:t>
      </w:r>
      <w:r>
        <w:rPr>
          <w:rFonts w:ascii="Times New Roman" w:hAnsi="Times New Roman"/>
          <w:color w:val="000000"/>
          <w:sz w:val="20"/>
        </w:rPr>
        <w:t>”</w:t>
      </w:r>
      <w:r>
        <w:rPr>
          <w:rFonts w:ascii="Times New Roman" w:hAnsi="Times New Roman"/>
          <w:color w:val="000000"/>
          <w:sz w:val="22"/>
        </w:rPr>
        <w:t xml:space="preserve">), by and among </w:t>
      </w:r>
      <w:r>
        <w:rPr>
          <w:rFonts w:ascii="Times New Roman" w:hAnsi="Times New Roman"/>
          <w:smallCaps/>
          <w:color w:val="000000"/>
          <w:sz w:val="22"/>
        </w:rPr>
        <w:t>Biodesix, Inc.</w:t>
      </w:r>
      <w:r>
        <w:rPr>
          <w:rFonts w:ascii="Times New Roman" w:hAnsi="Times New Roman"/>
          <w:color w:val="000000"/>
          <w:sz w:val="22"/>
        </w:rPr>
        <w:t>, a Delaware corporation (the “</w:t>
      </w:r>
      <w:r>
        <w:rPr>
          <w:rFonts w:ascii="Times New Roman" w:hAnsi="Times New Roman"/>
          <w:i/>
          <w:color w:val="000000"/>
          <w:sz w:val="22"/>
        </w:rPr>
        <w:t>Borrower</w:t>
      </w:r>
      <w:r>
        <w:rPr>
          <w:rFonts w:ascii="Times New Roman" w:hAnsi="Times New Roman"/>
          <w:color w:val="000000"/>
          <w:sz w:val="20"/>
        </w:rPr>
        <w:t>”</w:t>
      </w:r>
      <w:r>
        <w:rPr>
          <w:rFonts w:ascii="Times New Roman" w:hAnsi="Times New Roman"/>
          <w:color w:val="000000"/>
          <w:sz w:val="22"/>
        </w:rPr>
        <w:t xml:space="preserve">), the Lenders party hereto constituting Majority Lenders and </w:t>
      </w:r>
      <w:r>
        <w:rPr>
          <w:rFonts w:ascii="Times New Roman" w:hAnsi="Times New Roman"/>
          <w:smallCaps/>
          <w:color w:val="000000"/>
          <w:sz w:val="22"/>
        </w:rPr>
        <w:t xml:space="preserve">Perceptive Credit Holdings IV, LP, </w:t>
      </w:r>
      <w:r>
        <w:rPr>
          <w:rFonts w:ascii="Times New Roman" w:hAnsi="Times New Roman"/>
          <w:color w:val="000000"/>
          <w:sz w:val="22"/>
        </w:rPr>
        <w:t xml:space="preserve">a Delaware limited partnership, as administrative agent for the Lenders (in such capacity, together with its successors and assigns, the </w:t>
      </w:r>
      <w:r>
        <w:rPr>
          <w:rFonts w:ascii="Times New Roman" w:hAnsi="Times New Roman"/>
          <w:color w:val="000000"/>
          <w:sz w:val="20"/>
        </w:rPr>
        <w:t>“</w:t>
      </w:r>
      <w:r>
        <w:rPr>
          <w:rFonts w:ascii="Times New Roman" w:hAnsi="Times New Roman"/>
          <w:i/>
          <w:color w:val="000000"/>
          <w:sz w:val="22"/>
        </w:rPr>
        <w:t>Administrative Agent”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smallCaps/>
          <w:color w:val="000000"/>
          <w:sz w:val="22"/>
        </w:rPr>
        <w:t>Recitals</w:t>
      </w:r>
      <w:r>
        <w:rPr>
          <w:rFonts w:ascii="Times New Roman" w:hAnsi="Times New Roman"/>
          <w:b/>
          <w:color w:val="000000"/>
          <w:sz w:val="22"/>
        </w:rPr>
        <w:t>:</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A. The Lenders have extended credit to the Borrower on the terms and conditions set forth in that certain Credit Agreement and Guaranty, dated as of November 16, 2022 (as amended pursuant to that certain First Amendment to Credit Agreement and Guaranty, dated as of May 10, 2023, as amended pursuant to that certain Second Amendment to Credit Agreement and Guaranty, dated as of August 4, 2023, as amended pursuant to that certain Third Amendment to Credit Agreement and Guaranty, dated as of February 29, 2024, as amended pursuant to that certain Fourth Amendment to Credit Agreement and Guaranty, dated as of October 30, 2024, as amended pursuant to that certain Fifth Amendment to Credit Agreement and Guaranty, dated as of February 28, 2025, and as further amended, restated, supplemented or otherwise modified prior to the Sixth Amendment Effective Date, the </w:t>
      </w:r>
      <w:r>
        <w:rPr>
          <w:rFonts w:ascii="Times New Roman" w:hAnsi="Times New Roman"/>
          <w:color w:val="000000"/>
          <w:sz w:val="20"/>
        </w:rPr>
        <w:t>“</w:t>
      </w:r>
      <w:r>
        <w:rPr>
          <w:rFonts w:ascii="Times New Roman" w:hAnsi="Times New Roman"/>
          <w:i/>
          <w:color w:val="000000"/>
          <w:sz w:val="22"/>
        </w:rPr>
        <w:t>Existing</w:t>
      </w:r>
      <w:r>
        <w:rPr>
          <w:rFonts w:ascii="Times New Roman" w:hAnsi="Times New Roman"/>
          <w:color w:val="000000"/>
          <w:sz w:val="20"/>
        </w:rPr>
        <w:t xml:space="preserve"> </w:t>
      </w:r>
      <w:r>
        <w:rPr>
          <w:rFonts w:ascii="Times New Roman" w:hAnsi="Times New Roman"/>
          <w:i/>
          <w:color w:val="000000"/>
          <w:sz w:val="22"/>
        </w:rPr>
        <w:t>Credit Agreement”</w:t>
      </w:r>
      <w:r>
        <w:rPr>
          <w:rFonts w:ascii="Times New Roman" w:hAnsi="Times New Roman"/>
          <w:color w:val="000000"/>
          <w:sz w:val="22"/>
        </w:rPr>
        <w:t>; the Existing Credit Agreement as amended by this Agreement, the “</w:t>
      </w:r>
      <w:r>
        <w:rPr>
          <w:rFonts w:ascii="Times New Roman" w:hAnsi="Times New Roman"/>
          <w:i/>
          <w:color w:val="000000"/>
          <w:sz w:val="22"/>
        </w:rPr>
        <w:t>Credit Agreement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B. The Borrower has requested that the Administrative Agent and the Lenders agree to amend certain provisions of the Existing Credit Agreement.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C. The parties hereto agree to amend the Existing Credit Agreement pursuant to the terms of this Agreement.</w:t>
      </w:r>
    </w:p>
    <w:p>
      <w:pPr>
        <w:pStyle w:val="TextBody"/>
        <w:bidi w:val="0"/>
        <w:spacing w:before="280" w:after="283"/>
        <w:jc w:val="both"/>
        <w:rPr>
          <w:rFonts w:ascii="Times New Roman" w:hAnsi="Times New Roman"/>
          <w:sz w:val="20"/>
        </w:rPr>
      </w:pPr>
      <w:r>
        <w:rPr>
          <w:rFonts w:ascii="Times New Roman" w:hAnsi="Times New Roman"/>
          <w:smallCaps/>
          <w:color w:val="000000"/>
          <w:sz w:val="22"/>
        </w:rPr>
        <w:t>Now, Therefore</w:t>
      </w:r>
      <w:r>
        <w:rPr>
          <w:rFonts w:ascii="Times New Roman" w:hAnsi="Times New Roman"/>
          <w:color w:val="000000"/>
          <w:sz w:val="22"/>
        </w:rPr>
        <w:t>, for good and valuable consideration, the receipt and sufficiency of which is hereby acknowledged, the parties hereto agree as follows: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i/>
          <w:color w:val="000000"/>
          <w:sz w:val="22"/>
        </w:rPr>
        <w:t>Incorporation of Recitals; Defined Terms.</w:t>
      </w:r>
      <w:r>
        <w:rPr>
          <w:color w:val="000000"/>
        </w:rPr>
        <w:t xml:space="preserve"> </w:t>
      </w:r>
      <w:r>
        <w:rPr>
          <w:rFonts w:ascii="Times New Roman" w:hAnsi="Times New Roman"/>
          <w:color w:val="000000"/>
          <w:sz w:val="22"/>
        </w:rPr>
        <w:t xml:space="preserve">The parties hereto acknowledge that the Recitals set forth above are true and correct in all material respects. The defined terms in the Recitals set forth above are hereby incorporated into this Agreement by reference. All other capitalized terms used herein without definition shall have the same meanings herein as such terms have in the Credit Agreement.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pPr>
      <w:r>
        <w:rPr>
          <w:rFonts w:ascii="Times New Roman" w:hAnsi="Times New Roman"/>
          <w:i/>
          <w:color w:val="000000"/>
          <w:sz w:val="22"/>
        </w:rPr>
        <w:t>Sixth Amendment to Existing Credit Agreement</w:t>
      </w:r>
      <w:r>
        <w:rPr>
          <w:rFonts w:ascii="Times New Roman" w:hAnsi="Times New Roman"/>
          <w:color w:val="000000"/>
          <w:sz w:val="22"/>
        </w:rPr>
        <w:t>. Upon satisfaction of the conditions set forth in Section 5 hereof, the Borrower, the Lenders and the Administrative Agent hereby agree that the Existing Credit Agreement is hereby amended to incorporate the changes reflected in the pages of Annex A hereto. Attached hereto as Annex B is a clean draft incorporating the changes in Annex A. Schedule 1 to the Existing Credit Agreement is hereby amended and replaced in its entirety with Schedule 1 attached hereto as Annex 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pPr>
      <w:r>
        <w:rPr>
          <w:rFonts w:ascii="Times New Roman" w:hAnsi="Times New Roman"/>
          <w:i/>
          <w:color w:val="000000"/>
          <w:sz w:val="22"/>
        </w:rPr>
        <w:t>Acknowledgement of Liens</w:t>
      </w:r>
      <w:r>
        <w:rPr>
          <w:rFonts w:ascii="Times New Roman" w:hAnsi="Times New Roman"/>
          <w:color w:val="000000"/>
          <w:sz w:val="22"/>
        </w:rPr>
        <w:t xml:space="preserve">. The Borrower hereby acknowledges and agrees that the Obligations owing to the Administrative Agent and the Lenders arising out of or in any manner relating to the Loan Documents shall continue to be secured by the Liens granted as security therefor in the Loan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2"/>
        </w:rPr>
        <w:t>Documents, to the extent provided for in the Loan Documents heretofore executed and delivered by the Borrower;</w:t>
      </w:r>
      <w:r>
        <w:rPr>
          <w:color w:val="000000"/>
        </w:rPr>
        <w:t xml:space="preserve"> </w:t>
      </w:r>
      <w:r>
        <w:rPr>
          <w:rFonts w:ascii="Times New Roman" w:hAnsi="Times New Roman"/>
          <w:color w:val="000000"/>
          <w:sz w:val="22"/>
        </w:rPr>
        <w:t>and nothing herein contained shall in any manner affect or impair the priority of the Liens created and provided for thereby as to the indebtedness, obligations, and liabilities which would be secured thereby prior to giving effect to this Agreement.</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0"/>
        <w:jc w:val="both"/>
        <w:rPr/>
      </w:pPr>
      <w:r>
        <w:rPr>
          <w:rFonts w:ascii="Times New Roman" w:hAnsi="Times New Roman"/>
          <w:i/>
          <w:color w:val="000000"/>
          <w:sz w:val="22"/>
        </w:rPr>
        <w:t xml:space="preserve">Representations And Warranties. </w:t>
      </w:r>
      <w:r>
        <w:rPr>
          <w:rFonts w:ascii="Times New Roman" w:hAnsi="Times New Roman"/>
          <w:color w:val="000000"/>
          <w:sz w:val="22"/>
        </w:rPr>
        <w:t>In order to induce the Administrative Agent and the Lenders to enter into this Agreement, the Borrower hereby represents and warrants to the Administrative Agent and the Lenders as follows:</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80" w:after="283"/>
        <w:jc w:val="both"/>
        <w:rPr/>
      </w:pPr>
      <w:r>
        <w:rPr>
          <w:rFonts w:ascii="Times New Roman" w:hAnsi="Times New Roman"/>
          <w:color w:val="000000"/>
          <w:sz w:val="22"/>
        </w:rPr>
        <w:t xml:space="preserve">After giving effect to this Agreement, the representations and warranties of the Borrower contained in Article 7 of the Credit Agreement and in each other Loan Document shall be true and correct in all material respects on and as of the date hereof;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to the extent that such representations and warranties specifically refer to an earlier date, they shall be true and correct in all material respects as of such earlier date; </w:t>
      </w:r>
      <w:r>
        <w:rPr>
          <w:rFonts w:ascii="Times New Roman" w:hAnsi="Times New Roman"/>
          <w:i/>
          <w:color w:val="000000"/>
          <w:sz w:val="22"/>
        </w:rPr>
        <w:t>provided further</w:t>
      </w:r>
      <w:r>
        <w:rPr>
          <w:color w:val="000000"/>
        </w:rPr>
        <w:t xml:space="preserve"> </w:t>
      </w:r>
      <w:r>
        <w:rPr>
          <w:rFonts w:ascii="Times New Roman" w:hAnsi="Times New Roman"/>
          <w:color w:val="000000"/>
          <w:sz w:val="22"/>
        </w:rPr>
        <w:t xml:space="preserve">that any representation and warranty that is qualified as to “materiality”, “Material Adverse Effect” or similar language shall be true and correct (after giving effect to any qualification therein) in all respects on such respective dates.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 xml:space="preserve">The execution, delivery and performance of this Agreement has been duly authorized by all necessary corporate action on the part of, and duly executed and delivered by, the Borrower.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 xml:space="preserve">No Default or Event of Default has occurred and is continuing or shall occur and be continuing immediately after giving effect to this Agreement.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0"/>
        <w:jc w:val="both"/>
        <w:rPr/>
      </w:pPr>
      <w:r>
        <w:rPr>
          <w:rFonts w:ascii="Times New Roman" w:hAnsi="Times New Roman"/>
          <w:i/>
          <w:color w:val="000000"/>
          <w:sz w:val="22"/>
        </w:rPr>
        <w:t>Conditions Precedent.</w:t>
      </w:r>
      <w:r>
        <w:rPr>
          <w:color w:val="000000"/>
        </w:rPr>
        <w:t xml:space="preserve"> </w:t>
      </w:r>
      <w:r>
        <w:rPr>
          <w:rFonts w:ascii="Times New Roman" w:hAnsi="Times New Roman"/>
          <w:color w:val="000000"/>
          <w:sz w:val="22"/>
        </w:rPr>
        <w:t xml:space="preserve">The effectiveness of this Agreement is subject to the satisfaction of the following conditions precedent: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The Administrative Agent and the Lenders shall have received executed counterparts of this Agreement and the Fifth Amended and Restated Fee Letter, dated as of the date hereof, in each case, duly executed and delivered by the Borrower.</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The Borrower shall have issued to the Administrative Agent a warrant that, among other things, grants the holder thereof the right to purchase 100,000 shares of unrestricted common stock of the Borrower, in form and substance satisfactory to the Administrative Agent.</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The Administrative Agent and the Lenders shall have received (i) certified copies of the Organizational Documents of the Borrower (or to the extent that such Organizational Documents have not been amended, restated or otherwise modified since the Closing Date, a certification by a Responsible Officer to that effect) and resolutions of the Board (or similar governing body or committee of the board of directors, as applicable) of the Borrower approving and authorizing the execution, delivery and performance of this Agreement, certified as of the Sixth Amendment Effective Date by a Responsible Officer of the Borrower as being in full force and effect without modification or amendment, (ii) a good standing certificate from the applicable Governmental Authority of the Borrower’s jurisdiction of incorporation, dated a recent date prior to the Sixth Amendment Effective Date and (iii) a certificate of the Borrower as to the authority, incumbency and specimen signatures of the persons who have executed this Agreement or any other documents in connection herewith on behalf of the Borrower.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rFonts w:ascii="Times New Roman" w:hAnsi="Times New Roman"/>
          <w:i/>
          <w:color w:val="000000"/>
          <w:sz w:val="22"/>
        </w:rPr>
      </w:pPr>
      <w:r>
        <w:rPr>
          <w:rFonts w:ascii="Times New Roman" w:hAnsi="Times New Roman"/>
          <w:i/>
          <w:color w:val="000000"/>
          <w:sz w:val="22"/>
        </w:rPr>
        <w:t>Reference to and Effect on the Loan Documents; No Novation.</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This Agreement constitutes a Loan Document. On and after the date hereof, words of like import referring to the Credit Agreement, and each reference in the other Loan Documents to the “Credit Agreement”, “thereunder”, “thereof” or words of like import referring to the Credit Agreement shall mean and be a reference to the Credit Agreement after giving effect to this Agreement.</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Except as specifically set forth in this Agreement, the Credit Agreement and the other Loan Documents shall remain in full force and effect and are hereby ratified and confirmed.</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80" w:after="283"/>
        <w:jc w:val="both"/>
        <w:rPr/>
      </w:pPr>
      <w:r>
        <w:rPr>
          <w:rFonts w:ascii="Times New Roman" w:hAnsi="Times New Roman"/>
          <w:color w:val="000000"/>
          <w:sz w:val="22"/>
        </w:rPr>
        <w:t>Except as expressly set forth in this Agreement, the Loan Documents and all of the obligations of the Loan Parties thereunder and the rights and benefits of the Administrative Agent and the Lenders thereunder remain in full force and effect. This Agreement is not a novation nor is it to be construed as a release, waiver or modification of any of the terms, conditions, representations, warranties, covenants, rights or remedies set forth in the Loan Documents, except as specifically set forth herein. Without limiting the foregoing, the Loan Parties agree to comply with all of the terms, conditions, and provisions of the Loan Documents except to the extent such compliance is irreconcilably inconsistent with the express provisions of this Agreement. This Agreement may not be amended, supplemented, or otherwise modified except by a written agreement entered into in accordance with Section 13.04 of the Credit Agreement. THIS AGREEMENT, THE CREDIT AGREEMENT AND THE OTHER LOAN DOCUMENTS REPRESENTS THE ENTIRE AGREEMENT AMONG THE PARTIES</w:t>
      </w:r>
      <w:r>
        <w:rPr>
          <w:caps/>
          <w:color w:val="000000"/>
        </w:rPr>
        <w:t xml:space="preserve"> </w:t>
      </w:r>
      <w:r>
        <w:rPr>
          <w:rFonts w:ascii="Times New Roman" w:hAnsi="Times New Roman"/>
          <w:caps/>
          <w:color w:val="000000"/>
          <w:sz w:val="22"/>
        </w:rPr>
        <w:t>with respect to the subject matter hereof and thereof and supersede any and all previous agreements and understandings, oral or written, relating to the subject matter hereof.</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pPr>
      <w:r>
        <w:rPr>
          <w:rFonts w:ascii="Times New Roman" w:hAnsi="Times New Roman"/>
          <w:i/>
          <w:color w:val="000000"/>
          <w:sz w:val="22"/>
        </w:rPr>
        <w:t>Headings</w:t>
      </w:r>
      <w:r>
        <w:rPr>
          <w:rFonts w:ascii="Times New Roman" w:hAnsi="Times New Roman"/>
          <w:color w:val="000000"/>
          <w:sz w:val="22"/>
        </w:rPr>
        <w:t>. The headings in this Agreement are included solely for convenience of reference and are not intended to affect the interpretation of any provision of this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pPr>
      <w:r>
        <w:rPr>
          <w:rFonts w:ascii="Times New Roman" w:hAnsi="Times New Roman"/>
          <w:i/>
          <w:color w:val="000000"/>
          <w:sz w:val="22"/>
        </w:rPr>
        <w:t>Governing Law</w:t>
      </w:r>
      <w:r>
        <w:rPr>
          <w:rFonts w:ascii="Times New Roman" w:hAnsi="Times New Roman"/>
          <w:color w:val="000000"/>
          <w:sz w:val="22"/>
        </w:rPr>
        <w:t>. THIS AGREEMENT, THE RIGHTS AND OBLIGATIONS OF THE PARTIES HEREUNDER, AND ALL CLAIMS, DISPUTES AND MATTERS ARISING HEREUNDER OR RELATED 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pPr>
      <w:r>
        <w:rPr>
          <w:rFonts w:ascii="Times New Roman" w:hAnsi="Times New Roman"/>
          <w:i/>
          <w:color w:val="000000"/>
          <w:sz w:val="22"/>
        </w:rPr>
        <w:t>Incorporation of Sections 13.10 and 13.11 of the Credit Agreement</w:t>
      </w:r>
      <w:r>
        <w:rPr>
          <w:rFonts w:ascii="Times New Roman" w:hAnsi="Times New Roman"/>
          <w:color w:val="000000"/>
          <w:sz w:val="22"/>
        </w:rPr>
        <w:t>. The provisions set forth in Sections 13.10 (Jurisdiction, Service of Process and Venue) and 13.11 (Waiver of Jury Trial) of the Credit Agreement shall apply to this Agreement in all respects.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w:t>
      </w:r>
    </w:p>
    <w:p>
      <w:pPr>
        <w:pStyle w:val="TextBody"/>
        <w:bidi w:val="0"/>
        <w:jc w:val="both"/>
        <w:rPr/>
      </w:pPr>
      <w:r>
        <w:rPr>
          <w:rFonts w:ascii="Times New Roman" w:hAnsi="Times New Roman"/>
          <w:i/>
          <w:color w:val="000000"/>
          <w:sz w:val="22"/>
        </w:rPr>
        <w:t>Counterparts</w:t>
      </w:r>
      <w:r>
        <w:rPr>
          <w:rFonts w:ascii="Times New Roman" w:hAnsi="Times New Roman"/>
          <w:color w:val="000000"/>
          <w:sz w:val="22"/>
        </w:rPr>
        <w:t xml:space="preserve">. 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2"/>
        </w:rPr>
        <w:t>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w:t>
      </w:r>
    </w:p>
    <w:p>
      <w:pPr>
        <w:pStyle w:val="TextBody"/>
        <w:bidi w:val="0"/>
        <w:jc w:val="both"/>
        <w:rPr/>
      </w:pPr>
      <w:r>
        <w:rPr>
          <w:rFonts w:ascii="Times New Roman" w:hAnsi="Times New Roman"/>
          <w:i/>
          <w:color w:val="000000"/>
          <w:sz w:val="22"/>
        </w:rPr>
        <w:t>Severability</w:t>
      </w:r>
      <w:r>
        <w:rPr>
          <w:rFonts w:ascii="Times New Roman" w:hAnsi="Times New Roman"/>
          <w:color w:val="000000"/>
          <w:sz w:val="22"/>
        </w:rPr>
        <w:t xml:space="preserve">. If any provision hereof is found by a court to be invalid or unenforceable, to the fullest extent permitted by applicable Law the parties agree that such invalidity or unenforceability shall not impair the validity or enforceability of any other provision hereof.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w:t>
      </w:r>
    </w:p>
    <w:p>
      <w:pPr>
        <w:pStyle w:val="TextBody"/>
        <w:bidi w:val="0"/>
        <w:jc w:val="both"/>
        <w:rPr/>
      </w:pPr>
      <w:r>
        <w:rPr>
          <w:rFonts w:ascii="Times New Roman" w:hAnsi="Times New Roman"/>
          <w:i/>
          <w:color w:val="000000"/>
          <w:sz w:val="22"/>
        </w:rPr>
        <w:t>Binding Effect</w:t>
      </w:r>
      <w:r>
        <w:rPr>
          <w:rFonts w:ascii="Times New Roman" w:hAnsi="Times New Roman"/>
          <w:color w:val="000000"/>
          <w:sz w:val="22"/>
        </w:rPr>
        <w:t xml:space="preserve">. This Agreement will be binding upon and inure to the benefit of and is enforceable by the respective successors and permitted assigns of the parties hereto. </w:t>
      </w:r>
    </w:p>
    <w:p>
      <w:pPr>
        <w:pStyle w:val="TextBody"/>
        <w:bidi w:val="0"/>
        <w:spacing w:before="400" w:after="283"/>
        <w:jc w:val="center"/>
        <w:rPr>
          <w:rFonts w:ascii="Times New Roman" w:hAnsi="Times New Roman"/>
          <w:smallCaps/>
          <w:color w:val="000000"/>
          <w:sz w:val="22"/>
        </w:rPr>
      </w:pPr>
      <w:r>
        <w:rPr>
          <w:rFonts w:ascii="Times New Roman" w:hAnsi="Times New Roman"/>
          <w:smallCaps/>
          <w:color w:val="000000"/>
          <w:sz w:val="22"/>
        </w:rPr>
        <w:t>[Signature Pages to Follow]</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120"/>
        <w:jc w:val="both"/>
        <w:rPr>
          <w:rFonts w:ascii="Times New Roman" w:hAnsi="Times New Roman"/>
          <w:color w:val="000000"/>
          <w:sz w:val="22"/>
        </w:rPr>
      </w:pPr>
      <w:r>
        <w:rPr>
          <w:rFonts w:ascii="Times New Roman" w:hAnsi="Times New Roman"/>
          <w:color w:val="000000"/>
          <w:sz w:val="22"/>
        </w:rPr>
        <w:t>IN WITNESS WHEREOF, the parties hereto have caused this Agreement to be duly executed and delivered by their respective officers thereunto duly authorized as of the date first written above.</w:t>
      </w:r>
    </w:p>
    <w:p>
      <w:pPr>
        <w:pStyle w:val="TextBody"/>
        <w:bidi w:val="0"/>
        <w:spacing w:before="160" w:after="283"/>
        <w:jc w:val="left"/>
        <w:rPr>
          <w:rFonts w:ascii="Times New Roman" w:hAnsi="Times New Roman"/>
          <w:sz w:val="20"/>
        </w:rPr>
      </w:pPr>
      <w:r>
        <w:rPr>
          <w:rFonts w:ascii="Times New Roman" w:hAnsi="Times New Roman"/>
          <w:smallCaps/>
          <w:color w:val="000000"/>
          <w:sz w:val="22"/>
        </w:rPr>
        <w:t xml:space="preserve">Biodesix, Inc., </w:t>
      </w:r>
      <w:r>
        <w:rPr>
          <w:rFonts w:ascii="Times New Roman" w:hAnsi="Times New Roman"/>
          <w:color w:val="000000"/>
          <w:sz w:val="22"/>
        </w:rPr>
        <w:t>as Borrower</w:t>
      </w:r>
    </w:p>
    <w:p>
      <w:pPr>
        <w:pStyle w:val="TextBody"/>
        <w:bidi w:val="0"/>
        <w:spacing w:before="56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Robin Harper Cowie </w:t>
      </w:r>
    </w:p>
    <w:p>
      <w:pPr>
        <w:pStyle w:val="TextBody"/>
        <w:bidi w:val="0"/>
        <w:jc w:val="left"/>
        <w:rPr>
          <w:rFonts w:ascii="Times New Roman" w:hAnsi="Times New Roman"/>
          <w:color w:val="000000"/>
          <w:sz w:val="22"/>
        </w:rPr>
      </w:pPr>
      <w:r>
        <w:rPr>
          <w:rFonts w:ascii="Times New Roman" w:hAnsi="Times New Roman"/>
          <w:color w:val="000000"/>
          <w:sz w:val="22"/>
        </w:rPr>
        <w:t>Name: Robin Harper Cowie</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spacing w:before="28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mallCaps/>
          <w:color w:val="000000"/>
          <w:sz w:val="22"/>
        </w:rPr>
      </w:pPr>
      <w:r>
        <w:rPr>
          <w:rFonts w:ascii="Times New Roman" w:hAnsi="Times New Roman"/>
          <w:smallCaps/>
          <w:color w:val="000000"/>
          <w:sz w:val="22"/>
        </w:rPr>
        <w:t>PERCEPTIVE CREDIT HOLDINGS IV, LP,</w:t>
      </w:r>
    </w:p>
    <w:p>
      <w:pPr>
        <w:pStyle w:val="TextBody"/>
        <w:bidi w:val="0"/>
        <w:jc w:val="left"/>
        <w:rPr>
          <w:rFonts w:ascii="Times New Roman" w:hAnsi="Times New Roman"/>
          <w:color w:val="000000"/>
          <w:sz w:val="22"/>
        </w:rPr>
      </w:pPr>
      <w:r>
        <w:rPr>
          <w:rFonts w:ascii="Times New Roman" w:hAnsi="Times New Roman"/>
          <w:color w:val="000000"/>
          <w:sz w:val="22"/>
        </w:rPr>
        <w:t>as Agent and Lender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Perceptive Credit Opportunities GP, LLC, its general partner</w:t>
      </w:r>
    </w:p>
    <w:p>
      <w:pPr>
        <w:pStyle w:val="TextBody"/>
        <w:bidi w:val="0"/>
        <w:spacing w:before="56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Sandeep Dixit </w:t>
      </w:r>
    </w:p>
    <w:p>
      <w:pPr>
        <w:pStyle w:val="TextBody"/>
        <w:bidi w:val="0"/>
        <w:jc w:val="left"/>
        <w:rPr>
          <w:rFonts w:ascii="Times New Roman" w:hAnsi="Times New Roman"/>
          <w:color w:val="000000"/>
          <w:sz w:val="22"/>
        </w:rPr>
      </w:pPr>
      <w:r>
        <w:rPr>
          <w:rFonts w:ascii="Times New Roman" w:hAnsi="Times New Roman"/>
          <w:color w:val="000000"/>
          <w:sz w:val="22"/>
        </w:rPr>
        <w:t>Name: Sandeep Dixit</w:t>
      </w:r>
    </w:p>
    <w:p>
      <w:pPr>
        <w:pStyle w:val="TextBody"/>
        <w:bidi w:val="0"/>
        <w:jc w:val="left"/>
        <w:rPr>
          <w:rFonts w:ascii="Times New Roman" w:hAnsi="Times New Roman"/>
          <w:sz w:val="20"/>
        </w:rPr>
      </w:pPr>
      <w:r>
        <w:rPr>
          <w:rFonts w:ascii="Times New Roman" w:hAnsi="Times New Roman"/>
          <w:color w:val="000000"/>
          <w:sz w:val="22"/>
        </w:rPr>
        <w:t>Title: Chief Credit Officer</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By: /s/</w:t>
      </w:r>
      <w:r>
        <w:rPr>
          <w:rFonts w:ascii="Times New Roman" w:hAnsi="Times New Roman"/>
          <w:color w:val="000000"/>
          <w:sz w:val="22"/>
          <w:u w:val="single"/>
        </w:rPr>
        <w:t xml:space="preserve">Sam Chawla </w:t>
      </w:r>
    </w:p>
    <w:p>
      <w:pPr>
        <w:pStyle w:val="TextBody"/>
        <w:bidi w:val="0"/>
        <w:jc w:val="left"/>
        <w:rPr>
          <w:rFonts w:ascii="Times New Roman" w:hAnsi="Times New Roman"/>
          <w:color w:val="000000"/>
          <w:sz w:val="22"/>
        </w:rPr>
      </w:pPr>
      <w:r>
        <w:rPr>
          <w:rFonts w:ascii="Times New Roman" w:hAnsi="Times New Roman"/>
          <w:color w:val="000000"/>
          <w:sz w:val="22"/>
        </w:rPr>
        <w:t>Name: Sam Chawla</w:t>
      </w:r>
    </w:p>
    <w:p>
      <w:pPr>
        <w:pStyle w:val="TextBody"/>
        <w:bidi w:val="0"/>
        <w:jc w:val="left"/>
        <w:rPr>
          <w:rFonts w:ascii="Times New Roman" w:hAnsi="Times New Roman"/>
          <w:sz w:val="20"/>
        </w:rPr>
      </w:pPr>
      <w:r>
        <w:rPr>
          <w:rFonts w:ascii="Times New Roman" w:hAnsi="Times New Roman"/>
          <w:color w:val="000000"/>
          <w:sz w:val="22"/>
        </w:rPr>
        <w:t>Title: Portfolio Manager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ANNEX A</w:t>
      </w:r>
    </w:p>
    <w:p>
      <w:pPr>
        <w:pStyle w:val="TextBody"/>
        <w:bidi w:val="0"/>
        <w:spacing w:before="280" w:after="283"/>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Conformed Credit Agreement</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(Sixth Amendment – Marked Version)</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[On file with Administrative Agent.]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ANNEX B</w:t>
      </w:r>
    </w:p>
    <w:p>
      <w:pPr>
        <w:pStyle w:val="TextBody"/>
        <w:bidi w:val="0"/>
        <w:spacing w:before="280" w:after="283"/>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Conformed Credit Agreement</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(Sixth Amendment – Clean Version)</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See attached.</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smallCaps/>
          <w:color w:val="000000"/>
          <w:sz w:val="24"/>
        </w:rPr>
      </w:pPr>
      <w:r>
        <w:rPr>
          <w:rFonts w:ascii="Times New Roman" w:hAnsi="Times New Roman"/>
          <w:i/>
          <w:smallCaps/>
          <w:color w:val="000000"/>
          <w:sz w:val="24"/>
        </w:rPr>
        <w:t>Execution Version</w:t>
      </w:r>
    </w:p>
    <w:p>
      <w:pPr>
        <w:pStyle w:val="TextBody"/>
        <w:bidi w:val="0"/>
        <w:jc w:val="right"/>
        <w:rPr/>
      </w:pPr>
      <w:r>
        <w:rPr/>
        <w:t> </w:t>
      </w:r>
    </w:p>
    <w:p>
      <w:pPr>
        <w:pStyle w:val="TextBody"/>
        <w:pBdr>
          <w:top w:val="double" w:sz="4" w:space="1" w:color="000000"/>
        </w:pBdr>
        <w:bidi w:val="0"/>
        <w:spacing w:before="0" w:after="480"/>
        <w:jc w:val="center"/>
        <w:rPr/>
      </w:pPr>
      <w:r>
        <w:rPr/>
        <w:t> </w:t>
      </w:r>
    </w:p>
    <w:p>
      <w:pPr>
        <w:pStyle w:val="TextBody"/>
        <w:bidi w:val="0"/>
        <w:jc w:val="center"/>
        <w:rPr>
          <w:rFonts w:ascii="Times New Roman" w:hAnsi="Times New Roman"/>
          <w:sz w:val="20"/>
        </w:rPr>
      </w:pPr>
      <w:r>
        <w:rPr>
          <w:rFonts w:ascii="Times New Roman" w:hAnsi="Times New Roman"/>
          <w:smallCaps/>
          <w:color w:val="000000"/>
          <w:sz w:val="24"/>
        </w:rPr>
        <w:t>Credit Agreement and Guaranty</w:t>
      </w:r>
      <w:r>
        <w:rPr>
          <w:rFonts w:ascii="Times New Roman" w:hAnsi="Times New Roman"/>
          <w:smallCaps/>
          <w:color w:val="000000"/>
          <w:sz w:val="20"/>
        </w:rPr>
        <w:t>1</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dated as of</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smallCaps/>
          <w:color w:val="000000"/>
          <w:sz w:val="24"/>
        </w:rPr>
        <w:t>November</w:t>
      </w:r>
      <w:r>
        <w:rPr>
          <w:rFonts w:ascii="Times New Roman" w:hAnsi="Times New Roman"/>
          <w:smallCaps/>
          <w:color w:val="000000"/>
          <w:sz w:val="20"/>
        </w:rPr>
        <w:t xml:space="preserve"> </w:t>
      </w:r>
      <w:r>
        <w:rPr>
          <w:rFonts w:ascii="Times New Roman" w:hAnsi="Times New Roman"/>
          <w:smallCaps/>
          <w:color w:val="000000"/>
          <w:sz w:val="24"/>
        </w:rPr>
        <w:t>16, 2022</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among</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smallCaps/>
          <w:color w:val="000000"/>
          <w:sz w:val="24"/>
        </w:rPr>
        <w:t>Biodesix, Inc.,</w:t>
        <w:br/>
      </w:r>
      <w:r>
        <w:rPr>
          <w:rFonts w:ascii="Times New Roman" w:hAnsi="Times New Roman"/>
          <w:color w:val="000000"/>
          <w:sz w:val="24"/>
        </w:rPr>
        <w:t>as the Borrower</w:t>
      </w:r>
      <w:r>
        <w:rPr>
          <w:rFonts w:ascii="Times New Roman" w:hAnsi="Times New Roman"/>
          <w:smallCaps/>
          <w:color w:val="000000"/>
          <w:sz w:val="24"/>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The Guarantors from Time to Time Party hereto,</w:t>
      </w:r>
    </w:p>
    <w:p>
      <w:pPr>
        <w:pStyle w:val="TextBody"/>
        <w:bidi w:val="0"/>
        <w:jc w:val="center"/>
        <w:rPr>
          <w:rFonts w:ascii="Times New Roman" w:hAnsi="Times New Roman"/>
          <w:sz w:val="20"/>
        </w:rPr>
      </w:pPr>
      <w:r>
        <w:rPr>
          <w:rFonts w:ascii="Times New Roman" w:hAnsi="Times New Roman"/>
          <w:color w:val="000000"/>
          <w:sz w:val="24"/>
        </w:rPr>
        <w:t>as Guarantors,</w:t>
        <w:br/>
      </w:r>
      <w:r>
        <w:rPr>
          <w:rFonts w:ascii="Times New Roman" w:hAnsi="Times New Roman"/>
          <w:color w:val="000000"/>
          <w:sz w:val="20"/>
        </w:rPr>
        <w:t> </w:t>
      </w:r>
    </w:p>
    <w:p>
      <w:pPr>
        <w:pStyle w:val="TextBody"/>
        <w:bidi w:val="0"/>
        <w:jc w:val="center"/>
        <w:rPr>
          <w:rFonts w:ascii="Times New Roman" w:hAnsi="Times New Roman"/>
          <w:sz w:val="20"/>
        </w:rPr>
      </w:pPr>
      <w:r>
        <w:rPr>
          <w:rFonts w:ascii="Times New Roman" w:hAnsi="Times New Roman"/>
          <w:smallCaps/>
          <w:color w:val="000000"/>
          <w:sz w:val="24"/>
        </w:rPr>
        <w:t>The Lenders from Time to Time Party hereto</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as Lenders,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Perceptive Credit Holdings IV, LP,</w:t>
      </w:r>
    </w:p>
    <w:p>
      <w:pPr>
        <w:pStyle w:val="TextBody"/>
        <w:bidi w:val="0"/>
        <w:jc w:val="center"/>
        <w:rPr>
          <w:rFonts w:ascii="Times New Roman" w:hAnsi="Times New Roman"/>
          <w:color w:val="000000"/>
          <w:sz w:val="24"/>
        </w:rPr>
      </w:pPr>
      <w:r>
        <w:rPr>
          <w:rFonts w:ascii="Times New Roman" w:hAnsi="Times New Roman"/>
          <w:color w:val="000000"/>
          <w:sz w:val="24"/>
        </w:rPr>
        <w:t>as the Administrative Agent and as a Lender</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$50,000,000</w:t>
      </w:r>
    </w:p>
    <w:p>
      <w:pPr>
        <w:pStyle w:val="TextBody"/>
        <w:bidi w:val="0"/>
        <w:jc w:val="center"/>
        <w:rPr/>
      </w:pPr>
      <w:r>
        <w:rPr/>
        <w:t> </w:t>
      </w:r>
    </w:p>
    <w:p>
      <w:pPr>
        <w:pStyle w:val="TextBody"/>
        <w:bidi w:val="0"/>
        <w:jc w:val="center"/>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Conformed to reflect changes from the First Amendment to Credit Agreement and Guaranty, dated as of May 10, 2023, the Second Amendment to Credit Agreement and Guaranty, dated as of August 4, 2023, the Third Amendment to Credit Agreement and Guaranty, dated as of February 29, 2024, the Fourth Amendment to Credit Agreement and Guaranty, dated as of October 30, 2024, the Fifth Amendment to Credit Agreement and Guaranty, dated as of February 28, 2025, and the Sixth Amendment to Credit Agreement and Guaranty, dated as of February 25,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Table of Contents</w:t>
      </w:r>
    </w:p>
    <w:p>
      <w:pPr>
        <w:pStyle w:val="TextBody"/>
        <w:bidi w:val="0"/>
        <w:spacing w:before="280" w:after="283"/>
        <w:jc w:val="both"/>
        <w:rPr>
          <w:rFonts w:ascii="Times New Roman" w:hAnsi="Times New Roman"/>
          <w:smallCaps/>
          <w:color w:val="000000"/>
          <w:sz w:val="24"/>
        </w:rPr>
      </w:pPr>
      <w:r>
        <w:rPr>
          <w:rFonts w:ascii="Times New Roman" w:hAnsi="Times New Roman"/>
          <w:smallCaps/>
          <w:color w:val="000000"/>
          <w:sz w:val="24"/>
        </w:rPr>
        <w:t>Section Heading Page</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I Definitions 1</w:t>
      </w:r>
    </w:p>
    <w:p>
      <w:pPr>
        <w:pStyle w:val="TextBody"/>
        <w:bidi w:val="0"/>
        <w:jc w:val="left"/>
        <w:rPr>
          <w:rFonts w:ascii="Times New Roman" w:hAnsi="Times New Roman"/>
          <w:color w:val="000000"/>
          <w:sz w:val="24"/>
        </w:rPr>
      </w:pPr>
      <w:r>
        <w:rPr>
          <w:rFonts w:ascii="Times New Roman" w:hAnsi="Times New Roman"/>
          <w:color w:val="000000"/>
          <w:sz w:val="24"/>
        </w:rPr>
        <w:t>Section 1.01. Certain Defined Terms 1</w:t>
      </w:r>
    </w:p>
    <w:p>
      <w:pPr>
        <w:pStyle w:val="TextBody"/>
        <w:bidi w:val="0"/>
        <w:jc w:val="left"/>
        <w:rPr>
          <w:rFonts w:ascii="Times New Roman" w:hAnsi="Times New Roman"/>
          <w:color w:val="000000"/>
          <w:sz w:val="24"/>
        </w:rPr>
      </w:pPr>
      <w:r>
        <w:rPr>
          <w:rFonts w:ascii="Times New Roman" w:hAnsi="Times New Roman"/>
          <w:color w:val="000000"/>
          <w:sz w:val="24"/>
        </w:rPr>
        <w:t>Section 1.02. Accounting Terms and Principles 33</w:t>
      </w:r>
    </w:p>
    <w:p>
      <w:pPr>
        <w:pStyle w:val="TextBody"/>
        <w:bidi w:val="0"/>
        <w:jc w:val="left"/>
        <w:rPr>
          <w:rFonts w:ascii="Times New Roman" w:hAnsi="Times New Roman"/>
          <w:color w:val="000000"/>
          <w:sz w:val="24"/>
        </w:rPr>
      </w:pPr>
      <w:r>
        <w:rPr>
          <w:rFonts w:ascii="Times New Roman" w:hAnsi="Times New Roman"/>
          <w:color w:val="000000"/>
          <w:sz w:val="24"/>
        </w:rPr>
        <w:t>Section 1.03. Interpretation 33</w:t>
      </w:r>
    </w:p>
    <w:p>
      <w:pPr>
        <w:pStyle w:val="TextBody"/>
        <w:bidi w:val="0"/>
        <w:jc w:val="left"/>
        <w:rPr>
          <w:rFonts w:ascii="Times New Roman" w:hAnsi="Times New Roman"/>
          <w:color w:val="000000"/>
          <w:sz w:val="24"/>
        </w:rPr>
      </w:pPr>
      <w:r>
        <w:rPr>
          <w:rFonts w:ascii="Times New Roman" w:hAnsi="Times New Roman"/>
          <w:color w:val="000000"/>
          <w:sz w:val="24"/>
        </w:rPr>
        <w:t>Section 1.04. Divisions 34</w:t>
      </w:r>
    </w:p>
    <w:p>
      <w:pPr>
        <w:pStyle w:val="TextBody"/>
        <w:bidi w:val="0"/>
        <w:jc w:val="left"/>
        <w:rPr>
          <w:rFonts w:ascii="Times New Roman" w:hAnsi="Times New Roman"/>
          <w:color w:val="000000"/>
          <w:sz w:val="24"/>
        </w:rPr>
      </w:pPr>
      <w:r>
        <w:rPr>
          <w:rFonts w:ascii="Times New Roman" w:hAnsi="Times New Roman"/>
          <w:color w:val="000000"/>
          <w:sz w:val="24"/>
        </w:rPr>
        <w:t>Section 1.05. Interest Rates 34</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2 The Commitments 35</w:t>
      </w:r>
    </w:p>
    <w:p>
      <w:pPr>
        <w:pStyle w:val="TextBody"/>
        <w:bidi w:val="0"/>
        <w:jc w:val="left"/>
        <w:rPr>
          <w:rFonts w:ascii="Times New Roman" w:hAnsi="Times New Roman"/>
          <w:color w:val="000000"/>
          <w:sz w:val="24"/>
        </w:rPr>
      </w:pPr>
      <w:r>
        <w:rPr>
          <w:rFonts w:ascii="Times New Roman" w:hAnsi="Times New Roman"/>
          <w:color w:val="000000"/>
          <w:sz w:val="24"/>
        </w:rPr>
        <w:t>Section 2.01. Term Loan 35</w:t>
      </w:r>
    </w:p>
    <w:p>
      <w:pPr>
        <w:pStyle w:val="TextBody"/>
        <w:bidi w:val="0"/>
        <w:jc w:val="left"/>
        <w:rPr>
          <w:rFonts w:ascii="Times New Roman" w:hAnsi="Times New Roman"/>
          <w:color w:val="000000"/>
          <w:sz w:val="24"/>
        </w:rPr>
      </w:pPr>
      <w:r>
        <w:rPr>
          <w:rFonts w:ascii="Times New Roman" w:hAnsi="Times New Roman"/>
          <w:color w:val="000000"/>
          <w:sz w:val="24"/>
        </w:rPr>
        <w:t>Section 2.02. Proportionate Shares 36</w:t>
      </w:r>
    </w:p>
    <w:p>
      <w:pPr>
        <w:pStyle w:val="TextBody"/>
        <w:bidi w:val="0"/>
        <w:jc w:val="left"/>
        <w:rPr>
          <w:rFonts w:ascii="Times New Roman" w:hAnsi="Times New Roman"/>
          <w:color w:val="000000"/>
          <w:sz w:val="24"/>
        </w:rPr>
      </w:pPr>
      <w:r>
        <w:rPr>
          <w:rFonts w:ascii="Times New Roman" w:hAnsi="Times New Roman"/>
          <w:color w:val="000000"/>
          <w:sz w:val="24"/>
        </w:rPr>
        <w:t>Section 2.03. Fees 36</w:t>
      </w:r>
    </w:p>
    <w:p>
      <w:pPr>
        <w:pStyle w:val="TextBody"/>
        <w:bidi w:val="0"/>
        <w:jc w:val="left"/>
        <w:rPr>
          <w:rFonts w:ascii="Times New Roman" w:hAnsi="Times New Roman"/>
          <w:color w:val="000000"/>
          <w:sz w:val="24"/>
        </w:rPr>
      </w:pPr>
      <w:r>
        <w:rPr>
          <w:rFonts w:ascii="Times New Roman" w:hAnsi="Times New Roman"/>
          <w:color w:val="000000"/>
          <w:sz w:val="24"/>
        </w:rPr>
        <w:t>Section 2.04. Notes 37</w:t>
      </w:r>
    </w:p>
    <w:p>
      <w:pPr>
        <w:pStyle w:val="TextBody"/>
        <w:bidi w:val="0"/>
        <w:jc w:val="left"/>
        <w:rPr>
          <w:rFonts w:ascii="Times New Roman" w:hAnsi="Times New Roman"/>
          <w:color w:val="000000"/>
          <w:sz w:val="24"/>
        </w:rPr>
      </w:pPr>
      <w:r>
        <w:rPr>
          <w:rFonts w:ascii="Times New Roman" w:hAnsi="Times New Roman"/>
          <w:color w:val="000000"/>
          <w:sz w:val="24"/>
        </w:rPr>
        <w:t>Section 2.05. Use of Proceeds 37</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3 Payments of Principal and Interest 37</w:t>
      </w:r>
    </w:p>
    <w:p>
      <w:pPr>
        <w:pStyle w:val="TextBody"/>
        <w:bidi w:val="0"/>
        <w:jc w:val="left"/>
        <w:rPr>
          <w:rFonts w:ascii="Times New Roman" w:hAnsi="Times New Roman"/>
          <w:color w:val="000000"/>
          <w:sz w:val="24"/>
        </w:rPr>
      </w:pPr>
      <w:r>
        <w:rPr>
          <w:rFonts w:ascii="Times New Roman" w:hAnsi="Times New Roman"/>
          <w:color w:val="000000"/>
          <w:sz w:val="24"/>
        </w:rPr>
        <w:t>Section 3.01. Repayment 37</w:t>
      </w:r>
    </w:p>
    <w:p>
      <w:pPr>
        <w:pStyle w:val="TextBody"/>
        <w:bidi w:val="0"/>
        <w:jc w:val="left"/>
        <w:rPr>
          <w:rFonts w:ascii="Times New Roman" w:hAnsi="Times New Roman"/>
          <w:color w:val="000000"/>
          <w:sz w:val="24"/>
        </w:rPr>
      </w:pPr>
      <w:r>
        <w:rPr>
          <w:rFonts w:ascii="Times New Roman" w:hAnsi="Times New Roman"/>
          <w:color w:val="000000"/>
          <w:sz w:val="24"/>
        </w:rPr>
        <w:t>Section 3.02. Interest 37</w:t>
      </w:r>
    </w:p>
    <w:p>
      <w:pPr>
        <w:pStyle w:val="TextBody"/>
        <w:bidi w:val="0"/>
        <w:jc w:val="left"/>
        <w:rPr>
          <w:rFonts w:ascii="Times New Roman" w:hAnsi="Times New Roman"/>
          <w:color w:val="000000"/>
          <w:sz w:val="24"/>
        </w:rPr>
      </w:pPr>
      <w:r>
        <w:rPr>
          <w:rFonts w:ascii="Times New Roman" w:hAnsi="Times New Roman"/>
          <w:color w:val="000000"/>
          <w:sz w:val="24"/>
        </w:rPr>
        <w:t>Section 3.03. Prepayments 40</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4 Payments 42</w:t>
      </w:r>
    </w:p>
    <w:p>
      <w:pPr>
        <w:pStyle w:val="TextBody"/>
        <w:bidi w:val="0"/>
        <w:jc w:val="left"/>
        <w:rPr>
          <w:rFonts w:ascii="Times New Roman" w:hAnsi="Times New Roman"/>
          <w:color w:val="000000"/>
          <w:sz w:val="24"/>
        </w:rPr>
      </w:pPr>
      <w:r>
        <w:rPr>
          <w:rFonts w:ascii="Times New Roman" w:hAnsi="Times New Roman"/>
          <w:color w:val="000000"/>
          <w:sz w:val="24"/>
        </w:rPr>
        <w:t>Section 4.01. Payments 42</w:t>
      </w:r>
    </w:p>
    <w:p>
      <w:pPr>
        <w:pStyle w:val="TextBody"/>
        <w:bidi w:val="0"/>
        <w:jc w:val="left"/>
        <w:rPr>
          <w:rFonts w:ascii="Times New Roman" w:hAnsi="Times New Roman"/>
          <w:color w:val="000000"/>
          <w:sz w:val="24"/>
        </w:rPr>
      </w:pPr>
      <w:r>
        <w:rPr>
          <w:rFonts w:ascii="Times New Roman" w:hAnsi="Times New Roman"/>
          <w:color w:val="000000"/>
          <w:sz w:val="24"/>
        </w:rPr>
        <w:t>Section 4.02. Computations 43</w:t>
      </w:r>
    </w:p>
    <w:p>
      <w:pPr>
        <w:pStyle w:val="TextBody"/>
        <w:bidi w:val="0"/>
        <w:jc w:val="left"/>
        <w:rPr>
          <w:rFonts w:ascii="Times New Roman" w:hAnsi="Times New Roman"/>
          <w:color w:val="000000"/>
          <w:sz w:val="24"/>
        </w:rPr>
      </w:pPr>
      <w:r>
        <w:rPr>
          <w:rFonts w:ascii="Times New Roman" w:hAnsi="Times New Roman"/>
          <w:color w:val="000000"/>
          <w:sz w:val="24"/>
        </w:rPr>
        <w:t>Section 4.03. Notices 43</w:t>
      </w:r>
    </w:p>
    <w:p>
      <w:pPr>
        <w:pStyle w:val="TextBody"/>
        <w:bidi w:val="0"/>
        <w:jc w:val="left"/>
        <w:rPr>
          <w:rFonts w:ascii="Times New Roman" w:hAnsi="Times New Roman"/>
          <w:color w:val="000000"/>
          <w:sz w:val="24"/>
        </w:rPr>
      </w:pPr>
      <w:r>
        <w:rPr>
          <w:rFonts w:ascii="Times New Roman" w:hAnsi="Times New Roman"/>
          <w:color w:val="000000"/>
          <w:sz w:val="24"/>
        </w:rPr>
        <w:t>Section 4.04. Set</w:t>
        <w:noBreakHyphen/>
        <w:t>Off 44</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5 Yield Protection 44</w:t>
      </w:r>
    </w:p>
    <w:p>
      <w:pPr>
        <w:pStyle w:val="TextBody"/>
        <w:bidi w:val="0"/>
        <w:jc w:val="left"/>
        <w:rPr>
          <w:rFonts w:ascii="Times New Roman" w:hAnsi="Times New Roman"/>
          <w:color w:val="000000"/>
          <w:sz w:val="24"/>
        </w:rPr>
      </w:pPr>
      <w:r>
        <w:rPr>
          <w:rFonts w:ascii="Times New Roman" w:hAnsi="Times New Roman"/>
          <w:color w:val="000000"/>
          <w:sz w:val="24"/>
        </w:rPr>
        <w:t>Section 5.01. Additional Costs 44</w:t>
      </w:r>
    </w:p>
    <w:p>
      <w:pPr>
        <w:pStyle w:val="TextBody"/>
        <w:bidi w:val="0"/>
        <w:jc w:val="left"/>
        <w:rPr>
          <w:rFonts w:ascii="Times New Roman" w:hAnsi="Times New Roman"/>
          <w:color w:val="000000"/>
          <w:sz w:val="24"/>
        </w:rPr>
      </w:pPr>
      <w:r>
        <w:rPr>
          <w:rFonts w:ascii="Times New Roman" w:hAnsi="Times New Roman"/>
          <w:color w:val="000000"/>
          <w:sz w:val="24"/>
        </w:rPr>
        <w:t>Section 5.02. Illegality 46</w:t>
      </w:r>
    </w:p>
    <w:p>
      <w:pPr>
        <w:pStyle w:val="TextBody"/>
        <w:bidi w:val="0"/>
        <w:jc w:val="left"/>
        <w:rPr>
          <w:rFonts w:ascii="Times New Roman" w:hAnsi="Times New Roman"/>
          <w:color w:val="000000"/>
          <w:sz w:val="24"/>
        </w:rPr>
      </w:pPr>
      <w:r>
        <w:rPr>
          <w:rFonts w:ascii="Times New Roman" w:hAnsi="Times New Roman"/>
          <w:color w:val="000000"/>
          <w:sz w:val="24"/>
        </w:rPr>
        <w:t>Section 5.03. Taxes 46</w:t>
      </w:r>
    </w:p>
    <w:p>
      <w:pPr>
        <w:pStyle w:val="TextBody"/>
        <w:bidi w:val="0"/>
        <w:jc w:val="left"/>
        <w:rPr>
          <w:rFonts w:ascii="Times New Roman" w:hAnsi="Times New Roman"/>
          <w:color w:val="000000"/>
          <w:sz w:val="24"/>
        </w:rPr>
      </w:pPr>
      <w:r>
        <w:rPr>
          <w:rFonts w:ascii="Times New Roman" w:hAnsi="Times New Roman"/>
          <w:color w:val="000000"/>
          <w:sz w:val="24"/>
        </w:rPr>
        <w:t>Section 5.04. Delay in Requests 51</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6 Conditions Precedent 51</w:t>
      </w:r>
    </w:p>
    <w:p>
      <w:pPr>
        <w:pStyle w:val="TextBody"/>
        <w:bidi w:val="0"/>
        <w:jc w:val="left"/>
        <w:rPr>
          <w:rFonts w:ascii="Times New Roman" w:hAnsi="Times New Roman"/>
          <w:color w:val="000000"/>
          <w:sz w:val="24"/>
        </w:rPr>
      </w:pPr>
      <w:r>
        <w:rPr>
          <w:rFonts w:ascii="Times New Roman" w:hAnsi="Times New Roman"/>
          <w:color w:val="000000"/>
          <w:sz w:val="24"/>
        </w:rPr>
        <w:t>Section 6.01. Conditions to Closing Date 51</w:t>
      </w:r>
    </w:p>
    <w:p>
      <w:pPr>
        <w:pStyle w:val="TextBody"/>
        <w:bidi w:val="0"/>
        <w:jc w:val="left"/>
        <w:rPr>
          <w:rFonts w:ascii="Times New Roman" w:hAnsi="Times New Roman"/>
          <w:color w:val="000000"/>
          <w:sz w:val="24"/>
        </w:rPr>
      </w:pPr>
      <w:r>
        <w:rPr>
          <w:rFonts w:ascii="Times New Roman" w:hAnsi="Times New Roman"/>
          <w:color w:val="000000"/>
          <w:sz w:val="24"/>
        </w:rPr>
        <w:t>Section 6.02. Conditions to Funding Date; Tranche A Loan 53</w:t>
      </w:r>
    </w:p>
    <w:p>
      <w:pPr>
        <w:pStyle w:val="TextBody"/>
        <w:bidi w:val="0"/>
        <w:jc w:val="left"/>
        <w:rPr>
          <w:rFonts w:ascii="Times New Roman" w:hAnsi="Times New Roman"/>
          <w:color w:val="000000"/>
          <w:sz w:val="24"/>
        </w:rPr>
      </w:pPr>
      <w:r>
        <w:rPr>
          <w:rFonts w:ascii="Times New Roman" w:hAnsi="Times New Roman"/>
          <w:color w:val="000000"/>
          <w:sz w:val="24"/>
        </w:rPr>
        <w:t>Section 6.03. Conditions to Tranche B Loan; Tranche B Loan Borrowing Date 55</w:t>
      </w:r>
    </w:p>
    <w:p>
      <w:pPr>
        <w:pStyle w:val="TextBody"/>
        <w:bidi w:val="0"/>
        <w:jc w:val="left"/>
        <w:rPr>
          <w:rFonts w:ascii="Times New Roman" w:hAnsi="Times New Roman"/>
          <w:color w:val="000000"/>
          <w:sz w:val="24"/>
        </w:rPr>
      </w:pPr>
      <w:r>
        <w:rPr>
          <w:rFonts w:ascii="Times New Roman" w:hAnsi="Times New Roman"/>
          <w:color w:val="000000"/>
          <w:sz w:val="24"/>
        </w:rPr>
        <w:t>Section 6.04. Conditions to Tranche C Loan; Tranche C Loan Borrowing Date 56</w:t>
      </w:r>
    </w:p>
    <w:p>
      <w:pPr>
        <w:pStyle w:val="TextBody"/>
        <w:bidi w:val="0"/>
        <w:jc w:val="center"/>
        <w:rPr/>
      </w:pPr>
      <w:r>
        <w:rPr>
          <w:color w:val="000000"/>
        </w:rPr>
        <w:noBreakHyphen/>
      </w:r>
      <w:r>
        <w:rPr>
          <w:rFonts w:ascii="Times New Roman" w:hAnsi="Times New Roman"/>
          <w:color w:val="000000"/>
          <w:sz w:val="24"/>
        </w:rPr>
        <w:t>i</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7 Representations and Warranties 57</w:t>
      </w:r>
    </w:p>
    <w:p>
      <w:pPr>
        <w:pStyle w:val="TextBody"/>
        <w:bidi w:val="0"/>
        <w:jc w:val="left"/>
        <w:rPr>
          <w:rFonts w:ascii="Times New Roman" w:hAnsi="Times New Roman"/>
          <w:color w:val="000000"/>
          <w:sz w:val="24"/>
        </w:rPr>
      </w:pPr>
      <w:r>
        <w:rPr>
          <w:rFonts w:ascii="Times New Roman" w:hAnsi="Times New Roman"/>
          <w:color w:val="000000"/>
          <w:sz w:val="24"/>
        </w:rPr>
        <w:t>Section 7.01. Power and Authority 57</w:t>
      </w:r>
    </w:p>
    <w:p>
      <w:pPr>
        <w:pStyle w:val="TextBody"/>
        <w:bidi w:val="0"/>
        <w:jc w:val="left"/>
        <w:rPr>
          <w:rFonts w:ascii="Times New Roman" w:hAnsi="Times New Roman"/>
          <w:color w:val="000000"/>
          <w:sz w:val="24"/>
        </w:rPr>
      </w:pPr>
      <w:r>
        <w:rPr>
          <w:rFonts w:ascii="Times New Roman" w:hAnsi="Times New Roman"/>
          <w:color w:val="000000"/>
          <w:sz w:val="24"/>
        </w:rPr>
        <w:t>Section 7.02. Authorization; Enforceability 58</w:t>
      </w:r>
    </w:p>
    <w:p>
      <w:pPr>
        <w:pStyle w:val="TextBody"/>
        <w:bidi w:val="0"/>
        <w:jc w:val="left"/>
        <w:rPr>
          <w:rFonts w:ascii="Times New Roman" w:hAnsi="Times New Roman"/>
          <w:color w:val="000000"/>
          <w:sz w:val="24"/>
        </w:rPr>
      </w:pPr>
      <w:r>
        <w:rPr>
          <w:rFonts w:ascii="Times New Roman" w:hAnsi="Times New Roman"/>
          <w:color w:val="000000"/>
          <w:sz w:val="24"/>
        </w:rPr>
        <w:t>Section 7.03. Governmental and Other Approvals; No Conflicts 58</w:t>
      </w:r>
    </w:p>
    <w:p>
      <w:pPr>
        <w:pStyle w:val="TextBody"/>
        <w:bidi w:val="0"/>
        <w:jc w:val="left"/>
        <w:rPr>
          <w:rFonts w:ascii="Times New Roman" w:hAnsi="Times New Roman"/>
          <w:color w:val="000000"/>
          <w:sz w:val="24"/>
        </w:rPr>
      </w:pPr>
      <w:r>
        <w:rPr>
          <w:rFonts w:ascii="Times New Roman" w:hAnsi="Times New Roman"/>
          <w:color w:val="000000"/>
          <w:sz w:val="24"/>
        </w:rPr>
        <w:t>Section 7.04. Financial Statements; Projections; Material Adverse Change 58</w:t>
      </w:r>
    </w:p>
    <w:p>
      <w:pPr>
        <w:pStyle w:val="TextBody"/>
        <w:bidi w:val="0"/>
        <w:jc w:val="left"/>
        <w:rPr>
          <w:rFonts w:ascii="Times New Roman" w:hAnsi="Times New Roman"/>
          <w:color w:val="000000"/>
          <w:sz w:val="24"/>
        </w:rPr>
      </w:pPr>
      <w:r>
        <w:rPr>
          <w:rFonts w:ascii="Times New Roman" w:hAnsi="Times New Roman"/>
          <w:color w:val="000000"/>
          <w:sz w:val="24"/>
        </w:rPr>
        <w:t>Section 7.05. Properties 59</w:t>
      </w:r>
    </w:p>
    <w:p>
      <w:pPr>
        <w:pStyle w:val="TextBody"/>
        <w:bidi w:val="0"/>
        <w:jc w:val="left"/>
        <w:rPr>
          <w:rFonts w:ascii="Times New Roman" w:hAnsi="Times New Roman"/>
          <w:color w:val="000000"/>
          <w:sz w:val="24"/>
        </w:rPr>
      </w:pPr>
      <w:r>
        <w:rPr>
          <w:rFonts w:ascii="Times New Roman" w:hAnsi="Times New Roman"/>
          <w:color w:val="000000"/>
          <w:sz w:val="24"/>
        </w:rPr>
        <w:t>Section 7.06. No Actions or Proceedings 61</w:t>
      </w:r>
    </w:p>
    <w:p>
      <w:pPr>
        <w:pStyle w:val="TextBody"/>
        <w:bidi w:val="0"/>
        <w:jc w:val="left"/>
        <w:rPr>
          <w:rFonts w:ascii="Times New Roman" w:hAnsi="Times New Roman"/>
          <w:color w:val="000000"/>
          <w:sz w:val="24"/>
        </w:rPr>
      </w:pPr>
      <w:r>
        <w:rPr>
          <w:rFonts w:ascii="Times New Roman" w:hAnsi="Times New Roman"/>
          <w:color w:val="000000"/>
          <w:sz w:val="24"/>
        </w:rPr>
        <w:t>Section 7.07. Compliance with Laws and Agreements 62</w:t>
      </w:r>
    </w:p>
    <w:p>
      <w:pPr>
        <w:pStyle w:val="TextBody"/>
        <w:bidi w:val="0"/>
        <w:jc w:val="left"/>
        <w:rPr>
          <w:rFonts w:ascii="Times New Roman" w:hAnsi="Times New Roman"/>
          <w:color w:val="000000"/>
          <w:sz w:val="24"/>
        </w:rPr>
      </w:pPr>
      <w:r>
        <w:rPr>
          <w:rFonts w:ascii="Times New Roman" w:hAnsi="Times New Roman"/>
          <w:color w:val="000000"/>
          <w:sz w:val="24"/>
        </w:rPr>
        <w:t>Section 7.08. Taxes 63</w:t>
      </w:r>
    </w:p>
    <w:p>
      <w:pPr>
        <w:pStyle w:val="TextBody"/>
        <w:bidi w:val="0"/>
        <w:jc w:val="left"/>
        <w:rPr>
          <w:rFonts w:ascii="Times New Roman" w:hAnsi="Times New Roman"/>
          <w:color w:val="000000"/>
          <w:sz w:val="24"/>
        </w:rPr>
      </w:pPr>
      <w:r>
        <w:rPr>
          <w:rFonts w:ascii="Times New Roman" w:hAnsi="Times New Roman"/>
          <w:color w:val="000000"/>
          <w:sz w:val="24"/>
        </w:rPr>
        <w:t>Section 7.09. Full Disclosure 63</w:t>
      </w:r>
    </w:p>
    <w:p>
      <w:pPr>
        <w:pStyle w:val="TextBody"/>
        <w:bidi w:val="0"/>
        <w:jc w:val="left"/>
        <w:rPr>
          <w:rFonts w:ascii="Times New Roman" w:hAnsi="Times New Roman"/>
          <w:color w:val="000000"/>
          <w:sz w:val="24"/>
        </w:rPr>
      </w:pPr>
      <w:r>
        <w:rPr>
          <w:rFonts w:ascii="Times New Roman" w:hAnsi="Times New Roman"/>
          <w:color w:val="000000"/>
          <w:sz w:val="24"/>
        </w:rPr>
        <w:t>Section 7.10. Regulation 63</w:t>
      </w:r>
    </w:p>
    <w:p>
      <w:pPr>
        <w:pStyle w:val="TextBody"/>
        <w:bidi w:val="0"/>
        <w:jc w:val="left"/>
        <w:rPr>
          <w:rFonts w:ascii="Times New Roman" w:hAnsi="Times New Roman"/>
          <w:color w:val="000000"/>
          <w:sz w:val="24"/>
        </w:rPr>
      </w:pPr>
      <w:r>
        <w:rPr>
          <w:rFonts w:ascii="Times New Roman" w:hAnsi="Times New Roman"/>
          <w:color w:val="000000"/>
          <w:sz w:val="24"/>
        </w:rPr>
        <w:t>Section 7.11. Solvency 64</w:t>
      </w:r>
    </w:p>
    <w:p>
      <w:pPr>
        <w:pStyle w:val="TextBody"/>
        <w:bidi w:val="0"/>
        <w:jc w:val="left"/>
        <w:rPr>
          <w:rFonts w:ascii="Times New Roman" w:hAnsi="Times New Roman"/>
          <w:color w:val="000000"/>
          <w:sz w:val="24"/>
        </w:rPr>
      </w:pPr>
      <w:r>
        <w:rPr>
          <w:rFonts w:ascii="Times New Roman" w:hAnsi="Times New Roman"/>
          <w:color w:val="000000"/>
          <w:sz w:val="24"/>
        </w:rPr>
        <w:t>Section 7.12. Subsidiaries 64</w:t>
      </w:r>
    </w:p>
    <w:p>
      <w:pPr>
        <w:pStyle w:val="TextBody"/>
        <w:bidi w:val="0"/>
        <w:jc w:val="left"/>
        <w:rPr>
          <w:rFonts w:ascii="Times New Roman" w:hAnsi="Times New Roman"/>
          <w:color w:val="000000"/>
          <w:sz w:val="24"/>
        </w:rPr>
      </w:pPr>
      <w:r>
        <w:rPr>
          <w:rFonts w:ascii="Times New Roman" w:hAnsi="Times New Roman"/>
          <w:color w:val="000000"/>
          <w:sz w:val="24"/>
        </w:rPr>
        <w:t>Section 7.13. Indebtedness and Liens 64</w:t>
      </w:r>
    </w:p>
    <w:p>
      <w:pPr>
        <w:pStyle w:val="TextBody"/>
        <w:bidi w:val="0"/>
        <w:jc w:val="left"/>
        <w:rPr>
          <w:rFonts w:ascii="Times New Roman" w:hAnsi="Times New Roman"/>
          <w:color w:val="000000"/>
          <w:sz w:val="24"/>
        </w:rPr>
      </w:pPr>
      <w:r>
        <w:rPr>
          <w:rFonts w:ascii="Times New Roman" w:hAnsi="Times New Roman"/>
          <w:color w:val="000000"/>
          <w:sz w:val="24"/>
        </w:rPr>
        <w:t>Section 7.14. Material Agreements 64</w:t>
      </w:r>
    </w:p>
    <w:p>
      <w:pPr>
        <w:pStyle w:val="TextBody"/>
        <w:bidi w:val="0"/>
        <w:jc w:val="left"/>
        <w:rPr>
          <w:rFonts w:ascii="Times New Roman" w:hAnsi="Times New Roman"/>
          <w:color w:val="000000"/>
          <w:sz w:val="24"/>
        </w:rPr>
      </w:pPr>
      <w:r>
        <w:rPr>
          <w:rFonts w:ascii="Times New Roman" w:hAnsi="Times New Roman"/>
          <w:color w:val="000000"/>
          <w:sz w:val="24"/>
        </w:rPr>
        <w:t>Section 7.15. Restrictive Agreements 64</w:t>
      </w:r>
    </w:p>
    <w:p>
      <w:pPr>
        <w:pStyle w:val="TextBody"/>
        <w:bidi w:val="0"/>
        <w:jc w:val="left"/>
        <w:rPr>
          <w:rFonts w:ascii="Times New Roman" w:hAnsi="Times New Roman"/>
          <w:color w:val="000000"/>
          <w:sz w:val="24"/>
        </w:rPr>
      </w:pPr>
      <w:r>
        <w:rPr>
          <w:rFonts w:ascii="Times New Roman" w:hAnsi="Times New Roman"/>
          <w:color w:val="000000"/>
          <w:sz w:val="24"/>
        </w:rPr>
        <w:t>Section 7.16. Real Property 64</w:t>
      </w:r>
    </w:p>
    <w:p>
      <w:pPr>
        <w:pStyle w:val="TextBody"/>
        <w:bidi w:val="0"/>
        <w:jc w:val="left"/>
        <w:rPr>
          <w:rFonts w:ascii="Times New Roman" w:hAnsi="Times New Roman"/>
          <w:color w:val="000000"/>
          <w:sz w:val="24"/>
        </w:rPr>
      </w:pPr>
      <w:r>
        <w:rPr>
          <w:rFonts w:ascii="Times New Roman" w:hAnsi="Times New Roman"/>
          <w:color w:val="000000"/>
          <w:sz w:val="24"/>
        </w:rPr>
        <w:t>Section 7.17. Pension and Other Benefit Plans 64</w:t>
      </w:r>
    </w:p>
    <w:p>
      <w:pPr>
        <w:pStyle w:val="TextBody"/>
        <w:bidi w:val="0"/>
        <w:jc w:val="left"/>
        <w:rPr>
          <w:rFonts w:ascii="Times New Roman" w:hAnsi="Times New Roman"/>
          <w:color w:val="000000"/>
          <w:sz w:val="24"/>
        </w:rPr>
      </w:pPr>
      <w:r>
        <w:rPr>
          <w:rFonts w:ascii="Times New Roman" w:hAnsi="Times New Roman"/>
          <w:color w:val="000000"/>
          <w:sz w:val="24"/>
        </w:rPr>
        <w:t>Section 7.18. Collateral; Security Interest 65</w:t>
      </w:r>
    </w:p>
    <w:p>
      <w:pPr>
        <w:pStyle w:val="TextBody"/>
        <w:bidi w:val="0"/>
        <w:jc w:val="left"/>
        <w:rPr>
          <w:rFonts w:ascii="Times New Roman" w:hAnsi="Times New Roman"/>
          <w:color w:val="000000"/>
          <w:sz w:val="24"/>
        </w:rPr>
      </w:pPr>
      <w:r>
        <w:rPr>
          <w:rFonts w:ascii="Times New Roman" w:hAnsi="Times New Roman"/>
          <w:color w:val="000000"/>
          <w:sz w:val="24"/>
        </w:rPr>
        <w:t>Section 7.19. Regulatory Approvals 65</w:t>
      </w:r>
    </w:p>
    <w:p>
      <w:pPr>
        <w:pStyle w:val="TextBody"/>
        <w:bidi w:val="0"/>
        <w:jc w:val="left"/>
        <w:rPr>
          <w:rFonts w:ascii="Times New Roman" w:hAnsi="Times New Roman"/>
          <w:color w:val="000000"/>
          <w:sz w:val="24"/>
        </w:rPr>
      </w:pPr>
      <w:r>
        <w:rPr>
          <w:rFonts w:ascii="Times New Roman" w:hAnsi="Times New Roman"/>
          <w:color w:val="000000"/>
          <w:sz w:val="24"/>
        </w:rPr>
        <w:t>Section 7.20. Capitalization 67</w:t>
      </w:r>
    </w:p>
    <w:p>
      <w:pPr>
        <w:pStyle w:val="TextBody"/>
        <w:bidi w:val="0"/>
        <w:jc w:val="left"/>
        <w:rPr>
          <w:rFonts w:ascii="Times New Roman" w:hAnsi="Times New Roman"/>
          <w:color w:val="000000"/>
          <w:sz w:val="24"/>
        </w:rPr>
      </w:pPr>
      <w:r>
        <w:rPr>
          <w:rFonts w:ascii="Times New Roman" w:hAnsi="Times New Roman"/>
          <w:color w:val="000000"/>
          <w:sz w:val="24"/>
        </w:rPr>
        <w:t>Section 7.21. Insurance 68</w:t>
      </w:r>
    </w:p>
    <w:p>
      <w:pPr>
        <w:pStyle w:val="TextBody"/>
        <w:bidi w:val="0"/>
        <w:jc w:val="left"/>
        <w:rPr>
          <w:rFonts w:ascii="Times New Roman" w:hAnsi="Times New Roman"/>
          <w:color w:val="000000"/>
          <w:sz w:val="24"/>
        </w:rPr>
      </w:pPr>
      <w:r>
        <w:rPr>
          <w:rFonts w:ascii="Times New Roman" w:hAnsi="Times New Roman"/>
          <w:color w:val="000000"/>
          <w:sz w:val="24"/>
        </w:rPr>
        <w:t>Section 7.22. Certain Fees 68</w:t>
      </w:r>
    </w:p>
    <w:p>
      <w:pPr>
        <w:pStyle w:val="TextBody"/>
        <w:bidi w:val="0"/>
        <w:jc w:val="left"/>
        <w:rPr>
          <w:rFonts w:ascii="Times New Roman" w:hAnsi="Times New Roman"/>
          <w:color w:val="000000"/>
          <w:sz w:val="24"/>
        </w:rPr>
      </w:pPr>
      <w:r>
        <w:rPr>
          <w:rFonts w:ascii="Times New Roman" w:hAnsi="Times New Roman"/>
          <w:color w:val="000000"/>
          <w:sz w:val="24"/>
        </w:rPr>
        <w:t>Section 7.23. Economic Sanctions Laws 68</w:t>
      </w:r>
    </w:p>
    <w:p>
      <w:pPr>
        <w:pStyle w:val="TextBody"/>
        <w:bidi w:val="0"/>
        <w:jc w:val="left"/>
        <w:rPr>
          <w:rFonts w:ascii="Times New Roman" w:hAnsi="Times New Roman"/>
          <w:color w:val="000000"/>
          <w:sz w:val="24"/>
        </w:rPr>
      </w:pPr>
      <w:r>
        <w:rPr>
          <w:rFonts w:ascii="Times New Roman" w:hAnsi="Times New Roman"/>
          <w:color w:val="000000"/>
          <w:sz w:val="24"/>
        </w:rPr>
        <w:t>Section 7.24. Anti</w:t>
        <w:noBreakHyphen/>
        <w:t>Corruption Laws 68</w:t>
      </w:r>
    </w:p>
    <w:p>
      <w:pPr>
        <w:pStyle w:val="TextBody"/>
        <w:bidi w:val="0"/>
        <w:jc w:val="left"/>
        <w:rPr>
          <w:rFonts w:ascii="Times New Roman" w:hAnsi="Times New Roman"/>
          <w:color w:val="000000"/>
          <w:sz w:val="24"/>
        </w:rPr>
      </w:pPr>
      <w:r>
        <w:rPr>
          <w:rFonts w:ascii="Times New Roman" w:hAnsi="Times New Roman"/>
          <w:color w:val="000000"/>
          <w:sz w:val="24"/>
        </w:rPr>
        <w:t>Section 7.25. Anti</w:t>
        <w:noBreakHyphen/>
        <w:t>Terrorism Laws 68</w:t>
      </w:r>
    </w:p>
    <w:p>
      <w:pPr>
        <w:pStyle w:val="TextBody"/>
        <w:bidi w:val="0"/>
        <w:jc w:val="left"/>
        <w:rPr>
          <w:rFonts w:ascii="Times New Roman" w:hAnsi="Times New Roman"/>
          <w:color w:val="000000"/>
          <w:sz w:val="24"/>
        </w:rPr>
      </w:pPr>
      <w:r>
        <w:rPr>
          <w:rFonts w:ascii="Times New Roman" w:hAnsi="Times New Roman"/>
          <w:color w:val="000000"/>
          <w:sz w:val="24"/>
        </w:rPr>
        <w:t>Section 7.26. Royalty and Other Payments 68</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8 Affirmative Covenants and Financial Covenants 68</w:t>
      </w:r>
    </w:p>
    <w:p>
      <w:pPr>
        <w:pStyle w:val="TextBody"/>
        <w:bidi w:val="0"/>
        <w:jc w:val="left"/>
        <w:rPr>
          <w:rFonts w:ascii="Times New Roman" w:hAnsi="Times New Roman"/>
          <w:color w:val="000000"/>
          <w:sz w:val="24"/>
        </w:rPr>
      </w:pPr>
      <w:r>
        <w:rPr>
          <w:rFonts w:ascii="Times New Roman" w:hAnsi="Times New Roman"/>
          <w:color w:val="000000"/>
          <w:sz w:val="24"/>
        </w:rPr>
        <w:t>Section 8.01. Financial Statements and Other Information 69</w:t>
      </w:r>
    </w:p>
    <w:p>
      <w:pPr>
        <w:pStyle w:val="TextBody"/>
        <w:bidi w:val="0"/>
        <w:jc w:val="left"/>
        <w:rPr>
          <w:rFonts w:ascii="Times New Roman" w:hAnsi="Times New Roman"/>
          <w:color w:val="000000"/>
          <w:sz w:val="24"/>
        </w:rPr>
      </w:pPr>
      <w:r>
        <w:rPr>
          <w:rFonts w:ascii="Times New Roman" w:hAnsi="Times New Roman"/>
          <w:color w:val="000000"/>
          <w:sz w:val="24"/>
        </w:rPr>
        <w:t>Section 8.02. Notices of Material Events 72</w:t>
      </w:r>
    </w:p>
    <w:p>
      <w:pPr>
        <w:pStyle w:val="TextBody"/>
        <w:bidi w:val="0"/>
        <w:jc w:val="left"/>
        <w:rPr>
          <w:rFonts w:ascii="Times New Roman" w:hAnsi="Times New Roman"/>
          <w:color w:val="000000"/>
          <w:sz w:val="24"/>
        </w:rPr>
      </w:pPr>
      <w:r>
        <w:rPr>
          <w:rFonts w:ascii="Times New Roman" w:hAnsi="Times New Roman"/>
          <w:color w:val="000000"/>
          <w:sz w:val="24"/>
        </w:rPr>
        <w:t>Section 8.03. Existence; Maintenance of Properties. 75</w:t>
      </w:r>
    </w:p>
    <w:p>
      <w:pPr>
        <w:pStyle w:val="TextBody"/>
        <w:bidi w:val="0"/>
        <w:jc w:val="left"/>
        <w:rPr>
          <w:rFonts w:ascii="Times New Roman" w:hAnsi="Times New Roman"/>
          <w:color w:val="000000"/>
          <w:sz w:val="24"/>
        </w:rPr>
      </w:pPr>
      <w:r>
        <w:rPr>
          <w:rFonts w:ascii="Times New Roman" w:hAnsi="Times New Roman"/>
          <w:color w:val="000000"/>
          <w:sz w:val="24"/>
        </w:rPr>
        <w:t>Section 8.04. Payment of Obligations 75</w:t>
      </w:r>
    </w:p>
    <w:p>
      <w:pPr>
        <w:pStyle w:val="TextBody"/>
        <w:bidi w:val="0"/>
        <w:jc w:val="left"/>
        <w:rPr>
          <w:rFonts w:ascii="Times New Roman" w:hAnsi="Times New Roman"/>
          <w:color w:val="000000"/>
          <w:sz w:val="24"/>
        </w:rPr>
      </w:pPr>
      <w:r>
        <w:rPr>
          <w:rFonts w:ascii="Times New Roman" w:hAnsi="Times New Roman"/>
          <w:color w:val="000000"/>
          <w:sz w:val="24"/>
        </w:rPr>
        <w:t>Section 8.05. Insurance 76</w:t>
      </w:r>
    </w:p>
    <w:p>
      <w:pPr>
        <w:pStyle w:val="TextBody"/>
        <w:bidi w:val="0"/>
        <w:jc w:val="left"/>
        <w:rPr>
          <w:rFonts w:ascii="Times New Roman" w:hAnsi="Times New Roman"/>
          <w:color w:val="000000"/>
          <w:sz w:val="24"/>
        </w:rPr>
      </w:pPr>
      <w:r>
        <w:rPr>
          <w:rFonts w:ascii="Times New Roman" w:hAnsi="Times New Roman"/>
          <w:color w:val="000000"/>
          <w:sz w:val="24"/>
        </w:rPr>
        <w:t>Section 8.06. Books and Records; Inspection Rights 76</w:t>
      </w:r>
    </w:p>
    <w:p>
      <w:pPr>
        <w:pStyle w:val="TextBody"/>
        <w:bidi w:val="0"/>
        <w:jc w:val="left"/>
        <w:rPr>
          <w:rFonts w:ascii="Times New Roman" w:hAnsi="Times New Roman"/>
          <w:color w:val="000000"/>
          <w:sz w:val="24"/>
        </w:rPr>
      </w:pPr>
      <w:r>
        <w:rPr>
          <w:rFonts w:ascii="Times New Roman" w:hAnsi="Times New Roman"/>
          <w:color w:val="000000"/>
          <w:sz w:val="24"/>
        </w:rPr>
        <w:t>Section 8.07. Compliance with Laws 77</w:t>
      </w:r>
    </w:p>
    <w:p>
      <w:pPr>
        <w:pStyle w:val="TextBody"/>
        <w:bidi w:val="0"/>
        <w:jc w:val="left"/>
        <w:rPr>
          <w:rFonts w:ascii="Times New Roman" w:hAnsi="Times New Roman"/>
          <w:color w:val="000000"/>
          <w:sz w:val="24"/>
        </w:rPr>
      </w:pPr>
      <w:r>
        <w:rPr>
          <w:rFonts w:ascii="Times New Roman" w:hAnsi="Times New Roman"/>
          <w:color w:val="000000"/>
          <w:sz w:val="24"/>
        </w:rPr>
        <w:t>Section 8.08. Licenses 78</w:t>
      </w:r>
    </w:p>
    <w:p>
      <w:pPr>
        <w:pStyle w:val="TextBody"/>
        <w:bidi w:val="0"/>
        <w:jc w:val="left"/>
        <w:rPr>
          <w:rFonts w:ascii="Times New Roman" w:hAnsi="Times New Roman"/>
          <w:color w:val="000000"/>
          <w:sz w:val="24"/>
        </w:rPr>
      </w:pPr>
      <w:r>
        <w:rPr>
          <w:rFonts w:ascii="Times New Roman" w:hAnsi="Times New Roman"/>
          <w:color w:val="000000"/>
          <w:sz w:val="24"/>
        </w:rPr>
        <w:t>Section 8.09. Action under Environmental Laws 78</w:t>
      </w:r>
    </w:p>
    <w:p>
      <w:pPr>
        <w:pStyle w:val="TextBody"/>
        <w:bidi w:val="0"/>
        <w:jc w:val="left"/>
        <w:rPr>
          <w:rFonts w:ascii="Times New Roman" w:hAnsi="Times New Roman"/>
          <w:color w:val="000000"/>
          <w:sz w:val="24"/>
        </w:rPr>
      </w:pPr>
      <w:r>
        <w:rPr>
          <w:rFonts w:ascii="Times New Roman" w:hAnsi="Times New Roman"/>
          <w:color w:val="000000"/>
          <w:sz w:val="24"/>
        </w:rPr>
        <w:t>Section 8.10. Use of Proceeds 78</w:t>
      </w:r>
    </w:p>
    <w:p>
      <w:pPr>
        <w:pStyle w:val="TextBody"/>
        <w:bidi w:val="0"/>
        <w:jc w:val="left"/>
        <w:rPr>
          <w:rFonts w:ascii="Times New Roman" w:hAnsi="Times New Roman"/>
          <w:color w:val="000000"/>
          <w:sz w:val="24"/>
        </w:rPr>
      </w:pPr>
      <w:r>
        <w:rPr>
          <w:rFonts w:ascii="Times New Roman" w:hAnsi="Times New Roman"/>
          <w:color w:val="000000"/>
          <w:sz w:val="24"/>
        </w:rPr>
        <w:t>Section 8.11. Certain Obligations Respecting Subsidiaries; Further Assurances 78</w:t>
      </w:r>
    </w:p>
    <w:p>
      <w:pPr>
        <w:pStyle w:val="TextBody"/>
        <w:bidi w:val="0"/>
        <w:jc w:val="left"/>
        <w:rPr>
          <w:rFonts w:ascii="Times New Roman" w:hAnsi="Times New Roman"/>
          <w:color w:val="000000"/>
          <w:sz w:val="24"/>
        </w:rPr>
      </w:pPr>
      <w:r>
        <w:rPr>
          <w:rFonts w:ascii="Times New Roman" w:hAnsi="Times New Roman"/>
          <w:color w:val="000000"/>
          <w:sz w:val="24"/>
        </w:rPr>
        <w:t>Section 8.12. Termination of Non</w:t>
        <w:noBreakHyphen/>
        <w:t>Permitted Liens 80</w:t>
      </w:r>
    </w:p>
    <w:p>
      <w:pPr>
        <w:pStyle w:val="TextBody"/>
        <w:bidi w:val="0"/>
        <w:jc w:val="left"/>
        <w:rPr>
          <w:rFonts w:ascii="Times New Roman" w:hAnsi="Times New Roman"/>
          <w:color w:val="000000"/>
          <w:sz w:val="24"/>
        </w:rPr>
      </w:pPr>
      <w:r>
        <w:rPr>
          <w:rFonts w:ascii="Times New Roman" w:hAnsi="Times New Roman"/>
          <w:color w:val="000000"/>
          <w:sz w:val="24"/>
        </w:rPr>
        <w:t>Section 8.13. Non-Consolidation 80</w:t>
      </w:r>
    </w:p>
    <w:p>
      <w:pPr>
        <w:pStyle w:val="TextBody"/>
        <w:bidi w:val="0"/>
        <w:jc w:val="left"/>
        <w:rPr>
          <w:rFonts w:ascii="Times New Roman" w:hAnsi="Times New Roman"/>
          <w:color w:val="000000"/>
          <w:sz w:val="24"/>
        </w:rPr>
      </w:pPr>
      <w:r>
        <w:rPr>
          <w:rFonts w:ascii="Times New Roman" w:hAnsi="Times New Roman"/>
          <w:color w:val="000000"/>
          <w:sz w:val="24"/>
        </w:rPr>
        <w:t>Section 8.14. Anti</w:t>
        <w:noBreakHyphen/>
        <w:t>Terrorism and Anti</w:t>
        <w:noBreakHyphen/>
        <w:t>Corruption Laws 80</w:t>
      </w:r>
    </w:p>
    <w:p>
      <w:pPr>
        <w:pStyle w:val="TextBody"/>
        <w:bidi w:val="0"/>
        <w:jc w:val="left"/>
        <w:rPr>
          <w:rFonts w:ascii="Times New Roman" w:hAnsi="Times New Roman"/>
          <w:color w:val="000000"/>
          <w:sz w:val="24"/>
        </w:rPr>
      </w:pPr>
      <w:r>
        <w:rPr>
          <w:rFonts w:ascii="Times New Roman" w:hAnsi="Times New Roman"/>
          <w:color w:val="000000"/>
          <w:sz w:val="24"/>
        </w:rPr>
        <w:t>Section 8.15. Financial Covenants 80</w:t>
      </w:r>
    </w:p>
    <w:p>
      <w:pPr>
        <w:pStyle w:val="TextBody"/>
        <w:bidi w:val="0"/>
        <w:jc w:val="center"/>
        <w:rPr/>
      </w:pPr>
      <w:r>
        <w:rPr>
          <w:color w:val="000000"/>
        </w:rPr>
        <w:noBreakHyphen/>
      </w:r>
      <w:r>
        <w:rPr>
          <w:rFonts w:ascii="Times New Roman" w:hAnsi="Times New Roman"/>
          <w:color w:val="000000"/>
          <w:sz w:val="24"/>
        </w:rPr>
        <w:t>ii</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Section 8.16. Maintenance of Regulatory Approvals, Contracts and Intellectual Property. 80</w:t>
      </w:r>
    </w:p>
    <w:p>
      <w:pPr>
        <w:pStyle w:val="TextBody"/>
        <w:bidi w:val="0"/>
        <w:jc w:val="left"/>
        <w:rPr>
          <w:rFonts w:ascii="Times New Roman" w:hAnsi="Times New Roman"/>
          <w:color w:val="000000"/>
          <w:sz w:val="24"/>
        </w:rPr>
      </w:pPr>
      <w:r>
        <w:rPr>
          <w:rFonts w:ascii="Times New Roman" w:hAnsi="Times New Roman"/>
          <w:color w:val="000000"/>
          <w:sz w:val="24"/>
        </w:rPr>
        <w:t>Section 8.17. Cash Management 81</w:t>
      </w:r>
    </w:p>
    <w:p>
      <w:pPr>
        <w:pStyle w:val="TextBody"/>
        <w:bidi w:val="0"/>
        <w:jc w:val="left"/>
        <w:rPr>
          <w:rFonts w:ascii="Times New Roman" w:hAnsi="Times New Roman"/>
          <w:color w:val="000000"/>
          <w:sz w:val="24"/>
        </w:rPr>
      </w:pPr>
      <w:r>
        <w:rPr>
          <w:rFonts w:ascii="Times New Roman" w:hAnsi="Times New Roman"/>
          <w:color w:val="000000"/>
          <w:sz w:val="24"/>
        </w:rPr>
        <w:t>Section 8.18. Certain Post-Funding Obligations 81</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9 Negative Covenants 81</w:t>
      </w:r>
    </w:p>
    <w:p>
      <w:pPr>
        <w:pStyle w:val="TextBody"/>
        <w:bidi w:val="0"/>
        <w:jc w:val="left"/>
        <w:rPr>
          <w:rFonts w:ascii="Times New Roman" w:hAnsi="Times New Roman"/>
          <w:color w:val="000000"/>
          <w:sz w:val="24"/>
        </w:rPr>
      </w:pPr>
      <w:r>
        <w:rPr>
          <w:rFonts w:ascii="Times New Roman" w:hAnsi="Times New Roman"/>
          <w:color w:val="000000"/>
          <w:sz w:val="24"/>
        </w:rPr>
        <w:t>Section 9.01. Indebtedness 82</w:t>
      </w:r>
    </w:p>
    <w:p>
      <w:pPr>
        <w:pStyle w:val="TextBody"/>
        <w:bidi w:val="0"/>
        <w:jc w:val="left"/>
        <w:rPr>
          <w:rFonts w:ascii="Times New Roman" w:hAnsi="Times New Roman"/>
          <w:color w:val="000000"/>
          <w:sz w:val="24"/>
        </w:rPr>
      </w:pPr>
      <w:r>
        <w:rPr>
          <w:rFonts w:ascii="Times New Roman" w:hAnsi="Times New Roman"/>
          <w:color w:val="000000"/>
          <w:sz w:val="24"/>
        </w:rPr>
        <w:t>Section 9.02. Liens 83</w:t>
      </w:r>
    </w:p>
    <w:p>
      <w:pPr>
        <w:pStyle w:val="TextBody"/>
        <w:bidi w:val="0"/>
        <w:jc w:val="left"/>
        <w:rPr>
          <w:rFonts w:ascii="Times New Roman" w:hAnsi="Times New Roman"/>
          <w:color w:val="000000"/>
          <w:sz w:val="24"/>
        </w:rPr>
      </w:pPr>
      <w:r>
        <w:rPr>
          <w:rFonts w:ascii="Times New Roman" w:hAnsi="Times New Roman"/>
          <w:color w:val="000000"/>
          <w:sz w:val="24"/>
        </w:rPr>
        <w:t>Section 9.03. Fundamental Changes and Acquisitions 85</w:t>
      </w:r>
    </w:p>
    <w:p>
      <w:pPr>
        <w:pStyle w:val="TextBody"/>
        <w:bidi w:val="0"/>
        <w:jc w:val="left"/>
        <w:rPr>
          <w:rFonts w:ascii="Times New Roman" w:hAnsi="Times New Roman"/>
          <w:color w:val="000000"/>
          <w:sz w:val="24"/>
        </w:rPr>
      </w:pPr>
      <w:r>
        <w:rPr>
          <w:rFonts w:ascii="Times New Roman" w:hAnsi="Times New Roman"/>
          <w:color w:val="000000"/>
          <w:sz w:val="24"/>
        </w:rPr>
        <w:t>Section 9.04. Lines of Business 86</w:t>
      </w:r>
    </w:p>
    <w:p>
      <w:pPr>
        <w:pStyle w:val="TextBody"/>
        <w:bidi w:val="0"/>
        <w:jc w:val="left"/>
        <w:rPr>
          <w:rFonts w:ascii="Times New Roman" w:hAnsi="Times New Roman"/>
          <w:color w:val="000000"/>
          <w:sz w:val="24"/>
        </w:rPr>
      </w:pPr>
      <w:r>
        <w:rPr>
          <w:rFonts w:ascii="Times New Roman" w:hAnsi="Times New Roman"/>
          <w:color w:val="000000"/>
          <w:sz w:val="24"/>
        </w:rPr>
        <w:t>Section 9.05. Investments 86</w:t>
      </w:r>
    </w:p>
    <w:p>
      <w:pPr>
        <w:pStyle w:val="TextBody"/>
        <w:bidi w:val="0"/>
        <w:jc w:val="left"/>
        <w:rPr>
          <w:rFonts w:ascii="Times New Roman" w:hAnsi="Times New Roman"/>
          <w:color w:val="000000"/>
          <w:sz w:val="24"/>
        </w:rPr>
      </w:pPr>
      <w:r>
        <w:rPr>
          <w:rFonts w:ascii="Times New Roman" w:hAnsi="Times New Roman"/>
          <w:color w:val="000000"/>
          <w:sz w:val="24"/>
        </w:rPr>
        <w:t>Section 9.06. Restricted Payments 87</w:t>
      </w:r>
    </w:p>
    <w:p>
      <w:pPr>
        <w:pStyle w:val="TextBody"/>
        <w:bidi w:val="0"/>
        <w:jc w:val="left"/>
        <w:rPr>
          <w:rFonts w:ascii="Times New Roman" w:hAnsi="Times New Roman"/>
          <w:color w:val="000000"/>
          <w:sz w:val="24"/>
        </w:rPr>
      </w:pPr>
      <w:r>
        <w:rPr>
          <w:rFonts w:ascii="Times New Roman" w:hAnsi="Times New Roman"/>
          <w:color w:val="000000"/>
          <w:sz w:val="24"/>
        </w:rPr>
        <w:t>Section 9.07. Payments of Indebtedness and Milestone Payments 88</w:t>
      </w:r>
    </w:p>
    <w:p>
      <w:pPr>
        <w:pStyle w:val="TextBody"/>
        <w:bidi w:val="0"/>
        <w:jc w:val="left"/>
        <w:rPr>
          <w:rFonts w:ascii="Times New Roman" w:hAnsi="Times New Roman"/>
          <w:color w:val="000000"/>
          <w:sz w:val="24"/>
        </w:rPr>
      </w:pPr>
      <w:r>
        <w:rPr>
          <w:rFonts w:ascii="Times New Roman" w:hAnsi="Times New Roman"/>
          <w:color w:val="000000"/>
          <w:sz w:val="24"/>
        </w:rPr>
        <w:t>Section 9.08. Change in Fiscal Year 88</w:t>
      </w:r>
    </w:p>
    <w:p>
      <w:pPr>
        <w:pStyle w:val="TextBody"/>
        <w:bidi w:val="0"/>
        <w:jc w:val="left"/>
        <w:rPr>
          <w:rFonts w:ascii="Times New Roman" w:hAnsi="Times New Roman"/>
          <w:color w:val="000000"/>
          <w:sz w:val="24"/>
        </w:rPr>
      </w:pPr>
      <w:r>
        <w:rPr>
          <w:rFonts w:ascii="Times New Roman" w:hAnsi="Times New Roman"/>
          <w:color w:val="000000"/>
          <w:sz w:val="24"/>
        </w:rPr>
        <w:t>Section 9.09. Sales of Assets. 88</w:t>
      </w:r>
    </w:p>
    <w:p>
      <w:pPr>
        <w:pStyle w:val="TextBody"/>
        <w:bidi w:val="0"/>
        <w:jc w:val="left"/>
        <w:rPr>
          <w:rFonts w:ascii="Times New Roman" w:hAnsi="Times New Roman"/>
          <w:color w:val="000000"/>
          <w:sz w:val="24"/>
        </w:rPr>
      </w:pPr>
      <w:r>
        <w:rPr>
          <w:rFonts w:ascii="Times New Roman" w:hAnsi="Times New Roman"/>
          <w:color w:val="000000"/>
          <w:sz w:val="24"/>
        </w:rPr>
        <w:t>Section 9.10. Transactions with Affiliates 91</w:t>
      </w:r>
    </w:p>
    <w:p>
      <w:pPr>
        <w:pStyle w:val="TextBody"/>
        <w:bidi w:val="0"/>
        <w:jc w:val="left"/>
        <w:rPr>
          <w:rFonts w:ascii="Times New Roman" w:hAnsi="Times New Roman"/>
          <w:color w:val="000000"/>
          <w:sz w:val="24"/>
        </w:rPr>
      </w:pPr>
      <w:r>
        <w:rPr>
          <w:rFonts w:ascii="Times New Roman" w:hAnsi="Times New Roman"/>
          <w:color w:val="000000"/>
          <w:sz w:val="24"/>
        </w:rPr>
        <w:t>Section 9.11. Restrictive Agreements 91</w:t>
      </w:r>
    </w:p>
    <w:p>
      <w:pPr>
        <w:pStyle w:val="TextBody"/>
        <w:bidi w:val="0"/>
        <w:jc w:val="left"/>
        <w:rPr>
          <w:rFonts w:ascii="Times New Roman" w:hAnsi="Times New Roman"/>
          <w:color w:val="000000"/>
          <w:sz w:val="24"/>
        </w:rPr>
      </w:pPr>
      <w:r>
        <w:rPr>
          <w:rFonts w:ascii="Times New Roman" w:hAnsi="Times New Roman"/>
          <w:color w:val="000000"/>
          <w:sz w:val="24"/>
        </w:rPr>
        <w:t>Section 9.12. Organizational Documents, Material Agreements 92</w:t>
      </w:r>
    </w:p>
    <w:p>
      <w:pPr>
        <w:pStyle w:val="TextBody"/>
        <w:bidi w:val="0"/>
        <w:jc w:val="left"/>
        <w:rPr>
          <w:rFonts w:ascii="Times New Roman" w:hAnsi="Times New Roman"/>
          <w:color w:val="000000"/>
          <w:sz w:val="24"/>
        </w:rPr>
      </w:pPr>
      <w:r>
        <w:rPr>
          <w:rFonts w:ascii="Times New Roman" w:hAnsi="Times New Roman"/>
          <w:color w:val="000000"/>
          <w:sz w:val="24"/>
        </w:rPr>
        <w:t>Section 9.13. [Reserved] 92</w:t>
      </w:r>
    </w:p>
    <w:p>
      <w:pPr>
        <w:pStyle w:val="TextBody"/>
        <w:bidi w:val="0"/>
        <w:jc w:val="left"/>
        <w:rPr>
          <w:rFonts w:ascii="Times New Roman" w:hAnsi="Times New Roman"/>
          <w:color w:val="000000"/>
          <w:sz w:val="24"/>
        </w:rPr>
      </w:pPr>
      <w:r>
        <w:rPr>
          <w:rFonts w:ascii="Times New Roman" w:hAnsi="Times New Roman"/>
          <w:color w:val="000000"/>
          <w:sz w:val="24"/>
        </w:rPr>
        <w:t>Section 9.14. Sales and Leasebacks 92</w:t>
      </w:r>
    </w:p>
    <w:p>
      <w:pPr>
        <w:pStyle w:val="TextBody"/>
        <w:bidi w:val="0"/>
        <w:jc w:val="left"/>
        <w:rPr>
          <w:rFonts w:ascii="Times New Roman" w:hAnsi="Times New Roman"/>
          <w:color w:val="000000"/>
          <w:sz w:val="24"/>
        </w:rPr>
      </w:pPr>
      <w:r>
        <w:rPr>
          <w:rFonts w:ascii="Times New Roman" w:hAnsi="Times New Roman"/>
          <w:color w:val="000000"/>
          <w:sz w:val="24"/>
        </w:rPr>
        <w:t>Section 9.15. Hazardous Material 92</w:t>
      </w:r>
    </w:p>
    <w:p>
      <w:pPr>
        <w:pStyle w:val="TextBody"/>
        <w:bidi w:val="0"/>
        <w:jc w:val="left"/>
        <w:rPr>
          <w:rFonts w:ascii="Times New Roman" w:hAnsi="Times New Roman"/>
          <w:color w:val="000000"/>
          <w:sz w:val="24"/>
        </w:rPr>
      </w:pPr>
      <w:r>
        <w:rPr>
          <w:rFonts w:ascii="Times New Roman" w:hAnsi="Times New Roman"/>
          <w:color w:val="000000"/>
          <w:sz w:val="24"/>
        </w:rPr>
        <w:t>Section 9.16. Accounting Changes 93</w:t>
      </w:r>
    </w:p>
    <w:p>
      <w:pPr>
        <w:pStyle w:val="TextBody"/>
        <w:bidi w:val="0"/>
        <w:jc w:val="left"/>
        <w:rPr>
          <w:rFonts w:ascii="Times New Roman" w:hAnsi="Times New Roman"/>
          <w:color w:val="000000"/>
          <w:sz w:val="24"/>
        </w:rPr>
      </w:pPr>
      <w:r>
        <w:rPr>
          <w:rFonts w:ascii="Times New Roman" w:hAnsi="Times New Roman"/>
          <w:color w:val="000000"/>
          <w:sz w:val="24"/>
        </w:rPr>
        <w:t>Section 9.17. Compliance with ERISA 93</w:t>
      </w:r>
    </w:p>
    <w:p>
      <w:pPr>
        <w:pStyle w:val="TextBody"/>
        <w:bidi w:val="0"/>
        <w:jc w:val="left"/>
        <w:rPr>
          <w:rFonts w:ascii="Times New Roman" w:hAnsi="Times New Roman"/>
          <w:color w:val="000000"/>
          <w:sz w:val="24"/>
        </w:rPr>
      </w:pPr>
      <w:r>
        <w:rPr>
          <w:rFonts w:ascii="Times New Roman" w:hAnsi="Times New Roman"/>
          <w:color w:val="000000"/>
          <w:sz w:val="24"/>
        </w:rPr>
        <w:t>Section 9.18. Deposit Accounts 93</w:t>
      </w:r>
    </w:p>
    <w:p>
      <w:pPr>
        <w:pStyle w:val="TextBody"/>
        <w:bidi w:val="0"/>
        <w:jc w:val="left"/>
        <w:rPr>
          <w:rFonts w:ascii="Times New Roman" w:hAnsi="Times New Roman"/>
          <w:color w:val="000000"/>
          <w:sz w:val="24"/>
        </w:rPr>
      </w:pPr>
      <w:r>
        <w:rPr>
          <w:rFonts w:ascii="Times New Roman" w:hAnsi="Times New Roman"/>
          <w:color w:val="000000"/>
          <w:sz w:val="24"/>
        </w:rPr>
        <w:t>Section 9.19. Outbound Licenses 93</w:t>
      </w:r>
    </w:p>
    <w:p>
      <w:pPr>
        <w:pStyle w:val="TextBody"/>
        <w:bidi w:val="0"/>
        <w:jc w:val="left"/>
        <w:rPr>
          <w:rFonts w:ascii="Times New Roman" w:hAnsi="Times New Roman"/>
          <w:color w:val="000000"/>
          <w:sz w:val="24"/>
        </w:rPr>
      </w:pPr>
      <w:r>
        <w:rPr>
          <w:rFonts w:ascii="Times New Roman" w:hAnsi="Times New Roman"/>
          <w:color w:val="000000"/>
          <w:sz w:val="24"/>
        </w:rPr>
        <w:t>Section 9.20. Inbound Licenses 93</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10 Events of Default 93</w:t>
      </w:r>
    </w:p>
    <w:p>
      <w:pPr>
        <w:pStyle w:val="TextBody"/>
        <w:bidi w:val="0"/>
        <w:jc w:val="left"/>
        <w:rPr>
          <w:rFonts w:ascii="Times New Roman" w:hAnsi="Times New Roman"/>
          <w:color w:val="000000"/>
          <w:sz w:val="24"/>
        </w:rPr>
      </w:pPr>
      <w:r>
        <w:rPr>
          <w:rFonts w:ascii="Times New Roman" w:hAnsi="Times New Roman"/>
          <w:color w:val="000000"/>
          <w:sz w:val="24"/>
        </w:rPr>
        <w:t>Section 10.01. Events of Default 93</w:t>
      </w:r>
    </w:p>
    <w:p>
      <w:pPr>
        <w:pStyle w:val="TextBody"/>
        <w:bidi w:val="0"/>
        <w:jc w:val="left"/>
        <w:rPr>
          <w:rFonts w:ascii="Times New Roman" w:hAnsi="Times New Roman"/>
          <w:color w:val="000000"/>
          <w:sz w:val="24"/>
        </w:rPr>
      </w:pPr>
      <w:r>
        <w:rPr>
          <w:rFonts w:ascii="Times New Roman" w:hAnsi="Times New Roman"/>
          <w:color w:val="000000"/>
          <w:sz w:val="24"/>
        </w:rPr>
        <w:t>Section 10.02. Remedies 96</w:t>
      </w:r>
    </w:p>
    <w:p>
      <w:pPr>
        <w:pStyle w:val="TextBody"/>
        <w:bidi w:val="0"/>
        <w:jc w:val="left"/>
        <w:rPr>
          <w:rFonts w:ascii="Times New Roman" w:hAnsi="Times New Roman"/>
          <w:color w:val="000000"/>
          <w:sz w:val="24"/>
        </w:rPr>
      </w:pPr>
      <w:r>
        <w:rPr>
          <w:rFonts w:ascii="Times New Roman" w:hAnsi="Times New Roman"/>
          <w:color w:val="000000"/>
          <w:sz w:val="24"/>
        </w:rPr>
        <w:t>Section 10.03. Prepayment Premium and Redemption Price 97</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11 Guarantee 97</w:t>
      </w:r>
    </w:p>
    <w:p>
      <w:pPr>
        <w:pStyle w:val="TextBody"/>
        <w:bidi w:val="0"/>
        <w:jc w:val="left"/>
        <w:rPr>
          <w:rFonts w:ascii="Times New Roman" w:hAnsi="Times New Roman"/>
          <w:color w:val="000000"/>
          <w:sz w:val="24"/>
        </w:rPr>
      </w:pPr>
      <w:r>
        <w:rPr>
          <w:rFonts w:ascii="Times New Roman" w:hAnsi="Times New Roman"/>
          <w:color w:val="000000"/>
          <w:sz w:val="24"/>
        </w:rPr>
        <w:t>Section 11.01. The Guarantee 97</w:t>
      </w:r>
    </w:p>
    <w:p>
      <w:pPr>
        <w:pStyle w:val="TextBody"/>
        <w:bidi w:val="0"/>
        <w:jc w:val="left"/>
        <w:rPr>
          <w:rFonts w:ascii="Times New Roman" w:hAnsi="Times New Roman"/>
          <w:color w:val="000000"/>
          <w:sz w:val="24"/>
        </w:rPr>
      </w:pPr>
      <w:r>
        <w:rPr>
          <w:rFonts w:ascii="Times New Roman" w:hAnsi="Times New Roman"/>
          <w:color w:val="000000"/>
          <w:sz w:val="24"/>
        </w:rPr>
        <w:t>Section 11.02. Obligations Unconditional 98</w:t>
      </w:r>
    </w:p>
    <w:p>
      <w:pPr>
        <w:pStyle w:val="TextBody"/>
        <w:bidi w:val="0"/>
        <w:jc w:val="left"/>
        <w:rPr>
          <w:rFonts w:ascii="Times New Roman" w:hAnsi="Times New Roman"/>
          <w:color w:val="000000"/>
          <w:sz w:val="24"/>
        </w:rPr>
      </w:pPr>
      <w:r>
        <w:rPr>
          <w:rFonts w:ascii="Times New Roman" w:hAnsi="Times New Roman"/>
          <w:color w:val="000000"/>
          <w:sz w:val="24"/>
        </w:rPr>
        <w:t>Section 11.03. Reinstatement 100</w:t>
      </w:r>
    </w:p>
    <w:p>
      <w:pPr>
        <w:pStyle w:val="TextBody"/>
        <w:bidi w:val="0"/>
        <w:jc w:val="left"/>
        <w:rPr>
          <w:rFonts w:ascii="Times New Roman" w:hAnsi="Times New Roman"/>
          <w:color w:val="000000"/>
          <w:sz w:val="24"/>
        </w:rPr>
      </w:pPr>
      <w:r>
        <w:rPr>
          <w:rFonts w:ascii="Times New Roman" w:hAnsi="Times New Roman"/>
          <w:color w:val="000000"/>
          <w:sz w:val="24"/>
        </w:rPr>
        <w:t>Section 11.04. Subrogation 100</w:t>
      </w:r>
    </w:p>
    <w:p>
      <w:pPr>
        <w:pStyle w:val="TextBody"/>
        <w:bidi w:val="0"/>
        <w:jc w:val="left"/>
        <w:rPr>
          <w:rFonts w:ascii="Times New Roman" w:hAnsi="Times New Roman"/>
          <w:color w:val="000000"/>
          <w:sz w:val="24"/>
        </w:rPr>
      </w:pPr>
      <w:r>
        <w:rPr>
          <w:rFonts w:ascii="Times New Roman" w:hAnsi="Times New Roman"/>
          <w:color w:val="000000"/>
          <w:sz w:val="24"/>
        </w:rPr>
        <w:t>Section 11.05. Remedies 100</w:t>
      </w:r>
    </w:p>
    <w:p>
      <w:pPr>
        <w:pStyle w:val="TextBody"/>
        <w:bidi w:val="0"/>
        <w:jc w:val="left"/>
        <w:rPr>
          <w:rFonts w:ascii="Times New Roman" w:hAnsi="Times New Roman"/>
          <w:color w:val="000000"/>
          <w:sz w:val="24"/>
        </w:rPr>
      </w:pPr>
      <w:r>
        <w:rPr>
          <w:rFonts w:ascii="Times New Roman" w:hAnsi="Times New Roman"/>
          <w:color w:val="000000"/>
          <w:sz w:val="24"/>
        </w:rPr>
        <w:t>Section 11.06. Instrument for the Payment of Money 100</w:t>
      </w:r>
    </w:p>
    <w:p>
      <w:pPr>
        <w:pStyle w:val="TextBody"/>
        <w:bidi w:val="0"/>
        <w:jc w:val="left"/>
        <w:rPr>
          <w:rFonts w:ascii="Times New Roman" w:hAnsi="Times New Roman"/>
          <w:color w:val="000000"/>
          <w:sz w:val="24"/>
        </w:rPr>
      </w:pPr>
      <w:r>
        <w:rPr>
          <w:rFonts w:ascii="Times New Roman" w:hAnsi="Times New Roman"/>
          <w:color w:val="000000"/>
          <w:sz w:val="24"/>
        </w:rPr>
        <w:t>Section 11.07. Continuing Guarantee 100</w:t>
      </w:r>
    </w:p>
    <w:p>
      <w:pPr>
        <w:pStyle w:val="TextBody"/>
        <w:bidi w:val="0"/>
        <w:jc w:val="left"/>
        <w:rPr>
          <w:rFonts w:ascii="Times New Roman" w:hAnsi="Times New Roman"/>
          <w:color w:val="000000"/>
          <w:sz w:val="24"/>
        </w:rPr>
      </w:pPr>
      <w:r>
        <w:rPr>
          <w:rFonts w:ascii="Times New Roman" w:hAnsi="Times New Roman"/>
          <w:color w:val="000000"/>
          <w:sz w:val="24"/>
        </w:rPr>
        <w:t>Section 11.08. Rights of Contribution 101</w:t>
      </w:r>
    </w:p>
    <w:p>
      <w:pPr>
        <w:pStyle w:val="TextBody"/>
        <w:bidi w:val="0"/>
        <w:jc w:val="left"/>
        <w:rPr>
          <w:rFonts w:ascii="Times New Roman" w:hAnsi="Times New Roman"/>
          <w:color w:val="000000"/>
          <w:sz w:val="24"/>
        </w:rPr>
      </w:pPr>
      <w:r>
        <w:rPr>
          <w:rFonts w:ascii="Times New Roman" w:hAnsi="Times New Roman"/>
          <w:color w:val="000000"/>
          <w:sz w:val="24"/>
        </w:rPr>
        <w:t>Section 11.09. General Limitation on Guarantee Obligations 101</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12 Administrative Agent 102</w:t>
      </w:r>
    </w:p>
    <w:p>
      <w:pPr>
        <w:pStyle w:val="TextBody"/>
        <w:bidi w:val="0"/>
        <w:jc w:val="center"/>
        <w:rPr/>
      </w:pPr>
      <w:r>
        <w:rPr>
          <w:color w:val="000000"/>
        </w:rPr>
        <w:noBreakHyphen/>
      </w:r>
      <w:r>
        <w:rPr>
          <w:rFonts w:ascii="Times New Roman" w:hAnsi="Times New Roman"/>
          <w:color w:val="000000"/>
          <w:sz w:val="24"/>
        </w:rPr>
        <w:t>iii</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Section 12.01. Appointment 102</w:t>
      </w:r>
    </w:p>
    <w:p>
      <w:pPr>
        <w:pStyle w:val="TextBody"/>
        <w:bidi w:val="0"/>
        <w:jc w:val="left"/>
        <w:rPr>
          <w:rFonts w:ascii="Times New Roman" w:hAnsi="Times New Roman"/>
          <w:color w:val="000000"/>
          <w:sz w:val="24"/>
        </w:rPr>
      </w:pPr>
      <w:r>
        <w:rPr>
          <w:rFonts w:ascii="Times New Roman" w:hAnsi="Times New Roman"/>
          <w:color w:val="000000"/>
          <w:sz w:val="24"/>
        </w:rPr>
        <w:t>Section 12.02. Rights as a Lender 102</w:t>
      </w:r>
    </w:p>
    <w:p>
      <w:pPr>
        <w:pStyle w:val="TextBody"/>
        <w:bidi w:val="0"/>
        <w:jc w:val="left"/>
        <w:rPr>
          <w:rFonts w:ascii="Times New Roman" w:hAnsi="Times New Roman"/>
          <w:color w:val="000000"/>
          <w:sz w:val="24"/>
        </w:rPr>
      </w:pPr>
      <w:r>
        <w:rPr>
          <w:rFonts w:ascii="Times New Roman" w:hAnsi="Times New Roman"/>
          <w:color w:val="000000"/>
          <w:sz w:val="24"/>
        </w:rPr>
        <w:t>Section 12.03. Exculpatory Provisions 102</w:t>
      </w:r>
    </w:p>
    <w:p>
      <w:pPr>
        <w:pStyle w:val="TextBody"/>
        <w:bidi w:val="0"/>
        <w:jc w:val="left"/>
        <w:rPr>
          <w:rFonts w:ascii="Times New Roman" w:hAnsi="Times New Roman"/>
          <w:color w:val="000000"/>
          <w:sz w:val="24"/>
        </w:rPr>
      </w:pPr>
      <w:r>
        <w:rPr>
          <w:rFonts w:ascii="Times New Roman" w:hAnsi="Times New Roman"/>
          <w:color w:val="000000"/>
          <w:sz w:val="24"/>
        </w:rPr>
        <w:t>Section 12.04. Reliance by Administrative Agent 103</w:t>
      </w:r>
    </w:p>
    <w:p>
      <w:pPr>
        <w:pStyle w:val="TextBody"/>
        <w:bidi w:val="0"/>
        <w:jc w:val="left"/>
        <w:rPr>
          <w:rFonts w:ascii="Times New Roman" w:hAnsi="Times New Roman"/>
          <w:color w:val="000000"/>
          <w:sz w:val="24"/>
        </w:rPr>
      </w:pPr>
      <w:r>
        <w:rPr>
          <w:rFonts w:ascii="Times New Roman" w:hAnsi="Times New Roman"/>
          <w:color w:val="000000"/>
          <w:sz w:val="24"/>
        </w:rPr>
        <w:t>Section 12.05. Delegation of Duties 104</w:t>
      </w:r>
    </w:p>
    <w:p>
      <w:pPr>
        <w:pStyle w:val="TextBody"/>
        <w:bidi w:val="0"/>
        <w:jc w:val="left"/>
        <w:rPr>
          <w:rFonts w:ascii="Times New Roman" w:hAnsi="Times New Roman"/>
          <w:color w:val="000000"/>
          <w:sz w:val="24"/>
        </w:rPr>
      </w:pPr>
      <w:r>
        <w:rPr>
          <w:rFonts w:ascii="Times New Roman" w:hAnsi="Times New Roman"/>
          <w:color w:val="000000"/>
          <w:sz w:val="24"/>
        </w:rPr>
        <w:t>Section 12.06. Resignation of Agent 104</w:t>
      </w:r>
    </w:p>
    <w:p>
      <w:pPr>
        <w:pStyle w:val="TextBody"/>
        <w:bidi w:val="0"/>
        <w:jc w:val="left"/>
        <w:rPr>
          <w:rFonts w:ascii="Times New Roman" w:hAnsi="Times New Roman"/>
          <w:color w:val="000000"/>
          <w:sz w:val="24"/>
        </w:rPr>
      </w:pPr>
      <w:r>
        <w:rPr>
          <w:rFonts w:ascii="Times New Roman" w:hAnsi="Times New Roman"/>
          <w:color w:val="000000"/>
          <w:sz w:val="24"/>
        </w:rPr>
        <w:t>Section 12.07. Non</w:t>
        <w:noBreakHyphen/>
        <w:t>Reliance on Administrative Agent and Other Lenders 105</w:t>
      </w:r>
    </w:p>
    <w:p>
      <w:pPr>
        <w:pStyle w:val="TextBody"/>
        <w:bidi w:val="0"/>
        <w:jc w:val="left"/>
        <w:rPr>
          <w:rFonts w:ascii="Times New Roman" w:hAnsi="Times New Roman"/>
          <w:color w:val="000000"/>
          <w:sz w:val="24"/>
        </w:rPr>
      </w:pPr>
      <w:r>
        <w:rPr>
          <w:rFonts w:ascii="Times New Roman" w:hAnsi="Times New Roman"/>
          <w:color w:val="000000"/>
          <w:sz w:val="24"/>
        </w:rPr>
        <w:t>Section 12.08. Administrative Agent May File Proofs of Claim 105</w:t>
      </w:r>
    </w:p>
    <w:p>
      <w:pPr>
        <w:pStyle w:val="TextBody"/>
        <w:bidi w:val="0"/>
        <w:jc w:val="left"/>
        <w:rPr>
          <w:rFonts w:ascii="Times New Roman" w:hAnsi="Times New Roman"/>
          <w:color w:val="000000"/>
          <w:sz w:val="24"/>
        </w:rPr>
      </w:pPr>
      <w:r>
        <w:rPr>
          <w:rFonts w:ascii="Times New Roman" w:hAnsi="Times New Roman"/>
          <w:color w:val="000000"/>
          <w:sz w:val="24"/>
        </w:rPr>
        <w:t>Section 12.09. Collateral and Guaranty Matters; Appointment of Collateral Agent 106</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13 Miscellaneous 107</w:t>
      </w:r>
    </w:p>
    <w:p>
      <w:pPr>
        <w:pStyle w:val="TextBody"/>
        <w:bidi w:val="0"/>
        <w:jc w:val="left"/>
        <w:rPr>
          <w:rFonts w:ascii="Times New Roman" w:hAnsi="Times New Roman"/>
          <w:color w:val="000000"/>
          <w:sz w:val="24"/>
        </w:rPr>
      </w:pPr>
      <w:r>
        <w:rPr>
          <w:rFonts w:ascii="Times New Roman" w:hAnsi="Times New Roman"/>
          <w:color w:val="000000"/>
          <w:sz w:val="24"/>
        </w:rPr>
        <w:t>Section 13.01. No Waiver 107</w:t>
      </w:r>
    </w:p>
    <w:p>
      <w:pPr>
        <w:pStyle w:val="TextBody"/>
        <w:bidi w:val="0"/>
        <w:jc w:val="left"/>
        <w:rPr>
          <w:rFonts w:ascii="Times New Roman" w:hAnsi="Times New Roman"/>
          <w:color w:val="000000"/>
          <w:sz w:val="24"/>
        </w:rPr>
      </w:pPr>
      <w:r>
        <w:rPr>
          <w:rFonts w:ascii="Times New Roman" w:hAnsi="Times New Roman"/>
          <w:color w:val="000000"/>
          <w:sz w:val="24"/>
        </w:rPr>
        <w:t>Section 13.02. Notices 107</w:t>
      </w:r>
    </w:p>
    <w:p>
      <w:pPr>
        <w:pStyle w:val="TextBody"/>
        <w:bidi w:val="0"/>
        <w:jc w:val="left"/>
        <w:rPr>
          <w:rFonts w:ascii="Times New Roman" w:hAnsi="Times New Roman"/>
          <w:color w:val="000000"/>
          <w:sz w:val="24"/>
        </w:rPr>
      </w:pPr>
      <w:r>
        <w:rPr>
          <w:rFonts w:ascii="Times New Roman" w:hAnsi="Times New Roman"/>
          <w:color w:val="000000"/>
          <w:sz w:val="24"/>
        </w:rPr>
        <w:t>Section 13.03. Expenses and Indemnification 107</w:t>
      </w:r>
    </w:p>
    <w:p>
      <w:pPr>
        <w:pStyle w:val="TextBody"/>
        <w:bidi w:val="0"/>
        <w:jc w:val="left"/>
        <w:rPr>
          <w:rFonts w:ascii="Times New Roman" w:hAnsi="Times New Roman"/>
          <w:color w:val="000000"/>
          <w:sz w:val="24"/>
        </w:rPr>
      </w:pPr>
      <w:r>
        <w:rPr>
          <w:rFonts w:ascii="Times New Roman" w:hAnsi="Times New Roman"/>
          <w:color w:val="000000"/>
          <w:sz w:val="24"/>
        </w:rPr>
        <w:t>Section 13.04. Amendments. 108</w:t>
      </w:r>
    </w:p>
    <w:p>
      <w:pPr>
        <w:pStyle w:val="TextBody"/>
        <w:bidi w:val="0"/>
        <w:jc w:val="left"/>
        <w:rPr>
          <w:rFonts w:ascii="Times New Roman" w:hAnsi="Times New Roman"/>
          <w:color w:val="000000"/>
          <w:sz w:val="24"/>
        </w:rPr>
      </w:pPr>
      <w:r>
        <w:rPr>
          <w:rFonts w:ascii="Times New Roman" w:hAnsi="Times New Roman"/>
          <w:color w:val="000000"/>
          <w:sz w:val="24"/>
        </w:rPr>
        <w:t>Section 13.05. Successors and Assigns 109</w:t>
      </w:r>
    </w:p>
    <w:p>
      <w:pPr>
        <w:pStyle w:val="TextBody"/>
        <w:bidi w:val="0"/>
        <w:jc w:val="left"/>
        <w:rPr>
          <w:rFonts w:ascii="Times New Roman" w:hAnsi="Times New Roman"/>
          <w:color w:val="000000"/>
          <w:sz w:val="24"/>
        </w:rPr>
      </w:pPr>
      <w:r>
        <w:rPr>
          <w:rFonts w:ascii="Times New Roman" w:hAnsi="Times New Roman"/>
          <w:color w:val="000000"/>
          <w:sz w:val="24"/>
        </w:rPr>
        <w:t>Section 13.06. Survival 112</w:t>
      </w:r>
    </w:p>
    <w:p>
      <w:pPr>
        <w:pStyle w:val="TextBody"/>
        <w:bidi w:val="0"/>
        <w:jc w:val="left"/>
        <w:rPr>
          <w:rFonts w:ascii="Times New Roman" w:hAnsi="Times New Roman"/>
          <w:color w:val="000000"/>
          <w:sz w:val="24"/>
        </w:rPr>
      </w:pPr>
      <w:r>
        <w:rPr>
          <w:rFonts w:ascii="Times New Roman" w:hAnsi="Times New Roman"/>
          <w:color w:val="000000"/>
          <w:sz w:val="24"/>
        </w:rPr>
        <w:t>Section 13.07. Captions 113</w:t>
      </w:r>
    </w:p>
    <w:p>
      <w:pPr>
        <w:pStyle w:val="TextBody"/>
        <w:bidi w:val="0"/>
        <w:jc w:val="left"/>
        <w:rPr>
          <w:rFonts w:ascii="Times New Roman" w:hAnsi="Times New Roman"/>
          <w:color w:val="000000"/>
          <w:sz w:val="24"/>
        </w:rPr>
      </w:pPr>
      <w:r>
        <w:rPr>
          <w:rFonts w:ascii="Times New Roman" w:hAnsi="Times New Roman"/>
          <w:color w:val="000000"/>
          <w:sz w:val="24"/>
        </w:rPr>
        <w:t>Section 13.08. Counterparts 113</w:t>
      </w:r>
    </w:p>
    <w:p>
      <w:pPr>
        <w:pStyle w:val="TextBody"/>
        <w:bidi w:val="0"/>
        <w:jc w:val="left"/>
        <w:rPr>
          <w:rFonts w:ascii="Times New Roman" w:hAnsi="Times New Roman"/>
          <w:color w:val="000000"/>
          <w:sz w:val="24"/>
        </w:rPr>
      </w:pPr>
      <w:r>
        <w:rPr>
          <w:rFonts w:ascii="Times New Roman" w:hAnsi="Times New Roman"/>
          <w:color w:val="000000"/>
          <w:sz w:val="24"/>
        </w:rPr>
        <w:t>Section 13.09. Governing Law 113</w:t>
      </w:r>
    </w:p>
    <w:p>
      <w:pPr>
        <w:pStyle w:val="TextBody"/>
        <w:bidi w:val="0"/>
        <w:jc w:val="left"/>
        <w:rPr>
          <w:rFonts w:ascii="Times New Roman" w:hAnsi="Times New Roman"/>
          <w:color w:val="000000"/>
          <w:sz w:val="24"/>
        </w:rPr>
      </w:pPr>
      <w:r>
        <w:rPr>
          <w:rFonts w:ascii="Times New Roman" w:hAnsi="Times New Roman"/>
          <w:color w:val="000000"/>
          <w:sz w:val="24"/>
        </w:rPr>
        <w:t>Section 13.10. Jurisdiction, Service of Process and Venue 113</w:t>
      </w:r>
    </w:p>
    <w:p>
      <w:pPr>
        <w:pStyle w:val="TextBody"/>
        <w:bidi w:val="0"/>
        <w:jc w:val="left"/>
        <w:rPr>
          <w:rFonts w:ascii="Times New Roman" w:hAnsi="Times New Roman"/>
          <w:color w:val="000000"/>
          <w:sz w:val="24"/>
        </w:rPr>
      </w:pPr>
      <w:r>
        <w:rPr>
          <w:rFonts w:ascii="Times New Roman" w:hAnsi="Times New Roman"/>
          <w:color w:val="000000"/>
          <w:sz w:val="24"/>
        </w:rPr>
        <w:t>Section 13.11. Waiver of Jury Trial 114</w:t>
      </w:r>
    </w:p>
    <w:p>
      <w:pPr>
        <w:pStyle w:val="TextBody"/>
        <w:bidi w:val="0"/>
        <w:jc w:val="left"/>
        <w:rPr>
          <w:rFonts w:ascii="Times New Roman" w:hAnsi="Times New Roman"/>
          <w:color w:val="000000"/>
          <w:sz w:val="24"/>
        </w:rPr>
      </w:pPr>
      <w:r>
        <w:rPr>
          <w:rFonts w:ascii="Times New Roman" w:hAnsi="Times New Roman"/>
          <w:color w:val="000000"/>
          <w:sz w:val="24"/>
        </w:rPr>
        <w:t>Section 13.12. Waiver of Immunity 114</w:t>
      </w:r>
    </w:p>
    <w:p>
      <w:pPr>
        <w:pStyle w:val="TextBody"/>
        <w:bidi w:val="0"/>
        <w:jc w:val="left"/>
        <w:rPr>
          <w:rFonts w:ascii="Times New Roman" w:hAnsi="Times New Roman"/>
          <w:color w:val="000000"/>
          <w:sz w:val="24"/>
        </w:rPr>
      </w:pPr>
      <w:r>
        <w:rPr>
          <w:rFonts w:ascii="Times New Roman" w:hAnsi="Times New Roman"/>
          <w:color w:val="000000"/>
          <w:sz w:val="24"/>
        </w:rPr>
        <w:t>Section 13.13. Entire Agreement 114</w:t>
      </w:r>
    </w:p>
    <w:p>
      <w:pPr>
        <w:pStyle w:val="TextBody"/>
        <w:bidi w:val="0"/>
        <w:jc w:val="left"/>
        <w:rPr>
          <w:rFonts w:ascii="Times New Roman" w:hAnsi="Times New Roman"/>
          <w:color w:val="000000"/>
          <w:sz w:val="24"/>
        </w:rPr>
      </w:pPr>
      <w:r>
        <w:rPr>
          <w:rFonts w:ascii="Times New Roman" w:hAnsi="Times New Roman"/>
          <w:color w:val="000000"/>
          <w:sz w:val="24"/>
        </w:rPr>
        <w:t>Section 13.14. Severability 114</w:t>
      </w:r>
    </w:p>
    <w:p>
      <w:pPr>
        <w:pStyle w:val="TextBody"/>
        <w:bidi w:val="0"/>
        <w:jc w:val="left"/>
        <w:rPr>
          <w:rFonts w:ascii="Times New Roman" w:hAnsi="Times New Roman"/>
          <w:color w:val="000000"/>
          <w:sz w:val="24"/>
        </w:rPr>
      </w:pPr>
      <w:r>
        <w:rPr>
          <w:rFonts w:ascii="Times New Roman" w:hAnsi="Times New Roman"/>
          <w:color w:val="000000"/>
          <w:sz w:val="24"/>
        </w:rPr>
        <w:t>Section 13.15. No Fiduciary Relationship 114</w:t>
      </w:r>
    </w:p>
    <w:p>
      <w:pPr>
        <w:pStyle w:val="TextBody"/>
        <w:bidi w:val="0"/>
        <w:jc w:val="left"/>
        <w:rPr>
          <w:rFonts w:ascii="Times New Roman" w:hAnsi="Times New Roman"/>
          <w:color w:val="000000"/>
          <w:sz w:val="24"/>
        </w:rPr>
      </w:pPr>
      <w:r>
        <w:rPr>
          <w:rFonts w:ascii="Times New Roman" w:hAnsi="Times New Roman"/>
          <w:color w:val="000000"/>
          <w:sz w:val="24"/>
        </w:rPr>
        <w:t>Section 13.16. USA Patriot Act 115</w:t>
      </w:r>
    </w:p>
    <w:p>
      <w:pPr>
        <w:pStyle w:val="TextBody"/>
        <w:bidi w:val="0"/>
        <w:jc w:val="left"/>
        <w:rPr>
          <w:rFonts w:ascii="Times New Roman" w:hAnsi="Times New Roman"/>
          <w:color w:val="000000"/>
          <w:sz w:val="24"/>
        </w:rPr>
      </w:pPr>
      <w:r>
        <w:rPr>
          <w:rFonts w:ascii="Times New Roman" w:hAnsi="Times New Roman"/>
          <w:color w:val="000000"/>
          <w:sz w:val="24"/>
        </w:rPr>
        <w:t>Section 13.17. Treatment of Certain Information; Confidentiality 115</w:t>
      </w:r>
    </w:p>
    <w:p>
      <w:pPr>
        <w:pStyle w:val="TextBody"/>
        <w:bidi w:val="0"/>
        <w:jc w:val="left"/>
        <w:rPr>
          <w:rFonts w:ascii="Times New Roman" w:hAnsi="Times New Roman"/>
          <w:color w:val="000000"/>
          <w:sz w:val="24"/>
        </w:rPr>
      </w:pPr>
      <w:r>
        <w:rPr>
          <w:rFonts w:ascii="Times New Roman" w:hAnsi="Times New Roman"/>
          <w:color w:val="000000"/>
          <w:sz w:val="24"/>
        </w:rPr>
        <w:t>Section 13.18. Releases of Guarantees and Liens 116</w:t>
      </w:r>
    </w:p>
    <w:p>
      <w:pPr>
        <w:pStyle w:val="TextBody"/>
        <w:bidi w:val="0"/>
        <w:jc w:val="left"/>
        <w:rPr>
          <w:rFonts w:ascii="Times New Roman" w:hAnsi="Times New Roman"/>
          <w:color w:val="000000"/>
          <w:sz w:val="24"/>
        </w:rPr>
      </w:pPr>
      <w:r>
        <w:rPr>
          <w:rFonts w:ascii="Times New Roman" w:hAnsi="Times New Roman"/>
          <w:color w:val="000000"/>
          <w:sz w:val="24"/>
        </w:rPr>
        <w:t>Section 13.19. Acknowledgement and Consent to Bail</w:t>
        <w:noBreakHyphen/>
        <w:t>In of Affected Financial Institutions 116</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Schedules:</w:t>
      </w:r>
    </w:p>
    <w:p>
      <w:pPr>
        <w:pStyle w:val="TextBody"/>
        <w:bidi w:val="0"/>
        <w:spacing w:before="200" w:after="283"/>
        <w:jc w:val="left"/>
        <w:rPr>
          <w:rFonts w:ascii="Times New Roman" w:hAnsi="Times New Roman"/>
          <w:sz w:val="20"/>
        </w:rPr>
      </w:pPr>
      <w:r>
        <w:rPr>
          <w:rFonts w:ascii="Times New Roman" w:hAnsi="Times New Roman"/>
          <w:smallCaps/>
          <w:color w:val="000000"/>
          <w:sz w:val="24"/>
        </w:rPr>
        <w:t xml:space="preserve">Schedule </w:t>
      </w:r>
      <w:r>
        <w:rPr>
          <w:rFonts w:ascii="Times New Roman" w:hAnsi="Times New Roman"/>
          <w:color w:val="000000"/>
          <w:sz w:val="24"/>
        </w:rPr>
        <w:t>1 — Commitments and Warrant Shares</w:t>
      </w:r>
    </w:p>
    <w:p>
      <w:pPr>
        <w:pStyle w:val="TextBody"/>
        <w:bidi w:val="0"/>
        <w:jc w:val="left"/>
        <w:rPr>
          <w:rFonts w:ascii="Times New Roman" w:hAnsi="Times New Roman"/>
          <w:sz w:val="20"/>
        </w:rPr>
      </w:pPr>
      <w:r>
        <w:rPr>
          <w:rFonts w:ascii="Times New Roman" w:hAnsi="Times New Roman"/>
          <w:smallCaps/>
          <w:color w:val="000000"/>
          <w:sz w:val="24"/>
        </w:rPr>
        <w:t xml:space="preserve">Schedule 2 </w:t>
      </w:r>
      <w:r>
        <w:rPr>
          <w:rFonts w:ascii="Times New Roman" w:hAnsi="Times New Roman"/>
          <w:color w:val="000000"/>
          <w:sz w:val="20"/>
        </w:rPr>
        <w:t>—</w:t>
      </w:r>
      <w:r>
        <w:rPr>
          <w:rFonts w:ascii="Times New Roman" w:hAnsi="Times New Roman"/>
          <w:smallCaps/>
          <w:color w:val="000000"/>
          <w:sz w:val="20"/>
        </w:rPr>
        <w:t xml:space="preserve"> </w:t>
      </w:r>
      <w:r>
        <w:rPr>
          <w:rFonts w:ascii="Times New Roman" w:hAnsi="Times New Roman"/>
          <w:color w:val="000000"/>
          <w:sz w:val="24"/>
        </w:rPr>
        <w:t>Notice Addresses</w:t>
      </w:r>
    </w:p>
    <w:p>
      <w:pPr>
        <w:pStyle w:val="TextBody"/>
        <w:bidi w:val="0"/>
        <w:jc w:val="left"/>
        <w:rPr>
          <w:rFonts w:ascii="Times New Roman" w:hAnsi="Times New Roman"/>
          <w:sz w:val="20"/>
        </w:rPr>
      </w:pPr>
      <w:r>
        <w:rPr>
          <w:rFonts w:ascii="Times New Roman" w:hAnsi="Times New Roman"/>
          <w:smallCaps/>
          <w:color w:val="000000"/>
          <w:sz w:val="24"/>
        </w:rPr>
        <w:t xml:space="preserve">Schedule 3 </w:t>
      </w:r>
      <w:r>
        <w:rPr>
          <w:rFonts w:ascii="Times New Roman" w:hAnsi="Times New Roman"/>
          <w:color w:val="000000"/>
          <w:sz w:val="20"/>
        </w:rPr>
        <w:t>—</w:t>
      </w:r>
      <w:r>
        <w:rPr>
          <w:rFonts w:ascii="Times New Roman" w:hAnsi="Times New Roman"/>
          <w:smallCaps/>
          <w:color w:val="000000"/>
          <w:sz w:val="20"/>
        </w:rPr>
        <w:t xml:space="preserve"> </w:t>
      </w:r>
      <w:r>
        <w:rPr>
          <w:rFonts w:ascii="Times New Roman" w:hAnsi="Times New Roman"/>
          <w:color w:val="000000"/>
          <w:sz w:val="24"/>
        </w:rPr>
        <w:t>Products</w:t>
      </w:r>
    </w:p>
    <w:p>
      <w:pPr>
        <w:pStyle w:val="TextBody"/>
        <w:bidi w:val="0"/>
        <w:jc w:val="left"/>
        <w:rPr>
          <w:rFonts w:ascii="Times New Roman" w:hAnsi="Times New Roman"/>
          <w:sz w:val="20"/>
        </w:rPr>
      </w:pPr>
      <w:r>
        <w:rPr>
          <w:rFonts w:ascii="Times New Roman" w:hAnsi="Times New Roman"/>
          <w:smallCaps/>
          <w:color w:val="000000"/>
          <w:sz w:val="24"/>
        </w:rPr>
        <w:t>Schedule 7.05(</w:t>
      </w:r>
      <w:r>
        <w:rPr>
          <w:rFonts w:ascii="Times New Roman" w:hAnsi="Times New Roman"/>
          <w:color w:val="000000"/>
          <w:sz w:val="24"/>
        </w:rPr>
        <w:t>b</w:t>
      </w:r>
      <w:r>
        <w:rPr>
          <w:rFonts w:ascii="Times New Roman" w:hAnsi="Times New Roman"/>
          <w:smallCaps/>
          <w:color w:val="000000"/>
          <w:sz w:val="24"/>
        </w:rPr>
        <w:t>)</w:t>
      </w:r>
      <w:r>
        <w:rPr>
          <w:rFonts w:ascii="Times New Roman" w:hAnsi="Times New Roman"/>
          <w:color w:val="000000"/>
          <w:sz w:val="20"/>
        </w:rPr>
        <w:t xml:space="preserve"> — </w:t>
      </w:r>
      <w:r>
        <w:rPr>
          <w:rFonts w:ascii="Times New Roman" w:hAnsi="Times New Roman"/>
          <w:color w:val="000000"/>
          <w:sz w:val="24"/>
        </w:rPr>
        <w:t>Obligor Intellectual Property</w:t>
      </w:r>
    </w:p>
    <w:p>
      <w:pPr>
        <w:pStyle w:val="TextBody"/>
        <w:bidi w:val="0"/>
        <w:jc w:val="left"/>
        <w:rPr>
          <w:rFonts w:ascii="Times New Roman" w:hAnsi="Times New Roman"/>
          <w:sz w:val="20"/>
        </w:rPr>
      </w:pPr>
      <w:r>
        <w:rPr>
          <w:rFonts w:ascii="Times New Roman" w:hAnsi="Times New Roman"/>
          <w:smallCaps/>
          <w:color w:val="000000"/>
          <w:sz w:val="24"/>
        </w:rPr>
        <w:t>Schedule 7.12</w:t>
      </w:r>
      <w:r>
        <w:rPr>
          <w:rFonts w:ascii="Times New Roman" w:hAnsi="Times New Roman"/>
          <w:color w:val="000000"/>
          <w:sz w:val="20"/>
        </w:rPr>
        <w:t xml:space="preserve"> — </w:t>
      </w:r>
      <w:r>
        <w:rPr>
          <w:rFonts w:ascii="Times New Roman" w:hAnsi="Times New Roman"/>
          <w:color w:val="000000"/>
          <w:sz w:val="24"/>
        </w:rPr>
        <w:t>Subsidiaries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smallCaps/>
          <w:color w:val="000000"/>
          <w:sz w:val="24"/>
        </w:rPr>
        <w:t>Schedule 7.13A</w:t>
      </w:r>
      <w:r>
        <w:rPr>
          <w:rFonts w:ascii="Times New Roman" w:hAnsi="Times New Roman"/>
          <w:color w:val="000000"/>
          <w:sz w:val="20"/>
        </w:rPr>
        <w:t xml:space="preserve"> — </w:t>
      </w:r>
      <w:r>
        <w:rPr>
          <w:rFonts w:ascii="Times New Roman" w:hAnsi="Times New Roman"/>
          <w:color w:val="000000"/>
          <w:sz w:val="24"/>
        </w:rPr>
        <w:t>Existing Indebtedness</w:t>
      </w:r>
    </w:p>
    <w:p>
      <w:pPr>
        <w:pStyle w:val="TextBody"/>
        <w:bidi w:val="0"/>
        <w:jc w:val="left"/>
        <w:rPr>
          <w:rFonts w:ascii="Times New Roman" w:hAnsi="Times New Roman"/>
          <w:sz w:val="20"/>
        </w:rPr>
      </w:pPr>
      <w:r>
        <w:rPr>
          <w:rFonts w:ascii="Times New Roman" w:hAnsi="Times New Roman"/>
          <w:smallCaps/>
          <w:color w:val="000000"/>
          <w:sz w:val="24"/>
        </w:rPr>
        <w:t>Schedule 7.13B</w:t>
      </w:r>
      <w:r>
        <w:rPr>
          <w:rFonts w:ascii="Times New Roman" w:hAnsi="Times New Roman"/>
          <w:color w:val="000000"/>
          <w:sz w:val="20"/>
        </w:rPr>
        <w:t xml:space="preserve"> — </w:t>
      </w:r>
      <w:r>
        <w:rPr>
          <w:rFonts w:ascii="Times New Roman" w:hAnsi="Times New Roman"/>
          <w:color w:val="000000"/>
          <w:sz w:val="24"/>
        </w:rPr>
        <w:t>Existing Liens</w:t>
      </w:r>
    </w:p>
    <w:p>
      <w:pPr>
        <w:pStyle w:val="TextBody"/>
        <w:bidi w:val="0"/>
        <w:jc w:val="left"/>
        <w:rPr>
          <w:rFonts w:ascii="Times New Roman" w:hAnsi="Times New Roman"/>
          <w:sz w:val="20"/>
        </w:rPr>
      </w:pPr>
      <w:r>
        <w:rPr>
          <w:rFonts w:ascii="Times New Roman" w:hAnsi="Times New Roman"/>
          <w:smallCaps/>
          <w:color w:val="000000"/>
          <w:sz w:val="24"/>
        </w:rPr>
        <w:t xml:space="preserve">Schedule 7.14 </w:t>
      </w:r>
      <w:r>
        <w:rPr>
          <w:rFonts w:ascii="Times New Roman" w:hAnsi="Times New Roman"/>
          <w:color w:val="000000"/>
          <w:sz w:val="20"/>
        </w:rPr>
        <w:t xml:space="preserve">— </w:t>
      </w:r>
      <w:r>
        <w:rPr>
          <w:rFonts w:ascii="Times New Roman" w:hAnsi="Times New Roman"/>
          <w:color w:val="000000"/>
          <w:sz w:val="24"/>
        </w:rPr>
        <w:t>Material Agreements</w:t>
      </w:r>
    </w:p>
    <w:p>
      <w:pPr>
        <w:pStyle w:val="TextBody"/>
        <w:bidi w:val="0"/>
        <w:jc w:val="left"/>
        <w:rPr>
          <w:rFonts w:ascii="Times New Roman" w:hAnsi="Times New Roman"/>
          <w:sz w:val="20"/>
        </w:rPr>
      </w:pPr>
      <w:r>
        <w:rPr>
          <w:rFonts w:ascii="Times New Roman" w:hAnsi="Times New Roman"/>
          <w:smallCaps/>
          <w:color w:val="000000"/>
          <w:sz w:val="24"/>
        </w:rPr>
        <w:t xml:space="preserve">Schedule 7.15 </w:t>
      </w:r>
      <w:r>
        <w:rPr>
          <w:rFonts w:ascii="Times New Roman" w:hAnsi="Times New Roman"/>
          <w:color w:val="000000"/>
          <w:sz w:val="20"/>
        </w:rPr>
        <w:t xml:space="preserve">— </w:t>
      </w:r>
      <w:r>
        <w:rPr>
          <w:rFonts w:ascii="Times New Roman" w:hAnsi="Times New Roman"/>
          <w:color w:val="000000"/>
          <w:sz w:val="24"/>
        </w:rPr>
        <w:t>Restrictive Agreements</w:t>
      </w:r>
    </w:p>
    <w:p>
      <w:pPr>
        <w:pStyle w:val="TextBody"/>
        <w:bidi w:val="0"/>
        <w:jc w:val="left"/>
        <w:rPr>
          <w:rFonts w:ascii="Times New Roman" w:hAnsi="Times New Roman"/>
          <w:sz w:val="20"/>
        </w:rPr>
      </w:pPr>
      <w:r>
        <w:rPr>
          <w:rFonts w:ascii="Times New Roman" w:hAnsi="Times New Roman"/>
          <w:smallCaps/>
          <w:color w:val="000000"/>
          <w:sz w:val="24"/>
        </w:rPr>
        <w:t xml:space="preserve">Schedule 7.16 </w:t>
      </w:r>
      <w:r>
        <w:rPr>
          <w:rFonts w:ascii="Times New Roman" w:hAnsi="Times New Roman"/>
          <w:color w:val="000000"/>
          <w:sz w:val="20"/>
        </w:rPr>
        <w:t xml:space="preserve">— </w:t>
      </w:r>
      <w:r>
        <w:rPr>
          <w:rFonts w:ascii="Times New Roman" w:hAnsi="Times New Roman"/>
          <w:color w:val="000000"/>
          <w:sz w:val="24"/>
        </w:rPr>
        <w:t>Real Property</w:t>
      </w:r>
    </w:p>
    <w:p>
      <w:pPr>
        <w:pStyle w:val="TextBody"/>
        <w:bidi w:val="0"/>
        <w:jc w:val="left"/>
        <w:rPr>
          <w:rFonts w:ascii="Times New Roman" w:hAnsi="Times New Roman"/>
          <w:sz w:val="20"/>
        </w:rPr>
      </w:pPr>
      <w:r>
        <w:rPr>
          <w:rFonts w:ascii="Times New Roman" w:hAnsi="Times New Roman"/>
          <w:smallCaps/>
          <w:color w:val="000000"/>
          <w:sz w:val="24"/>
        </w:rPr>
        <w:t xml:space="preserve">Schedule 7.17 </w:t>
      </w:r>
      <w:r>
        <w:rPr>
          <w:rFonts w:ascii="Times New Roman" w:hAnsi="Times New Roman"/>
          <w:color w:val="000000"/>
          <w:sz w:val="20"/>
        </w:rPr>
        <w:t xml:space="preserve">— </w:t>
      </w:r>
      <w:r>
        <w:rPr>
          <w:rFonts w:ascii="Times New Roman" w:hAnsi="Times New Roman"/>
          <w:color w:val="000000"/>
          <w:sz w:val="24"/>
        </w:rPr>
        <w:t>Pension Matters</w:t>
      </w:r>
    </w:p>
    <w:p>
      <w:pPr>
        <w:pStyle w:val="TextBody"/>
        <w:bidi w:val="0"/>
        <w:jc w:val="left"/>
        <w:rPr>
          <w:rFonts w:ascii="Times New Roman" w:hAnsi="Times New Roman"/>
          <w:sz w:val="20"/>
        </w:rPr>
      </w:pPr>
      <w:r>
        <w:rPr>
          <w:rFonts w:ascii="Times New Roman" w:hAnsi="Times New Roman"/>
          <w:smallCaps/>
          <w:color w:val="000000"/>
          <w:sz w:val="24"/>
        </w:rPr>
        <w:t>Schedule 7.19(</w:t>
      </w:r>
      <w:r>
        <w:rPr>
          <w:rFonts w:ascii="Times New Roman" w:hAnsi="Times New Roman"/>
          <w:color w:val="000000"/>
          <w:sz w:val="24"/>
        </w:rPr>
        <w:t>a</w:t>
      </w:r>
      <w:r>
        <w:rPr>
          <w:rFonts w:ascii="Times New Roman" w:hAnsi="Times New Roman"/>
          <w:smallCaps/>
          <w:color w:val="000000"/>
          <w:sz w:val="24"/>
        </w:rPr>
        <w:t>)</w:t>
      </w:r>
      <w:r>
        <w:rPr>
          <w:rFonts w:ascii="Times New Roman" w:hAnsi="Times New Roman"/>
          <w:color w:val="000000"/>
          <w:sz w:val="20"/>
        </w:rPr>
        <w:t xml:space="preserve"> — </w:t>
      </w:r>
      <w:r>
        <w:rPr>
          <w:rFonts w:ascii="Times New Roman" w:hAnsi="Times New Roman"/>
          <w:color w:val="000000"/>
          <w:sz w:val="24"/>
        </w:rPr>
        <w:t>Required Regulatory Approvals and Permits</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iv</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mallCaps/>
          <w:color w:val="000000"/>
          <w:sz w:val="24"/>
        </w:rPr>
        <w:t>Schedule 7.19(</w:t>
      </w:r>
      <w:r>
        <w:rPr>
          <w:rFonts w:ascii="Times New Roman" w:hAnsi="Times New Roman"/>
          <w:color w:val="000000"/>
          <w:sz w:val="24"/>
        </w:rPr>
        <w:t>b</w:t>
      </w:r>
      <w:r>
        <w:rPr>
          <w:rFonts w:ascii="Times New Roman" w:hAnsi="Times New Roman"/>
          <w:smallCaps/>
          <w:color w:val="000000"/>
          <w:sz w:val="24"/>
        </w:rPr>
        <w:t>)</w:t>
      </w:r>
      <w:r>
        <w:rPr>
          <w:rFonts w:ascii="Times New Roman" w:hAnsi="Times New Roman"/>
          <w:color w:val="000000"/>
          <w:sz w:val="20"/>
        </w:rPr>
        <w:t xml:space="preserve"> — </w:t>
      </w:r>
      <w:r>
        <w:rPr>
          <w:rFonts w:ascii="Times New Roman" w:hAnsi="Times New Roman"/>
          <w:color w:val="000000"/>
          <w:sz w:val="24"/>
        </w:rPr>
        <w:t>Regulatory Approvals</w:t>
      </w:r>
    </w:p>
    <w:p>
      <w:pPr>
        <w:pStyle w:val="TextBody"/>
        <w:bidi w:val="0"/>
        <w:jc w:val="left"/>
        <w:rPr>
          <w:rFonts w:ascii="Times New Roman" w:hAnsi="Times New Roman"/>
          <w:sz w:val="20"/>
        </w:rPr>
      </w:pPr>
      <w:r>
        <w:rPr>
          <w:rFonts w:ascii="Times New Roman" w:hAnsi="Times New Roman"/>
          <w:smallCaps/>
          <w:color w:val="000000"/>
          <w:sz w:val="24"/>
        </w:rPr>
        <w:t>Schedule 7.19(</w:t>
      </w:r>
      <w:r>
        <w:rPr>
          <w:rFonts w:ascii="Times New Roman" w:hAnsi="Times New Roman"/>
          <w:color w:val="000000"/>
          <w:sz w:val="24"/>
        </w:rPr>
        <w:t>e</w:t>
      </w:r>
      <w:r>
        <w:rPr>
          <w:rFonts w:ascii="Times New Roman" w:hAnsi="Times New Roman"/>
          <w:smallCaps/>
          <w:color w:val="000000"/>
          <w:sz w:val="24"/>
        </w:rPr>
        <w:t>)</w:t>
      </w:r>
      <w:r>
        <w:rPr>
          <w:rFonts w:ascii="Times New Roman" w:hAnsi="Times New Roman"/>
          <w:color w:val="000000"/>
          <w:sz w:val="20"/>
        </w:rPr>
        <w:t xml:space="preserve"> — </w:t>
      </w:r>
      <w:r>
        <w:rPr>
          <w:rFonts w:ascii="Times New Roman" w:hAnsi="Times New Roman"/>
          <w:color w:val="000000"/>
          <w:sz w:val="24"/>
        </w:rPr>
        <w:t>Regulatory Authority Notices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mallCaps/>
          <w:color w:val="000000"/>
          <w:sz w:val="24"/>
        </w:rPr>
        <w:t xml:space="preserve">Schedule 7.20 </w:t>
      </w:r>
      <w:r>
        <w:rPr>
          <w:rFonts w:ascii="Times New Roman" w:hAnsi="Times New Roman"/>
          <w:color w:val="000000"/>
          <w:sz w:val="20"/>
        </w:rPr>
        <w:t xml:space="preserve">— </w:t>
      </w:r>
      <w:r>
        <w:rPr>
          <w:rFonts w:ascii="Times New Roman" w:hAnsi="Times New Roman"/>
          <w:color w:val="000000"/>
          <w:sz w:val="24"/>
        </w:rPr>
        <w:t>Capitalization</w:t>
      </w:r>
    </w:p>
    <w:p>
      <w:pPr>
        <w:pStyle w:val="TextBody"/>
        <w:bidi w:val="0"/>
        <w:jc w:val="left"/>
        <w:rPr>
          <w:rFonts w:ascii="Times New Roman" w:hAnsi="Times New Roman"/>
          <w:sz w:val="20"/>
        </w:rPr>
      </w:pPr>
      <w:r>
        <w:rPr>
          <w:rFonts w:ascii="Times New Roman" w:hAnsi="Times New Roman"/>
          <w:smallCaps/>
          <w:color w:val="000000"/>
          <w:sz w:val="24"/>
        </w:rPr>
        <w:t xml:space="preserve">Schedule 7.22 </w:t>
      </w:r>
      <w:r>
        <w:rPr>
          <w:rFonts w:ascii="Times New Roman" w:hAnsi="Times New Roman"/>
          <w:color w:val="000000"/>
          <w:sz w:val="20"/>
        </w:rPr>
        <w:t xml:space="preserve">— </w:t>
      </w:r>
      <w:r>
        <w:rPr>
          <w:rFonts w:ascii="Times New Roman" w:hAnsi="Times New Roman"/>
          <w:color w:val="000000"/>
          <w:sz w:val="24"/>
        </w:rPr>
        <w:t>Broker’s Fee</w:t>
      </w:r>
    </w:p>
    <w:p>
      <w:pPr>
        <w:pStyle w:val="TextBody"/>
        <w:bidi w:val="0"/>
        <w:jc w:val="left"/>
        <w:rPr>
          <w:rFonts w:ascii="Times New Roman" w:hAnsi="Times New Roman"/>
          <w:sz w:val="20"/>
        </w:rPr>
      </w:pPr>
      <w:r>
        <w:rPr>
          <w:rFonts w:ascii="Times New Roman" w:hAnsi="Times New Roman"/>
          <w:smallCaps/>
          <w:color w:val="000000"/>
          <w:sz w:val="24"/>
        </w:rPr>
        <w:t xml:space="preserve">Schedule 7.26 </w:t>
      </w:r>
      <w:r>
        <w:rPr>
          <w:rFonts w:ascii="Times New Roman" w:hAnsi="Times New Roman"/>
          <w:color w:val="000000"/>
          <w:sz w:val="20"/>
        </w:rPr>
        <w:t xml:space="preserve">— </w:t>
      </w:r>
      <w:r>
        <w:rPr>
          <w:rFonts w:ascii="Times New Roman" w:hAnsi="Times New Roman"/>
          <w:color w:val="000000"/>
          <w:sz w:val="24"/>
        </w:rPr>
        <w:t>Royalty and Other Payments</w:t>
      </w:r>
    </w:p>
    <w:p>
      <w:pPr>
        <w:pStyle w:val="TextBody"/>
        <w:bidi w:val="0"/>
        <w:jc w:val="left"/>
        <w:rPr>
          <w:rFonts w:ascii="Times New Roman" w:hAnsi="Times New Roman"/>
          <w:sz w:val="20"/>
        </w:rPr>
      </w:pPr>
      <w:r>
        <w:rPr>
          <w:rFonts w:ascii="Times New Roman" w:hAnsi="Times New Roman"/>
          <w:smallCaps/>
          <w:color w:val="000000"/>
          <w:sz w:val="24"/>
        </w:rPr>
        <w:t xml:space="preserve">Schedule 8.18 </w:t>
      </w:r>
      <w:r>
        <w:rPr>
          <w:rFonts w:ascii="Times New Roman" w:hAnsi="Times New Roman"/>
          <w:color w:val="000000"/>
          <w:sz w:val="20"/>
        </w:rPr>
        <w:t xml:space="preserve">— </w:t>
      </w:r>
      <w:r>
        <w:rPr>
          <w:rFonts w:ascii="Times New Roman" w:hAnsi="Times New Roman"/>
          <w:color w:val="000000"/>
          <w:sz w:val="24"/>
        </w:rPr>
        <w:t>Post-Funding Obligations</w:t>
      </w:r>
    </w:p>
    <w:p>
      <w:pPr>
        <w:pStyle w:val="TextBody"/>
        <w:bidi w:val="0"/>
        <w:jc w:val="left"/>
        <w:rPr>
          <w:rFonts w:ascii="Times New Roman" w:hAnsi="Times New Roman"/>
          <w:sz w:val="20"/>
        </w:rPr>
      </w:pPr>
      <w:r>
        <w:rPr>
          <w:rFonts w:ascii="Times New Roman" w:hAnsi="Times New Roman"/>
          <w:smallCaps/>
          <w:color w:val="000000"/>
          <w:sz w:val="24"/>
        </w:rPr>
        <w:t xml:space="preserve">Schedule 9.05 </w:t>
      </w:r>
      <w:r>
        <w:rPr>
          <w:rFonts w:ascii="Times New Roman" w:hAnsi="Times New Roman"/>
          <w:color w:val="000000"/>
          <w:sz w:val="20"/>
        </w:rPr>
        <w:t xml:space="preserve">— </w:t>
      </w:r>
      <w:r>
        <w:rPr>
          <w:rFonts w:ascii="Times New Roman" w:hAnsi="Times New Roman"/>
          <w:color w:val="000000"/>
          <w:sz w:val="24"/>
        </w:rPr>
        <w:t>Existing Investments</w:t>
      </w:r>
    </w:p>
    <w:p>
      <w:pPr>
        <w:pStyle w:val="TextBody"/>
        <w:bidi w:val="0"/>
        <w:jc w:val="left"/>
        <w:rPr>
          <w:rFonts w:ascii="Times New Roman" w:hAnsi="Times New Roman"/>
          <w:sz w:val="20"/>
        </w:rPr>
      </w:pPr>
      <w:r>
        <w:rPr>
          <w:rFonts w:ascii="Times New Roman" w:hAnsi="Times New Roman"/>
          <w:smallCaps/>
          <w:color w:val="000000"/>
          <w:sz w:val="24"/>
        </w:rPr>
        <w:t xml:space="preserve">Schedule 9.10 </w:t>
      </w:r>
      <w:r>
        <w:rPr>
          <w:rFonts w:ascii="Times New Roman" w:hAnsi="Times New Roman"/>
          <w:color w:val="000000"/>
          <w:sz w:val="20"/>
        </w:rPr>
        <w:t xml:space="preserve">— </w:t>
      </w:r>
      <w:r>
        <w:rPr>
          <w:rFonts w:ascii="Times New Roman" w:hAnsi="Times New Roman"/>
          <w:color w:val="000000"/>
          <w:sz w:val="24"/>
        </w:rPr>
        <w:t>Transactions with Affiliates</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Exhibits:</w:t>
      </w:r>
    </w:p>
    <w:p>
      <w:pPr>
        <w:pStyle w:val="TextBody"/>
        <w:bidi w:val="0"/>
        <w:spacing w:before="200" w:after="283"/>
        <w:jc w:val="left"/>
        <w:rPr>
          <w:rFonts w:ascii="Times New Roman" w:hAnsi="Times New Roman"/>
          <w:sz w:val="20"/>
        </w:rPr>
      </w:pPr>
      <w:r>
        <w:rPr>
          <w:rFonts w:ascii="Times New Roman" w:hAnsi="Times New Roman"/>
          <w:smallCaps/>
          <w:color w:val="000000"/>
          <w:sz w:val="24"/>
        </w:rPr>
        <w:t>Exhibit A</w:t>
      </w:r>
      <w:r>
        <w:rPr>
          <w:rFonts w:ascii="Times New Roman" w:hAnsi="Times New Roman"/>
          <w:color w:val="000000"/>
          <w:sz w:val="20"/>
        </w:rPr>
        <w:t xml:space="preserve"> — </w:t>
      </w:r>
      <w:r>
        <w:rPr>
          <w:rFonts w:ascii="Times New Roman" w:hAnsi="Times New Roman"/>
          <w:color w:val="000000"/>
          <w:sz w:val="24"/>
        </w:rPr>
        <w:t>Form of Guarantee Assumption Agreement</w:t>
      </w:r>
    </w:p>
    <w:p>
      <w:pPr>
        <w:pStyle w:val="TextBody"/>
        <w:bidi w:val="0"/>
        <w:jc w:val="left"/>
        <w:rPr>
          <w:rFonts w:ascii="Times New Roman" w:hAnsi="Times New Roman"/>
          <w:sz w:val="20"/>
        </w:rPr>
      </w:pPr>
      <w:r>
        <w:rPr>
          <w:rFonts w:ascii="Times New Roman" w:hAnsi="Times New Roman"/>
          <w:smallCaps/>
          <w:color w:val="000000"/>
          <w:sz w:val="24"/>
        </w:rPr>
        <w:t>Exhibit B</w:t>
      </w:r>
      <w:r>
        <w:rPr>
          <w:rFonts w:ascii="Times New Roman" w:hAnsi="Times New Roman"/>
          <w:color w:val="000000"/>
          <w:sz w:val="20"/>
        </w:rPr>
        <w:t xml:space="preserve"> — </w:t>
      </w:r>
      <w:r>
        <w:rPr>
          <w:rFonts w:ascii="Times New Roman" w:hAnsi="Times New Roman"/>
          <w:color w:val="000000"/>
          <w:sz w:val="24"/>
        </w:rPr>
        <w:t>Form of Borrowing Notice</w:t>
      </w:r>
    </w:p>
    <w:p>
      <w:pPr>
        <w:pStyle w:val="TextBody"/>
        <w:bidi w:val="0"/>
        <w:jc w:val="left"/>
        <w:rPr>
          <w:rFonts w:ascii="Times New Roman" w:hAnsi="Times New Roman"/>
          <w:sz w:val="20"/>
        </w:rPr>
      </w:pPr>
      <w:r>
        <w:rPr>
          <w:rFonts w:ascii="Times New Roman" w:hAnsi="Times New Roman"/>
          <w:smallCaps/>
          <w:color w:val="000000"/>
          <w:sz w:val="24"/>
        </w:rPr>
        <w:t>Exhibit C</w:t>
      </w:r>
      <w:r>
        <w:rPr>
          <w:rFonts w:ascii="Times New Roman" w:hAnsi="Times New Roman"/>
          <w:color w:val="000000"/>
          <w:sz w:val="20"/>
        </w:rPr>
        <w:t xml:space="preserve"> — </w:t>
      </w:r>
      <w:r>
        <w:rPr>
          <w:rFonts w:ascii="Times New Roman" w:hAnsi="Times New Roman"/>
          <w:color w:val="000000"/>
          <w:sz w:val="24"/>
        </w:rPr>
        <w:t>Form of Note</w:t>
      </w:r>
    </w:p>
    <w:p>
      <w:pPr>
        <w:pStyle w:val="TextBody"/>
        <w:bidi w:val="0"/>
        <w:jc w:val="left"/>
        <w:rPr>
          <w:rFonts w:ascii="Times New Roman" w:hAnsi="Times New Roman"/>
          <w:sz w:val="20"/>
        </w:rPr>
      </w:pPr>
      <w:r>
        <w:rPr>
          <w:rFonts w:ascii="Times New Roman" w:hAnsi="Times New Roman"/>
          <w:smallCaps/>
          <w:color w:val="000000"/>
          <w:sz w:val="24"/>
        </w:rPr>
        <w:t>Exhibit D</w:t>
      </w:r>
      <w:r>
        <w:rPr>
          <w:rFonts w:ascii="Times New Roman" w:hAnsi="Times New Roman"/>
          <w:color w:val="000000"/>
          <w:sz w:val="20"/>
        </w:rPr>
        <w:t xml:space="preserve"> — </w:t>
      </w:r>
      <w:r>
        <w:rPr>
          <w:rFonts w:ascii="Times New Roman" w:hAnsi="Times New Roman"/>
          <w:color w:val="000000"/>
          <w:sz w:val="24"/>
        </w:rPr>
        <w:t>Form of U.S. Tax Compliance Certificate</w:t>
      </w:r>
    </w:p>
    <w:p>
      <w:pPr>
        <w:pStyle w:val="TextBody"/>
        <w:bidi w:val="0"/>
        <w:jc w:val="left"/>
        <w:rPr>
          <w:rFonts w:ascii="Times New Roman" w:hAnsi="Times New Roman"/>
          <w:sz w:val="20"/>
        </w:rPr>
      </w:pPr>
      <w:r>
        <w:rPr>
          <w:rFonts w:ascii="Times New Roman" w:hAnsi="Times New Roman"/>
          <w:smallCaps/>
          <w:color w:val="000000"/>
          <w:sz w:val="24"/>
        </w:rPr>
        <w:t>Exhibit E</w:t>
      </w:r>
      <w:r>
        <w:rPr>
          <w:rFonts w:ascii="Times New Roman" w:hAnsi="Times New Roman"/>
          <w:color w:val="000000"/>
          <w:sz w:val="20"/>
        </w:rPr>
        <w:t xml:space="preserve"> — </w:t>
      </w:r>
      <w:r>
        <w:rPr>
          <w:rFonts w:ascii="Times New Roman" w:hAnsi="Times New Roman"/>
          <w:color w:val="000000"/>
          <w:sz w:val="24"/>
        </w:rPr>
        <w:t>Form of Compliance Certificate</w:t>
      </w:r>
    </w:p>
    <w:p>
      <w:pPr>
        <w:pStyle w:val="TextBody"/>
        <w:bidi w:val="0"/>
        <w:jc w:val="left"/>
        <w:rPr>
          <w:rFonts w:ascii="Times New Roman" w:hAnsi="Times New Roman"/>
          <w:sz w:val="20"/>
        </w:rPr>
      </w:pPr>
      <w:r>
        <w:rPr>
          <w:rFonts w:ascii="Times New Roman" w:hAnsi="Times New Roman"/>
          <w:smallCaps/>
          <w:color w:val="000000"/>
          <w:sz w:val="24"/>
        </w:rPr>
        <w:t>Exhibit F</w:t>
      </w:r>
      <w:r>
        <w:rPr>
          <w:rFonts w:ascii="Times New Roman" w:hAnsi="Times New Roman"/>
          <w:color w:val="000000"/>
          <w:sz w:val="20"/>
        </w:rPr>
        <w:t xml:space="preserve"> — </w:t>
      </w:r>
      <w:r>
        <w:rPr>
          <w:rFonts w:ascii="Times New Roman" w:hAnsi="Times New Roman"/>
          <w:color w:val="000000"/>
          <w:sz w:val="24"/>
        </w:rPr>
        <w:t>Form of Assignment Agreement</w:t>
      </w:r>
    </w:p>
    <w:p>
      <w:pPr>
        <w:pStyle w:val="TextBody"/>
        <w:bidi w:val="0"/>
        <w:jc w:val="left"/>
        <w:rPr>
          <w:rFonts w:ascii="Times New Roman" w:hAnsi="Times New Roman"/>
          <w:sz w:val="20"/>
        </w:rPr>
      </w:pPr>
      <w:r>
        <w:rPr>
          <w:rFonts w:ascii="Times New Roman" w:hAnsi="Times New Roman"/>
          <w:smallCaps/>
          <w:color w:val="000000"/>
          <w:sz w:val="24"/>
        </w:rPr>
        <w:t>Exhibit G</w:t>
      </w:r>
      <w:r>
        <w:rPr>
          <w:rFonts w:ascii="Times New Roman" w:hAnsi="Times New Roman"/>
          <w:color w:val="000000"/>
          <w:sz w:val="20"/>
        </w:rPr>
        <w:t xml:space="preserve"> — </w:t>
      </w:r>
      <w:r>
        <w:rPr>
          <w:rFonts w:ascii="Times New Roman" w:hAnsi="Times New Roman"/>
          <w:color w:val="000000"/>
          <w:sz w:val="24"/>
        </w:rPr>
        <w:t>Form of Security Agreement</w:t>
      </w:r>
    </w:p>
    <w:p>
      <w:pPr>
        <w:pStyle w:val="TextBody"/>
        <w:bidi w:val="0"/>
        <w:jc w:val="left"/>
        <w:rPr>
          <w:rFonts w:ascii="Times New Roman" w:hAnsi="Times New Roman"/>
          <w:sz w:val="20"/>
        </w:rPr>
      </w:pPr>
      <w:r>
        <w:rPr>
          <w:rFonts w:ascii="Times New Roman" w:hAnsi="Times New Roman"/>
          <w:smallCaps/>
          <w:color w:val="000000"/>
          <w:sz w:val="24"/>
        </w:rPr>
        <w:t>Exhibit H-1</w:t>
      </w:r>
      <w:r>
        <w:rPr>
          <w:rFonts w:ascii="Times New Roman" w:hAnsi="Times New Roman"/>
          <w:color w:val="000000"/>
          <w:sz w:val="20"/>
        </w:rPr>
        <w:t xml:space="preserve"> — </w:t>
      </w:r>
      <w:r>
        <w:rPr>
          <w:rFonts w:ascii="Times New Roman" w:hAnsi="Times New Roman"/>
          <w:color w:val="000000"/>
          <w:sz w:val="24"/>
        </w:rPr>
        <w:t>Form of Patent &amp; Trademark Security Agreement</w:t>
      </w:r>
    </w:p>
    <w:p>
      <w:pPr>
        <w:pStyle w:val="TextBody"/>
        <w:bidi w:val="0"/>
        <w:jc w:val="left"/>
        <w:rPr>
          <w:rFonts w:ascii="Times New Roman" w:hAnsi="Times New Roman"/>
          <w:sz w:val="20"/>
        </w:rPr>
      </w:pPr>
      <w:r>
        <w:rPr>
          <w:rFonts w:ascii="Times New Roman" w:hAnsi="Times New Roman"/>
          <w:smallCaps/>
          <w:color w:val="000000"/>
          <w:sz w:val="24"/>
        </w:rPr>
        <w:t>Exhibit H-2</w:t>
      </w:r>
      <w:r>
        <w:rPr>
          <w:rFonts w:ascii="Times New Roman" w:hAnsi="Times New Roman"/>
          <w:color w:val="000000"/>
          <w:sz w:val="20"/>
        </w:rPr>
        <w:t xml:space="preserve"> — </w:t>
      </w:r>
      <w:r>
        <w:rPr>
          <w:rFonts w:ascii="Times New Roman" w:hAnsi="Times New Roman"/>
          <w:color w:val="000000"/>
          <w:sz w:val="24"/>
        </w:rPr>
        <w:t>Form of Copyright Security Agreement</w:t>
      </w:r>
    </w:p>
    <w:p>
      <w:pPr>
        <w:pStyle w:val="TextBody"/>
        <w:bidi w:val="0"/>
        <w:jc w:val="left"/>
        <w:rPr>
          <w:rFonts w:ascii="Times New Roman" w:hAnsi="Times New Roman"/>
          <w:sz w:val="20"/>
        </w:rPr>
      </w:pPr>
      <w:r>
        <w:rPr>
          <w:rFonts w:ascii="Times New Roman" w:hAnsi="Times New Roman"/>
          <w:smallCaps/>
          <w:color w:val="000000"/>
          <w:sz w:val="24"/>
        </w:rPr>
        <w:t>Exhibit I</w:t>
      </w:r>
      <w:r>
        <w:rPr>
          <w:rFonts w:ascii="Times New Roman" w:hAnsi="Times New Roman"/>
          <w:color w:val="000000"/>
          <w:sz w:val="20"/>
        </w:rPr>
        <w:t xml:space="preserve"> — </w:t>
      </w:r>
      <w:r>
        <w:rPr>
          <w:rFonts w:ascii="Times New Roman" w:hAnsi="Times New Roman"/>
          <w:color w:val="000000"/>
          <w:sz w:val="24"/>
        </w:rPr>
        <w:t>Form of Collateral Questionnaire</w:t>
      </w:r>
    </w:p>
    <w:p>
      <w:pPr>
        <w:pStyle w:val="TextBody"/>
        <w:bidi w:val="0"/>
        <w:jc w:val="left"/>
        <w:rPr>
          <w:rFonts w:ascii="Times New Roman" w:hAnsi="Times New Roman"/>
          <w:sz w:val="20"/>
        </w:rPr>
      </w:pPr>
      <w:r>
        <w:rPr>
          <w:rFonts w:ascii="Times New Roman" w:hAnsi="Times New Roman"/>
          <w:smallCaps/>
          <w:color w:val="000000"/>
          <w:sz w:val="24"/>
        </w:rPr>
        <w:t>Exhibit J</w:t>
      </w:r>
      <w:r>
        <w:rPr>
          <w:rFonts w:ascii="Times New Roman" w:hAnsi="Times New Roman"/>
          <w:color w:val="000000"/>
          <w:sz w:val="20"/>
        </w:rPr>
        <w:t xml:space="preserve"> — </w:t>
      </w:r>
      <w:r>
        <w:rPr>
          <w:rFonts w:ascii="Times New Roman" w:hAnsi="Times New Roman"/>
          <w:color w:val="000000"/>
          <w:sz w:val="24"/>
        </w:rPr>
        <w:t>Form of Warrant Certificate (Funding Date)</w:t>
      </w:r>
    </w:p>
    <w:p>
      <w:pPr>
        <w:pStyle w:val="TextBody"/>
        <w:bidi w:val="0"/>
        <w:jc w:val="center"/>
        <w:rPr/>
      </w:pPr>
      <w:r>
        <w:rPr>
          <w:color w:val="000000"/>
        </w:rPr>
        <w:noBreakHyphen/>
      </w:r>
      <w:r>
        <w:rPr>
          <w:rFonts w:ascii="Times New Roman" w:hAnsi="Times New Roman"/>
          <w:color w:val="000000"/>
          <w:sz w:val="24"/>
        </w:rPr>
        <w:t>v</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smallCaps/>
          <w:color w:val="000000"/>
          <w:sz w:val="24"/>
        </w:rPr>
        <w:t>Credit Agreement And Guaranty,</w:t>
      </w:r>
      <w:r>
        <w:rPr>
          <w:rFonts w:ascii="Times New Roman" w:hAnsi="Times New Roman"/>
          <w:color w:val="000000"/>
          <w:sz w:val="20"/>
        </w:rPr>
        <w:t xml:space="preserve"> </w:t>
      </w:r>
      <w:r>
        <w:rPr>
          <w:rFonts w:ascii="Times New Roman" w:hAnsi="Times New Roman"/>
          <w:color w:val="000000"/>
          <w:sz w:val="24"/>
        </w:rPr>
        <w:t xml:space="preserve">dated as of November 16, 2022 (this </w:t>
      </w:r>
      <w:r>
        <w:rPr>
          <w:rFonts w:ascii="Times New Roman" w:hAnsi="Times New Roman"/>
          <w:color w:val="000000"/>
          <w:sz w:val="20"/>
        </w:rPr>
        <w:t>“</w:t>
      </w:r>
      <w:r>
        <w:rPr>
          <w:rFonts w:ascii="Times New Roman" w:hAnsi="Times New Roman"/>
          <w:i/>
          <w:color w:val="000000"/>
          <w:sz w:val="24"/>
        </w:rPr>
        <w:t>Agreement”</w:t>
      </w:r>
      <w:r>
        <w:rPr>
          <w:rFonts w:ascii="Times New Roman" w:hAnsi="Times New Roman"/>
          <w:color w:val="000000"/>
          <w:sz w:val="24"/>
        </w:rPr>
        <w:t xml:space="preserve">), among </w:t>
      </w:r>
      <w:r>
        <w:rPr>
          <w:rFonts w:ascii="Times New Roman" w:hAnsi="Times New Roman"/>
          <w:smallCaps/>
          <w:color w:val="000000"/>
          <w:sz w:val="24"/>
        </w:rPr>
        <w:t xml:space="preserve">Biodesix, Inc., </w:t>
      </w:r>
      <w:r>
        <w:rPr>
          <w:rFonts w:ascii="Times New Roman" w:hAnsi="Times New Roman"/>
          <w:color w:val="000000"/>
          <w:sz w:val="24"/>
        </w:rPr>
        <w:t xml:space="preserve">a Delaware corporation (the </w:t>
      </w:r>
      <w:r>
        <w:rPr>
          <w:rFonts w:ascii="Times New Roman" w:hAnsi="Times New Roman"/>
          <w:color w:val="000000"/>
          <w:sz w:val="20"/>
        </w:rPr>
        <w:t>“</w:t>
      </w:r>
      <w:r>
        <w:rPr>
          <w:rFonts w:ascii="Times New Roman" w:hAnsi="Times New Roman"/>
          <w:i/>
          <w:color w:val="000000"/>
          <w:sz w:val="24"/>
        </w:rPr>
        <w:t>Borrower”</w:t>
      </w:r>
      <w:r>
        <w:rPr>
          <w:rFonts w:ascii="Times New Roman" w:hAnsi="Times New Roman"/>
          <w:color w:val="000000"/>
          <w:sz w:val="24"/>
        </w:rPr>
        <w:t xml:space="preserve">), certain Guarantors from time to time parties hereto, the lenders from time to time party hereto (each, as a “Lender” and collectively, the “Lenders”) and </w:t>
      </w:r>
      <w:r>
        <w:rPr>
          <w:rFonts w:ascii="Times New Roman" w:hAnsi="Times New Roman"/>
          <w:smallCaps/>
          <w:color w:val="000000"/>
          <w:sz w:val="24"/>
        </w:rPr>
        <w:t>Perceptive Credit Holdings IV, LP,</w:t>
      </w:r>
      <w:r>
        <w:rPr>
          <w:rFonts w:ascii="Times New Roman" w:hAnsi="Times New Roman"/>
          <w:color w:val="000000"/>
          <w:sz w:val="20"/>
        </w:rPr>
        <w:t xml:space="preserve"> </w:t>
      </w:r>
      <w:r>
        <w:rPr>
          <w:rFonts w:ascii="Times New Roman" w:hAnsi="Times New Roman"/>
          <w:color w:val="000000"/>
          <w:sz w:val="24"/>
        </w:rPr>
        <w:t>a Delaware limited partnership (</w:t>
      </w:r>
      <w:r>
        <w:rPr>
          <w:rFonts w:ascii="Times New Roman" w:hAnsi="Times New Roman"/>
          <w:color w:val="000000"/>
          <w:sz w:val="20"/>
        </w:rPr>
        <w:t>“</w:t>
      </w:r>
      <w:r>
        <w:rPr>
          <w:rFonts w:ascii="Times New Roman" w:hAnsi="Times New Roman"/>
          <w:i/>
          <w:color w:val="000000"/>
          <w:sz w:val="24"/>
        </w:rPr>
        <w:t>Perceptive”</w:t>
      </w:r>
      <w:r>
        <w:rPr>
          <w:rFonts w:ascii="Times New Roman" w:hAnsi="Times New Roman"/>
          <w:color w:val="000000"/>
          <w:sz w:val="24"/>
        </w:rPr>
        <w:t xml:space="preserve">), as administrative agent for the Lenders (in such capacity, together with its successors and assigns, the </w:t>
      </w:r>
      <w:r>
        <w:rPr>
          <w:rFonts w:ascii="Times New Roman" w:hAnsi="Times New Roman"/>
          <w:color w:val="000000"/>
          <w:sz w:val="20"/>
        </w:rPr>
        <w:t>“</w:t>
      </w:r>
      <w:r>
        <w:rPr>
          <w:rFonts w:ascii="Times New Roman" w:hAnsi="Times New Roman"/>
          <w:i/>
          <w:color w:val="000000"/>
          <w:sz w:val="24"/>
        </w:rPr>
        <w:t>Administrative Agent”</w:t>
      </w:r>
      <w:r>
        <w:rPr>
          <w:rFonts w:ascii="Times New Roman" w:hAnsi="Times New Roman"/>
          <w:color w:val="000000"/>
          <w:sz w:val="24"/>
        </w:rPr>
        <w:t>).</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Witnesseth: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Borrower has requested the Lenders to make term loans to the Borrower, and the Lenders are prepared to make such loans on and subject to the terms and conditions hereof. Accordingly, the parties agree as follows: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 xml:space="preserve">Article I </w:t>
        <w:br/>
        <w:br/>
        <w:t>Definitions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1.01. Certain Defined Terms</w:t>
      </w:r>
      <w:r>
        <w:rPr>
          <w:rFonts w:ascii="Times New Roman" w:hAnsi="Times New Roman"/>
          <w:color w:val="000000"/>
          <w:sz w:val="24"/>
        </w:rPr>
        <w:t>. As used herein, the following terms have the following respective meanings:</w:t>
      </w:r>
    </w:p>
    <w:p>
      <w:pPr>
        <w:pStyle w:val="TextBody"/>
        <w:bidi w:val="0"/>
        <w:spacing w:before="280" w:after="283"/>
        <w:jc w:val="both"/>
        <w:rPr/>
      </w:pPr>
      <w:r>
        <w:rPr>
          <w:color w:val="000000"/>
        </w:rPr>
        <w:t>“</w:t>
      </w:r>
      <w:r>
        <w:rPr>
          <w:rFonts w:ascii="Times New Roman" w:hAnsi="Times New Roman"/>
          <w:i/>
          <w:color w:val="000000"/>
          <w:sz w:val="24"/>
        </w:rPr>
        <w:t>Accounting Change”</w:t>
      </w:r>
      <w:r>
        <w:rPr>
          <w:rFonts w:ascii="Times New Roman" w:hAnsi="Times New Roman"/>
          <w:color w:val="000000"/>
          <w:sz w:val="20"/>
        </w:rPr>
        <w:t xml:space="preserve"> </w:t>
      </w:r>
      <w:r>
        <w:rPr>
          <w:rFonts w:ascii="Times New Roman" w:hAnsi="Times New Roman"/>
          <w:color w:val="000000"/>
          <w:sz w:val="24"/>
        </w:rPr>
        <w:t>has the meaning set forth in Section 1.02.</w:t>
      </w:r>
    </w:p>
    <w:p>
      <w:pPr>
        <w:pStyle w:val="TextBody"/>
        <w:bidi w:val="0"/>
        <w:spacing w:before="280" w:after="283"/>
        <w:jc w:val="both"/>
        <w:rPr/>
      </w:pPr>
      <w:r>
        <w:rPr>
          <w:color w:val="000000"/>
        </w:rPr>
        <w:t>“</w:t>
      </w:r>
      <w:r>
        <w:rPr>
          <w:rFonts w:ascii="Times New Roman" w:hAnsi="Times New Roman"/>
          <w:i/>
          <w:color w:val="000000"/>
          <w:sz w:val="24"/>
        </w:rPr>
        <w:t>Accounting Change Notice”</w:t>
      </w:r>
      <w:r>
        <w:rPr>
          <w:rFonts w:ascii="Times New Roman" w:hAnsi="Times New Roman"/>
          <w:color w:val="000000"/>
          <w:sz w:val="20"/>
        </w:rPr>
        <w:t xml:space="preserve"> </w:t>
      </w:r>
      <w:r>
        <w:rPr>
          <w:rFonts w:ascii="Times New Roman" w:hAnsi="Times New Roman"/>
          <w:color w:val="000000"/>
          <w:sz w:val="24"/>
        </w:rPr>
        <w:t>has the meaning set forth in Section 1.02.</w:t>
      </w:r>
    </w:p>
    <w:p>
      <w:pPr>
        <w:pStyle w:val="TextBody"/>
        <w:bidi w:val="0"/>
        <w:spacing w:before="280" w:after="283"/>
        <w:jc w:val="both"/>
        <w:rPr/>
      </w:pPr>
      <w:r>
        <w:rPr>
          <w:color w:val="000000"/>
        </w:rPr>
        <w:t>“</w:t>
      </w:r>
      <w:r>
        <w:rPr>
          <w:rFonts w:ascii="Times New Roman" w:hAnsi="Times New Roman"/>
          <w:i/>
          <w:color w:val="000000"/>
          <w:sz w:val="24"/>
        </w:rPr>
        <w:t>Acquisition”</w:t>
      </w:r>
      <w:r>
        <w:rPr>
          <w:rFonts w:ascii="Times New Roman" w:hAnsi="Times New Roman"/>
          <w:color w:val="000000"/>
          <w:sz w:val="20"/>
        </w:rPr>
        <w:t xml:space="preserve"> </w:t>
      </w:r>
      <w:r>
        <w:rPr>
          <w:rFonts w:ascii="Times New Roman" w:hAnsi="Times New Roman"/>
          <w:color w:val="000000"/>
          <w:sz w:val="24"/>
        </w:rPr>
        <w:t>means any transaction, or any series of related transactions, by which any Person directly or indirectly, by means of an amalgamation, plan of arrangement, merger, purchase of Equity Interests or other assets, or similar transaction having the same effect as any of the foregoing, (a) acquires all or substantially all of the assets of any other Person, (b) acquires any business or all or substantially all of a business line or unit or division of any other Person, (c) acquires Control of Equity Interests of another Person representing more than fifty (50)% of the ordinary voting power for the election of directors or other governing body if the business affairs of such Person are managed by a Board or other governing body, determined on a fully diluted basis, as if converted or exercised basis, or (d) acquires Control of more than fifty (50)% of the Equity Interests in any Person engaged in any business that is not managed by a Board or other governing body, determined on a fully diluted, as if converted or exercised basis.</w:t>
      </w:r>
    </w:p>
    <w:p>
      <w:pPr>
        <w:pStyle w:val="TextBody"/>
        <w:bidi w:val="0"/>
        <w:spacing w:before="280" w:after="283"/>
        <w:jc w:val="both"/>
        <w:rPr/>
      </w:pPr>
      <w:r>
        <w:rPr>
          <w:color w:val="000000"/>
        </w:rPr>
        <w:t>“</w:t>
      </w:r>
      <w:r>
        <w:rPr>
          <w:rFonts w:ascii="Times New Roman" w:hAnsi="Times New Roman"/>
          <w:i/>
          <w:color w:val="000000"/>
          <w:sz w:val="24"/>
        </w:rPr>
        <w:t>Administrative Agent”</w:t>
      </w:r>
      <w:r>
        <w:rPr>
          <w:rFonts w:ascii="Times New Roman" w:hAnsi="Times New Roman"/>
          <w:color w:val="000000"/>
          <w:sz w:val="20"/>
        </w:rPr>
        <w:t xml:space="preserve"> </w:t>
      </w:r>
      <w:r>
        <w:rPr>
          <w:rFonts w:ascii="Times New Roman" w:hAnsi="Times New Roman"/>
          <w:color w:val="000000"/>
          <w:sz w:val="24"/>
        </w:rPr>
        <w:t>has the meaning set forth in the introduction hereto.</w:t>
      </w:r>
    </w:p>
    <w:p>
      <w:pPr>
        <w:pStyle w:val="TextBody"/>
        <w:bidi w:val="0"/>
        <w:spacing w:before="280" w:after="283"/>
        <w:jc w:val="both"/>
        <w:rPr/>
      </w:pPr>
      <w:r>
        <w:rPr>
          <w:color w:val="000000"/>
        </w:rPr>
        <w:t>“</w:t>
      </w:r>
      <w:r>
        <w:rPr>
          <w:rFonts w:ascii="Times New Roman" w:hAnsi="Times New Roman"/>
          <w:i/>
          <w:color w:val="000000"/>
          <w:sz w:val="24"/>
        </w:rPr>
        <w:t>Affected Financial Institution</w:t>
      </w:r>
      <w:r>
        <w:rPr>
          <w:rFonts w:ascii="Times New Roman" w:hAnsi="Times New Roman"/>
          <w:color w:val="000000"/>
          <w:sz w:val="20"/>
        </w:rPr>
        <w:t xml:space="preserve">” </w:t>
      </w:r>
      <w:r>
        <w:rPr>
          <w:rFonts w:ascii="Times New Roman" w:hAnsi="Times New Roman"/>
          <w:color w:val="000000"/>
          <w:sz w:val="24"/>
        </w:rPr>
        <w:t>means (a) any EEA Financial Institution or (b) any UK Financial Institution.</w:t>
      </w:r>
    </w:p>
    <w:p>
      <w:pPr>
        <w:pStyle w:val="TextBody"/>
        <w:bidi w:val="0"/>
        <w:spacing w:before="28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Affiliate”</w:t>
      </w:r>
      <w:r>
        <w:rPr>
          <w:rFonts w:ascii="Times New Roman" w:hAnsi="Times New Roman"/>
          <w:color w:val="000000"/>
          <w:sz w:val="20"/>
        </w:rPr>
        <w:t xml:space="preserve"> </w:t>
      </w:r>
      <w:r>
        <w:rPr>
          <w:rFonts w:ascii="Times New Roman" w:hAnsi="Times New Roman"/>
          <w:color w:val="000000"/>
          <w:sz w:val="24"/>
        </w:rPr>
        <w:t>means, with respect to a specified Person, another Person that directly, or indirectly through one or more intermediaries, Controls or is Controlled by or is under common Control with the Person specified.</w:t>
      </w:r>
    </w:p>
    <w:p>
      <w:pPr>
        <w:pStyle w:val="TextBody"/>
        <w:bidi w:val="0"/>
        <w:spacing w:before="280" w:after="283"/>
        <w:jc w:val="both"/>
        <w:rPr/>
      </w:pPr>
      <w:r>
        <w:rPr>
          <w:color w:val="000000"/>
        </w:rPr>
        <w:t>“</w:t>
      </w:r>
      <w:r>
        <w:rPr>
          <w:rFonts w:ascii="Times New Roman" w:hAnsi="Times New Roman"/>
          <w:i/>
          <w:color w:val="000000"/>
          <w:sz w:val="24"/>
        </w:rPr>
        <w:t>Agreement”</w:t>
      </w:r>
      <w:r>
        <w:rPr>
          <w:rFonts w:ascii="Times New Roman" w:hAnsi="Times New Roman"/>
          <w:color w:val="000000"/>
          <w:sz w:val="20"/>
        </w:rPr>
        <w:t xml:space="preserve"> </w:t>
      </w:r>
      <w:r>
        <w:rPr>
          <w:rFonts w:ascii="Times New Roman" w:hAnsi="Times New Roman"/>
          <w:color w:val="000000"/>
          <w:sz w:val="24"/>
        </w:rPr>
        <w:t>has the meaning set forth in the introduction hereto.</w:t>
      </w:r>
    </w:p>
    <w:p>
      <w:pPr>
        <w:pStyle w:val="TextBody"/>
        <w:bidi w:val="0"/>
        <w:spacing w:before="280" w:after="283"/>
        <w:jc w:val="both"/>
        <w:rPr/>
      </w:pPr>
      <w:r>
        <w:rPr>
          <w:color w:val="000000"/>
        </w:rPr>
        <w:t>“</w:t>
      </w:r>
      <w:r>
        <w:rPr>
          <w:rFonts w:ascii="Times New Roman" w:hAnsi="Times New Roman"/>
          <w:i/>
          <w:color w:val="000000"/>
          <w:sz w:val="24"/>
        </w:rPr>
        <w:t>Anti</w:t>
        <w:noBreakHyphen/>
        <w:t>Corruption Laws”</w:t>
      </w:r>
      <w:r>
        <w:rPr>
          <w:rFonts w:ascii="Times New Roman" w:hAnsi="Times New Roman"/>
          <w:color w:val="000000"/>
          <w:sz w:val="20"/>
        </w:rPr>
        <w:t xml:space="preserve"> </w:t>
      </w:r>
      <w:r>
        <w:rPr>
          <w:rFonts w:ascii="Times New Roman" w:hAnsi="Times New Roman"/>
          <w:color w:val="000000"/>
          <w:sz w:val="24"/>
        </w:rPr>
        <w:t xml:space="preserve">means all laws, rules and regulations of any jurisdiction applicable to the Obligors and their Affiliates concerning or relating to bribery or corruption, including, without limitation, the </w:t>
      </w:r>
      <w:r>
        <w:rPr>
          <w:rFonts w:ascii="Times New Roman" w:hAnsi="Times New Roman"/>
          <w:i/>
          <w:color w:val="000000"/>
          <w:sz w:val="24"/>
        </w:rPr>
        <w:t>U.S. Foreign Corrupt Practices Act of 1977</w:t>
      </w:r>
      <w:r>
        <w:rPr>
          <w:rFonts w:ascii="Times New Roman" w:hAnsi="Times New Roman"/>
          <w:color w:val="000000"/>
          <w:sz w:val="24"/>
        </w:rPr>
        <w:t>, as amended (15 U.S.C. §§78dd-1 et seq.).</w:t>
      </w:r>
    </w:p>
    <w:p>
      <w:pPr>
        <w:pStyle w:val="TextBody"/>
        <w:bidi w:val="0"/>
        <w:spacing w:before="280" w:after="283"/>
        <w:jc w:val="both"/>
        <w:rPr/>
      </w:pPr>
      <w:r>
        <w:rPr>
          <w:color w:val="000000"/>
        </w:rPr>
        <w:t>“</w:t>
      </w:r>
      <w:r>
        <w:rPr>
          <w:rFonts w:ascii="Times New Roman" w:hAnsi="Times New Roman"/>
          <w:i/>
          <w:color w:val="000000"/>
          <w:sz w:val="24"/>
        </w:rPr>
        <w:t>Anti</w:t>
        <w:noBreakHyphen/>
        <w:t>Terrorism Laws”</w:t>
      </w:r>
      <w:r>
        <w:rPr>
          <w:rFonts w:ascii="Times New Roman" w:hAnsi="Times New Roman"/>
          <w:color w:val="000000"/>
          <w:sz w:val="20"/>
        </w:rPr>
        <w:t xml:space="preserve"> </w:t>
      </w:r>
      <w:r>
        <w:rPr>
          <w:rFonts w:ascii="Times New Roman" w:hAnsi="Times New Roman"/>
          <w:color w:val="000000"/>
          <w:sz w:val="24"/>
        </w:rPr>
        <w:t xml:space="preserve">means any laws or regulations relating to terrorist financing-related activities or money laundering, including, without limitation, the </w:t>
      </w:r>
      <w:r>
        <w:rPr>
          <w:rFonts w:ascii="Times New Roman" w:hAnsi="Times New Roman"/>
          <w:i/>
          <w:color w:val="000000"/>
          <w:sz w:val="24"/>
        </w:rPr>
        <w:t>Bank Secrecy Act</w:t>
      </w:r>
      <w:r>
        <w:rPr>
          <w:rFonts w:ascii="Times New Roman" w:hAnsi="Times New Roman"/>
          <w:color w:val="000000"/>
          <w:sz w:val="20"/>
        </w:rPr>
        <w:t xml:space="preserve"> </w:t>
      </w:r>
      <w:r>
        <w:rPr>
          <w:rFonts w:ascii="Times New Roman" w:hAnsi="Times New Roman"/>
          <w:color w:val="000000"/>
          <w:sz w:val="24"/>
        </w:rPr>
        <w:t xml:space="preserve">(31 U.S.C. §§ 5311 </w:t>
      </w:r>
      <w:r>
        <w:rPr>
          <w:rFonts w:ascii="Times New Roman" w:hAnsi="Times New Roman"/>
          <w:i/>
          <w:color w:val="000000"/>
          <w:sz w:val="24"/>
        </w:rPr>
        <w:t>et seq.</w:t>
      </w:r>
      <w:r>
        <w:rPr>
          <w:rFonts w:ascii="Times New Roman" w:hAnsi="Times New Roman"/>
          <w:color w:val="000000"/>
          <w:sz w:val="24"/>
        </w:rPr>
        <w:t xml:space="preserve">), the </w:t>
      </w:r>
      <w:r>
        <w:rPr>
          <w:rFonts w:ascii="Times New Roman" w:hAnsi="Times New Roman"/>
          <w:i/>
          <w:color w:val="000000"/>
          <w:sz w:val="24"/>
        </w:rPr>
        <w:t>Money Laundering Control Act of 1986</w:t>
      </w:r>
      <w:r>
        <w:rPr>
          <w:rFonts w:ascii="Times New Roman" w:hAnsi="Times New Roman"/>
          <w:color w:val="000000"/>
          <w:sz w:val="20"/>
        </w:rPr>
        <w:t xml:space="preserve"> </w:t>
      </w:r>
      <w:r>
        <w:rPr>
          <w:rFonts w:ascii="Times New Roman" w:hAnsi="Times New Roman"/>
          <w:color w:val="000000"/>
          <w:sz w:val="24"/>
        </w:rPr>
        <w:t xml:space="preserve">(18 U.S.C. §§ 1956 </w:t>
      </w:r>
      <w:r>
        <w:rPr>
          <w:rFonts w:ascii="Times New Roman" w:hAnsi="Times New Roman"/>
          <w:i/>
          <w:color w:val="000000"/>
          <w:sz w:val="24"/>
        </w:rPr>
        <w:t>et seq.</w:t>
      </w:r>
      <w:r>
        <w:rPr>
          <w:rFonts w:ascii="Times New Roman" w:hAnsi="Times New Roman"/>
          <w:color w:val="000000"/>
          <w:sz w:val="24"/>
        </w:rPr>
        <w:t>), the USA Patriot Act (Title III of Pub. L. 107-56) (the “</w:t>
      </w:r>
      <w:r>
        <w:rPr>
          <w:rFonts w:ascii="Times New Roman" w:hAnsi="Times New Roman"/>
          <w:i/>
          <w:color w:val="000000"/>
          <w:sz w:val="24"/>
        </w:rPr>
        <w:t>Patriot Act</w:t>
      </w:r>
      <w:r>
        <w:rPr>
          <w:rFonts w:ascii="Times New Roman" w:hAnsi="Times New Roman"/>
          <w:color w:val="000000"/>
          <w:sz w:val="20"/>
        </w:rPr>
        <w:t>”</w:t>
      </w:r>
      <w:r>
        <w:rPr>
          <w:rFonts w:ascii="Times New Roman" w:hAnsi="Times New Roman"/>
          <w:color w:val="000000"/>
          <w:sz w:val="24"/>
        </w:rPr>
        <w:t>), and any similar law enacted in the United States after the date of this Agreement.</w:t>
      </w:r>
    </w:p>
    <w:p>
      <w:pPr>
        <w:pStyle w:val="TextBody"/>
        <w:bidi w:val="0"/>
        <w:spacing w:before="280" w:after="283"/>
        <w:jc w:val="both"/>
        <w:rPr/>
      </w:pPr>
      <w:r>
        <w:rPr>
          <w:color w:val="000000"/>
        </w:rPr>
        <w:t>“</w:t>
      </w:r>
      <w:r>
        <w:rPr>
          <w:rFonts w:ascii="Times New Roman" w:hAnsi="Times New Roman"/>
          <w:i/>
          <w:color w:val="000000"/>
          <w:sz w:val="24"/>
        </w:rPr>
        <w:t>Applicable Margin”</w:t>
      </w:r>
      <w:r>
        <w:rPr>
          <w:rFonts w:ascii="Times New Roman" w:hAnsi="Times New Roman"/>
          <w:color w:val="000000"/>
          <w:sz w:val="20"/>
        </w:rPr>
        <w:t xml:space="preserve"> </w:t>
      </w:r>
      <w:r>
        <w:rPr>
          <w:rFonts w:ascii="Times New Roman" w:hAnsi="Times New Roman"/>
          <w:color w:val="000000"/>
          <w:sz w:val="24"/>
        </w:rPr>
        <w:t>means 9.00% per annum.</w:t>
      </w:r>
    </w:p>
    <w:p>
      <w:pPr>
        <w:pStyle w:val="TextBody"/>
        <w:bidi w:val="0"/>
        <w:spacing w:before="280" w:after="283"/>
        <w:jc w:val="both"/>
        <w:rPr/>
      </w:pPr>
      <w:r>
        <w:rPr>
          <w:color w:val="000000"/>
        </w:rPr>
        <w:t>“</w:t>
      </w:r>
      <w:r>
        <w:rPr>
          <w:rFonts w:ascii="Times New Roman" w:hAnsi="Times New Roman"/>
          <w:i/>
          <w:color w:val="000000"/>
          <w:sz w:val="24"/>
        </w:rPr>
        <w:t xml:space="preserve">Approved Fund” </w:t>
      </w:r>
      <w:r>
        <w:rPr>
          <w:rFonts w:ascii="Times New Roman" w:hAnsi="Times New Roman"/>
          <w:color w:val="000000"/>
          <w:sz w:val="24"/>
        </w:rPr>
        <w:t>means any Person (other than a natural person and any holding company, investment vehicle or trust for, or owned and operated for the primary benefit of, a natural person) that is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or manages a Lender.</w:t>
      </w:r>
    </w:p>
    <w:p>
      <w:pPr>
        <w:pStyle w:val="TextBody"/>
        <w:bidi w:val="0"/>
        <w:spacing w:before="280" w:after="283"/>
        <w:jc w:val="both"/>
        <w:rPr/>
      </w:pPr>
      <w:r>
        <w:rPr>
          <w:color w:val="000000"/>
        </w:rPr>
        <w:t>“</w:t>
      </w:r>
      <w:r>
        <w:rPr>
          <w:rFonts w:ascii="Times New Roman" w:hAnsi="Times New Roman"/>
          <w:i/>
          <w:color w:val="000000"/>
          <w:sz w:val="24"/>
        </w:rPr>
        <w:t>Asset Sale”</w:t>
      </w:r>
      <w:r>
        <w:rPr>
          <w:rFonts w:ascii="Times New Roman" w:hAnsi="Times New Roman"/>
          <w:color w:val="000000"/>
          <w:sz w:val="20"/>
        </w:rPr>
        <w:t xml:space="preserve"> </w:t>
      </w:r>
      <w:r>
        <w:rPr>
          <w:rFonts w:ascii="Times New Roman" w:hAnsi="Times New Roman"/>
          <w:color w:val="000000"/>
          <w:sz w:val="24"/>
        </w:rPr>
        <w:t>has the meaning set forth in Section 9.09.</w:t>
      </w:r>
    </w:p>
    <w:p>
      <w:pPr>
        <w:pStyle w:val="TextBody"/>
        <w:bidi w:val="0"/>
        <w:spacing w:before="280" w:after="283"/>
        <w:jc w:val="both"/>
        <w:rPr/>
      </w:pPr>
      <w:r>
        <w:rPr>
          <w:color w:val="000000"/>
        </w:rPr>
        <w:t>“</w:t>
      </w:r>
      <w:r>
        <w:rPr>
          <w:rFonts w:ascii="Times New Roman" w:hAnsi="Times New Roman"/>
          <w:i/>
          <w:color w:val="000000"/>
          <w:sz w:val="24"/>
        </w:rPr>
        <w:t xml:space="preserve">Assignment Agreement” </w:t>
      </w:r>
      <w:r>
        <w:rPr>
          <w:rFonts w:ascii="Times New Roman" w:hAnsi="Times New Roman"/>
          <w:color w:val="000000"/>
          <w:sz w:val="24"/>
        </w:rPr>
        <w:t>means an assignment and assumption entered into by a Lender and an assignee of such Lender in substantially the form of Exhibit F.</w:t>
      </w:r>
    </w:p>
    <w:p>
      <w:pPr>
        <w:pStyle w:val="TextBody"/>
        <w:bidi w:val="0"/>
        <w:spacing w:before="280" w:after="283"/>
        <w:jc w:val="both"/>
        <w:rPr/>
      </w:pPr>
      <w:r>
        <w:rPr>
          <w:color w:val="000000"/>
        </w:rPr>
        <w:t>“</w:t>
      </w:r>
      <w:r>
        <w:rPr>
          <w:rFonts w:ascii="Times New Roman" w:hAnsi="Times New Roman"/>
          <w:i/>
          <w:color w:val="000000"/>
          <w:sz w:val="24"/>
        </w:rPr>
        <w:t>Available Tenor</w:t>
      </w:r>
      <w:r>
        <w:rPr>
          <w:rFonts w:ascii="Times New Roman" w:hAnsi="Times New Roman"/>
          <w:color w:val="000000"/>
          <w:sz w:val="20"/>
        </w:rPr>
        <w:t xml:space="preserve">” </w:t>
      </w:r>
      <w:r>
        <w:rPr>
          <w:rFonts w:ascii="Times New Roman" w:hAnsi="Times New Roman"/>
          <w:color w:val="000000"/>
          <w:sz w:val="24"/>
        </w:rPr>
        <w:t xml:space="preserve">means, as of the Closing Date, the only Available Tenor for Term SOFR is an interest period of one (1) month; </w:t>
      </w:r>
      <w:r>
        <w:rPr>
          <w:rFonts w:ascii="Times New Roman" w:hAnsi="Times New Roman"/>
          <w:i/>
          <w:color w:val="000000"/>
          <w:sz w:val="24"/>
        </w:rPr>
        <w:t xml:space="preserve">provided </w:t>
      </w:r>
      <w:r>
        <w:rPr>
          <w:rFonts w:ascii="Times New Roman" w:hAnsi="Times New Roman"/>
          <w:color w:val="000000"/>
          <w:sz w:val="24"/>
        </w:rPr>
        <w:t>that the Administrative Agent may select to use additional interest periods in accordance with the terms of Section 3.02(c)(iv) and such interest periods shall become Available Tenors upon such selection.</w:t>
      </w:r>
    </w:p>
    <w:p>
      <w:pPr>
        <w:pStyle w:val="TextBody"/>
        <w:bidi w:val="0"/>
        <w:spacing w:before="280" w:after="283"/>
        <w:jc w:val="both"/>
        <w:rPr/>
      </w:pPr>
      <w:r>
        <w:rPr>
          <w:color w:val="000000"/>
        </w:rPr>
        <w:t>“</w:t>
      </w:r>
      <w:r>
        <w:rPr>
          <w:rFonts w:ascii="Times New Roman" w:hAnsi="Times New Roman"/>
          <w:i/>
          <w:color w:val="000000"/>
          <w:sz w:val="24"/>
        </w:rPr>
        <w:t>Bail</w:t>
        <w:noBreakHyphen/>
        <w:t>In Action”</w:t>
      </w:r>
      <w:r>
        <w:rPr>
          <w:rFonts w:ascii="Times New Roman" w:hAnsi="Times New Roman"/>
          <w:color w:val="000000"/>
          <w:sz w:val="20"/>
        </w:rPr>
        <w:t xml:space="preserve"> </w:t>
      </w:r>
      <w:r>
        <w:rPr>
          <w:rFonts w:ascii="Times New Roman" w:hAnsi="Times New Roman"/>
          <w:color w:val="000000"/>
          <w:sz w:val="24"/>
        </w:rPr>
        <w:t>means the exercise of any Write</w:t>
        <w:noBreakHyphen/>
        <w:t>Down and Conversion Powers by the applicable Resolution Authority in respect of any liability of an Affected Financial Institution.</w:t>
      </w:r>
    </w:p>
    <w:p>
      <w:pPr>
        <w:pStyle w:val="TextBody"/>
        <w:bidi w:val="0"/>
        <w:spacing w:before="280" w:after="283"/>
        <w:jc w:val="both"/>
        <w:rPr/>
      </w:pPr>
      <w:r>
        <w:rPr>
          <w:color w:val="000000"/>
        </w:rPr>
        <w:t>“</w:t>
      </w:r>
      <w:r>
        <w:rPr>
          <w:rFonts w:ascii="Times New Roman" w:hAnsi="Times New Roman"/>
          <w:i/>
          <w:color w:val="000000"/>
          <w:sz w:val="24"/>
        </w:rPr>
        <w:t>Bail</w:t>
        <w:noBreakHyphen/>
        <w:t>In Legislation”</w:t>
      </w:r>
      <w:r>
        <w:rPr>
          <w:rFonts w:ascii="Times New Roman" w:hAnsi="Times New Roman"/>
          <w:color w:val="000000"/>
          <w:sz w:val="20"/>
        </w:rPr>
        <w:t xml:space="preserve"> </w:t>
      </w:r>
      <w:r>
        <w:rPr>
          <w:rFonts w:ascii="Times New Roman" w:hAnsi="Times New Roman"/>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rule or requirement applicable in the United Kingdom relating to</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2</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resolution of unsound or failing banks, investment firms or other financial institutions or their affiliates (other than through liquidation, administration or other Insolvency Proceedings).</w:t>
      </w:r>
    </w:p>
    <w:p>
      <w:pPr>
        <w:pStyle w:val="TextBody"/>
        <w:bidi w:val="0"/>
        <w:spacing w:before="280" w:after="283"/>
        <w:jc w:val="both"/>
        <w:rPr/>
      </w:pPr>
      <w:r>
        <w:rPr>
          <w:color w:val="000000"/>
        </w:rPr>
        <w:t>“</w:t>
      </w:r>
      <w:r>
        <w:rPr>
          <w:rFonts w:ascii="Times New Roman" w:hAnsi="Times New Roman"/>
          <w:i/>
          <w:color w:val="000000"/>
          <w:sz w:val="24"/>
        </w:rPr>
        <w:t>Bankruptcy Code”</w:t>
      </w:r>
      <w:r>
        <w:rPr>
          <w:rFonts w:ascii="Times New Roman" w:hAnsi="Times New Roman"/>
          <w:color w:val="000000"/>
          <w:sz w:val="20"/>
        </w:rPr>
        <w:t xml:space="preserve"> </w:t>
      </w:r>
      <w:r>
        <w:rPr>
          <w:rFonts w:ascii="Times New Roman" w:hAnsi="Times New Roman"/>
          <w:color w:val="000000"/>
          <w:sz w:val="24"/>
        </w:rPr>
        <w:t>means Title 11 of the United States Code entitled “Bankruptcy”.</w:t>
      </w:r>
    </w:p>
    <w:p>
      <w:pPr>
        <w:pStyle w:val="TextBody"/>
        <w:bidi w:val="0"/>
        <w:spacing w:before="280" w:after="283"/>
        <w:jc w:val="both"/>
        <w:rPr/>
      </w:pPr>
      <w:r>
        <w:rPr>
          <w:color w:val="000000"/>
        </w:rPr>
        <w:t>“</w:t>
      </w:r>
      <w:r>
        <w:rPr>
          <w:rFonts w:ascii="Times New Roman" w:hAnsi="Times New Roman"/>
          <w:i/>
          <w:color w:val="000000"/>
          <w:sz w:val="24"/>
        </w:rPr>
        <w:t>Benchmark</w:t>
      </w:r>
      <w:r>
        <w:rPr>
          <w:rFonts w:ascii="Times New Roman" w:hAnsi="Times New Roman"/>
          <w:color w:val="000000"/>
          <w:sz w:val="20"/>
        </w:rPr>
        <w:t xml:space="preserve">” </w:t>
      </w:r>
      <w:r>
        <w:rPr>
          <w:rFonts w:ascii="Times New Roman" w:hAnsi="Times New Roman"/>
          <w:color w:val="000000"/>
          <w:sz w:val="24"/>
        </w:rPr>
        <w:t xml:space="preserve">means, initially Term SOFR;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a Benchmark Transition Event has occurred with respect to the then-current Benchmark, then “Benchmark” means the applicable Benchmark Replacement to the extent that such Benchmark Replacement has replaced such prior benchmark rate pursuant to Section 3.02(c).</w:t>
      </w:r>
    </w:p>
    <w:p>
      <w:pPr>
        <w:pStyle w:val="TextBody"/>
        <w:bidi w:val="0"/>
        <w:spacing w:before="280" w:after="283"/>
        <w:jc w:val="both"/>
        <w:rPr/>
      </w:pPr>
      <w:r>
        <w:rPr>
          <w:color w:val="000000"/>
        </w:rPr>
        <w:t>“</w:t>
      </w:r>
      <w:r>
        <w:rPr>
          <w:rFonts w:ascii="Times New Roman" w:hAnsi="Times New Roman"/>
          <w:i/>
          <w:color w:val="000000"/>
          <w:sz w:val="24"/>
        </w:rPr>
        <w:t>Benchmark Replacement</w:t>
      </w:r>
      <w:r>
        <w:rPr>
          <w:rFonts w:ascii="Times New Roman" w:hAnsi="Times New Roman"/>
          <w:color w:val="000000"/>
          <w:sz w:val="20"/>
        </w:rPr>
        <w:t xml:space="preserve">” </w:t>
      </w:r>
      <w:r>
        <w:rPr>
          <w:rFonts w:ascii="Times New Roman" w:hAnsi="Times New Roman"/>
          <w:color w:val="000000"/>
          <w:sz w:val="24"/>
        </w:rPr>
        <w:t>means the first alternative set forth in the order below that can be determined by the Administrative Agent for the applicable Benchmark Replacement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Daily Simple SOFR;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 </w:t>
      </w:r>
    </w:p>
    <w:p>
      <w:pPr>
        <w:pStyle w:val="TextBody"/>
        <w:bidi w:val="0"/>
        <w:spacing w:before="280" w:after="283"/>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 that, until such alternate rate of interest is agreed upon by the Administrative Agent and the Borrower, the rate of interest for purposes hereof and of each other Loan Document shall be Term SOFR (or subsequent Benchmark, as applicable), as of the end of the Interest Period ending immediately prior to the applicable Benchmark Transition Event.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If the Benchmark Replacement as determined pursuant to clause (a) or (b) above would be less than the Floor, the Benchmark Replacement will be deemed to be the Floor for the purposes of this Agreement and the other Loan Documents.</w:t>
      </w:r>
    </w:p>
    <w:p>
      <w:pPr>
        <w:pStyle w:val="TextBody"/>
        <w:bidi w:val="0"/>
        <w:spacing w:before="280" w:after="283"/>
        <w:jc w:val="both"/>
        <w:rPr/>
      </w:pPr>
      <w:r>
        <w:rPr>
          <w:color w:val="000000"/>
        </w:rPr>
        <w:t>“</w:t>
      </w:r>
      <w:r>
        <w:rPr>
          <w:rFonts w:ascii="Times New Roman" w:hAnsi="Times New Roman"/>
          <w:i/>
          <w:color w:val="000000"/>
          <w:sz w:val="24"/>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jc w:val="center"/>
        <w:rPr/>
      </w:pPr>
      <w:r>
        <w:rPr>
          <w:color w:val="000000"/>
        </w:rPr>
        <w:noBreakHyphen/>
      </w:r>
      <w:r>
        <w:rPr>
          <w:rFonts w:ascii="Times New Roman" w:hAnsi="Times New Roman"/>
          <w:color w:val="000000"/>
          <w:sz w:val="24"/>
        </w:rPr>
        <w:t>3</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Benchmark Replacement Date</w:t>
      </w:r>
      <w:r>
        <w:rPr>
          <w:rFonts w:ascii="Times New Roman" w:hAnsi="Times New Roman"/>
          <w:color w:val="000000"/>
          <w:sz w:val="20"/>
        </w:rPr>
        <w:t xml:space="preserve">” </w:t>
      </w:r>
      <w:r>
        <w:rPr>
          <w:rFonts w:ascii="Times New Roman" w:hAnsi="Times New Roman"/>
          <w:color w:val="000000"/>
          <w:sz w:val="24"/>
        </w:rPr>
        <w:t>means a date and time determined by the Administrative Agent, which date shall be no later than the earliest to occur of the following events with respect to the then-current Benchmark: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color w:val="000000"/>
          <w:sz w:val="24"/>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i/>
          <w:color w:val="000000"/>
          <w:sz w:val="24"/>
        </w:rPr>
        <w:t>provided</w:t>
      </w:r>
      <w:r>
        <w:rPr>
          <w:color w:val="000000"/>
        </w:rPr>
        <w:t xml:space="preserve"> </w:t>
      </w:r>
      <w:r>
        <w:rPr>
          <w:rFonts w:ascii="Times New Roman" w:hAnsi="Times New Roman"/>
          <w:color w:val="000000"/>
          <w:sz w:val="24"/>
        </w:rPr>
        <w:t>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280" w:after="283"/>
        <w:jc w:val="both"/>
        <w:rPr/>
      </w:pPr>
      <w:r>
        <w:rPr>
          <w:color w:val="000000"/>
        </w:rPr>
        <w:t>“</w:t>
      </w:r>
      <w:r>
        <w:rPr>
          <w:rFonts w:ascii="Times New Roman" w:hAnsi="Times New Roman"/>
          <w:i/>
          <w:color w:val="000000"/>
          <w:sz w:val="24"/>
        </w:rPr>
        <w:t>Benchmark Transition Event</w:t>
      </w:r>
      <w:r>
        <w:rPr>
          <w:rFonts w:ascii="Times New Roman" w:hAnsi="Times New Roman"/>
          <w:color w:val="000000"/>
          <w:sz w:val="20"/>
        </w:rPr>
        <w:t xml:space="preserve">” </w:t>
      </w:r>
      <w:r>
        <w:rPr>
          <w:rFonts w:ascii="Times New Roman" w:hAnsi="Times New Roman"/>
          <w:color w:val="000000"/>
          <w:sz w:val="24"/>
        </w:rPr>
        <w:t>means the occurrence of one or more of the following events with respect to the then-current Benchmark: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color w:val="000000"/>
          <w:sz w:val="24"/>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i/>
          <w:color w:val="000000"/>
          <w:sz w:val="24"/>
        </w:rPr>
        <w:t xml:space="preserve">provided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color w:val="000000"/>
          <w:sz w:val="24"/>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i/>
          <w:color w:val="000000"/>
          <w:sz w:val="24"/>
        </w:rPr>
        <w:t xml:space="preserve">provided </w:t>
      </w:r>
      <w:r>
        <w:rPr>
          <w:rFonts w:ascii="Times New Roman" w:hAnsi="Times New Roman"/>
          <w:color w:val="000000"/>
          <w:sz w:val="24"/>
        </w:rPr>
        <w:t xml:space="preserve">that, at the time of such statement or publication, </w:t>
      </w:r>
    </w:p>
    <w:p>
      <w:pPr>
        <w:pStyle w:val="TextBody"/>
        <w:bidi w:val="0"/>
        <w:jc w:val="center"/>
        <w:rPr/>
      </w:pPr>
      <w:r>
        <w:rPr>
          <w:color w:val="000000"/>
        </w:rPr>
        <w:noBreakHyphen/>
      </w:r>
      <w:r>
        <w:rPr>
          <w:rFonts w:ascii="Times New Roman" w:hAnsi="Times New Roman"/>
          <w:color w:val="000000"/>
          <w:sz w:val="24"/>
        </w:rPr>
        <w:t>4</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there is no successor administrator that will continue to provide any Available Tenor of such Benchmark (or such component thereof);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280" w:after="283"/>
        <w:jc w:val="both"/>
        <w:rPr/>
      </w:pPr>
      <w:r>
        <w:rPr>
          <w:color w:val="000000"/>
        </w:rPr>
        <w:t>“</w:t>
      </w:r>
      <w:r>
        <w:rPr>
          <w:rFonts w:ascii="Times New Roman" w:hAnsi="Times New Roman"/>
          <w:i/>
          <w:color w:val="000000"/>
          <w:sz w:val="24"/>
        </w:rPr>
        <w:t xml:space="preserve">Benchmark Unavailability Period” </w:t>
      </w:r>
      <w:r>
        <w:rPr>
          <w:rFonts w:ascii="Times New Roman" w:hAnsi="Times New Roman"/>
          <w:color w:val="000000"/>
          <w:sz w:val="24"/>
        </w:rPr>
        <w:t>means, the period (if any) (a) beginning at the time that a Benchmark Replacement Date has occurred if, at such time, no Benchmark Replacement has replaced the then-current Benchmark for all purposes hereunder and under any Loan Document in accordance with Section 3.02(c) and (b) ending at the time that a Benchmark Replacement has replaced the then-current Benchmark for all purposes hereunder and under any Loan Document in accordance with Section 3.02(c).</w:t>
      </w:r>
    </w:p>
    <w:p>
      <w:pPr>
        <w:pStyle w:val="TextBody"/>
        <w:bidi w:val="0"/>
        <w:spacing w:before="280" w:after="283"/>
        <w:jc w:val="both"/>
        <w:rPr/>
      </w:pPr>
      <w:r>
        <w:rPr>
          <w:color w:val="000000"/>
        </w:rPr>
        <w:t>“</w:t>
      </w:r>
      <w:r>
        <w:rPr>
          <w:rFonts w:ascii="Times New Roman" w:hAnsi="Times New Roman"/>
          <w:i/>
          <w:color w:val="000000"/>
          <w:sz w:val="24"/>
        </w:rPr>
        <w:t>Beneficial Ownership Regulation</w:t>
      </w:r>
      <w:r>
        <w:rPr>
          <w:rFonts w:ascii="Times New Roman" w:hAnsi="Times New Roman"/>
          <w:color w:val="000000"/>
          <w:sz w:val="20"/>
        </w:rPr>
        <w:t xml:space="preserve">” </w:t>
      </w:r>
      <w:r>
        <w:rPr>
          <w:rFonts w:ascii="Times New Roman" w:hAnsi="Times New Roman"/>
          <w:color w:val="000000"/>
          <w:sz w:val="24"/>
        </w:rPr>
        <w:t>has the meaning set forth in Section 13.16.</w:t>
      </w:r>
    </w:p>
    <w:p>
      <w:pPr>
        <w:pStyle w:val="TextBody"/>
        <w:bidi w:val="0"/>
        <w:spacing w:before="280" w:after="283"/>
        <w:jc w:val="both"/>
        <w:rPr/>
      </w:pPr>
      <w:r>
        <w:rPr>
          <w:color w:val="000000"/>
        </w:rPr>
        <w:t>“</w:t>
      </w:r>
      <w:r>
        <w:rPr>
          <w:rFonts w:ascii="Times New Roman" w:hAnsi="Times New Roman"/>
          <w:i/>
          <w:color w:val="000000"/>
          <w:sz w:val="24"/>
        </w:rPr>
        <w:t>Benefit Plan”</w:t>
      </w:r>
      <w:r>
        <w:rPr>
          <w:rFonts w:ascii="Times New Roman" w:hAnsi="Times New Roman"/>
          <w:color w:val="000000"/>
          <w:sz w:val="20"/>
        </w:rPr>
        <w:t xml:space="preserve"> </w:t>
      </w:r>
      <w:r>
        <w:rPr>
          <w:rFonts w:ascii="Times New Roman" w:hAnsi="Times New Roman"/>
          <w:color w:val="000000"/>
          <w:sz w:val="24"/>
        </w:rPr>
        <w:t>means any “employee benefit plan” as defined in Section 3(3) of ERISA (other than a Multiemployer Plan) to which any Obligor or Subsidiary thereof incurs, or otherwise has, any obligation or liability, contingent or otherwise.</w:t>
      </w:r>
    </w:p>
    <w:p>
      <w:pPr>
        <w:pStyle w:val="TextBody"/>
        <w:bidi w:val="0"/>
        <w:spacing w:before="280" w:after="283"/>
        <w:jc w:val="both"/>
        <w:rPr/>
      </w:pPr>
      <w:r>
        <w:rPr>
          <w:color w:val="000000"/>
        </w:rPr>
        <w:t>“</w:t>
      </w:r>
      <w:r>
        <w:rPr>
          <w:rFonts w:ascii="Times New Roman" w:hAnsi="Times New Roman"/>
          <w:i/>
          <w:color w:val="000000"/>
          <w:sz w:val="24"/>
        </w:rPr>
        <w:t>Board</w:t>
      </w:r>
      <w:r>
        <w:rPr>
          <w:rFonts w:ascii="Times New Roman" w:hAnsi="Times New Roman"/>
          <w:color w:val="000000"/>
          <w:sz w:val="20"/>
        </w:rPr>
        <w:t xml:space="preserve">” </w:t>
      </w:r>
      <w:r>
        <w:rPr>
          <w:rFonts w:ascii="Times New Roman" w:hAnsi="Times New Roman"/>
          <w:color w:val="000000"/>
          <w:sz w:val="24"/>
        </w:rPr>
        <w:t>means, with respect to any Person, the board of managers or directors (as applicable) (or equivalent governing body) of such Person or any committee thereof.</w:t>
      </w:r>
    </w:p>
    <w:p>
      <w:pPr>
        <w:pStyle w:val="TextBody"/>
        <w:bidi w:val="0"/>
        <w:spacing w:before="280" w:after="283"/>
        <w:jc w:val="both"/>
        <w:rPr/>
      </w:pPr>
      <w:r>
        <w:rPr>
          <w:color w:val="000000"/>
        </w:rPr>
        <w:t>“</w:t>
      </w:r>
      <w:r>
        <w:rPr>
          <w:rFonts w:ascii="Times New Roman" w:hAnsi="Times New Roman"/>
          <w:i/>
          <w:color w:val="000000"/>
          <w:sz w:val="24"/>
        </w:rPr>
        <w:t xml:space="preserve">Borrower” </w:t>
      </w:r>
      <w:r>
        <w:rPr>
          <w:rFonts w:ascii="Times New Roman" w:hAnsi="Times New Roman"/>
          <w:color w:val="000000"/>
          <w:sz w:val="24"/>
        </w:rPr>
        <w:t>has the meaning set forth in the introduction hereto.</w:t>
      </w:r>
    </w:p>
    <w:p>
      <w:pPr>
        <w:pStyle w:val="TextBody"/>
        <w:bidi w:val="0"/>
        <w:spacing w:before="280" w:after="283"/>
        <w:jc w:val="both"/>
        <w:rPr/>
      </w:pPr>
      <w:r>
        <w:rPr>
          <w:color w:val="000000"/>
        </w:rPr>
        <w:t>“</w:t>
      </w:r>
      <w:r>
        <w:rPr>
          <w:rFonts w:ascii="Times New Roman" w:hAnsi="Times New Roman"/>
          <w:i/>
          <w:color w:val="000000"/>
          <w:sz w:val="24"/>
        </w:rPr>
        <w:t>Borrowing</w:t>
      </w:r>
      <w:r>
        <w:rPr>
          <w:rFonts w:ascii="Times New Roman" w:hAnsi="Times New Roman"/>
          <w:color w:val="000000"/>
          <w:sz w:val="20"/>
        </w:rPr>
        <w:t xml:space="preserve">” </w:t>
      </w:r>
      <w:r>
        <w:rPr>
          <w:rFonts w:ascii="Times New Roman" w:hAnsi="Times New Roman"/>
          <w:color w:val="000000"/>
          <w:sz w:val="24"/>
        </w:rPr>
        <w:t>means a borrowing consisting of a Tranche A Loan made by the Lenders on the Funding Date, a Tranche B Loan made by the Lenders on the Tranche B Loan Borrowing Date, or a Tranche C Loan made by the Lenders on the Tranche C Loan Borrowing Date, as applicable.</w:t>
      </w:r>
    </w:p>
    <w:p>
      <w:pPr>
        <w:pStyle w:val="TextBody"/>
        <w:bidi w:val="0"/>
        <w:spacing w:before="280" w:after="283"/>
        <w:jc w:val="both"/>
        <w:rPr/>
      </w:pPr>
      <w:r>
        <w:rPr>
          <w:color w:val="000000"/>
        </w:rPr>
        <w:t>“</w:t>
      </w:r>
      <w:r>
        <w:rPr>
          <w:rFonts w:ascii="Times New Roman" w:hAnsi="Times New Roman"/>
          <w:i/>
          <w:color w:val="000000"/>
          <w:sz w:val="24"/>
        </w:rPr>
        <w:t>Borrowing Notice”</w:t>
      </w:r>
      <w:r>
        <w:rPr>
          <w:rFonts w:ascii="Times New Roman" w:hAnsi="Times New Roman"/>
          <w:color w:val="000000"/>
          <w:sz w:val="20"/>
        </w:rPr>
        <w:t xml:space="preserve"> </w:t>
      </w:r>
      <w:r>
        <w:rPr>
          <w:rFonts w:ascii="Times New Roman" w:hAnsi="Times New Roman"/>
          <w:color w:val="000000"/>
          <w:sz w:val="24"/>
        </w:rPr>
        <w:t>means a notice substantially in the form attached hereto as Exhibit B.</w:t>
      </w:r>
    </w:p>
    <w:p>
      <w:pPr>
        <w:pStyle w:val="TextBody"/>
        <w:bidi w:val="0"/>
        <w:spacing w:before="280" w:after="283"/>
        <w:jc w:val="both"/>
        <w:rPr/>
      </w:pPr>
      <w:r>
        <w:rPr>
          <w:color w:val="000000"/>
        </w:rPr>
        <w:t>“</w:t>
      </w:r>
      <w:r>
        <w:rPr>
          <w:rFonts w:ascii="Times New Roman" w:hAnsi="Times New Roman"/>
          <w:i/>
          <w:color w:val="000000"/>
          <w:sz w:val="24"/>
        </w:rPr>
        <w:t>Business Day”</w:t>
      </w:r>
      <w:r>
        <w:rPr>
          <w:rFonts w:ascii="Times New Roman" w:hAnsi="Times New Roman"/>
          <w:color w:val="000000"/>
          <w:sz w:val="20"/>
        </w:rPr>
        <w:t xml:space="preserve"> </w:t>
      </w:r>
      <w:r>
        <w:rPr>
          <w:rFonts w:ascii="Times New Roman" w:hAnsi="Times New Roman"/>
          <w:color w:val="000000"/>
          <w:sz w:val="24"/>
        </w:rPr>
        <w:t>means (a) a day (other than a Saturday or Sunday) on which commercial banks are not authorized or required to close in New York City or (b) with respect to any matters relating to SOFR Loans, a U.S. Government Securities Business Day.</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Capital Lease Obligations”</w:t>
      </w:r>
      <w:r>
        <w:rPr>
          <w:rFonts w:ascii="Times New Roman" w:hAnsi="Times New Roman"/>
          <w:color w:val="000000"/>
          <w:sz w:val="20"/>
        </w:rPr>
        <w:t xml:space="preserve"> </w:t>
      </w:r>
      <w:r>
        <w:rPr>
          <w:rFonts w:ascii="Times New Roman" w:hAnsi="Times New Roman"/>
          <w:color w:val="000000"/>
          <w:sz w:val="24"/>
        </w:rPr>
        <w:t>means, as to any Person, the obligations of such Person to pay rent or other amounts under 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substantially</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5</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in accordance with GAAP;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any lease that would be characterized as an operating lease in accordance with GAAP on December 31, 2018 (whether or not such operating lease was in effect on such date) shall continue to be accounted for as an operating lease (and not as a capital lease) for purposes of this Agreement regardless of any change in GAAP following December 31, 2018 that would otherwise require such lease to be recharacterized (on a prospective or retroactive basis or otherwise) as a capital lease.</w:t>
      </w:r>
    </w:p>
    <w:p>
      <w:pPr>
        <w:pStyle w:val="TextBody"/>
        <w:bidi w:val="0"/>
        <w:spacing w:before="280" w:after="283"/>
        <w:jc w:val="both"/>
        <w:rPr/>
      </w:pPr>
      <w:r>
        <w:rPr>
          <w:color w:val="000000"/>
        </w:rPr>
        <w:t>“</w:t>
      </w:r>
      <w:r>
        <w:rPr>
          <w:rFonts w:ascii="Times New Roman" w:hAnsi="Times New Roman"/>
          <w:i/>
          <w:color w:val="000000"/>
          <w:sz w:val="24"/>
        </w:rPr>
        <w:t>Caprion License</w:t>
      </w:r>
      <w:r>
        <w:rPr>
          <w:rFonts w:ascii="Times New Roman" w:hAnsi="Times New Roman"/>
          <w:color w:val="000000"/>
          <w:sz w:val="20"/>
        </w:rPr>
        <w:t xml:space="preserve">” </w:t>
      </w:r>
      <w:r>
        <w:rPr>
          <w:rFonts w:ascii="Times New Roman" w:hAnsi="Times New Roman"/>
          <w:color w:val="000000"/>
          <w:sz w:val="24"/>
        </w:rPr>
        <w:t>means that certain Know How License Agreement, dated as of May 13, 2021 by and between the Borrower and Cellcarta Biosciences Inc. (formerly known as Caprion Biosciences, Inc.), as in effect on the Closing Date.</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Casualty Event”</w:t>
      </w:r>
      <w:r>
        <w:rPr>
          <w:rFonts w:ascii="Times New Roman" w:hAnsi="Times New Roman"/>
          <w:color w:val="000000"/>
          <w:sz w:val="20"/>
        </w:rPr>
        <w:t xml:space="preserve"> </w:t>
      </w:r>
      <w:r>
        <w:rPr>
          <w:rFonts w:ascii="Times New Roman" w:hAnsi="Times New Roman"/>
          <w:color w:val="000000"/>
          <w:sz w:val="24"/>
        </w:rPr>
        <w:t>means any actual or constructive loss, condemnation, destruction, confiscation, requisition, seizure or forfeiture of all or any material portion of the assets of the Borrower or any other Obligor, excluding only those assets, individually or in the aggregate, subject to any such event during any calendar year with a fair market value as of the date thereof equal to or less than $500,000.</w:t>
      </w:r>
    </w:p>
    <w:p>
      <w:pPr>
        <w:pStyle w:val="TextBody"/>
        <w:bidi w:val="0"/>
        <w:spacing w:before="280" w:after="283"/>
        <w:jc w:val="both"/>
        <w:rPr/>
      </w:pPr>
      <w:r>
        <w:rPr>
          <w:color w:val="000000"/>
        </w:rPr>
        <w:t>“</w:t>
      </w:r>
      <w:r>
        <w:rPr>
          <w:rFonts w:ascii="Times New Roman" w:hAnsi="Times New Roman"/>
          <w:i/>
          <w:color w:val="000000"/>
          <w:sz w:val="24"/>
        </w:rPr>
        <w:t xml:space="preserve">Change of Control” </w:t>
      </w:r>
      <w:r>
        <w:rPr>
          <w:rFonts w:ascii="Times New Roman" w:hAnsi="Times New Roman"/>
          <w:color w:val="000000"/>
          <w:sz w:val="24"/>
        </w:rPr>
        <w:t>means and shall be deemed to have occurred if: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any “person” or “group” (within the meaning of Rule 13d-5 of the Exchange Act as in effect on the date hereof) shall own, directly or indirectly, beneficially or of record, shares representing 40% or more of the aggregate ordinary voting power represented by the issued and outstanding Equity Interests of Borrower;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during any period of twelve (12) consecutive calendar months, the occupation of a majority of the seats (other than vacant seats) on the Board of Borrower by Persons who were neither (i) nominated or approved by the Board of Borrower, nor (ii) appointed by directors on the Board of the Borrower on the Closing Date;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Borrower shall cease to own directly or indirectly, determined on a fully diluted basis, 100% of the issued and outstanding Equity Interests of any other Obligor.</w:t>
      </w:r>
    </w:p>
    <w:p>
      <w:pPr>
        <w:pStyle w:val="TextBody"/>
        <w:bidi w:val="0"/>
        <w:spacing w:before="280" w:after="283"/>
        <w:jc w:val="both"/>
        <w:rPr/>
      </w:pPr>
      <w:r>
        <w:rPr>
          <w:color w:val="000000"/>
        </w:rPr>
        <w:t>“</w:t>
      </w:r>
      <w:r>
        <w:rPr>
          <w:rFonts w:ascii="Times New Roman" w:hAnsi="Times New Roman"/>
          <w:i/>
          <w:color w:val="000000"/>
          <w:sz w:val="24"/>
        </w:rPr>
        <w:t>Claims”</w:t>
      </w:r>
      <w:r>
        <w:rPr>
          <w:rFonts w:ascii="Times New Roman" w:hAnsi="Times New Roman"/>
          <w:color w:val="000000"/>
          <w:sz w:val="20"/>
        </w:rPr>
        <w:t xml:space="preserve"> </w:t>
      </w:r>
      <w:r>
        <w:rPr>
          <w:rFonts w:ascii="Times New Roman" w:hAnsi="Times New Roman"/>
          <w:color w:val="000000"/>
          <w:sz w:val="24"/>
        </w:rPr>
        <w:t>includes claims, litigation, demands, complaints, grievances, actions, applications, suits, causes of action, orders, charges, indictments, prosecutions, information (brought by a public prosecutor without grand jury indictment) or other similar processes, assessments or reassessments.</w:t>
      </w:r>
    </w:p>
    <w:p>
      <w:pPr>
        <w:pStyle w:val="TextBody"/>
        <w:bidi w:val="0"/>
        <w:spacing w:before="280" w:after="283"/>
        <w:jc w:val="both"/>
        <w:rPr/>
      </w:pPr>
      <w:r>
        <w:rPr>
          <w:color w:val="000000"/>
        </w:rPr>
        <w:t>“</w:t>
      </w:r>
      <w:r>
        <w:rPr>
          <w:rFonts w:ascii="Times New Roman" w:hAnsi="Times New Roman"/>
          <w:i/>
          <w:color w:val="000000"/>
          <w:sz w:val="24"/>
        </w:rPr>
        <w:t>CLIA”</w:t>
      </w:r>
      <w:r>
        <w:rPr>
          <w:rFonts w:ascii="Times New Roman" w:hAnsi="Times New Roman"/>
          <w:color w:val="000000"/>
          <w:sz w:val="20"/>
        </w:rPr>
        <w:t xml:space="preserve"> </w:t>
      </w:r>
      <w:r>
        <w:rPr>
          <w:rFonts w:ascii="Times New Roman" w:hAnsi="Times New Roman"/>
          <w:color w:val="000000"/>
          <w:sz w:val="24"/>
        </w:rPr>
        <w:t>means the Clinical Laboratory Improvement Amendments of 1988 (CLIA), as amended from time to time, and the rules and regulations promulgated thereunder.</w:t>
      </w:r>
    </w:p>
    <w:p>
      <w:pPr>
        <w:pStyle w:val="TextBody"/>
        <w:bidi w:val="0"/>
        <w:spacing w:before="280" w:after="283"/>
        <w:jc w:val="both"/>
        <w:rPr/>
      </w:pPr>
      <w:r>
        <w:rPr>
          <w:color w:val="000000"/>
        </w:rPr>
        <w:t>“</w:t>
      </w:r>
      <w:r>
        <w:rPr>
          <w:rFonts w:ascii="Times New Roman" w:hAnsi="Times New Roman"/>
          <w:i/>
          <w:color w:val="000000"/>
          <w:sz w:val="24"/>
        </w:rPr>
        <w:t>Closing Date”</w:t>
      </w:r>
      <w:r>
        <w:rPr>
          <w:rFonts w:ascii="Times New Roman" w:hAnsi="Times New Roman"/>
          <w:color w:val="000000"/>
          <w:sz w:val="20"/>
        </w:rPr>
        <w:t xml:space="preserve"> </w:t>
      </w:r>
      <w:r>
        <w:rPr>
          <w:rFonts w:ascii="Times New Roman" w:hAnsi="Times New Roman"/>
          <w:color w:val="000000"/>
          <w:sz w:val="24"/>
        </w:rPr>
        <w:t>means the Business Day on which all of the conditions set forth in Section 6.01 have been satisfied or waived by the Administrative Agent.</w:t>
      </w:r>
    </w:p>
    <w:p>
      <w:pPr>
        <w:pStyle w:val="TextBody"/>
        <w:bidi w:val="0"/>
        <w:spacing w:before="280" w:after="283"/>
        <w:jc w:val="both"/>
        <w:rPr/>
      </w:pPr>
      <w:r>
        <w:rPr>
          <w:color w:val="000000"/>
        </w:rPr>
        <w:t>“</w:t>
      </w:r>
      <w:r>
        <w:rPr>
          <w:rFonts w:ascii="Times New Roman" w:hAnsi="Times New Roman"/>
          <w:i/>
          <w:color w:val="000000"/>
          <w:sz w:val="24"/>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 from time to time, and the rules and regulations promulgated thereunder from time to time.</w:t>
      </w:r>
    </w:p>
    <w:p>
      <w:pPr>
        <w:pStyle w:val="TextBody"/>
        <w:bidi w:val="0"/>
        <w:jc w:val="center"/>
        <w:rPr/>
      </w:pPr>
      <w:r>
        <w:rPr>
          <w:color w:val="000000"/>
        </w:rPr>
        <w:noBreakHyphen/>
      </w:r>
      <w:r>
        <w:rPr>
          <w:rFonts w:ascii="Times New Roman" w:hAnsi="Times New Roman"/>
          <w:color w:val="000000"/>
          <w:sz w:val="24"/>
        </w:rPr>
        <w:t>6</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Collateral”</w:t>
      </w:r>
      <w:r>
        <w:rPr>
          <w:rFonts w:ascii="Times New Roman" w:hAnsi="Times New Roman"/>
          <w:color w:val="000000"/>
          <w:sz w:val="20"/>
        </w:rPr>
        <w:t xml:space="preserve"> </w:t>
      </w:r>
      <w:r>
        <w:rPr>
          <w:rFonts w:ascii="Times New Roman" w:hAnsi="Times New Roman"/>
          <w:color w:val="000000"/>
          <w:sz w:val="24"/>
        </w:rPr>
        <w:t>means any Property in which a Lien is purported to be granted under any of the Security Documents (or all such Property, as the context may require).</w:t>
      </w:r>
    </w:p>
    <w:p>
      <w:pPr>
        <w:pStyle w:val="TextBody"/>
        <w:bidi w:val="0"/>
        <w:spacing w:before="280" w:after="283"/>
        <w:jc w:val="both"/>
        <w:rPr/>
      </w:pPr>
      <w:r>
        <w:rPr>
          <w:color w:val="000000"/>
        </w:rPr>
        <w:t>“</w:t>
      </w:r>
      <w:r>
        <w:rPr>
          <w:rFonts w:ascii="Times New Roman" w:hAnsi="Times New Roman"/>
          <w:i/>
          <w:color w:val="000000"/>
          <w:sz w:val="24"/>
        </w:rPr>
        <w:t>Collateral Access Agreement</w:t>
      </w:r>
      <w:r>
        <w:rPr>
          <w:rFonts w:ascii="Times New Roman" w:hAnsi="Times New Roman"/>
          <w:color w:val="000000"/>
          <w:sz w:val="20"/>
        </w:rPr>
        <w:t xml:space="preserve">” </w:t>
      </w:r>
      <w:r>
        <w:rPr>
          <w:rFonts w:ascii="Times New Roman" w:hAnsi="Times New Roman"/>
          <w:color w:val="000000"/>
          <w:sz w:val="24"/>
        </w:rPr>
        <w:t>means any landlord waiver or similar agreement, in form and substance reasonably satisfactory to the Administrative Agent, between the Administrative Agent and any third party (including any bailee, consignee, customs broker, or other similar Person) in possession of any Collateral, any landlord of any real property where any Collateral is located or any landlord of the real property which is the chief executive office.</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Collateral Questionnaire”</w:t>
      </w:r>
      <w:r>
        <w:rPr>
          <w:rFonts w:ascii="Times New Roman" w:hAnsi="Times New Roman"/>
          <w:color w:val="000000"/>
          <w:sz w:val="20"/>
        </w:rPr>
        <w:t xml:space="preserve"> </w:t>
      </w:r>
      <w:r>
        <w:rPr>
          <w:rFonts w:ascii="Times New Roman" w:hAnsi="Times New Roman"/>
          <w:color w:val="000000"/>
          <w:sz w:val="24"/>
        </w:rPr>
        <w:t>means that certain Collateral Questionnaire and certification by a Responsible Officer of the Borrower substantially in the form of attached hereto as Exhibit I and otherwise in form and substance reasonably satisfactory to the Administrative Agent.</w:t>
      </w:r>
    </w:p>
    <w:p>
      <w:pPr>
        <w:pStyle w:val="TextBody"/>
        <w:bidi w:val="0"/>
        <w:spacing w:before="280" w:after="283"/>
        <w:jc w:val="both"/>
        <w:rPr/>
      </w:pPr>
      <w:r>
        <w:rPr>
          <w:color w:val="000000"/>
        </w:rPr>
        <w:t>“</w:t>
      </w:r>
      <w:r>
        <w:rPr>
          <w:rFonts w:ascii="Times New Roman" w:hAnsi="Times New Roman"/>
          <w:i/>
          <w:color w:val="000000"/>
          <w:sz w:val="24"/>
        </w:rPr>
        <w:t>Commitment”</w:t>
      </w:r>
      <w:r>
        <w:rPr>
          <w:rFonts w:ascii="Times New Roman" w:hAnsi="Times New Roman"/>
          <w:color w:val="000000"/>
          <w:sz w:val="20"/>
        </w:rPr>
        <w:t xml:space="preserve"> </w:t>
      </w:r>
      <w:r>
        <w:rPr>
          <w:rFonts w:ascii="Times New Roman" w:hAnsi="Times New Roman"/>
          <w:color w:val="000000"/>
          <w:sz w:val="24"/>
        </w:rPr>
        <w:t>means, with respect to each Lender, such Lender’s (a) Tranche A Loan Commitment, (b) Tranche B Loan Commitment and (c) Tranche C Loan Commitment and “Commitments” means all such commitments of all Lenders.</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Commodity Account”</w:t>
      </w:r>
      <w:r>
        <w:rPr>
          <w:rFonts w:ascii="Times New Roman" w:hAnsi="Times New Roman"/>
          <w:color w:val="000000"/>
          <w:sz w:val="20"/>
        </w:rPr>
        <w:t xml:space="preserve"> </w:t>
      </w:r>
      <w:r>
        <w:rPr>
          <w:rFonts w:ascii="Times New Roman" w:hAnsi="Times New Roman"/>
          <w:color w:val="000000"/>
          <w:sz w:val="24"/>
        </w:rPr>
        <w:t>has the meaning set forth in the Security Agreement.</w:t>
      </w:r>
    </w:p>
    <w:p>
      <w:pPr>
        <w:pStyle w:val="TextBody"/>
        <w:bidi w:val="0"/>
        <w:spacing w:before="280" w:after="283"/>
        <w:jc w:val="both"/>
        <w:rPr/>
      </w:pPr>
      <w:r>
        <w:rPr>
          <w:color w:val="000000"/>
        </w:rPr>
        <w:t>“</w:t>
      </w:r>
      <w:r>
        <w:rPr>
          <w:rFonts w:ascii="Times New Roman" w:hAnsi="Times New Roman"/>
          <w:i/>
          <w:color w:val="000000"/>
          <w:sz w:val="24"/>
        </w:rPr>
        <w:t>Compliance Certificate”</w:t>
      </w:r>
      <w:r>
        <w:rPr>
          <w:rFonts w:ascii="Times New Roman" w:hAnsi="Times New Roman"/>
          <w:color w:val="000000"/>
          <w:sz w:val="20"/>
        </w:rPr>
        <w:t xml:space="preserve"> </w:t>
      </w:r>
      <w:r>
        <w:rPr>
          <w:rFonts w:ascii="Times New Roman" w:hAnsi="Times New Roman"/>
          <w:color w:val="000000"/>
          <w:sz w:val="24"/>
        </w:rPr>
        <w:t>has the meaning set forth in Section 8.01(c).</w:t>
      </w:r>
    </w:p>
    <w:p>
      <w:pPr>
        <w:pStyle w:val="TextBody"/>
        <w:bidi w:val="0"/>
        <w:spacing w:before="280" w:after="283"/>
        <w:jc w:val="both"/>
        <w:rPr/>
      </w:pPr>
      <w:r>
        <w:rPr>
          <w:color w:val="000000"/>
        </w:rPr>
        <w:t>“</w:t>
      </w:r>
      <w:r>
        <w:rPr>
          <w:rFonts w:ascii="Times New Roman" w:hAnsi="Times New Roman"/>
          <w:i/>
          <w:color w:val="000000"/>
          <w:sz w:val="24"/>
        </w:rPr>
        <w:t>Confidential Healthcare Information”</w:t>
      </w:r>
      <w:r>
        <w:rPr>
          <w:rFonts w:ascii="Times New Roman" w:hAnsi="Times New Roman"/>
          <w:color w:val="000000"/>
          <w:sz w:val="20"/>
        </w:rPr>
        <w:t xml:space="preserve"> </w:t>
      </w:r>
      <w:r>
        <w:rPr>
          <w:rFonts w:ascii="Times New Roman" w:hAnsi="Times New Roman"/>
          <w:color w:val="000000"/>
          <w:sz w:val="24"/>
        </w:rPr>
        <w:t>has the meaning set forth in Section 8.06.</w:t>
      </w:r>
    </w:p>
    <w:p>
      <w:pPr>
        <w:pStyle w:val="TextBody"/>
        <w:bidi w:val="0"/>
        <w:spacing w:before="280" w:after="283"/>
        <w:jc w:val="both"/>
        <w:rPr/>
      </w:pPr>
      <w:r>
        <w:rPr>
          <w:color w:val="000000"/>
        </w:rPr>
        <w:t>“</w:t>
      </w:r>
      <w:r>
        <w:rPr>
          <w:rFonts w:ascii="Times New Roman" w:hAnsi="Times New Roman"/>
          <w:i/>
          <w:color w:val="000000"/>
          <w:sz w:val="24"/>
        </w:rPr>
        <w:t>Conforming Changes</w:t>
      </w:r>
      <w:r>
        <w:rPr>
          <w:rFonts w:ascii="Times New Roman" w:hAnsi="Times New Roman"/>
          <w:color w:val="000000"/>
          <w:sz w:val="20"/>
        </w:rPr>
        <w:t xml:space="preserve">” </w:t>
      </w:r>
      <w:r>
        <w:rPr>
          <w:rFonts w:ascii="Times New Roman" w:hAnsi="Times New Roman"/>
          <w:color w:val="000000"/>
          <w:sz w:val="24"/>
        </w:rPr>
        <w:t>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reasonably determines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reasonably determines (in consultation with the Borrower that adoption of any portion of such market practice is not administratively feasible or if the Administrative Agent determines that no market practice for the administration of any such rate exists, in such other manner of administration as the Administrative Agent reasonably determines (in consultation with the Borrower) is reasonably necessary in connection with the administration of this Agreement and the other Loan Documents).</w:t>
      </w:r>
    </w:p>
    <w:p>
      <w:pPr>
        <w:pStyle w:val="TextBody"/>
        <w:bidi w:val="0"/>
        <w:spacing w:before="280" w:after="283"/>
        <w:jc w:val="both"/>
        <w:rPr/>
      </w:pPr>
      <w:r>
        <w:rPr>
          <w:color w:val="000000"/>
        </w:rPr>
        <w:t>“</w:t>
      </w:r>
      <w:r>
        <w:rPr>
          <w:rFonts w:ascii="Times New Roman" w:hAnsi="Times New Roman"/>
          <w:i/>
          <w:color w:val="000000"/>
          <w:sz w:val="24"/>
        </w:rPr>
        <w:t xml:space="preserve">Connection Income Taxes” </w:t>
      </w:r>
      <w:r>
        <w:rPr>
          <w:rFonts w:ascii="Times New Roman" w:hAnsi="Times New Roman"/>
          <w:color w:val="000000"/>
          <w:sz w:val="24"/>
        </w:rPr>
        <w:t>means Other Connection Taxes that are imposed on or measured by net income (however denominated) or that are franchise Taxes or branch profits Taxes.</w:t>
      </w:r>
    </w:p>
    <w:p>
      <w:pPr>
        <w:pStyle w:val="TextBody"/>
        <w:bidi w:val="0"/>
        <w:jc w:val="center"/>
        <w:rPr/>
      </w:pPr>
      <w:r>
        <w:rPr>
          <w:color w:val="000000"/>
        </w:rPr>
        <w:noBreakHyphen/>
      </w:r>
      <w:r>
        <w:rPr>
          <w:rFonts w:ascii="Times New Roman" w:hAnsi="Times New Roman"/>
          <w:color w:val="000000"/>
          <w:sz w:val="24"/>
        </w:rPr>
        <w:t>7</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Contracts”</w:t>
      </w:r>
      <w:r>
        <w:rPr>
          <w:rFonts w:ascii="Times New Roman" w:hAnsi="Times New Roman"/>
          <w:color w:val="000000"/>
          <w:sz w:val="20"/>
        </w:rPr>
        <w:t xml:space="preserve"> </w:t>
      </w:r>
      <w:r>
        <w:rPr>
          <w:rFonts w:ascii="Times New Roman" w:hAnsi="Times New Roman"/>
          <w:color w:val="000000"/>
          <w:sz w:val="24"/>
        </w:rPr>
        <w:t>means any contract, license, instrument,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 excluding the Loan Documents.</w:t>
      </w:r>
    </w:p>
    <w:p>
      <w:pPr>
        <w:pStyle w:val="TextBody"/>
        <w:bidi w:val="0"/>
        <w:spacing w:before="280" w:after="283"/>
        <w:jc w:val="both"/>
        <w:rPr/>
      </w:pPr>
      <w:r>
        <w:rPr>
          <w:color w:val="000000"/>
        </w:rPr>
        <w:t>“</w:t>
      </w:r>
      <w:r>
        <w:rPr>
          <w:rFonts w:ascii="Times New Roman" w:hAnsi="Times New Roman"/>
          <w:i/>
          <w:color w:val="000000"/>
          <w:sz w:val="24"/>
        </w:rPr>
        <w:t>Control”</w:t>
      </w:r>
      <w:r>
        <w:rPr>
          <w:rFonts w:ascii="Times New Roman" w:hAnsi="Times New Roman"/>
          <w:color w:val="000000"/>
          <w:sz w:val="20"/>
        </w:rPr>
        <w:t xml:space="preserve"> </w:t>
      </w:r>
      <w:r>
        <w:rPr>
          <w:rFonts w:ascii="Times New Roman" w:hAnsi="Times New Roman"/>
          <w:color w:val="000000"/>
          <w:sz w:val="24"/>
        </w:rPr>
        <w:t>means, in respect of a particular Person, the possession, directly or indirectly, of the power to direct or cause the direction of the management or policies of such Person, whether through the ability to exercise voting power, by contract or otherwise. “</w:t>
      </w:r>
      <w:r>
        <w:rPr>
          <w:rFonts w:ascii="Times New Roman" w:hAnsi="Times New Roman"/>
          <w:i/>
          <w:color w:val="000000"/>
          <w:sz w:val="24"/>
        </w:rPr>
        <w:t>Controlling</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i/>
          <w:color w:val="000000"/>
          <w:sz w:val="24"/>
        </w:rPr>
        <w:t>Controlled</w:t>
      </w:r>
      <w:r>
        <w:rPr>
          <w:rFonts w:ascii="Times New Roman" w:hAnsi="Times New Roman"/>
          <w:color w:val="000000"/>
          <w:sz w:val="20"/>
        </w:rPr>
        <w:t xml:space="preserve">” </w:t>
      </w:r>
      <w:r>
        <w:rPr>
          <w:rFonts w:ascii="Times New Roman" w:hAnsi="Times New Roman"/>
          <w:color w:val="000000"/>
          <w:sz w:val="24"/>
        </w:rPr>
        <w:t>have meanings correlative thereto.</w:t>
      </w:r>
    </w:p>
    <w:p>
      <w:pPr>
        <w:pStyle w:val="TextBody"/>
        <w:bidi w:val="0"/>
        <w:spacing w:before="280" w:after="283"/>
        <w:jc w:val="both"/>
        <w:rPr/>
      </w:pPr>
      <w:r>
        <w:rPr>
          <w:color w:val="000000"/>
        </w:rPr>
        <w:t>“</w:t>
      </w:r>
      <w:r>
        <w:rPr>
          <w:rFonts w:ascii="Times New Roman" w:hAnsi="Times New Roman"/>
          <w:i/>
          <w:color w:val="000000"/>
          <w:sz w:val="24"/>
        </w:rPr>
        <w:t>Controlled Account”</w:t>
      </w:r>
      <w:r>
        <w:rPr>
          <w:rFonts w:ascii="Times New Roman" w:hAnsi="Times New Roman"/>
          <w:color w:val="000000"/>
          <w:sz w:val="20"/>
        </w:rPr>
        <w:t xml:space="preserve"> </w:t>
      </w:r>
      <w:r>
        <w:rPr>
          <w:rFonts w:ascii="Times New Roman" w:hAnsi="Times New Roman"/>
          <w:color w:val="000000"/>
          <w:sz w:val="24"/>
        </w:rPr>
        <w:t>has the meaning set forth in Section 8.17(a).</w:t>
      </w:r>
    </w:p>
    <w:p>
      <w:pPr>
        <w:pStyle w:val="TextBody"/>
        <w:bidi w:val="0"/>
        <w:spacing w:before="280" w:after="283"/>
        <w:jc w:val="both"/>
        <w:rPr/>
      </w:pPr>
      <w:r>
        <w:rPr>
          <w:color w:val="000000"/>
        </w:rPr>
        <w:t>“</w:t>
      </w:r>
      <w:r>
        <w:rPr>
          <w:rFonts w:ascii="Times New Roman" w:hAnsi="Times New Roman"/>
          <w:i/>
          <w:color w:val="000000"/>
          <w:sz w:val="24"/>
        </w:rPr>
        <w:t>Copyrights”</w:t>
      </w:r>
      <w:r>
        <w:rPr>
          <w:rFonts w:ascii="Times New Roman" w:hAnsi="Times New Roman"/>
          <w:color w:val="000000"/>
          <w:sz w:val="20"/>
        </w:rPr>
        <w:t xml:space="preserve"> </w:t>
      </w:r>
      <w:r>
        <w:rPr>
          <w:rFonts w:ascii="Times New Roman" w:hAnsi="Times New Roman"/>
          <w:color w:val="000000"/>
          <w:sz w:val="24"/>
        </w:rPr>
        <w:t>has the meaning set forth in the Security Agreement.</w:t>
      </w:r>
    </w:p>
    <w:p>
      <w:pPr>
        <w:pStyle w:val="TextBody"/>
        <w:bidi w:val="0"/>
        <w:spacing w:before="280" w:after="283"/>
        <w:jc w:val="both"/>
        <w:rPr/>
      </w:pPr>
      <w:r>
        <w:rPr>
          <w:color w:val="000000"/>
        </w:rPr>
        <w:t>“</w:t>
      </w:r>
      <w:r>
        <w:rPr>
          <w:rFonts w:ascii="Times New Roman" w:hAnsi="Times New Roman"/>
          <w:i/>
          <w:color w:val="000000"/>
          <w:sz w:val="24"/>
        </w:rPr>
        <w:t>Daily Simple SOFR</w:t>
      </w:r>
      <w:r>
        <w:rPr>
          <w:rFonts w:ascii="Times New Roman" w:hAnsi="Times New Roman"/>
          <w:color w:val="000000"/>
          <w:sz w:val="20"/>
        </w:rPr>
        <w:t xml:space="preserve">” </w:t>
      </w:r>
      <w:r>
        <w:rPr>
          <w:rFonts w:ascii="Times New Roman" w:hAnsi="Times New Roman"/>
          <w:color w:val="000000"/>
          <w:sz w:val="24"/>
        </w:rPr>
        <w:t xml:space="preserve">means, for any day (a “SOFR Rate Day”), a rate per annum equal to the greater of (a) SOFR for the day (such day, a “SOFR Determination Day”)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any SOFR determined pursuant to this sentence shall be utilized for purposes of calculation of Daily Simple SOFR for no more than three (3) consecutive SOFR Rate Days; </w:t>
      </w:r>
      <w:r>
        <w:rPr>
          <w:rFonts w:ascii="Times New Roman" w:hAnsi="Times New Roman"/>
          <w:i/>
          <w:color w:val="000000"/>
          <w:sz w:val="24"/>
        </w:rPr>
        <w:t>provided further</w:t>
      </w:r>
      <w:r>
        <w:rPr>
          <w:rFonts w:ascii="Times New Roman" w:hAnsi="Times New Roman"/>
          <w:color w:val="000000"/>
          <w:sz w:val="24"/>
        </w:rPr>
        <w:t>, Daily Simple SOFR shall be rounded upwards to the next 1/100% (if necessary). Any change in Daily Simple SOFR due to a change in SOFR shall be effective from and including the effective date of such change in SOFR without notice to the Borrower.</w:t>
      </w:r>
    </w:p>
    <w:p>
      <w:pPr>
        <w:pStyle w:val="TextBody"/>
        <w:bidi w:val="0"/>
        <w:spacing w:before="280" w:after="283"/>
        <w:jc w:val="both"/>
        <w:rPr/>
      </w:pPr>
      <w:r>
        <w:rPr>
          <w:color w:val="000000"/>
        </w:rPr>
        <w:t>“</w:t>
      </w:r>
      <w:r>
        <w:rPr>
          <w:rFonts w:ascii="Times New Roman" w:hAnsi="Times New Roman"/>
          <w:i/>
          <w:color w:val="000000"/>
          <w:sz w:val="24"/>
        </w:rPr>
        <w:t>Default”</w:t>
      </w:r>
      <w:r>
        <w:rPr>
          <w:rFonts w:ascii="Times New Roman" w:hAnsi="Times New Roman"/>
          <w:color w:val="000000"/>
          <w:sz w:val="20"/>
        </w:rPr>
        <w:t xml:space="preserve"> </w:t>
      </w:r>
      <w:r>
        <w:rPr>
          <w:rFonts w:ascii="Times New Roman" w:hAnsi="Times New Roman"/>
          <w:color w:val="000000"/>
          <w:sz w:val="24"/>
        </w:rPr>
        <w:t>means any Event of Default and any event that, upon the giving of notice, the lapse of time or both, would constitute an Event of Default.</w:t>
      </w:r>
    </w:p>
    <w:p>
      <w:pPr>
        <w:pStyle w:val="TextBody"/>
        <w:bidi w:val="0"/>
        <w:spacing w:before="280" w:after="283"/>
        <w:jc w:val="both"/>
        <w:rPr/>
      </w:pPr>
      <w:r>
        <w:rPr>
          <w:color w:val="000000"/>
        </w:rPr>
        <w:t>“</w:t>
      </w:r>
      <w:r>
        <w:rPr>
          <w:rFonts w:ascii="Times New Roman" w:hAnsi="Times New Roman"/>
          <w:i/>
          <w:color w:val="000000"/>
          <w:sz w:val="24"/>
        </w:rPr>
        <w:t>Default Rate”</w:t>
      </w:r>
      <w:r>
        <w:rPr>
          <w:rFonts w:ascii="Times New Roman" w:hAnsi="Times New Roman"/>
          <w:color w:val="000000"/>
          <w:sz w:val="20"/>
        </w:rPr>
        <w:t xml:space="preserve"> </w:t>
      </w:r>
      <w:r>
        <w:rPr>
          <w:rFonts w:ascii="Times New Roman" w:hAnsi="Times New Roman"/>
          <w:color w:val="000000"/>
          <w:sz w:val="24"/>
        </w:rPr>
        <w:t>has the meaning set forth in Section 3.02(d).</w:t>
      </w:r>
    </w:p>
    <w:p>
      <w:pPr>
        <w:pStyle w:val="TextBody"/>
        <w:bidi w:val="0"/>
        <w:spacing w:before="280" w:after="283"/>
        <w:jc w:val="both"/>
        <w:rPr/>
      </w:pPr>
      <w:r>
        <w:rPr>
          <w:color w:val="000000"/>
        </w:rPr>
        <w:t>“</w:t>
      </w:r>
      <w:r>
        <w:rPr>
          <w:rFonts w:ascii="Times New Roman" w:hAnsi="Times New Roman"/>
          <w:i/>
          <w:color w:val="000000"/>
          <w:sz w:val="24"/>
        </w:rPr>
        <w:t>Deposit Account”</w:t>
      </w:r>
      <w:r>
        <w:rPr>
          <w:rFonts w:ascii="Times New Roman" w:hAnsi="Times New Roman"/>
          <w:color w:val="000000"/>
          <w:sz w:val="20"/>
        </w:rPr>
        <w:t xml:space="preserve"> </w:t>
      </w:r>
      <w:r>
        <w:rPr>
          <w:rFonts w:ascii="Times New Roman" w:hAnsi="Times New Roman"/>
          <w:color w:val="000000"/>
          <w:sz w:val="24"/>
        </w:rPr>
        <w:t>has the meaning set forth in the Security Agreement.</w:t>
      </w:r>
    </w:p>
    <w:p>
      <w:pPr>
        <w:pStyle w:val="TextBody"/>
        <w:bidi w:val="0"/>
        <w:spacing w:before="280" w:after="283"/>
        <w:jc w:val="both"/>
        <w:rPr/>
      </w:pPr>
      <w:r>
        <w:rPr>
          <w:color w:val="000000"/>
        </w:rPr>
        <w:t>“</w:t>
      </w:r>
      <w:r>
        <w:rPr>
          <w:rFonts w:ascii="Times New Roman" w:hAnsi="Times New Roman"/>
          <w:i/>
          <w:color w:val="000000"/>
          <w:sz w:val="24"/>
        </w:rPr>
        <w:t>Designated Person”</w:t>
      </w:r>
      <w:r>
        <w:rPr>
          <w:rFonts w:ascii="Times New Roman" w:hAnsi="Times New Roman"/>
          <w:color w:val="000000"/>
          <w:sz w:val="20"/>
        </w:rPr>
        <w:t xml:space="preserve"> </w:t>
      </w:r>
      <w:r>
        <w:rPr>
          <w:rFonts w:ascii="Times New Roman" w:hAnsi="Times New Roman"/>
          <w:color w:val="000000"/>
          <w:sz w:val="24"/>
        </w:rPr>
        <w:t>means a person or entity: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listed in the annex to, or otherwise targeted by the provisions of, the Executive Order;</w:t>
      </w:r>
    </w:p>
    <w:p>
      <w:pPr>
        <w:pStyle w:val="TextBody"/>
        <w:bidi w:val="0"/>
        <w:jc w:val="center"/>
        <w:rPr/>
      </w:pPr>
      <w:r>
        <w:rPr>
          <w:color w:val="000000"/>
        </w:rPr>
        <w:noBreakHyphen/>
      </w:r>
      <w:r>
        <w:rPr>
          <w:rFonts w:ascii="Times New Roman" w:hAnsi="Times New Roman"/>
          <w:color w:val="000000"/>
          <w:sz w:val="24"/>
        </w:rPr>
        <w:t>8</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named as a “Specially Designated National and Blocked Person” on the most current list published by OFAC at its official website or any replacement website or other replacement official publication of such list;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 which the Lenders are prohibited from dealing or otherwise engaging in any transaction by any Economic Sanctions Laws.</w:t>
      </w:r>
    </w:p>
    <w:p>
      <w:pPr>
        <w:pStyle w:val="TextBody"/>
        <w:bidi w:val="0"/>
        <w:spacing w:before="280" w:after="283"/>
        <w:jc w:val="both"/>
        <w:rPr/>
      </w:pPr>
      <w:r>
        <w:rPr>
          <w:color w:val="000000"/>
        </w:rPr>
        <w:t>“</w:t>
      </w:r>
      <w:r>
        <w:rPr>
          <w:rFonts w:ascii="Times New Roman" w:hAnsi="Times New Roman"/>
          <w:i/>
          <w:color w:val="000000"/>
          <w:sz w:val="24"/>
        </w:rPr>
        <w:t>Device”</w:t>
      </w:r>
      <w:r>
        <w:rPr>
          <w:rFonts w:ascii="Times New Roman" w:hAnsi="Times New Roman"/>
          <w:color w:val="000000"/>
          <w:sz w:val="20"/>
        </w:rPr>
        <w:t xml:space="preserve"> </w:t>
      </w:r>
      <w:r>
        <w:rPr>
          <w:rFonts w:ascii="Times New Roman" w:hAnsi="Times New Roman"/>
          <w:color w:val="000000"/>
          <w:sz w:val="24"/>
        </w:rPr>
        <w:t>means any instrument, apparatus, implement, machine, contrivance, implant, in vitro reagent or other similar or related article, including any component, part or accessory that meets the definition of “device” as set forth in Section 201 of the FD&amp;C Act, as limited by other provisions therein, including but not limited to Section 520 of the FD&amp;C Act, developed by the Obligors.</w:t>
      </w:r>
    </w:p>
    <w:p>
      <w:pPr>
        <w:pStyle w:val="TextBody"/>
        <w:bidi w:val="0"/>
        <w:spacing w:before="280" w:after="283"/>
        <w:jc w:val="both"/>
        <w:rPr/>
      </w:pPr>
      <w:r>
        <w:rPr>
          <w:color w:val="000000"/>
        </w:rPr>
        <w:t>“</w:t>
      </w:r>
      <w:r>
        <w:rPr>
          <w:rFonts w:ascii="Times New Roman" w:hAnsi="Times New Roman"/>
          <w:i/>
          <w:color w:val="000000"/>
          <w:sz w:val="24"/>
        </w:rPr>
        <w:t>Device Clearance Application”</w:t>
      </w:r>
      <w:r>
        <w:rPr>
          <w:rFonts w:ascii="Times New Roman" w:hAnsi="Times New Roman"/>
          <w:color w:val="000000"/>
          <w:sz w:val="20"/>
        </w:rPr>
        <w:t xml:space="preserve"> </w:t>
      </w:r>
      <w:r>
        <w:rPr>
          <w:rFonts w:ascii="Times New Roman" w:hAnsi="Times New Roman"/>
          <w:color w:val="000000"/>
          <w:sz w:val="24"/>
        </w:rPr>
        <w:t xml:space="preserve">means (i) any premarket approval application submitted under Section 515 of the FD&amp;C Act (21 U.S.C. § 360e) (a </w:t>
      </w:r>
      <w:r>
        <w:rPr>
          <w:rFonts w:ascii="Times New Roman" w:hAnsi="Times New Roman"/>
          <w:color w:val="000000"/>
          <w:sz w:val="20"/>
        </w:rPr>
        <w:t>“</w:t>
      </w:r>
      <w:r>
        <w:rPr>
          <w:rFonts w:ascii="Times New Roman" w:hAnsi="Times New Roman"/>
          <w:i/>
          <w:color w:val="000000"/>
          <w:sz w:val="24"/>
        </w:rPr>
        <w:t>PMA”</w:t>
      </w:r>
      <w:r>
        <w:rPr>
          <w:rFonts w:ascii="Times New Roman" w:hAnsi="Times New Roman"/>
          <w:color w:val="000000"/>
          <w:sz w:val="24"/>
        </w:rPr>
        <w:t xml:space="preserve">), (ii) any de novo request submitted under Section 513(f) of the FD&amp;C Act (21 U.S.C. § 360c(f)), (iii) any 510(k) submitted under Section 510(k) of the FD&amp;C Act (21 U.S.C. § 360(k)) seeking clearance from the FDA for a Device that is substantially equivalent to a legally marketed predicate Device, as defined in the FD&amp;C Act (a </w:t>
      </w:r>
      <w:r>
        <w:rPr>
          <w:rFonts w:ascii="Times New Roman" w:hAnsi="Times New Roman"/>
          <w:color w:val="000000"/>
          <w:sz w:val="20"/>
        </w:rPr>
        <w:t>“</w:t>
      </w:r>
      <w:r>
        <w:rPr>
          <w:rFonts w:ascii="Times New Roman" w:hAnsi="Times New Roman"/>
          <w:i/>
          <w:color w:val="000000"/>
          <w:sz w:val="24"/>
        </w:rPr>
        <w:t>510(k)”</w:t>
      </w:r>
      <w:r>
        <w:rPr>
          <w:rFonts w:ascii="Times New Roman" w:hAnsi="Times New Roman"/>
          <w:color w:val="000000"/>
          <w:sz w:val="24"/>
        </w:rPr>
        <w:t>), (iv) any corresponding or substantially equivalent notification, application or clearance of a non</w:t>
        <w:noBreakHyphen/>
        <w:t>U.S. Regulatory Authority including, with respect to the European Union, any equivalent submission to a Standard Body pursuant to an applicable directive of the European Council with respect to CE marking (or, if applicable, a self</w:t>
        <w:noBreakHyphen/>
        <w:t>certification of conformity with respect to any such directive through a “declaration of conformity”), and (v) all amendments, variations, extension and renewals of any of the foregoing.</w:t>
      </w:r>
    </w:p>
    <w:p>
      <w:pPr>
        <w:pStyle w:val="TextBody"/>
        <w:bidi w:val="0"/>
        <w:spacing w:before="280" w:after="283"/>
        <w:jc w:val="both"/>
        <w:rPr/>
      </w:pPr>
      <w:r>
        <w:rPr>
          <w:color w:val="000000"/>
        </w:rPr>
        <w:t>“</w:t>
      </w:r>
      <w:r>
        <w:rPr>
          <w:rFonts w:ascii="Times New Roman" w:hAnsi="Times New Roman"/>
          <w:i/>
          <w:color w:val="000000"/>
          <w:sz w:val="24"/>
        </w:rPr>
        <w:t>Disqualified Equity Interests”</w:t>
      </w:r>
      <w:r>
        <w:rPr>
          <w:rFonts w:ascii="Times New Roman" w:hAnsi="Times New Roman"/>
          <w:color w:val="000000"/>
          <w:sz w:val="20"/>
        </w:rPr>
        <w:t xml:space="preserve"> </w:t>
      </w:r>
      <w:r>
        <w:rPr>
          <w:rFonts w:ascii="Times New Roman" w:hAnsi="Times New Roman"/>
          <w:color w:val="000000"/>
          <w:sz w:val="24"/>
        </w:rPr>
        <w:t xml:space="preserve">means, with respect to any Person, any Equity Interest of such Person that, by its terms (or by the terms of any security or other Equity Interest into which it is convertible or for which it is exchangeable upon exercise or otherwise), or upon the happening of any event or condition (i) matures or is mandatorily redeemable (other than solely for Qualified Equity Interests), including pursuant to a sinking fund obligation or otherwise, (ii) is redeemable at the option of the holder thereof (other than solely for Qualified Equity Interests), in whole or in part, (iii) provides for the scheduled payments of dividends or other distributions in cash or other securities that would constitute Disqualified Equity Interests, or (iv) is or becomes convertible into or exchangeable for Indebtedness or any other Equity Interests that would constitute Disqualified Equity Interests, in each case, prior to the date that is one hundred and eighty (180) days after the Stated Maturity Date;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such Equity Interests are issued pursuant to any plan for the benefit of directors, officers, employees or consultants of such Person or by any such plan to such directors, officers, employees or consultants, such Equity Interests shall not constitute Disqualified Equity Interests solely because they may be required to be repurchased by such Person upon the death, disability, retirement or termination of employment or service of such director, officer, employee or consultant.</w:t>
      </w:r>
    </w:p>
    <w:p>
      <w:pPr>
        <w:pStyle w:val="TextBody"/>
        <w:bidi w:val="0"/>
        <w:spacing w:before="280" w:after="283"/>
        <w:jc w:val="both"/>
        <w:rPr/>
      </w:pPr>
      <w:r>
        <w:rPr>
          <w:color w:val="000000"/>
        </w:rPr>
        <w:t>“</w:t>
      </w:r>
      <w:r>
        <w:rPr>
          <w:rFonts w:ascii="Times New Roman" w:hAnsi="Times New Roman"/>
          <w:i/>
          <w:color w:val="000000"/>
          <w:sz w:val="24"/>
        </w:rPr>
        <w:t>Disqualified Lender</w:t>
      </w:r>
      <w:r>
        <w:rPr>
          <w:rFonts w:ascii="Times New Roman" w:hAnsi="Times New Roman"/>
          <w:color w:val="000000"/>
          <w:sz w:val="20"/>
        </w:rPr>
        <w:t xml:space="preserve">” </w:t>
      </w:r>
      <w:r>
        <w:rPr>
          <w:rFonts w:ascii="Times New Roman" w:hAnsi="Times New Roman"/>
          <w:color w:val="000000"/>
          <w:sz w:val="24"/>
        </w:rPr>
        <w:t>means (a) any Person identified to the Administrative Agent in writing on or prior to the Closing Date who in the reasonable estimation of the Borrower are (i) direct competitors of the Borrower, (ii) vulture funds or (iii) distressed debt funds, (b) any other Person identified by name in writing to the Administrative Agent after the Closing Date to the</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9</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extent such Person is or becomes a competitor of Borrower or its Subsidiaries, (c) any other Person identified by name in writing to the Administrative Agent after the Closing Date to extent the Borrower reasonably determines in consultation with the Administrative Agent that such Person is a (i) vulture fund or (ii) distressed fund, and (d) any Affiliate of any Person referred to in clauses (a) through (c) above (other than bona fide fixed income investors or debt funds that are Affiliates of competitors, vulture funds or distressed debt funds).</w:t>
      </w:r>
    </w:p>
    <w:p>
      <w:pPr>
        <w:pStyle w:val="TextBody"/>
        <w:bidi w:val="0"/>
        <w:spacing w:before="280" w:after="283"/>
        <w:jc w:val="both"/>
        <w:rPr/>
      </w:pPr>
      <w:r>
        <w:rPr>
          <w:color w:val="000000"/>
        </w:rPr>
        <w:t>“</w:t>
      </w:r>
      <w:r>
        <w:rPr>
          <w:rFonts w:ascii="Times New Roman" w:hAnsi="Times New Roman"/>
          <w:i/>
          <w:color w:val="000000"/>
          <w:sz w:val="24"/>
        </w:rPr>
        <w:t>Dollars”</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0"/>
        </w:rPr>
        <w:t>“</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means lawful money of the United States of America.</w:t>
      </w:r>
    </w:p>
    <w:p>
      <w:pPr>
        <w:pStyle w:val="TextBody"/>
        <w:bidi w:val="0"/>
        <w:spacing w:before="280" w:after="283"/>
        <w:jc w:val="both"/>
        <w:rPr/>
      </w:pPr>
      <w:r>
        <w:rPr>
          <w:color w:val="000000"/>
        </w:rPr>
        <w:t>“</w:t>
      </w:r>
      <w:r>
        <w:rPr>
          <w:rFonts w:ascii="Times New Roman" w:hAnsi="Times New Roman"/>
          <w:i/>
          <w:color w:val="000000"/>
          <w:sz w:val="24"/>
        </w:rPr>
        <w:t>Economic Sanctions Laws”</w:t>
      </w:r>
      <w:r>
        <w:rPr>
          <w:rFonts w:ascii="Times New Roman" w:hAnsi="Times New Roman"/>
          <w:color w:val="000000"/>
          <w:sz w:val="20"/>
        </w:rPr>
        <w:t xml:space="preserve"> </w:t>
      </w:r>
      <w:r>
        <w:rPr>
          <w:rFonts w:ascii="Times New Roman" w:hAnsi="Times New Roman"/>
          <w:color w:val="000000"/>
          <w:sz w:val="24"/>
        </w:rPr>
        <w:t xml:space="preserve">means: (a) the Executive Order, the </w:t>
      </w:r>
      <w:r>
        <w:rPr>
          <w:rFonts w:ascii="Times New Roman" w:hAnsi="Times New Roman"/>
          <w:i/>
          <w:color w:val="000000"/>
          <w:sz w:val="24"/>
        </w:rPr>
        <w:t>International Emergency Economic Powers Act</w:t>
      </w:r>
      <w:r>
        <w:rPr>
          <w:rFonts w:ascii="Times New Roman" w:hAnsi="Times New Roman"/>
          <w:color w:val="000000"/>
          <w:sz w:val="20"/>
        </w:rPr>
        <w:t xml:space="preserve"> </w:t>
      </w:r>
      <w:r>
        <w:rPr>
          <w:rFonts w:ascii="Times New Roman" w:hAnsi="Times New Roman"/>
          <w:color w:val="000000"/>
          <w:sz w:val="24"/>
        </w:rPr>
        <w:t xml:space="preserve">(50 U.S.C. §§ 1701 </w:t>
      </w:r>
      <w:r>
        <w:rPr>
          <w:rFonts w:ascii="Times New Roman" w:hAnsi="Times New Roman"/>
          <w:i/>
          <w:color w:val="000000"/>
          <w:sz w:val="24"/>
        </w:rPr>
        <w:t>et seq.</w:t>
      </w:r>
      <w:r>
        <w:rPr>
          <w:rFonts w:ascii="Times New Roman" w:hAnsi="Times New Roman"/>
          <w:color w:val="000000"/>
          <w:sz w:val="24"/>
        </w:rPr>
        <w:t xml:space="preserve">), the </w:t>
      </w:r>
      <w:r>
        <w:rPr>
          <w:rFonts w:ascii="Times New Roman" w:hAnsi="Times New Roman"/>
          <w:i/>
          <w:color w:val="000000"/>
          <w:sz w:val="24"/>
        </w:rPr>
        <w:t>Trading with the Enemy Act</w:t>
      </w:r>
      <w:r>
        <w:rPr>
          <w:rFonts w:ascii="Times New Roman" w:hAnsi="Times New Roman"/>
          <w:color w:val="000000"/>
          <w:sz w:val="20"/>
        </w:rPr>
        <w:t xml:space="preserve"> </w:t>
      </w:r>
      <w:r>
        <w:rPr>
          <w:rFonts w:ascii="Times New Roman" w:hAnsi="Times New Roman"/>
          <w:color w:val="000000"/>
          <w:sz w:val="24"/>
        </w:rPr>
        <w:t xml:space="preserve">(50 U.S.C. App. §§ 1 </w:t>
      </w:r>
      <w:r>
        <w:rPr>
          <w:rFonts w:ascii="Times New Roman" w:hAnsi="Times New Roman"/>
          <w:i/>
          <w:color w:val="000000"/>
          <w:sz w:val="24"/>
        </w:rPr>
        <w:t>et seq.</w:t>
      </w:r>
      <w:r>
        <w:rPr>
          <w:rFonts w:ascii="Times New Roman" w:hAnsi="Times New Roman"/>
          <w:color w:val="000000"/>
          <w:sz w:val="24"/>
        </w:rPr>
        <w:t>), any other law or regulation promulgated thereunder from time to time and administered by OFAC and any similar law enacted in the United States after the date of this Agreement; and (b) any other similar applicable law now or hereafter enacted in any other applicable jurisdiction.</w:t>
      </w:r>
    </w:p>
    <w:p>
      <w:pPr>
        <w:pStyle w:val="TextBody"/>
        <w:bidi w:val="0"/>
        <w:spacing w:before="280" w:after="283"/>
        <w:jc w:val="both"/>
        <w:rPr/>
      </w:pPr>
      <w:r>
        <w:rPr>
          <w:color w:val="000000"/>
        </w:rPr>
        <w:t>“</w:t>
      </w:r>
      <w:r>
        <w:rPr>
          <w:rFonts w:ascii="Times New Roman" w:hAnsi="Times New Roman"/>
          <w:i/>
          <w:color w:val="000000"/>
          <w:sz w:val="24"/>
        </w:rPr>
        <w:t xml:space="preserve">EEA Financial Institution” </w:t>
      </w:r>
      <w:r>
        <w:rPr>
          <w:rFonts w:ascii="Times New Roman" w:hAnsi="Times New Roman"/>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280" w:after="283"/>
        <w:jc w:val="both"/>
        <w:rPr/>
      </w:pPr>
      <w:r>
        <w:rPr>
          <w:color w:val="000000"/>
        </w:rPr>
        <w:t>“</w:t>
      </w:r>
      <w:r>
        <w:rPr>
          <w:rFonts w:ascii="Times New Roman" w:hAnsi="Times New Roman"/>
          <w:i/>
          <w:color w:val="000000"/>
          <w:sz w:val="24"/>
        </w:rPr>
        <w:t xml:space="preserve">EEA Member Country” </w:t>
      </w:r>
      <w:r>
        <w:rPr>
          <w:rFonts w:ascii="Times New Roman" w:hAnsi="Times New Roman"/>
          <w:color w:val="000000"/>
          <w:sz w:val="24"/>
        </w:rPr>
        <w:t>means any of the member states of the European Union, Iceland, Liechtenstein, and Norway.</w:t>
      </w:r>
    </w:p>
    <w:p>
      <w:pPr>
        <w:pStyle w:val="TextBody"/>
        <w:bidi w:val="0"/>
        <w:spacing w:before="280" w:after="283"/>
        <w:jc w:val="both"/>
        <w:rPr/>
      </w:pPr>
      <w:r>
        <w:rPr>
          <w:color w:val="000000"/>
        </w:rPr>
        <w:t>“</w:t>
      </w:r>
      <w:r>
        <w:rPr>
          <w:rFonts w:ascii="Times New Roman" w:hAnsi="Times New Roman"/>
          <w:i/>
          <w:color w:val="000000"/>
          <w:sz w:val="24"/>
        </w:rPr>
        <w:t>EEA Resolution Authority”</w:t>
      </w:r>
      <w:r>
        <w:rPr>
          <w:rFonts w:ascii="Times New Roman" w:hAnsi="Times New Roman"/>
          <w:color w:val="000000"/>
          <w:sz w:val="20"/>
        </w:rPr>
        <w:t xml:space="preserve"> </w:t>
      </w:r>
      <w:r>
        <w:rPr>
          <w:rFonts w:ascii="Times New Roman" w:hAnsi="Times New Roman"/>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80" w:after="283"/>
        <w:jc w:val="both"/>
        <w:rPr/>
      </w:pPr>
      <w:r>
        <w:rPr>
          <w:color w:val="000000"/>
        </w:rPr>
        <w:t>“</w:t>
      </w:r>
      <w:r>
        <w:rPr>
          <w:rFonts w:ascii="Times New Roman" w:hAnsi="Times New Roman"/>
          <w:i/>
          <w:color w:val="000000"/>
          <w:sz w:val="24"/>
        </w:rPr>
        <w:t>Environmental Law”</w:t>
      </w:r>
      <w:r>
        <w:rPr>
          <w:rFonts w:ascii="Times New Roman" w:hAnsi="Times New Roman"/>
          <w:color w:val="000000"/>
          <w:sz w:val="20"/>
        </w:rPr>
        <w:t xml:space="preserve"> </w:t>
      </w:r>
      <w:r>
        <w:rPr>
          <w:rFonts w:ascii="Times New Roman" w:hAnsi="Times New Roman"/>
          <w:color w:val="000000"/>
          <w:sz w:val="24"/>
        </w:rPr>
        <w:t>means any federal, state, provincial or local governmental law, rule, regulation, order, writ, judgment, injunction or decree relating to pollution or protection of the environment or the treatment, storage, disposal, release, threatened release or handling of Hazardous Materials, and all local laws and regulations related to environmental matters and any specific agreements entered into with any Governmental Authorities which include commitments related to environmental matters.</w:t>
      </w:r>
    </w:p>
    <w:p>
      <w:pPr>
        <w:pStyle w:val="TextBody"/>
        <w:bidi w:val="0"/>
        <w:spacing w:before="280" w:after="283"/>
        <w:jc w:val="both"/>
        <w:rPr/>
      </w:pPr>
      <w:r>
        <w:rPr>
          <w:color w:val="000000"/>
        </w:rPr>
        <w:t>“</w:t>
      </w:r>
      <w:r>
        <w:rPr>
          <w:rFonts w:ascii="Times New Roman" w:hAnsi="Times New Roman"/>
          <w:i/>
          <w:color w:val="000000"/>
          <w:sz w:val="24"/>
        </w:rPr>
        <w:t>Equity Interest”</w:t>
      </w:r>
      <w:r>
        <w:rPr>
          <w:rFonts w:ascii="Times New Roman" w:hAnsi="Times New Roman"/>
          <w:color w:val="000000"/>
          <w:sz w:val="20"/>
        </w:rPr>
        <w:t xml:space="preserve"> </w:t>
      </w:r>
      <w:r>
        <w:rPr>
          <w:rFonts w:ascii="Times New Roman" w:hAnsi="Times New Roman"/>
          <w:color w:val="000000"/>
          <w:sz w:val="24"/>
        </w:rPr>
        <w:t>means,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but excluding debt securities convertible or exchangeable into such equity.</w:t>
      </w:r>
    </w:p>
    <w:p>
      <w:pPr>
        <w:pStyle w:val="TextBody"/>
        <w:bidi w:val="0"/>
        <w:spacing w:before="280" w:after="283"/>
        <w:jc w:val="both"/>
        <w:rPr/>
      </w:pPr>
      <w:r>
        <w:rPr>
          <w:color w:val="000000"/>
        </w:rPr>
        <w:t>“</w:t>
      </w:r>
      <w:r>
        <w:rPr>
          <w:rFonts w:ascii="Times New Roman" w:hAnsi="Times New Roman"/>
          <w:i/>
          <w:color w:val="000000"/>
          <w:sz w:val="24"/>
        </w:rPr>
        <w:t>ERISA”</w:t>
      </w:r>
      <w:r>
        <w:rPr>
          <w:rFonts w:ascii="Times New Roman" w:hAnsi="Times New Roman"/>
          <w:color w:val="000000"/>
          <w:sz w:val="20"/>
        </w:rPr>
        <w:t xml:space="preserve"> </w:t>
      </w:r>
      <w:r>
        <w:rPr>
          <w:rFonts w:ascii="Times New Roman" w:hAnsi="Times New Roman"/>
          <w:color w:val="000000"/>
          <w:sz w:val="24"/>
        </w:rPr>
        <w:t>means the United States Employee Retirement Income Security Act of 1974, as amended.</w:t>
      </w:r>
    </w:p>
    <w:p>
      <w:pPr>
        <w:pStyle w:val="TextBody"/>
        <w:bidi w:val="0"/>
        <w:jc w:val="center"/>
        <w:rPr/>
      </w:pPr>
      <w:r>
        <w:rPr>
          <w:color w:val="000000"/>
        </w:rPr>
        <w:noBreakHyphen/>
      </w:r>
      <w:r>
        <w:rPr>
          <w:rFonts w:ascii="Times New Roman" w:hAnsi="Times New Roman"/>
          <w:color w:val="000000"/>
          <w:sz w:val="24"/>
        </w:rPr>
        <w:t>10</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ERISA Affiliate”</w:t>
      </w:r>
      <w:r>
        <w:rPr>
          <w:rFonts w:ascii="Times New Roman" w:hAnsi="Times New Roman"/>
          <w:color w:val="000000"/>
          <w:sz w:val="20"/>
        </w:rPr>
        <w:t xml:space="preserve"> </w:t>
      </w:r>
      <w:r>
        <w:rPr>
          <w:rFonts w:ascii="Times New Roman" w:hAnsi="Times New Roman"/>
          <w:color w:val="000000"/>
          <w:sz w:val="24"/>
        </w:rPr>
        <w:t>means any Person that, as of the relevant time, would be considered a single employer with an Obligor pursuant to Section 414(b), (c), (m) or (o) of the Code.</w:t>
      </w:r>
    </w:p>
    <w:p>
      <w:pPr>
        <w:pStyle w:val="TextBody"/>
        <w:bidi w:val="0"/>
        <w:spacing w:before="280" w:after="283"/>
        <w:jc w:val="both"/>
        <w:rPr/>
      </w:pPr>
      <w:r>
        <w:rPr>
          <w:color w:val="000000"/>
        </w:rPr>
        <w:t>“</w:t>
      </w:r>
      <w:r>
        <w:rPr>
          <w:rFonts w:ascii="Times New Roman" w:hAnsi="Times New Roman"/>
          <w:i/>
          <w:color w:val="000000"/>
          <w:sz w:val="24"/>
        </w:rPr>
        <w:t>ERISA Event”</w:t>
      </w:r>
      <w:r>
        <w:rPr>
          <w:rFonts w:ascii="Times New Roman" w:hAnsi="Times New Roman"/>
          <w:color w:val="000000"/>
          <w:sz w:val="20"/>
        </w:rPr>
        <w:t xml:space="preserve"> </w:t>
      </w:r>
      <w:r>
        <w:rPr>
          <w:rFonts w:ascii="Times New Roman" w:hAnsi="Times New Roman"/>
          <w:color w:val="000000"/>
          <w:sz w:val="24"/>
        </w:rPr>
        <w:t>means (a)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(b) a withdrawal by any Obligor or any ERISA Affiliate thereof from a Title IV Plan or the termination of any Title IV Plan resulting in liability under Sections 4063 or 4064 of ERISA; (c) the withdrawal of any Obligor or any ERISA Affiliate thereof in a complete or partial withdrawal (within the meaning of Section 4203 and 4205 of ERISA) from any Multiemployer Plan if there is any liability therefore, or the receipt by any Obligor or any ERISA Affiliate thereof of notice from any Multiemployer Plan that it is insolvent pursuant to Section 4245 of ERISA; (d) with respect to a Title IV Plan or Multiemployer Plan, as applicable, the filing of a notice of intent to terminate, the treatment of a plan amendment as a termination under Section 4041 or 4041A of ERISA, or the commencement of proceedings by the PBGC to terminate such plan; (e) the failure by any Obligor (including a failure related to contingent liability on account of an ERISA Affiliate thereof) to make any required contribution to a Multiemployer Plan, or to meet the minimum funding standard of Section 412 of the Code with respect to any Title IV Plan or the failure to make by its due date a required installment under Section 430 of the Code with respect to any Title IV Plan; (f) the determination that any Title IV Plan is in “at</w:t>
        <w:noBreakHyphen/>
        <w:t>risk” status within the meaning of Sections 430 of the Code or Section 303 of ERISA; (g) the determination that any Multiemployer Plan is in “critical” or “endangered” status within the meaning of Section 432 of the Code or Section 305 of ERISA; (h) the imposition on any Obligor of fines, penalties, Taxes or related charges under Section 4975 of the Code, Chapter 43 of the Code or under Sections 409, 502(c), (i) or (1) or 4071 of ERISA; (i) the imposition of any Lien on any of the rights, properties or assets of any Obligor pursuant to Title I or IV of ERISA or to Section 430(k) of the Code with respect to a Title IV Plan.</w:t>
      </w:r>
    </w:p>
    <w:p>
      <w:pPr>
        <w:pStyle w:val="TextBody"/>
        <w:bidi w:val="0"/>
        <w:spacing w:before="280" w:after="283"/>
        <w:jc w:val="both"/>
        <w:rPr/>
      </w:pPr>
      <w:r>
        <w:rPr>
          <w:color w:val="000000"/>
        </w:rPr>
        <w:t>“</w:t>
      </w:r>
      <w:r>
        <w:rPr>
          <w:rFonts w:ascii="Times New Roman" w:hAnsi="Times New Roman"/>
          <w:i/>
          <w:color w:val="000000"/>
          <w:sz w:val="24"/>
        </w:rPr>
        <w:t>EU Bail</w:t>
        <w:noBreakHyphen/>
        <w:t xml:space="preserve">In Legislation Schedule” </w:t>
      </w:r>
      <w:r>
        <w:rPr>
          <w:rFonts w:ascii="Times New Roman" w:hAnsi="Times New Roman"/>
          <w:color w:val="000000"/>
          <w:sz w:val="24"/>
        </w:rPr>
        <w:t>means the EU Bail</w:t>
        <w:noBreakHyphen/>
        <w:t>In Legislation Schedule published by the Loan Market Association (or any successor Person), as in effect from time to time.</w:t>
      </w:r>
    </w:p>
    <w:p>
      <w:pPr>
        <w:pStyle w:val="TextBody"/>
        <w:bidi w:val="0"/>
        <w:spacing w:before="280" w:after="283"/>
        <w:jc w:val="both"/>
        <w:rPr/>
      </w:pPr>
      <w:r>
        <w:rPr>
          <w:color w:val="000000"/>
        </w:rPr>
        <w:t>“</w:t>
      </w:r>
      <w:r>
        <w:rPr>
          <w:rFonts w:ascii="Times New Roman" w:hAnsi="Times New Roman"/>
          <w:i/>
          <w:color w:val="000000"/>
          <w:sz w:val="24"/>
        </w:rPr>
        <w:t>Event of Default”</w:t>
      </w:r>
      <w:r>
        <w:rPr>
          <w:rFonts w:ascii="Times New Roman" w:hAnsi="Times New Roman"/>
          <w:color w:val="000000"/>
          <w:sz w:val="20"/>
        </w:rPr>
        <w:t xml:space="preserve"> </w:t>
      </w:r>
      <w:r>
        <w:rPr>
          <w:rFonts w:ascii="Times New Roman" w:hAnsi="Times New Roman"/>
          <w:color w:val="000000"/>
          <w:sz w:val="24"/>
        </w:rPr>
        <w:t>has the meaning set forth in Section 10.01.</w:t>
      </w:r>
    </w:p>
    <w:p>
      <w:pPr>
        <w:pStyle w:val="TextBody"/>
        <w:bidi w:val="0"/>
        <w:spacing w:before="280" w:after="283"/>
        <w:jc w:val="both"/>
        <w:rPr/>
      </w:pPr>
      <w:r>
        <w:rPr>
          <w:color w:val="000000"/>
        </w:rPr>
        <w:t>“</w:t>
      </w:r>
      <w:r>
        <w:rPr>
          <w:rFonts w:ascii="Times New Roman" w:hAnsi="Times New Roman"/>
          <w:i/>
          <w:color w:val="000000"/>
          <w:sz w:val="24"/>
        </w:rPr>
        <w:t>Excess Funding Guarantor”</w:t>
      </w:r>
      <w:r>
        <w:rPr>
          <w:rFonts w:ascii="Times New Roman" w:hAnsi="Times New Roman"/>
          <w:color w:val="000000"/>
          <w:sz w:val="20"/>
        </w:rPr>
        <w:t xml:space="preserve"> </w:t>
      </w:r>
      <w:r>
        <w:rPr>
          <w:rFonts w:ascii="Times New Roman" w:hAnsi="Times New Roman"/>
          <w:color w:val="000000"/>
          <w:sz w:val="24"/>
        </w:rPr>
        <w:t>has the meaning set forth in Section 11.08.</w:t>
      </w:r>
    </w:p>
    <w:p>
      <w:pPr>
        <w:pStyle w:val="TextBody"/>
        <w:bidi w:val="0"/>
        <w:spacing w:before="280" w:after="283"/>
        <w:jc w:val="both"/>
        <w:rPr/>
      </w:pPr>
      <w:r>
        <w:rPr>
          <w:color w:val="000000"/>
        </w:rPr>
        <w:t>“</w:t>
      </w:r>
      <w:r>
        <w:rPr>
          <w:rFonts w:ascii="Times New Roman" w:hAnsi="Times New Roman"/>
          <w:i/>
          <w:color w:val="000000"/>
          <w:sz w:val="24"/>
        </w:rPr>
        <w:t>Excess Payment”</w:t>
      </w:r>
      <w:r>
        <w:rPr>
          <w:rFonts w:ascii="Times New Roman" w:hAnsi="Times New Roman"/>
          <w:color w:val="000000"/>
          <w:sz w:val="20"/>
        </w:rPr>
        <w:t xml:space="preserve"> </w:t>
      </w:r>
      <w:r>
        <w:rPr>
          <w:rFonts w:ascii="Times New Roman" w:hAnsi="Times New Roman"/>
          <w:color w:val="000000"/>
          <w:sz w:val="24"/>
        </w:rPr>
        <w:t>has the meaning set forth in Section 11.08.</w:t>
      </w:r>
    </w:p>
    <w:p>
      <w:pPr>
        <w:pStyle w:val="TextBody"/>
        <w:bidi w:val="0"/>
        <w:spacing w:before="280" w:after="283"/>
        <w:jc w:val="both"/>
        <w:rPr/>
      </w:pPr>
      <w:r>
        <w:rPr>
          <w:color w:val="000000"/>
        </w:rPr>
        <w:t>“</w:t>
      </w:r>
      <w:r>
        <w:rPr>
          <w:rFonts w:ascii="Times New Roman" w:hAnsi="Times New Roman"/>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spacing w:before="280" w:after="283"/>
        <w:jc w:val="both"/>
        <w:rPr/>
      </w:pPr>
      <w:r>
        <w:rPr>
          <w:color w:val="000000"/>
        </w:rPr>
        <w:t>“</w:t>
      </w:r>
      <w:r>
        <w:rPr>
          <w:rFonts w:ascii="Times New Roman" w:hAnsi="Times New Roman"/>
          <w:i/>
          <w:color w:val="000000"/>
          <w:sz w:val="24"/>
        </w:rPr>
        <w:t>Excluded Accounts”</w:t>
      </w:r>
      <w:r>
        <w:rPr>
          <w:rFonts w:ascii="Times New Roman" w:hAnsi="Times New Roman"/>
          <w:color w:val="000000"/>
          <w:sz w:val="20"/>
        </w:rPr>
        <w:t xml:space="preserve"> </w:t>
      </w:r>
      <w:r>
        <w:rPr>
          <w:rFonts w:ascii="Times New Roman" w:hAnsi="Times New Roman"/>
          <w:color w:val="000000"/>
          <w:sz w:val="24"/>
        </w:rPr>
        <w:t>means (a) Deposit Accounts exclusively used for payroll, payroll Taxes, other employee wage and benefit payments to or for the benefit of the employees of the Borrower and its Subsidiaries, (b) Deposit Accounts with aggregate balances of $250,000 or less at any time, (c) zero balance accounts, (d) any escrow account, trust account, or deposit account otherwise maintained solely for the benefit of third parties as cash collateral for obligations owing</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11</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to such third parties or to establish or maintain escrow amounts for third-parties with aggregate balances of $100,000 or less at any time and (e) Segregated Health Care Accounts.</w:t>
      </w:r>
    </w:p>
    <w:p>
      <w:pPr>
        <w:pStyle w:val="TextBody"/>
        <w:bidi w:val="0"/>
        <w:spacing w:before="280" w:after="283"/>
        <w:jc w:val="both"/>
        <w:rPr/>
      </w:pPr>
      <w:r>
        <w:rPr>
          <w:color w:val="000000"/>
        </w:rPr>
        <w:t>“</w:t>
      </w:r>
      <w:r>
        <w:rPr>
          <w:rFonts w:ascii="Times New Roman" w:hAnsi="Times New Roman"/>
          <w:i/>
          <w:color w:val="000000"/>
          <w:sz w:val="24"/>
        </w:rPr>
        <w:t>Excluded Taxes”</w:t>
      </w:r>
      <w:r>
        <w:rPr>
          <w:rFonts w:ascii="Times New Roman" w:hAnsi="Times New Roman"/>
          <w:color w:val="000000"/>
          <w:sz w:val="20"/>
        </w:rPr>
        <w:t xml:space="preserve"> </w:t>
      </w:r>
      <w:r>
        <w:rPr>
          <w:rFonts w:ascii="Times New Roman" w:hAnsi="Times New Roman"/>
          <w:color w:val="000000"/>
          <w:sz w:val="24"/>
        </w:rPr>
        <w:t>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 Lender, its applicable lending office located in, the jurisdiction imposing such Tax or (ii) that are Other Connection Taxes, (b) any U.S. federal withholding Taxes that are imposed on amounts payable to Lender to the extent that the obligation to withhold amounts existed on the date that (i) Lender became a “Lender” under this Agreement or (ii) Lender changes its lending office, except in each case to the extent Lender is a direct or indirect assignee of any other Lender that was entitled, at the time the assignment of such other Lender became effective, to receive additional amounts under Section 5.03 or Lender was entitled to receive additional amounts under Section 5.03 immediately before it changed its lending office, (c) any Taxes imposed in connection with FATCA, and (d) Taxes attributable to such Recipient’s failure to comply with Section 5.03(f).</w:t>
      </w:r>
    </w:p>
    <w:p>
      <w:pPr>
        <w:pStyle w:val="TextBody"/>
        <w:bidi w:val="0"/>
        <w:spacing w:before="280" w:after="283"/>
        <w:jc w:val="both"/>
        <w:rPr/>
      </w:pPr>
      <w:r>
        <w:rPr>
          <w:color w:val="000000"/>
        </w:rPr>
        <w:t>“</w:t>
      </w:r>
      <w:r>
        <w:rPr>
          <w:rFonts w:ascii="Times New Roman" w:hAnsi="Times New Roman"/>
          <w:i/>
          <w:color w:val="000000"/>
          <w:sz w:val="24"/>
        </w:rPr>
        <w:t>Executive Order”</w:t>
      </w:r>
      <w:r>
        <w:rPr>
          <w:rFonts w:ascii="Times New Roman" w:hAnsi="Times New Roman"/>
          <w:color w:val="000000"/>
          <w:sz w:val="20"/>
        </w:rPr>
        <w:t xml:space="preserve"> </w:t>
      </w:r>
      <w:r>
        <w:rPr>
          <w:rFonts w:ascii="Times New Roman" w:hAnsi="Times New Roman"/>
          <w:color w:val="000000"/>
          <w:sz w:val="24"/>
        </w:rPr>
        <w:t>means the US Executive Order No. 13224 on Blocking Property and Prohibiting Transactions with Persons who commit, Threaten to Commit, or Support Terrorism.</w:t>
      </w:r>
    </w:p>
    <w:p>
      <w:pPr>
        <w:pStyle w:val="TextBody"/>
        <w:bidi w:val="0"/>
        <w:spacing w:before="280" w:after="283"/>
        <w:jc w:val="both"/>
        <w:rPr/>
      </w:pPr>
      <w:r>
        <w:rPr>
          <w:color w:val="000000"/>
        </w:rPr>
        <w:t>“</w:t>
      </w:r>
      <w:r>
        <w:rPr>
          <w:rFonts w:ascii="Times New Roman" w:hAnsi="Times New Roman"/>
          <w:i/>
          <w:color w:val="000000"/>
          <w:sz w:val="24"/>
        </w:rPr>
        <w:t>Existing Credit Agreements</w:t>
      </w:r>
      <w:r>
        <w:rPr>
          <w:rFonts w:ascii="Times New Roman" w:hAnsi="Times New Roman"/>
          <w:color w:val="000000"/>
          <w:sz w:val="20"/>
        </w:rPr>
        <w:t xml:space="preserve">” </w:t>
      </w:r>
      <w:r>
        <w:rPr>
          <w:rFonts w:ascii="Times New Roman" w:hAnsi="Times New Roman"/>
          <w:color w:val="000000"/>
          <w:sz w:val="24"/>
        </w:rPr>
        <w:t>means (a) that certain Loan and Security Agreement, dated as of March 19, 2021, by and between Silicon Valley Bank and the Borrower and (b) that certain Securities Purchase Agreement, dated as of May 9, 2022, by and between the Borrower and Streeterville Capital, LLC, in each case, as may be amended, restated, amended and restated, supplemented or otherwise modified prior to the Funding Date.</w:t>
      </w:r>
    </w:p>
    <w:p>
      <w:pPr>
        <w:pStyle w:val="TextBody"/>
        <w:bidi w:val="0"/>
        <w:spacing w:before="280" w:after="283"/>
        <w:jc w:val="both"/>
        <w:rPr/>
      </w:pPr>
      <w:r>
        <w:rPr>
          <w:color w:val="000000"/>
        </w:rPr>
        <w:t>“</w:t>
      </w:r>
      <w:r>
        <w:rPr>
          <w:rFonts w:ascii="Times New Roman" w:hAnsi="Times New Roman"/>
          <w:i/>
          <w:color w:val="000000"/>
          <w:sz w:val="24"/>
        </w:rPr>
        <w:t>Expense Deposit”</w:t>
      </w:r>
      <w:r>
        <w:rPr>
          <w:rFonts w:ascii="Times New Roman" w:hAnsi="Times New Roman"/>
          <w:color w:val="000000"/>
          <w:sz w:val="20"/>
        </w:rPr>
        <w:t xml:space="preserve"> </w:t>
      </w:r>
      <w:r>
        <w:rPr>
          <w:rFonts w:ascii="Times New Roman" w:hAnsi="Times New Roman"/>
          <w:color w:val="000000"/>
          <w:sz w:val="24"/>
        </w:rPr>
        <w:t>means a cash deposit in the amount of $50,000 made by the Borrower to an Affiliate of Perceptive Advisors LLC pursuant to the Proposal Letter for the prepayment of the Lenders’ costs and expenses (payable pursuant to Section 13.03(a) and/or the Proposal Letter) incurred prior to the Closing Date.</w:t>
      </w:r>
    </w:p>
    <w:p>
      <w:pPr>
        <w:pStyle w:val="TextBody"/>
        <w:bidi w:val="0"/>
        <w:spacing w:before="280" w:after="283"/>
        <w:jc w:val="both"/>
        <w:rPr/>
      </w:pPr>
      <w:r>
        <w:rPr>
          <w:color w:val="000000"/>
        </w:rPr>
        <w:t>“</w:t>
      </w:r>
      <w:r>
        <w:rPr>
          <w:rFonts w:ascii="Times New Roman" w:hAnsi="Times New Roman"/>
          <w:i/>
          <w:color w:val="000000"/>
          <w:sz w:val="24"/>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bidi w:val="0"/>
        <w:spacing w:before="280" w:after="283"/>
        <w:jc w:val="both"/>
        <w:rPr/>
      </w:pPr>
      <w:r>
        <w:rPr>
          <w:color w:val="000000"/>
        </w:rPr>
        <w:t>“</w:t>
      </w:r>
      <w:r>
        <w:rPr>
          <w:rFonts w:ascii="Times New Roman" w:hAnsi="Times New Roman"/>
          <w:i/>
          <w:color w:val="000000"/>
          <w:sz w:val="24"/>
        </w:rPr>
        <w:t>FD&amp;C Act”</w:t>
      </w:r>
      <w:r>
        <w:rPr>
          <w:rFonts w:ascii="Times New Roman" w:hAnsi="Times New Roman"/>
          <w:color w:val="000000"/>
          <w:sz w:val="20"/>
        </w:rPr>
        <w:t xml:space="preserve"> </w:t>
      </w:r>
      <w:r>
        <w:rPr>
          <w:rFonts w:ascii="Times New Roman" w:hAnsi="Times New Roman"/>
          <w:color w:val="000000"/>
          <w:sz w:val="24"/>
        </w:rPr>
        <w:t>means the Federal Food, Drug and Cosmetic Act of 1938 (or any successor thereto), as amended from time to time, and the rules and regulations issued or promulgated thereunder.</w:t>
      </w:r>
    </w:p>
    <w:p>
      <w:pPr>
        <w:pStyle w:val="TextBody"/>
        <w:bidi w:val="0"/>
        <w:spacing w:before="280" w:after="283"/>
        <w:jc w:val="both"/>
        <w:rPr/>
      </w:pPr>
      <w:r>
        <w:rPr>
          <w:color w:val="000000"/>
        </w:rPr>
        <w:t>“</w:t>
      </w:r>
      <w:r>
        <w:rPr>
          <w:rFonts w:ascii="Times New Roman" w:hAnsi="Times New Roman"/>
          <w:i/>
          <w:color w:val="000000"/>
          <w:sz w:val="24"/>
        </w:rPr>
        <w:t>FDA”</w:t>
      </w:r>
      <w:r>
        <w:rPr>
          <w:rFonts w:ascii="Times New Roman" w:hAnsi="Times New Roman"/>
          <w:color w:val="000000"/>
          <w:sz w:val="20"/>
        </w:rPr>
        <w:t xml:space="preserve"> </w:t>
      </w:r>
      <w:r>
        <w:rPr>
          <w:rFonts w:ascii="Times New Roman" w:hAnsi="Times New Roman"/>
          <w:color w:val="000000"/>
          <w:sz w:val="24"/>
        </w:rPr>
        <w:t>means the U.S. Food and Drug Administration and any successor entity.</w:t>
      </w:r>
    </w:p>
    <w:p>
      <w:pPr>
        <w:pStyle w:val="TextBody"/>
        <w:bidi w:val="0"/>
        <w:jc w:val="center"/>
        <w:rPr/>
      </w:pPr>
      <w:r>
        <w:rPr>
          <w:color w:val="000000"/>
        </w:rPr>
        <w:noBreakHyphen/>
      </w:r>
      <w:r>
        <w:rPr>
          <w:rFonts w:ascii="Times New Roman" w:hAnsi="Times New Roman"/>
          <w:color w:val="000000"/>
          <w:sz w:val="24"/>
        </w:rPr>
        <w:t>12</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FDA Laws”</w:t>
      </w:r>
      <w:r>
        <w:rPr>
          <w:rFonts w:ascii="Times New Roman" w:hAnsi="Times New Roman"/>
          <w:color w:val="000000"/>
          <w:sz w:val="20"/>
        </w:rPr>
        <w:t xml:space="preserve"> </w:t>
      </w:r>
      <w:r>
        <w:rPr>
          <w:rFonts w:ascii="Times New Roman" w:hAnsi="Times New Roman"/>
          <w:color w:val="000000"/>
          <w:sz w:val="24"/>
        </w:rPr>
        <w:t>means all applicable statutes, rules, regulations and orders administered or issued by the FDA, including without limitation, the FD&amp;C Act and its implementing regulations.</w:t>
      </w:r>
    </w:p>
    <w:p>
      <w:pPr>
        <w:pStyle w:val="TextBody"/>
        <w:bidi w:val="0"/>
        <w:spacing w:before="280" w:after="283"/>
        <w:jc w:val="both"/>
        <w:rPr/>
      </w:pPr>
      <w:r>
        <w:rPr>
          <w:color w:val="000000"/>
        </w:rPr>
        <w:t>“</w:t>
      </w:r>
      <w:r>
        <w:rPr>
          <w:rFonts w:ascii="Times New Roman" w:hAnsi="Times New Roman"/>
          <w:i/>
          <w:color w:val="000000"/>
          <w:sz w:val="24"/>
        </w:rPr>
        <w:t xml:space="preserve">Federal Health Care Program” </w:t>
      </w:r>
      <w:r>
        <w:rPr>
          <w:rFonts w:ascii="Times New Roman" w:hAnsi="Times New Roman"/>
          <w:color w:val="000000"/>
          <w:sz w:val="24"/>
        </w:rPr>
        <w:t>has the meaning specified in Section 1128B(f) of the Social Security Act and includes the programs commonly known as Medicare, Medicaid, TRICARE and CHAMPVA.</w:t>
      </w:r>
    </w:p>
    <w:p>
      <w:pPr>
        <w:pStyle w:val="TextBody"/>
        <w:bidi w:val="0"/>
        <w:spacing w:before="280" w:after="283"/>
        <w:jc w:val="both"/>
        <w:rPr/>
      </w:pPr>
      <w:r>
        <w:rPr>
          <w:color w:val="000000"/>
        </w:rPr>
        <w:t>“</w:t>
      </w:r>
      <w:r>
        <w:rPr>
          <w:rFonts w:ascii="Times New Roman" w:hAnsi="Times New Roman"/>
          <w:i/>
          <w:color w:val="000000"/>
          <w:sz w:val="24"/>
        </w:rPr>
        <w:t>Fee Letter”</w:t>
      </w:r>
      <w:r>
        <w:rPr>
          <w:rFonts w:ascii="Times New Roman" w:hAnsi="Times New Roman"/>
          <w:color w:val="000000"/>
          <w:sz w:val="20"/>
        </w:rPr>
        <w:t xml:space="preserve"> </w:t>
      </w:r>
      <w:r>
        <w:rPr>
          <w:rFonts w:ascii="Times New Roman" w:hAnsi="Times New Roman"/>
          <w:color w:val="000000"/>
          <w:sz w:val="24"/>
        </w:rPr>
        <w:t>means that certain Fee Letter, originally dated as of the Closing Date, among the Obligors, the Lenders and the Administrative Agent, as amended and restated on the First Amendment Effective Date, as amended and restated on the Second Amendment Effective Date, as amended and restated on the Third Amendment Effective Date, as amended and restated on the Fourth Amendment Effective Date, and as further amended and restated on the Sixth Amendment Effective Date.</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Fifth Amendment Effective Date</w:t>
      </w:r>
      <w:r>
        <w:rPr>
          <w:rFonts w:ascii="Times New Roman" w:hAnsi="Times New Roman"/>
          <w:color w:val="000000"/>
          <w:sz w:val="20"/>
        </w:rPr>
        <w:t xml:space="preserve">” </w:t>
      </w:r>
      <w:r>
        <w:rPr>
          <w:rFonts w:ascii="Times New Roman" w:hAnsi="Times New Roman"/>
          <w:color w:val="000000"/>
          <w:sz w:val="24"/>
        </w:rPr>
        <w:t>means February 28, 2025.</w:t>
      </w:r>
    </w:p>
    <w:p>
      <w:pPr>
        <w:pStyle w:val="TextBody"/>
        <w:bidi w:val="0"/>
        <w:spacing w:before="280" w:after="283"/>
        <w:jc w:val="both"/>
        <w:rPr/>
      </w:pPr>
      <w:r>
        <w:rPr>
          <w:color w:val="000000"/>
        </w:rPr>
        <w:t>“</w:t>
      </w:r>
      <w:r>
        <w:rPr>
          <w:rFonts w:ascii="Times New Roman" w:hAnsi="Times New Roman"/>
          <w:i/>
          <w:color w:val="000000"/>
          <w:sz w:val="24"/>
        </w:rPr>
        <w:t>Financial Plan</w:t>
      </w:r>
      <w:r>
        <w:rPr>
          <w:rFonts w:ascii="Times New Roman" w:hAnsi="Times New Roman"/>
          <w:color w:val="000000"/>
          <w:sz w:val="20"/>
        </w:rPr>
        <w:t xml:space="preserve">” </w:t>
      </w:r>
      <w:r>
        <w:rPr>
          <w:rFonts w:ascii="Times New Roman" w:hAnsi="Times New Roman"/>
          <w:color w:val="000000"/>
          <w:sz w:val="24"/>
        </w:rPr>
        <w:t>has the meaning set forth in Section 8.01(h).</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First Amendment</w:t>
      </w:r>
      <w:r>
        <w:rPr>
          <w:rFonts w:ascii="Times New Roman" w:hAnsi="Times New Roman"/>
          <w:color w:val="000000"/>
          <w:sz w:val="20"/>
        </w:rPr>
        <w:t xml:space="preserve">” </w:t>
      </w:r>
      <w:r>
        <w:rPr>
          <w:rFonts w:ascii="Times New Roman" w:hAnsi="Times New Roman"/>
          <w:color w:val="000000"/>
          <w:sz w:val="24"/>
        </w:rPr>
        <w:t>means the First Amendment to Credit Agreement and Guaranty, dated as of May 10, 2023, among the Borrower, the Lenders and the Administrative Agent.</w:t>
      </w:r>
    </w:p>
    <w:p>
      <w:pPr>
        <w:pStyle w:val="TextBody"/>
        <w:bidi w:val="0"/>
        <w:spacing w:before="280" w:after="283"/>
        <w:jc w:val="both"/>
        <w:rPr/>
      </w:pPr>
      <w:r>
        <w:rPr>
          <w:color w:val="000000"/>
        </w:rPr>
        <w:t>“</w:t>
      </w:r>
      <w:r>
        <w:rPr>
          <w:rFonts w:ascii="Times New Roman" w:hAnsi="Times New Roman"/>
          <w:i/>
          <w:color w:val="000000"/>
          <w:sz w:val="24"/>
        </w:rPr>
        <w:t>First Amendment Effective Date</w:t>
      </w:r>
      <w:r>
        <w:rPr>
          <w:rFonts w:ascii="Times New Roman" w:hAnsi="Times New Roman"/>
          <w:color w:val="000000"/>
          <w:sz w:val="20"/>
        </w:rPr>
        <w:t xml:space="preserve">” </w:t>
      </w:r>
      <w:r>
        <w:rPr>
          <w:rFonts w:ascii="Times New Roman" w:hAnsi="Times New Roman"/>
          <w:color w:val="000000"/>
          <w:sz w:val="24"/>
        </w:rPr>
        <w:t>means May 10, 2023.</w:t>
      </w:r>
    </w:p>
    <w:p>
      <w:pPr>
        <w:pStyle w:val="TextBody"/>
        <w:bidi w:val="0"/>
        <w:spacing w:before="280" w:after="283"/>
        <w:jc w:val="both"/>
        <w:rPr/>
      </w:pPr>
      <w:r>
        <w:rPr>
          <w:color w:val="000000"/>
        </w:rPr>
        <w:t>“</w:t>
      </w:r>
      <w:r>
        <w:rPr>
          <w:rFonts w:ascii="Times New Roman" w:hAnsi="Times New Roman"/>
          <w:i/>
          <w:color w:val="000000"/>
          <w:sz w:val="24"/>
        </w:rPr>
        <w:t xml:space="preserve">Floor” </w:t>
      </w:r>
      <w:r>
        <w:rPr>
          <w:rFonts w:ascii="Times New Roman" w:hAnsi="Times New Roman"/>
          <w:color w:val="000000"/>
          <w:sz w:val="24"/>
        </w:rPr>
        <w:t>means a rate of interest equal to 3.00%.</w:t>
      </w:r>
    </w:p>
    <w:p>
      <w:pPr>
        <w:pStyle w:val="TextBody"/>
        <w:bidi w:val="0"/>
        <w:spacing w:before="280" w:after="283"/>
        <w:jc w:val="both"/>
        <w:rPr/>
      </w:pPr>
      <w:r>
        <w:rPr>
          <w:color w:val="000000"/>
        </w:rPr>
        <w:t>“</w:t>
      </w:r>
      <w:r>
        <w:rPr>
          <w:rFonts w:ascii="Times New Roman" w:hAnsi="Times New Roman"/>
          <w:i/>
          <w:color w:val="000000"/>
          <w:sz w:val="24"/>
        </w:rPr>
        <w:t>Foreign Lender”</w:t>
      </w:r>
      <w:r>
        <w:rPr>
          <w:rFonts w:ascii="Times New Roman" w:hAnsi="Times New Roman"/>
          <w:color w:val="000000"/>
          <w:sz w:val="20"/>
        </w:rPr>
        <w:t xml:space="preserve"> </w:t>
      </w:r>
      <w:r>
        <w:rPr>
          <w:rFonts w:ascii="Times New Roman" w:hAnsi="Times New Roman"/>
          <w:color w:val="000000"/>
          <w:sz w:val="24"/>
        </w:rPr>
        <w:t>means a Lender that is not a U.S. Person.</w:t>
      </w:r>
    </w:p>
    <w:p>
      <w:pPr>
        <w:pStyle w:val="TextBody"/>
        <w:bidi w:val="0"/>
        <w:spacing w:before="280" w:after="283"/>
        <w:jc w:val="both"/>
        <w:rPr/>
      </w:pPr>
      <w:r>
        <w:rPr>
          <w:color w:val="000000"/>
        </w:rPr>
        <w:t>“</w:t>
      </w:r>
      <w:r>
        <w:rPr>
          <w:rFonts w:ascii="Times New Roman" w:hAnsi="Times New Roman"/>
          <w:i/>
          <w:color w:val="000000"/>
          <w:sz w:val="24"/>
        </w:rPr>
        <w:t>Fourth Amendment Effective Date”</w:t>
      </w:r>
      <w:r>
        <w:rPr>
          <w:rFonts w:ascii="Times New Roman" w:hAnsi="Times New Roman"/>
          <w:color w:val="000000"/>
          <w:sz w:val="20"/>
        </w:rPr>
        <w:t xml:space="preserve"> </w:t>
      </w:r>
      <w:r>
        <w:rPr>
          <w:rFonts w:ascii="Times New Roman" w:hAnsi="Times New Roman"/>
          <w:color w:val="000000"/>
          <w:sz w:val="24"/>
        </w:rPr>
        <w:t>means October 30, 2024.</w:t>
      </w:r>
    </w:p>
    <w:p>
      <w:pPr>
        <w:pStyle w:val="TextBody"/>
        <w:bidi w:val="0"/>
        <w:spacing w:before="280" w:after="283"/>
        <w:jc w:val="both"/>
        <w:rPr/>
      </w:pPr>
      <w:r>
        <w:rPr>
          <w:color w:val="000000"/>
        </w:rPr>
        <w:t>“</w:t>
      </w:r>
      <w:r>
        <w:rPr>
          <w:rFonts w:ascii="Times New Roman" w:hAnsi="Times New Roman"/>
          <w:i/>
          <w:color w:val="000000"/>
          <w:sz w:val="24"/>
        </w:rPr>
        <w:t>Funding Date”</w:t>
      </w:r>
      <w:r>
        <w:rPr>
          <w:rFonts w:ascii="Times New Roman" w:hAnsi="Times New Roman"/>
          <w:color w:val="000000"/>
          <w:sz w:val="20"/>
        </w:rPr>
        <w:t xml:space="preserve"> </w:t>
      </w:r>
      <w:r>
        <w:rPr>
          <w:rFonts w:ascii="Times New Roman" w:hAnsi="Times New Roman"/>
          <w:color w:val="000000"/>
          <w:sz w:val="24"/>
        </w:rPr>
        <w:t>means the Business Day on which all of the conditions set forth in Section 6.02 have been satisfied or waived by the Administrative Agent and the Tranche A Loan is made.</w:t>
      </w:r>
    </w:p>
    <w:p>
      <w:pPr>
        <w:pStyle w:val="TextBody"/>
        <w:bidi w:val="0"/>
        <w:spacing w:before="280" w:after="283"/>
        <w:jc w:val="both"/>
        <w:rPr/>
      </w:pPr>
      <w:r>
        <w:rPr>
          <w:color w:val="000000"/>
        </w:rPr>
        <w:t>“</w:t>
      </w:r>
      <w:r>
        <w:rPr>
          <w:rFonts w:ascii="Times New Roman" w:hAnsi="Times New Roman"/>
          <w:i/>
          <w:color w:val="000000"/>
          <w:sz w:val="24"/>
        </w:rPr>
        <w:t>Funding Fee</w:t>
      </w:r>
      <w:r>
        <w:rPr>
          <w:rFonts w:ascii="Times New Roman" w:hAnsi="Times New Roman"/>
          <w:color w:val="000000"/>
          <w:sz w:val="20"/>
        </w:rPr>
        <w:t xml:space="preserve">” </w:t>
      </w:r>
      <w:r>
        <w:rPr>
          <w:rFonts w:ascii="Times New Roman" w:hAnsi="Times New Roman"/>
          <w:color w:val="000000"/>
          <w:sz w:val="24"/>
        </w:rPr>
        <w:t>has the meaning set forth in the Fee Letter.</w:t>
      </w:r>
    </w:p>
    <w:p>
      <w:pPr>
        <w:pStyle w:val="TextBody"/>
        <w:bidi w:val="0"/>
        <w:spacing w:before="280" w:after="283"/>
        <w:jc w:val="both"/>
        <w:rPr/>
      </w:pPr>
      <w:r>
        <w:rPr>
          <w:color w:val="000000"/>
        </w:rPr>
        <w:t>“</w:t>
      </w:r>
      <w:r>
        <w:rPr>
          <w:rFonts w:ascii="Times New Roman" w:hAnsi="Times New Roman"/>
          <w:i/>
          <w:color w:val="000000"/>
          <w:sz w:val="24"/>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Subject to Section 1.02, all references to “GAAP” shall be to GAAP applied consistently with the principles used in the preparation of the financial statements described in Section 7.04(a).</w:t>
      </w:r>
    </w:p>
    <w:p>
      <w:pPr>
        <w:pStyle w:val="TextBody"/>
        <w:bidi w:val="0"/>
        <w:spacing w:before="280" w:after="283"/>
        <w:jc w:val="both"/>
        <w:rPr/>
      </w:pPr>
      <w:r>
        <w:rPr>
          <w:color w:val="000000"/>
        </w:rPr>
        <w:t>“</w:t>
      </w:r>
      <w:r>
        <w:rPr>
          <w:rFonts w:ascii="Times New Roman" w:hAnsi="Times New Roman"/>
          <w:i/>
          <w:color w:val="000000"/>
          <w:sz w:val="24"/>
        </w:rPr>
        <w:t>Governmental Approval”</w:t>
      </w:r>
      <w:r>
        <w:rPr>
          <w:rFonts w:ascii="Times New Roman" w:hAnsi="Times New Roman"/>
          <w:color w:val="000000"/>
          <w:sz w:val="20"/>
        </w:rPr>
        <w:t xml:space="preserve"> </w:t>
      </w:r>
      <w:r>
        <w:rPr>
          <w:rFonts w:ascii="Times New Roman" w:hAnsi="Times New Roman"/>
          <w:color w:val="000000"/>
          <w:sz w:val="24"/>
        </w:rPr>
        <w:t>means any consent, authorization, approval, order, license, franchise, permit, certification, accreditation, registration, clearance, exemption, filing or notice</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13</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that is issued or granted by or from (or pursuant to any act of) any Governmental Authority, including any application or submission related to any of the foregoing.</w:t>
      </w:r>
    </w:p>
    <w:p>
      <w:pPr>
        <w:pStyle w:val="TextBody"/>
        <w:bidi w:val="0"/>
        <w:spacing w:before="280" w:after="283"/>
        <w:jc w:val="both"/>
        <w:rPr/>
      </w:pPr>
      <w:r>
        <w:rPr>
          <w:color w:val="000000"/>
        </w:rPr>
        <w:t>“</w:t>
      </w:r>
      <w:r>
        <w:rPr>
          <w:rFonts w:ascii="Times New Roman" w:hAnsi="Times New Roman"/>
          <w:i/>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nation, government, branch of power (whether executive, legislative or judicial), state,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w:t>
        <w:noBreakHyphen/>
        <w:t>, rule</w:t>
        <w:noBreakHyphen/>
        <w:t xml:space="preserve"> or regulation</w:t>
        <w:noBreakHyphen/>
        <w:t>making organizations or entities of any State, territory, county, city or other political subdivision of the United States or any foreign country.</w:t>
      </w:r>
    </w:p>
    <w:p>
      <w:pPr>
        <w:pStyle w:val="TextBody"/>
        <w:bidi w:val="0"/>
        <w:spacing w:before="280" w:after="283"/>
        <w:jc w:val="both"/>
        <w:rPr/>
      </w:pPr>
      <w:r>
        <w:rPr>
          <w:color w:val="000000"/>
        </w:rPr>
        <w:t>“</w:t>
      </w:r>
      <w:r>
        <w:rPr>
          <w:rFonts w:ascii="Times New Roman" w:hAnsi="Times New Roman"/>
          <w:i/>
          <w:color w:val="000000"/>
          <w:sz w:val="24"/>
        </w:rPr>
        <w:t>Guarantee”</w:t>
      </w:r>
      <w:r>
        <w:rPr>
          <w:rFonts w:ascii="Times New Roman" w:hAnsi="Times New Roman"/>
          <w:color w:val="000000"/>
          <w:sz w:val="20"/>
        </w:rPr>
        <w:t xml:space="preserve"> </w:t>
      </w:r>
      <w:r>
        <w:rPr>
          <w:rFonts w:ascii="Times New Roman" w:hAnsi="Times New Roman"/>
          <w:color w:val="000000"/>
          <w:sz w:val="24"/>
        </w:rPr>
        <w:t xml:space="preserve">of or by any Person (the </w:t>
      </w:r>
      <w:r>
        <w:rPr>
          <w:rFonts w:ascii="Times New Roman" w:hAnsi="Times New Roman"/>
          <w:color w:val="000000"/>
          <w:sz w:val="20"/>
        </w:rPr>
        <w:t>“</w:t>
      </w:r>
      <w:r>
        <w:rPr>
          <w:rFonts w:ascii="Times New Roman" w:hAnsi="Times New Roman"/>
          <w:i/>
          <w:color w:val="000000"/>
          <w:sz w:val="24"/>
        </w:rPr>
        <w:t>guarantor”</w:t>
      </w:r>
      <w:r>
        <w:rPr>
          <w:rFonts w:ascii="Times New Roman" w:hAnsi="Times New Roman"/>
          <w:color w:val="000000"/>
          <w:sz w:val="24"/>
        </w:rPr>
        <w:t xml:space="preserve">) means any obligation, contingent or otherwise, of the guarantor guaranteeing or having the economic effect of guaranteeing any Indebtedness or other monetary obligation of any other Person (the </w:t>
      </w:r>
      <w:r>
        <w:rPr>
          <w:rFonts w:ascii="Times New Roman" w:hAnsi="Times New Roman"/>
          <w:color w:val="000000"/>
          <w:sz w:val="20"/>
        </w:rPr>
        <w:t>“</w:t>
      </w:r>
      <w:r>
        <w:rPr>
          <w:rFonts w:ascii="Times New Roman" w:hAnsi="Times New Roman"/>
          <w:i/>
          <w:color w:val="000000"/>
          <w:sz w:val="24"/>
        </w:rPr>
        <w:t>primary obligor”</w:t>
      </w:r>
      <w:r>
        <w:rPr>
          <w:rFonts w:ascii="Times New Roman" w:hAnsi="Times New Roman"/>
          <w:color w:val="000000"/>
          <w:sz w:val="24"/>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term Guarantee shall not include endorsements for collection or deposit in the Ordinary Course of Business.</w:t>
      </w:r>
    </w:p>
    <w:p>
      <w:pPr>
        <w:pStyle w:val="TextBody"/>
        <w:bidi w:val="0"/>
        <w:spacing w:before="280" w:after="283"/>
        <w:jc w:val="both"/>
        <w:rPr/>
      </w:pPr>
      <w:r>
        <w:rPr>
          <w:color w:val="000000"/>
        </w:rPr>
        <w:t>“</w:t>
      </w:r>
      <w:r>
        <w:rPr>
          <w:rFonts w:ascii="Times New Roman" w:hAnsi="Times New Roman"/>
          <w:i/>
          <w:color w:val="000000"/>
          <w:sz w:val="24"/>
        </w:rPr>
        <w:t>Guarantee Assumption Agreement”</w:t>
      </w:r>
      <w:r>
        <w:rPr>
          <w:rFonts w:ascii="Times New Roman" w:hAnsi="Times New Roman"/>
          <w:color w:val="000000"/>
          <w:sz w:val="20"/>
        </w:rPr>
        <w:t xml:space="preserve"> </w:t>
      </w:r>
      <w:r>
        <w:rPr>
          <w:rFonts w:ascii="Times New Roman" w:hAnsi="Times New Roman"/>
          <w:color w:val="000000"/>
          <w:sz w:val="24"/>
        </w:rPr>
        <w:t>means a Guarantee Assumption Agreement substantially in the form of Exhibit A by an entity that, pursuant to Section 8.11(a), is required to become a “Guarantor”.</w:t>
      </w:r>
    </w:p>
    <w:p>
      <w:pPr>
        <w:pStyle w:val="TextBody"/>
        <w:bidi w:val="0"/>
        <w:spacing w:before="280" w:after="283"/>
        <w:jc w:val="both"/>
        <w:rPr/>
      </w:pPr>
      <w:r>
        <w:rPr>
          <w:color w:val="000000"/>
        </w:rPr>
        <w:t>“</w:t>
      </w:r>
      <w:r>
        <w:rPr>
          <w:rFonts w:ascii="Times New Roman" w:hAnsi="Times New Roman"/>
          <w:i/>
          <w:color w:val="000000"/>
          <w:sz w:val="24"/>
        </w:rPr>
        <w:t>Guaranteed Obligations”</w:t>
      </w:r>
      <w:r>
        <w:rPr>
          <w:rFonts w:ascii="Times New Roman" w:hAnsi="Times New Roman"/>
          <w:color w:val="000000"/>
          <w:sz w:val="20"/>
        </w:rPr>
        <w:t xml:space="preserve"> </w:t>
      </w:r>
      <w:r>
        <w:rPr>
          <w:rFonts w:ascii="Times New Roman" w:hAnsi="Times New Roman"/>
          <w:color w:val="000000"/>
          <w:sz w:val="24"/>
        </w:rPr>
        <w:t>has the meaning set forth in Section 11.01.</w:t>
      </w:r>
    </w:p>
    <w:p>
      <w:pPr>
        <w:pStyle w:val="TextBody"/>
        <w:bidi w:val="0"/>
        <w:spacing w:before="280" w:after="283"/>
        <w:jc w:val="both"/>
        <w:rPr/>
      </w:pPr>
      <w:r>
        <w:rPr>
          <w:color w:val="000000"/>
        </w:rPr>
        <w:t>“</w:t>
      </w:r>
      <w:r>
        <w:rPr>
          <w:rFonts w:ascii="Times New Roman" w:hAnsi="Times New Roman"/>
          <w:i/>
          <w:color w:val="000000"/>
          <w:sz w:val="24"/>
        </w:rPr>
        <w:t>Guarantor”</w:t>
      </w:r>
      <w:r>
        <w:rPr>
          <w:rFonts w:ascii="Times New Roman" w:hAnsi="Times New Roman"/>
          <w:color w:val="000000"/>
          <w:sz w:val="20"/>
        </w:rPr>
        <w:t xml:space="preserve"> </w:t>
      </w:r>
      <w:r>
        <w:rPr>
          <w:rFonts w:ascii="Times New Roman" w:hAnsi="Times New Roman"/>
          <w:color w:val="000000"/>
          <w:sz w:val="24"/>
        </w:rPr>
        <w:t>means, each Subsidiary of the Borrower joined as a Guarantor from time to time pursuant to Section 8.11(a). For the avoidance of doubt, there are no Guarantors as of the Closing Date and the Funding Date.</w:t>
      </w:r>
    </w:p>
    <w:p>
      <w:pPr>
        <w:pStyle w:val="TextBody"/>
        <w:bidi w:val="0"/>
        <w:spacing w:before="280" w:after="283"/>
        <w:jc w:val="both"/>
        <w:rPr/>
      </w:pPr>
      <w:r>
        <w:rPr>
          <w:color w:val="000000"/>
        </w:rPr>
        <w:t>“</w:t>
      </w:r>
      <w:r>
        <w:rPr>
          <w:rFonts w:ascii="Times New Roman" w:hAnsi="Times New Roman"/>
          <w:i/>
          <w:color w:val="000000"/>
          <w:sz w:val="24"/>
        </w:rPr>
        <w:t>Hazardous Material”</w:t>
      </w:r>
      <w:r>
        <w:rPr>
          <w:rFonts w:ascii="Times New Roman" w:hAnsi="Times New Roman"/>
          <w:color w:val="000000"/>
          <w:sz w:val="20"/>
        </w:rPr>
        <w:t xml:space="preserve"> </w:t>
      </w:r>
      <w:r>
        <w:rPr>
          <w:rFonts w:ascii="Times New Roman" w:hAnsi="Times New Roman"/>
          <w:color w:val="000000"/>
          <w:sz w:val="24"/>
        </w:rPr>
        <w:t>means any substance, element, chemical, compound, product, solid, gas, liquid, waste, by</w:t>
        <w:noBreakHyphen/>
        <w:t>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pStyle w:val="TextBody"/>
        <w:bidi w:val="0"/>
        <w:spacing w:before="280" w:after="283"/>
        <w:jc w:val="both"/>
        <w:rPr/>
      </w:pPr>
      <w:r>
        <w:rPr>
          <w:color w:val="000000"/>
        </w:rPr>
        <w:t>“</w:t>
      </w:r>
      <w:r>
        <w:rPr>
          <w:rFonts w:ascii="Times New Roman" w:hAnsi="Times New Roman"/>
          <w:i/>
          <w:color w:val="000000"/>
          <w:sz w:val="24"/>
        </w:rPr>
        <w:t>Health Care Compliance Program”</w:t>
      </w:r>
      <w:r>
        <w:rPr>
          <w:rFonts w:ascii="Times New Roman" w:hAnsi="Times New Roman"/>
          <w:color w:val="000000"/>
          <w:sz w:val="20"/>
        </w:rPr>
        <w:t xml:space="preserve"> </w:t>
      </w:r>
      <w:r>
        <w:rPr>
          <w:rFonts w:ascii="Times New Roman" w:hAnsi="Times New Roman"/>
          <w:color w:val="000000"/>
          <w:sz w:val="24"/>
        </w:rPr>
        <w:t>has the meaning set forth in Section 7.07(b)(v).</w:t>
      </w:r>
    </w:p>
    <w:p>
      <w:pPr>
        <w:pStyle w:val="TextBody"/>
        <w:bidi w:val="0"/>
        <w:jc w:val="center"/>
        <w:rPr/>
      </w:pPr>
      <w:r>
        <w:rPr>
          <w:color w:val="000000"/>
        </w:rPr>
        <w:noBreakHyphen/>
      </w:r>
      <w:r>
        <w:rPr>
          <w:rFonts w:ascii="Times New Roman" w:hAnsi="Times New Roman"/>
          <w:color w:val="000000"/>
          <w:sz w:val="24"/>
        </w:rPr>
        <w:t>14</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Healthcare Laws”</w:t>
      </w:r>
      <w:r>
        <w:rPr>
          <w:rFonts w:ascii="Times New Roman" w:hAnsi="Times New Roman"/>
          <w:color w:val="000000"/>
          <w:sz w:val="20"/>
        </w:rPr>
        <w:t xml:space="preserve"> </w:t>
      </w:r>
      <w:r>
        <w:rPr>
          <w:rFonts w:ascii="Times New Roman" w:hAnsi="Times New Roman"/>
          <w:color w:val="000000"/>
          <w:sz w:val="24"/>
        </w:rPr>
        <w:t>means, collectively, all Laws applicable to the business of any Obligor regulating the manufacturing, sale, distribution, labeling, marketing, or promotion, the export, or the provision of and payment for, health care products (including diagnostic products) or healthcare items and services, including (a) all applicable laws relating to the privacy or security of consumer information, including but not limited to the Health Insurance Portability and Accountability Act of 1996 (Pub. L. No. 104</w:t>
        <w:noBreakHyphen/>
        <w:t>191) (</w:t>
      </w:r>
      <w:r>
        <w:rPr>
          <w:rFonts w:ascii="Times New Roman" w:hAnsi="Times New Roman"/>
          <w:color w:val="000000"/>
          <w:sz w:val="20"/>
        </w:rPr>
        <w:t>“</w:t>
      </w:r>
      <w:r>
        <w:rPr>
          <w:rFonts w:ascii="Times New Roman" w:hAnsi="Times New Roman"/>
          <w:i/>
          <w:color w:val="000000"/>
          <w:sz w:val="24"/>
        </w:rPr>
        <w:t>HIPAA”</w:t>
      </w:r>
      <w:r>
        <w:rPr>
          <w:rFonts w:ascii="Times New Roman" w:hAnsi="Times New Roman"/>
          <w:color w:val="000000"/>
          <w:sz w:val="24"/>
        </w:rPr>
        <w:t>) and any similar state laws; (b) all applicable federal and state healthcare fraud and abuse laws, including but not limited to the federal Anti</w:t>
        <w:noBreakHyphen/>
        <w:t>Kickback Statute (42 U.S.C. §1320a</w:t>
        <w:noBreakHyphen/>
        <w:t>7b(b)) and any similar state laws, the Eliminating Kickbacks in Recovery Act (18 U.S.C. § 220), the federal Physician Self</w:t>
        <w:noBreakHyphen/>
        <w:t xml:space="preserve">Referral Prohibition (commonly referred to as the </w:t>
      </w:r>
      <w:r>
        <w:rPr>
          <w:rFonts w:ascii="Times New Roman" w:hAnsi="Times New Roman"/>
          <w:color w:val="000000"/>
          <w:sz w:val="20"/>
        </w:rPr>
        <w:t>“</w:t>
      </w:r>
      <w:r>
        <w:rPr>
          <w:rFonts w:ascii="Times New Roman" w:hAnsi="Times New Roman"/>
          <w:i/>
          <w:color w:val="000000"/>
          <w:sz w:val="24"/>
        </w:rPr>
        <w:t>Stark Law”</w:t>
      </w:r>
      <w:r>
        <w:rPr>
          <w:rFonts w:ascii="Times New Roman" w:hAnsi="Times New Roman"/>
          <w:color w:val="000000"/>
          <w:sz w:val="24"/>
        </w:rPr>
        <w:t>) (42 U.S.C. § 1395nn) and any similar state laws, the Civil Monetary Penalties Act (42 U.S.C. §1320a</w:t>
        <w:noBreakHyphen/>
        <w:t xml:space="preserve">7a), and the civil False Claims Act (31 U.S.C. §3729 </w:t>
      </w:r>
      <w:r>
        <w:rPr>
          <w:rFonts w:ascii="Times New Roman" w:hAnsi="Times New Roman"/>
          <w:i/>
          <w:color w:val="000000"/>
          <w:sz w:val="24"/>
        </w:rPr>
        <w:t>et seq.</w:t>
      </w:r>
      <w:r>
        <w:rPr>
          <w:rFonts w:ascii="Times New Roman" w:hAnsi="Times New Roman"/>
          <w:color w:val="000000"/>
          <w:sz w:val="20"/>
        </w:rPr>
        <w:t xml:space="preserve"> </w:t>
      </w:r>
      <w:r>
        <w:rPr>
          <w:rFonts w:ascii="Times New Roman" w:hAnsi="Times New Roman"/>
          <w:color w:val="000000"/>
          <w:sz w:val="24"/>
        </w:rPr>
        <w:t>and any similar state laws); (c) all applicable FDA Laws; (d) CLIA and other applicable laws relating to clinical laboratory operations; (e) all applicable laws regarding the provision of health care supplies, items or services to Federal Health Care Program beneficiaries or the billing of the Federal Health Care Programs; and (f) all rules and regulations promulgated under or pursuant to any of the foregoing.</w:t>
      </w:r>
    </w:p>
    <w:p>
      <w:pPr>
        <w:pStyle w:val="TextBody"/>
        <w:bidi w:val="0"/>
        <w:spacing w:before="280" w:after="283"/>
        <w:jc w:val="both"/>
        <w:rPr/>
      </w:pPr>
      <w:r>
        <w:rPr>
          <w:color w:val="000000"/>
        </w:rPr>
        <w:t>“</w:t>
      </w:r>
      <w:r>
        <w:rPr>
          <w:rFonts w:ascii="Times New Roman" w:hAnsi="Times New Roman"/>
          <w:i/>
          <w:color w:val="000000"/>
          <w:sz w:val="24"/>
        </w:rPr>
        <w:t>Hedging Agreement”</w:t>
      </w:r>
      <w:r>
        <w:rPr>
          <w:rFonts w:ascii="Times New Roman" w:hAnsi="Times New Roman"/>
          <w:color w:val="000000"/>
          <w:sz w:val="20"/>
        </w:rPr>
        <w:t xml:space="preserve"> </w:t>
      </w:r>
      <w:r>
        <w:rPr>
          <w:rFonts w:ascii="Times New Roman" w:hAnsi="Times New Roman"/>
          <w:color w:val="000000"/>
          <w:sz w:val="24"/>
        </w:rPr>
        <w:t>means any interest rate exchange agreement, foreign currency exchange agreement, commodity price protection agreement or other interest or currency exchange rate or commodity price hedging arrangement.</w:t>
      </w:r>
    </w:p>
    <w:p>
      <w:pPr>
        <w:pStyle w:val="TextBody"/>
        <w:bidi w:val="0"/>
        <w:spacing w:before="280" w:after="283"/>
        <w:jc w:val="both"/>
        <w:rPr/>
      </w:pPr>
      <w:r>
        <w:rPr>
          <w:color w:val="000000"/>
        </w:rPr>
        <w:t>“</w:t>
      </w:r>
      <w:r>
        <w:rPr>
          <w:rFonts w:ascii="Times New Roman" w:hAnsi="Times New Roman"/>
          <w:i/>
          <w:color w:val="000000"/>
          <w:sz w:val="24"/>
        </w:rPr>
        <w:t>HIPAA”</w:t>
      </w:r>
      <w:r>
        <w:rPr>
          <w:rFonts w:ascii="Times New Roman" w:hAnsi="Times New Roman"/>
          <w:color w:val="000000"/>
          <w:sz w:val="20"/>
        </w:rPr>
        <w:t xml:space="preserve"> </w:t>
      </w:r>
      <w:r>
        <w:rPr>
          <w:rFonts w:ascii="Times New Roman" w:hAnsi="Times New Roman"/>
          <w:color w:val="000000"/>
          <w:sz w:val="24"/>
        </w:rPr>
        <w:t>has the meaning set forth in the definition of “Healthcare Laws”.</w:t>
      </w:r>
    </w:p>
    <w:p>
      <w:pPr>
        <w:pStyle w:val="TextBody"/>
        <w:bidi w:val="0"/>
        <w:spacing w:before="280" w:after="283"/>
        <w:jc w:val="both"/>
        <w:rPr/>
      </w:pPr>
      <w:r>
        <w:rPr>
          <w:color w:val="000000"/>
        </w:rPr>
        <w:t>“</w:t>
      </w:r>
      <w:r>
        <w:rPr>
          <w:rFonts w:ascii="Times New Roman" w:hAnsi="Times New Roman"/>
          <w:i/>
          <w:color w:val="000000"/>
          <w:sz w:val="24"/>
        </w:rPr>
        <w:t xml:space="preserve">Indebtedness” </w:t>
      </w:r>
      <w:r>
        <w:rPr>
          <w:rFonts w:ascii="Times New Roman" w:hAnsi="Times New Roman"/>
          <w:color w:val="000000"/>
          <w:sz w:val="24"/>
        </w:rPr>
        <w:t>of any Person means, without duplication, (a) all obligations of such Person for borrowed money, (b) all 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not overdue by more than one hundred twenty (120) days),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obligations under any Hedging Agreement, currency swaps, forwards, futures or derivatives transactions, (k) all obligations, contingent or otherwise, of such Person in respect of bankers’ acceptances, (l) any Disqualified Equity Interests of such Person, (m) any earnout obligation at the time such obligation is both required to be reflected as a liability on the balance sheet of such Person in accordance with GAAP and not paid after becoming due and payable and (n) all other obligations required to be classified as indebtedness of such Person under GAAP. The Indebtedness of any Person shall, without duplication,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jc w:val="center"/>
        <w:rPr/>
      </w:pPr>
      <w:r>
        <w:rPr>
          <w:color w:val="000000"/>
        </w:rPr>
        <w:noBreakHyphen/>
      </w:r>
      <w:r>
        <w:rPr>
          <w:rFonts w:ascii="Times New Roman" w:hAnsi="Times New Roman"/>
          <w:color w:val="000000"/>
          <w:sz w:val="24"/>
        </w:rPr>
        <w:t>15</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Indemnified Party”</w:t>
      </w:r>
      <w:r>
        <w:rPr>
          <w:rFonts w:ascii="Times New Roman" w:hAnsi="Times New Roman"/>
          <w:color w:val="000000"/>
          <w:sz w:val="20"/>
        </w:rPr>
        <w:t xml:space="preserve"> </w:t>
      </w:r>
      <w:r>
        <w:rPr>
          <w:rFonts w:ascii="Times New Roman" w:hAnsi="Times New Roman"/>
          <w:color w:val="000000"/>
          <w:sz w:val="24"/>
        </w:rPr>
        <w:t>has the meaning set forth in Section 13.03(b).</w:t>
      </w:r>
    </w:p>
    <w:p>
      <w:pPr>
        <w:pStyle w:val="TextBody"/>
        <w:bidi w:val="0"/>
        <w:spacing w:before="280" w:after="283"/>
        <w:jc w:val="both"/>
        <w:rPr/>
      </w:pPr>
      <w:r>
        <w:rPr>
          <w:color w:val="000000"/>
        </w:rPr>
        <w:t>“</w:t>
      </w:r>
      <w:r>
        <w:rPr>
          <w:rFonts w:ascii="Times New Roman" w:hAnsi="Times New Roman"/>
          <w:i/>
          <w:color w:val="000000"/>
          <w:sz w:val="24"/>
        </w:rPr>
        <w:t>Indemnified Taxes”</w:t>
      </w:r>
      <w:r>
        <w:rPr>
          <w:rFonts w:ascii="Times New Roman" w:hAnsi="Times New Roman"/>
          <w:color w:val="000000"/>
          <w:sz w:val="20"/>
        </w:rPr>
        <w:t xml:space="preserve"> </w:t>
      </w:r>
      <w:r>
        <w:rPr>
          <w:rFonts w:ascii="Times New Roman" w:hAnsi="Times New Roman"/>
          <w:color w:val="000000"/>
          <w:sz w:val="24"/>
        </w:rPr>
        <w:t>means (a) Taxes, other than Excluded Taxes, imposed on or with respect to any payment made by or on account of any Obligation and (b) to the extent not otherwise described in clause (a), Other Taxes.</w:t>
      </w:r>
    </w:p>
    <w:p>
      <w:pPr>
        <w:pStyle w:val="TextBody"/>
        <w:bidi w:val="0"/>
        <w:spacing w:before="280" w:after="283"/>
        <w:jc w:val="both"/>
        <w:rPr/>
      </w:pPr>
      <w:r>
        <w:rPr>
          <w:color w:val="000000"/>
        </w:rPr>
        <w:t>“</w:t>
      </w:r>
      <w:r>
        <w:rPr>
          <w:rFonts w:ascii="Times New Roman" w:hAnsi="Times New Roman"/>
          <w:i/>
          <w:color w:val="000000"/>
          <w:sz w:val="24"/>
        </w:rPr>
        <w:t>Indi Purchase Agreement</w:t>
      </w:r>
      <w:r>
        <w:rPr>
          <w:rFonts w:ascii="Times New Roman" w:hAnsi="Times New Roman"/>
          <w:color w:val="000000"/>
          <w:sz w:val="20"/>
        </w:rPr>
        <w:t xml:space="preserve">” </w:t>
      </w:r>
      <w:r>
        <w:rPr>
          <w:rFonts w:ascii="Times New Roman" w:hAnsi="Times New Roman"/>
          <w:color w:val="000000"/>
          <w:sz w:val="24"/>
        </w:rPr>
        <w:t>means that certain Asset Purchase Agreement and Plan of Reorganization, dated as of June 30, 2018, by and among the Borrower, Integrated Diagnostics, Inc. and IND Funding LLC, as amended by that certain Amendment No. 1 to Asset Purchase Agreement and Plan of Reorganization dated as of July 29, 2021, that certain Amendment No. 2 to Asset Purchase Agreement and Plan of Reorganization dated as of August 9, 2021, that certain Amendment No. 3 to Asset Purchase Agreement and Plan of Reorganization dated as of April 7, 2022 and as may be further amended, amended and restated or otherwise modified to the extent permitted by Section 9.12.</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Industrial Designs”</w:t>
      </w:r>
      <w:r>
        <w:rPr>
          <w:rFonts w:ascii="Times New Roman" w:hAnsi="Times New Roman"/>
          <w:color w:val="000000"/>
          <w:sz w:val="20"/>
        </w:rPr>
        <w:t xml:space="preserve"> </w:t>
      </w:r>
      <w:r>
        <w:rPr>
          <w:rFonts w:ascii="Times New Roman" w:hAnsi="Times New Roman"/>
          <w:color w:val="000000"/>
          <w:sz w:val="24"/>
        </w:rPr>
        <w:t>means all right, title and interests arising under any Laws in or relating to all industrial designs, intangibles of like nature, and any work subject to the design laws of any country or any political subdivision thereof.</w:t>
      </w:r>
    </w:p>
    <w:p>
      <w:pPr>
        <w:pStyle w:val="TextBody"/>
        <w:bidi w:val="0"/>
        <w:spacing w:before="280" w:after="283"/>
        <w:jc w:val="both"/>
        <w:rPr/>
      </w:pPr>
      <w:r>
        <w:rPr>
          <w:color w:val="000000"/>
        </w:rPr>
        <w:t>“</w:t>
      </w:r>
      <w:r>
        <w:rPr>
          <w:rFonts w:ascii="Times New Roman" w:hAnsi="Times New Roman"/>
          <w:i/>
          <w:color w:val="000000"/>
          <w:sz w:val="24"/>
        </w:rPr>
        <w:t xml:space="preserve">Ineligible Assignee” </w:t>
      </w:r>
      <w:r>
        <w:rPr>
          <w:rFonts w:ascii="Times New Roman" w:hAnsi="Times New Roman"/>
          <w:color w:val="000000"/>
          <w:sz w:val="24"/>
        </w:rPr>
        <w:t>means (a) a natural person, (b) the Obligors or any of their respective Affiliates and (c) so long as no Event of Default shall have occurred and is continuing, to any Person who is a Disqualified Lender.</w:t>
      </w:r>
    </w:p>
    <w:p>
      <w:pPr>
        <w:pStyle w:val="TextBody"/>
        <w:bidi w:val="0"/>
        <w:spacing w:before="280" w:after="283"/>
        <w:jc w:val="both"/>
        <w:rPr/>
      </w:pPr>
      <w:r>
        <w:rPr>
          <w:color w:val="000000"/>
        </w:rPr>
        <w:t>“</w:t>
      </w:r>
      <w:r>
        <w:rPr>
          <w:rFonts w:ascii="Times New Roman" w:hAnsi="Times New Roman"/>
          <w:i/>
          <w:color w:val="000000"/>
          <w:sz w:val="24"/>
        </w:rPr>
        <w:t>Information”</w:t>
      </w:r>
      <w:r>
        <w:rPr>
          <w:rFonts w:ascii="Times New Roman" w:hAnsi="Times New Roman"/>
          <w:color w:val="000000"/>
          <w:sz w:val="20"/>
        </w:rPr>
        <w:t xml:space="preserve"> </w:t>
      </w:r>
      <w:r>
        <w:rPr>
          <w:rFonts w:ascii="Times New Roman" w:hAnsi="Times New Roman"/>
          <w:color w:val="000000"/>
          <w:sz w:val="24"/>
        </w:rPr>
        <w:t>has the meaning set forth in Section 13.17.</w:t>
      </w:r>
    </w:p>
    <w:p>
      <w:pPr>
        <w:pStyle w:val="TextBody"/>
        <w:bidi w:val="0"/>
        <w:spacing w:before="280" w:after="283"/>
        <w:jc w:val="both"/>
        <w:rPr/>
      </w:pPr>
      <w:r>
        <w:rPr>
          <w:color w:val="000000"/>
        </w:rPr>
        <w:t>“</w:t>
      </w:r>
      <w:r>
        <w:rPr>
          <w:rFonts w:ascii="Times New Roman" w:hAnsi="Times New Roman"/>
          <w:i/>
          <w:color w:val="000000"/>
          <w:sz w:val="24"/>
        </w:rPr>
        <w:t>Insolvency Proceeding”</w:t>
      </w:r>
      <w:r>
        <w:rPr>
          <w:rFonts w:ascii="Times New Roman" w:hAnsi="Times New Roman"/>
          <w:color w:val="000000"/>
          <w:sz w:val="20"/>
        </w:rPr>
        <w:t xml:space="preserve"> </w:t>
      </w:r>
      <w:r>
        <w:rPr>
          <w:rFonts w:ascii="Times New Roman" w:hAnsi="Times New Roman"/>
          <w:color w:val="000000"/>
          <w:sz w:val="24"/>
        </w:rPr>
        <w:t>means (a) any case, action or proceeding before any court or other Governmental Authority relating to bankruptcy, reorganization, insolvency, liquidation, receivership, dissolution, winding</w:t>
        <w:noBreakHyphen/>
        <w:t>up or relief of debtors, or (b)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pStyle w:val="TextBody"/>
        <w:bidi w:val="0"/>
        <w:spacing w:before="280" w:after="283"/>
        <w:jc w:val="both"/>
        <w:rPr/>
      </w:pPr>
      <w:r>
        <w:rPr>
          <w:color w:val="000000"/>
        </w:rPr>
        <w:t>“</w:t>
      </w:r>
      <w:r>
        <w:rPr>
          <w:rFonts w:ascii="Times New Roman" w:hAnsi="Times New Roman"/>
          <w:i/>
          <w:color w:val="000000"/>
          <w:sz w:val="24"/>
        </w:rPr>
        <w:t>Intellectual Property”</w:t>
      </w:r>
      <w:r>
        <w:rPr>
          <w:rFonts w:ascii="Times New Roman" w:hAnsi="Times New Roman"/>
          <w:color w:val="000000"/>
          <w:sz w:val="20"/>
        </w:rPr>
        <w:t xml:space="preserve"> </w:t>
      </w:r>
      <w:r>
        <w:rPr>
          <w:rFonts w:ascii="Times New Roman" w:hAnsi="Times New Roman"/>
          <w:color w:val="000000"/>
          <w:sz w:val="24"/>
        </w:rPr>
        <w:t>means, with respect to any Person, all of such Person’s rights, title and interest in and to all Patents, Trademarks, Copyrights, industrial designs, Technical Information, whether registered or not and whether existing under U.S. or non-U.S. Law or jurisdiction, including, without limitation, all: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applications, registrations, amendments and extensions relating to such Intellectual Property;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rights and privileges arising under any applicable Laws with respect to any Intellectual Property;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rights to sue for or collect any damages for any past, present or future infringements of any Intellectual Property; and</w:t>
      </w:r>
    </w:p>
    <w:p>
      <w:pPr>
        <w:pStyle w:val="TextBody"/>
        <w:bidi w:val="0"/>
        <w:jc w:val="center"/>
        <w:rPr/>
      </w:pPr>
      <w:r>
        <w:rPr>
          <w:color w:val="000000"/>
        </w:rPr>
        <w:noBreakHyphen/>
      </w:r>
      <w:r>
        <w:rPr>
          <w:rFonts w:ascii="Times New Roman" w:hAnsi="Times New Roman"/>
          <w:color w:val="000000"/>
          <w:sz w:val="24"/>
        </w:rPr>
        <w:t>16</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pPr>
      <w:r>
        <w:rPr>
          <w:rFonts w:ascii="Times New Roman" w:hAnsi="Times New Roman"/>
          <w:color w:val="000000"/>
          <w:sz w:val="24"/>
        </w:rPr>
        <w:t>rights of the same or similar effect or nature as described above in any jurisdiction corresponding to any Intellectual Property throughout the world.</w:t>
      </w:r>
      <w:r>
        <w:rPr>
          <w:color w:val="000000"/>
        </w:rPr>
        <w:t xml:space="preserve"> </w:t>
      </w:r>
    </w:p>
    <w:p>
      <w:pPr>
        <w:pStyle w:val="TextBody"/>
        <w:bidi w:val="0"/>
        <w:spacing w:before="280" w:after="283"/>
        <w:jc w:val="both"/>
        <w:rPr/>
      </w:pPr>
      <w:r>
        <w:rPr>
          <w:color w:val="000000"/>
        </w:rPr>
        <w:t>“</w:t>
      </w:r>
      <w:r>
        <w:rPr>
          <w:rFonts w:ascii="Times New Roman" w:hAnsi="Times New Roman"/>
          <w:i/>
          <w:color w:val="000000"/>
          <w:sz w:val="24"/>
        </w:rPr>
        <w:t>Interest Period”</w:t>
      </w:r>
      <w:r>
        <w:rPr>
          <w:rFonts w:ascii="Times New Roman" w:hAnsi="Times New Roman"/>
          <w:color w:val="000000"/>
          <w:sz w:val="20"/>
        </w:rPr>
        <w:t xml:space="preserve"> </w:t>
      </w:r>
      <w:r>
        <w:rPr>
          <w:rFonts w:ascii="Times New Roman" w:hAnsi="Times New Roman"/>
          <w:color w:val="000000"/>
          <w:sz w:val="24"/>
        </w:rPr>
        <w:t>means, (a) as to the Tranche A Loan, (i) initially, the period beginning on (and including) the Funding Date and ending on (and including) the last day of the calendar month in which the Funding Date occurs, and (ii) thereafter, the period beginning on (and including) the first day of each succeeding calendar month and ending on the earlier of (and including) (x) the last day of such calendar month and (y) the Maturity Date, (b) as to the Tranche B Loan, (i) the period commencing on (and including) the Tranche B Loan Borrowing Date and ending on (and including) the last day of the calendar month in which the Tranche B Loan Borrowing Date occurs, and (ii) thereafter, the period beginning on (and including) the first day of each succeeding calendar month and ending on the earlier of (and including) (x) the last day of such calendar month and (y) the Maturity Date and (c) as to the Tranche C Loan, (i) the period commencing on (and including) the Tranche C Loan Borrowing Date and ending on (and including) the last day of the calendar month in which the Tranche C Loan Borrowing Date occurs, and (ii) thereafter, the period beginning on (and including) the first day of each succeeding calendar month and ending on the earlier of (and including) (x) the last day of such calendar month and (y) the Maturity Date.</w:t>
      </w:r>
    </w:p>
    <w:p>
      <w:pPr>
        <w:pStyle w:val="TextBody"/>
        <w:bidi w:val="0"/>
        <w:spacing w:before="280" w:after="283"/>
        <w:jc w:val="both"/>
        <w:rPr/>
      </w:pPr>
      <w:r>
        <w:rPr>
          <w:color w:val="000000"/>
        </w:rPr>
        <w:t>“</w:t>
      </w:r>
      <w:r>
        <w:rPr>
          <w:rFonts w:ascii="Times New Roman" w:hAnsi="Times New Roman"/>
          <w:i/>
          <w:color w:val="000000"/>
          <w:sz w:val="24"/>
        </w:rPr>
        <w:t>Invention”</w:t>
      </w:r>
      <w:r>
        <w:rPr>
          <w:rFonts w:ascii="Times New Roman" w:hAnsi="Times New Roman"/>
          <w:color w:val="000000"/>
          <w:sz w:val="20"/>
        </w:rPr>
        <w:t xml:space="preserve"> </w:t>
      </w:r>
      <w:r>
        <w:rPr>
          <w:rFonts w:ascii="Times New Roman" w:hAnsi="Times New Roman"/>
          <w:color w:val="000000"/>
          <w:sz w:val="24"/>
        </w:rPr>
        <w:t>means any novel, inventive or useful art, apparatus, method, process, machine (including any article or Device), manufacture or composition of matter, or any novel, inventive and useful improvement in any art, method, process, machine (including any article or Device), manufacture or composition of matter.</w:t>
      </w:r>
    </w:p>
    <w:p>
      <w:pPr>
        <w:pStyle w:val="TextBody"/>
        <w:bidi w:val="0"/>
        <w:spacing w:before="280" w:after="283"/>
        <w:jc w:val="both"/>
        <w:rPr/>
      </w:pPr>
      <w:r>
        <w:rPr>
          <w:color w:val="000000"/>
        </w:rPr>
        <w:t>“</w:t>
      </w:r>
      <w:r>
        <w:rPr>
          <w:rFonts w:ascii="Times New Roman" w:hAnsi="Times New Roman"/>
          <w:i/>
          <w:color w:val="000000"/>
          <w:sz w:val="24"/>
        </w:rPr>
        <w:t>Investment”</w:t>
      </w:r>
      <w:r>
        <w:rPr>
          <w:rFonts w:ascii="Times New Roman" w:hAnsi="Times New Roman"/>
          <w:color w:val="000000"/>
          <w:sz w:val="20"/>
        </w:rPr>
        <w:t xml:space="preserve"> </w:t>
      </w:r>
      <w:r>
        <w:rPr>
          <w:rFonts w:ascii="Times New Roman" w:hAnsi="Times New Roman"/>
          <w:color w:val="000000"/>
          <w:sz w:val="24"/>
        </w:rPr>
        <w:t>means, for any Person: (a) the acquisition (whether for cash, Property, services or securities or otherwise) of Equity Interests, bonds, notes, debentures, partnership or other ownership interests or other securities of any other Person (including any “short sale” or any sale of any securities at a time when such securities are not owned by the Person entering into such sale); (b) the making of any deposit with, or advance, loan, assumption of debt or other extension of credit to, any other Person (including the purchase of Property from another Person subject to an understanding or agreement, contingent or otherwise, to resell such Property to such Person), but excluding any such advance, loan or extension of credit in the nature of an ordinary course trade receivable having a term not exceeding one hundred and twenty (120) days arising in connection with the sale of services, inventory or supplies by such Person in the Ordinary Course of Business; (c) the entering into of any Guarantee of, or other contingent obligation with respect to, Indebtedness of any other Person and (without duplication) any amount committed to be advanced, lent or extended to such Person; (d) entering into any joint venture; or (e) the entering into of any Hedging Agreement. The amount of an Investment will be determined at the time the Investment is made without giving effect to any subsequent changes in value.</w:t>
      </w:r>
    </w:p>
    <w:p>
      <w:pPr>
        <w:pStyle w:val="TextBody"/>
        <w:bidi w:val="0"/>
        <w:spacing w:before="280" w:after="283"/>
        <w:jc w:val="both"/>
        <w:rPr/>
      </w:pPr>
      <w:r>
        <w:rPr>
          <w:color w:val="000000"/>
        </w:rPr>
        <w:t>“</w:t>
      </w:r>
      <w:r>
        <w:rPr>
          <w:rFonts w:ascii="Times New Roman" w:hAnsi="Times New Roman"/>
          <w:i/>
          <w:color w:val="000000"/>
          <w:sz w:val="24"/>
        </w:rPr>
        <w:t>IRS”</w:t>
      </w:r>
      <w:r>
        <w:rPr>
          <w:rFonts w:ascii="Times New Roman" w:hAnsi="Times New Roman"/>
          <w:color w:val="000000"/>
          <w:sz w:val="20"/>
        </w:rPr>
        <w:t xml:space="preserve"> </w:t>
      </w:r>
      <w:r>
        <w:rPr>
          <w:rFonts w:ascii="Times New Roman" w:hAnsi="Times New Roman"/>
          <w:color w:val="000000"/>
          <w:sz w:val="24"/>
        </w:rPr>
        <w:t>means the U.S. Internal Revenue Service or any successor agency, and to the extent relevant, the U.S. Department of the Treasury.</w:t>
      </w:r>
    </w:p>
    <w:p>
      <w:pPr>
        <w:pStyle w:val="TextBody"/>
        <w:bidi w:val="0"/>
        <w:spacing w:before="280" w:after="283"/>
        <w:jc w:val="both"/>
        <w:rPr/>
      </w:pPr>
      <w:r>
        <w:rPr>
          <w:color w:val="000000"/>
        </w:rPr>
        <w:t>“</w:t>
      </w:r>
      <w:r>
        <w:rPr>
          <w:rFonts w:ascii="Times New Roman" w:hAnsi="Times New Roman"/>
          <w:i/>
          <w:color w:val="000000"/>
          <w:sz w:val="24"/>
        </w:rPr>
        <w:t>Laws”</w:t>
      </w:r>
      <w:r>
        <w:rPr>
          <w:rFonts w:ascii="Times New Roman" w:hAnsi="Times New Roman"/>
          <w:color w:val="000000"/>
          <w:sz w:val="20"/>
        </w:rPr>
        <w:t xml:space="preserve"> </w:t>
      </w:r>
      <w:r>
        <w:rPr>
          <w:rFonts w:ascii="Times New Roman" w:hAnsi="Times New Roman"/>
          <w:color w:val="000000"/>
          <w:sz w:val="24"/>
        </w:rPr>
        <w:t>means, collectively, all international, foreign, federal, state, provincial, territorial, municipal and local statutes, treaties, rules, regulations, ordinances, codes and administrative or judicial precedents or authorities, including the interpretation or administration thereof by any</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17</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280" w:after="283"/>
        <w:jc w:val="both"/>
        <w:rPr/>
      </w:pPr>
      <w:r>
        <w:rPr>
          <w:color w:val="000000"/>
        </w:rPr>
        <w:t>“</w:t>
      </w:r>
      <w:r>
        <w:rPr>
          <w:rFonts w:ascii="Times New Roman" w:hAnsi="Times New Roman"/>
          <w:i/>
          <w:color w:val="000000"/>
          <w:sz w:val="24"/>
        </w:rPr>
        <w:t>Lenders”</w:t>
      </w:r>
      <w:r>
        <w:rPr>
          <w:rFonts w:ascii="Times New Roman" w:hAnsi="Times New Roman"/>
          <w:color w:val="000000"/>
          <w:sz w:val="20"/>
        </w:rPr>
        <w:t xml:space="preserve"> </w:t>
      </w:r>
      <w:r>
        <w:rPr>
          <w:rFonts w:ascii="Times New Roman" w:hAnsi="Times New Roman"/>
          <w:color w:val="000000"/>
          <w:sz w:val="24"/>
        </w:rPr>
        <w:t>has the meaning set forth in the introduction hereto.</w:t>
      </w:r>
    </w:p>
    <w:p>
      <w:pPr>
        <w:pStyle w:val="TextBody"/>
        <w:bidi w:val="0"/>
        <w:spacing w:before="280" w:after="283"/>
        <w:jc w:val="both"/>
        <w:rPr/>
      </w:pPr>
      <w:r>
        <w:rPr>
          <w:color w:val="000000"/>
        </w:rPr>
        <w:t>“</w:t>
      </w:r>
      <w:r>
        <w:rPr>
          <w:rFonts w:ascii="Times New Roman" w:hAnsi="Times New Roman"/>
          <w:i/>
          <w:color w:val="000000"/>
          <w:sz w:val="24"/>
        </w:rPr>
        <w:t>Lien”</w:t>
      </w:r>
      <w:r>
        <w:rPr>
          <w:rFonts w:ascii="Times New Roman" w:hAnsi="Times New Roman"/>
          <w:color w:val="000000"/>
          <w:sz w:val="20"/>
        </w:rPr>
        <w:t xml:space="preserve"> </w:t>
      </w:r>
      <w:r>
        <w:rPr>
          <w:rFonts w:ascii="Times New Roman" w:hAnsi="Times New Roman"/>
          <w:color w:val="000000"/>
          <w:sz w:val="24"/>
        </w:rPr>
        <w:t>means any mortgage, lien, pledge, charge or other security interest, or any lease, title retention agreement, mortgage, restriction, easement, right</w:t>
        <w:noBreakHyphen/>
        <w:t>of</w:t>
        <w:noBreakHyphen/>
        <w:t>way, option or adverse Claim (of ownership or possession) or other encumbrance of any kind or character whatsoever or any preferential arrangement that has the practical effect of creating a security interest.</w:t>
      </w:r>
    </w:p>
    <w:p>
      <w:pPr>
        <w:pStyle w:val="TextBody"/>
        <w:bidi w:val="0"/>
        <w:spacing w:before="280" w:after="283"/>
        <w:jc w:val="both"/>
        <w:rPr/>
      </w:pPr>
      <w:r>
        <w:rPr>
          <w:color w:val="000000"/>
        </w:rPr>
        <w:t>“</w:t>
      </w:r>
      <w:r>
        <w:rPr>
          <w:rFonts w:ascii="Times New Roman" w:hAnsi="Times New Roman"/>
          <w:i/>
          <w:color w:val="000000"/>
          <w:sz w:val="24"/>
        </w:rPr>
        <w:t>Loan Documents”</w:t>
      </w:r>
      <w:r>
        <w:rPr>
          <w:rFonts w:ascii="Times New Roman" w:hAnsi="Times New Roman"/>
          <w:color w:val="000000"/>
          <w:sz w:val="20"/>
        </w:rPr>
        <w:t xml:space="preserve"> </w:t>
      </w:r>
      <w:r>
        <w:rPr>
          <w:rFonts w:ascii="Times New Roman" w:hAnsi="Times New Roman"/>
          <w:color w:val="000000"/>
          <w:sz w:val="24"/>
        </w:rPr>
        <w:t>means, collectively, this Agreement, any Notes, the Security Documents, any Collateral Access Agreement, the Fee Letter, any Guarantee Assumption Agreement, any Warrant Certificate and any subordination agreement, intercreditor agreement or other present or future document, instrument, agreement or certificate delivered to any Lender in connection with this Agreement or any of the other Loan Documents, in each case, as amended, restated, supplemented or otherwise modified.</w:t>
      </w:r>
    </w:p>
    <w:p>
      <w:pPr>
        <w:pStyle w:val="TextBody"/>
        <w:bidi w:val="0"/>
        <w:spacing w:before="280" w:after="283"/>
        <w:jc w:val="both"/>
        <w:rPr/>
      </w:pPr>
      <w:r>
        <w:rPr>
          <w:color w:val="000000"/>
        </w:rPr>
        <w:t>“</w:t>
      </w:r>
      <w:r>
        <w:rPr>
          <w:rFonts w:ascii="Times New Roman" w:hAnsi="Times New Roman"/>
          <w:i/>
          <w:color w:val="000000"/>
          <w:sz w:val="24"/>
        </w:rPr>
        <w:t>Loan Exposure”</w:t>
      </w:r>
      <w:r>
        <w:rPr>
          <w:rFonts w:ascii="Times New Roman" w:hAnsi="Times New Roman"/>
          <w:color w:val="000000"/>
          <w:sz w:val="20"/>
        </w:rPr>
        <w:t xml:space="preserve"> </w:t>
      </w:r>
      <w:r>
        <w:rPr>
          <w:rFonts w:ascii="Times New Roman" w:hAnsi="Times New Roman"/>
          <w:color w:val="000000"/>
          <w:sz w:val="24"/>
        </w:rPr>
        <w:t xml:space="preserve">means, with respect to any Lender, as of any date of determination, the outstanding principal amount of such Lender’s portion of the Term Loans;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at any time prior to the making of the Term Loans, the Loan Exposure of any Lender shall be equal to such Lender’s Commitment.</w:t>
      </w:r>
    </w:p>
    <w:p>
      <w:pPr>
        <w:pStyle w:val="TextBody"/>
        <w:bidi w:val="0"/>
        <w:spacing w:before="280" w:after="283"/>
        <w:jc w:val="both"/>
        <w:rPr/>
      </w:pPr>
      <w:r>
        <w:rPr>
          <w:color w:val="000000"/>
        </w:rPr>
        <w:t>“</w:t>
      </w:r>
      <w:r>
        <w:rPr>
          <w:rFonts w:ascii="Times New Roman" w:hAnsi="Times New Roman"/>
          <w:i/>
          <w:color w:val="000000"/>
          <w:sz w:val="24"/>
        </w:rPr>
        <w:t>Loss”</w:t>
      </w:r>
      <w:r>
        <w:rPr>
          <w:rFonts w:ascii="Times New Roman" w:hAnsi="Times New Roman"/>
          <w:color w:val="000000"/>
          <w:sz w:val="20"/>
        </w:rPr>
        <w:t xml:space="preserve"> </w:t>
      </w:r>
      <w:r>
        <w:rPr>
          <w:rFonts w:ascii="Times New Roman" w:hAnsi="Times New Roman"/>
          <w:color w:val="000000"/>
          <w:sz w:val="24"/>
        </w:rPr>
        <w:t>means judgments, debts, liabilities, expenses, costs, damages or losses, contingent or otherwise, whether liquidated or unliquidated, matured or unmatured, disputed or undisputed, contractual, legal or equitable, including loss of value, reasonable professional fees, including the reasonable and documented out-of-pocket fees and disbursements of legal counsel on a full indemnity basis, and all reasonable costs incurred in investigating or pursuing any Claim or any proceeding relating to any Claim.</w:t>
      </w:r>
    </w:p>
    <w:p>
      <w:pPr>
        <w:pStyle w:val="TextBody"/>
        <w:bidi w:val="0"/>
        <w:spacing w:before="280" w:after="283"/>
        <w:jc w:val="both"/>
        <w:rPr/>
      </w:pPr>
      <w:r>
        <w:rPr>
          <w:color w:val="000000"/>
        </w:rPr>
        <w:t>“</w:t>
      </w:r>
      <w:r>
        <w:rPr>
          <w:rFonts w:ascii="Times New Roman" w:hAnsi="Times New Roman"/>
          <w:i/>
          <w:color w:val="000000"/>
          <w:sz w:val="24"/>
        </w:rPr>
        <w:t>Majority Lenders”</w:t>
      </w:r>
      <w:r>
        <w:rPr>
          <w:rFonts w:ascii="Times New Roman" w:hAnsi="Times New Roman"/>
          <w:color w:val="000000"/>
          <w:sz w:val="20"/>
        </w:rPr>
        <w:t xml:space="preserve"> </w:t>
      </w:r>
      <w:r>
        <w:rPr>
          <w:rFonts w:ascii="Times New Roman" w:hAnsi="Times New Roman"/>
          <w:color w:val="000000"/>
          <w:sz w:val="24"/>
        </w:rPr>
        <w:t>means, at any time, one or more Lenders having or holding Loan Exposure and representing more than 50% of the aggregate Loan Exposure of all Lenders.</w:t>
      </w:r>
    </w:p>
    <w:p>
      <w:pPr>
        <w:pStyle w:val="TextBody"/>
        <w:bidi w:val="0"/>
        <w:spacing w:before="280" w:after="283"/>
        <w:jc w:val="both"/>
        <w:rPr/>
      </w:pPr>
      <w:r>
        <w:rPr>
          <w:color w:val="000000"/>
        </w:rPr>
        <w:t>“</w:t>
      </w:r>
      <w:r>
        <w:rPr>
          <w:rFonts w:ascii="Times New Roman" w:hAnsi="Times New Roman"/>
          <w:i/>
          <w:color w:val="000000"/>
          <w:sz w:val="24"/>
        </w:rPr>
        <w:t>Margin Stock”</w:t>
      </w:r>
      <w:r>
        <w:rPr>
          <w:rFonts w:ascii="Times New Roman" w:hAnsi="Times New Roman"/>
          <w:color w:val="000000"/>
          <w:sz w:val="20"/>
        </w:rPr>
        <w:t xml:space="preserve"> </w:t>
      </w:r>
      <w:r>
        <w:rPr>
          <w:rFonts w:ascii="Times New Roman" w:hAnsi="Times New Roman"/>
          <w:color w:val="000000"/>
          <w:sz w:val="24"/>
        </w:rPr>
        <w:t>means “margin stock” within the meaning of Regulations U and X.</w:t>
      </w:r>
    </w:p>
    <w:p>
      <w:pPr>
        <w:pStyle w:val="TextBody"/>
        <w:bidi w:val="0"/>
        <w:spacing w:before="280" w:after="283"/>
        <w:jc w:val="both"/>
        <w:rPr/>
      </w:pPr>
      <w:r>
        <w:rPr>
          <w:color w:val="000000"/>
        </w:rPr>
        <w:t>“</w:t>
      </w:r>
      <w:r>
        <w:rPr>
          <w:rFonts w:ascii="Times New Roman" w:hAnsi="Times New Roman"/>
          <w:i/>
          <w:color w:val="000000"/>
          <w:sz w:val="24"/>
        </w:rPr>
        <w:t>Material Adverse Change”</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0"/>
        </w:rPr>
        <w:t>“</w:t>
      </w:r>
      <w:r>
        <w:rPr>
          <w:rFonts w:ascii="Times New Roman" w:hAnsi="Times New Roman"/>
          <w:i/>
          <w:color w:val="000000"/>
          <w:sz w:val="24"/>
        </w:rPr>
        <w:t>Material Adverse Effect”</w:t>
      </w:r>
      <w:r>
        <w:rPr>
          <w:rFonts w:ascii="Times New Roman" w:hAnsi="Times New Roman"/>
          <w:color w:val="000000"/>
          <w:sz w:val="20"/>
        </w:rPr>
        <w:t xml:space="preserve"> </w:t>
      </w:r>
      <w:r>
        <w:rPr>
          <w:rFonts w:ascii="Times New Roman" w:hAnsi="Times New Roman"/>
          <w:color w:val="000000"/>
          <w:sz w:val="24"/>
        </w:rPr>
        <w:t>means (a) a material adverse change in, or a material adverse effect on, the operations, business, properties, liabilities (actual or contingent) or condition (financial or otherwise) of the Borrower and its Subsidiaries taken as a whole; or (b) a material adverse effect on (i) the ability of the Borrower to perform its Obligations when they become due, (ii) the legality, validity, binding effect or enforceability against the Borrower of any Loan Document to which it is a party or (iii) the rights, remedies and benefits available to, or conferred upon, the Administrative Agent or any Lender under any Loan Document.</w:t>
      </w:r>
    </w:p>
    <w:p>
      <w:pPr>
        <w:pStyle w:val="TextBody"/>
        <w:bidi w:val="0"/>
        <w:jc w:val="center"/>
        <w:rPr/>
      </w:pPr>
      <w:r>
        <w:rPr>
          <w:color w:val="000000"/>
        </w:rPr>
        <w:noBreakHyphen/>
      </w:r>
      <w:r>
        <w:rPr>
          <w:rFonts w:ascii="Times New Roman" w:hAnsi="Times New Roman"/>
          <w:color w:val="000000"/>
          <w:sz w:val="24"/>
        </w:rPr>
        <w:t>18</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Material Agreement”</w:t>
      </w:r>
      <w:r>
        <w:rPr>
          <w:rFonts w:ascii="Times New Roman" w:hAnsi="Times New Roman"/>
          <w:color w:val="000000"/>
          <w:sz w:val="20"/>
        </w:rPr>
        <w:t xml:space="preserve"> </w:t>
      </w:r>
      <w:r>
        <w:rPr>
          <w:rFonts w:ascii="Times New Roman" w:hAnsi="Times New Roman"/>
          <w:color w:val="000000"/>
          <w:sz w:val="24"/>
        </w:rPr>
        <w:t xml:space="preserve">means (a) any Contract which is listed in Schedule 7.14, (b) any other Contract to which any Obligor is a party or a beneficiary from time to time, or to which any assets or properties of any Obligor is bound, the loss or termination of which would reasonably be expected to result in a Material Adverse Effect, (c) the Indi Purchase Agreement and (d) any other Contract to which any Obligor is a party or a guarantor (or equivalent) whether existing as of the date hereof or in the future that during any period of twelve (12) consecutive months is reasonably expected to (i) result in payments or receipts (including royalty, licensing or similar payments) made to any Obligor in an aggregate amount in excess of $2,000,000 or (ii) require payments or expenditures (including royalty, licensing or similar payments) made by any Obligor in an aggregate amount in excess of $2,000,000;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for the avoidance of doubt routine purchase orders entered into in the Ordinary Course of Business shall not be deemed to be Material Agreements.</w:t>
      </w:r>
    </w:p>
    <w:p>
      <w:pPr>
        <w:pStyle w:val="TextBody"/>
        <w:bidi w:val="0"/>
        <w:spacing w:before="280" w:after="283"/>
        <w:jc w:val="both"/>
        <w:rPr/>
      </w:pPr>
      <w:r>
        <w:rPr>
          <w:color w:val="000000"/>
        </w:rPr>
        <w:t>“</w:t>
      </w:r>
      <w:r>
        <w:rPr>
          <w:rFonts w:ascii="Times New Roman" w:hAnsi="Times New Roman"/>
          <w:i/>
          <w:color w:val="000000"/>
          <w:sz w:val="24"/>
        </w:rPr>
        <w:t>Material Indebtedness”</w:t>
      </w:r>
      <w:r>
        <w:rPr>
          <w:rFonts w:ascii="Times New Roman" w:hAnsi="Times New Roman"/>
          <w:color w:val="000000"/>
          <w:sz w:val="20"/>
        </w:rPr>
        <w:t xml:space="preserve"> </w:t>
      </w:r>
      <w:r>
        <w:rPr>
          <w:rFonts w:ascii="Times New Roman" w:hAnsi="Times New Roman"/>
          <w:color w:val="000000"/>
          <w:sz w:val="24"/>
        </w:rPr>
        <w:t>means, at any time, any Indebtedness of any Obligor, the outstanding principal amount of which, individually or in the aggregate, exceeds $500,000.</w:t>
      </w:r>
    </w:p>
    <w:p>
      <w:pPr>
        <w:pStyle w:val="TextBody"/>
        <w:bidi w:val="0"/>
        <w:spacing w:before="280" w:after="283"/>
        <w:jc w:val="both"/>
        <w:rPr/>
      </w:pPr>
      <w:r>
        <w:rPr>
          <w:color w:val="000000"/>
        </w:rPr>
        <w:t>“</w:t>
      </w:r>
      <w:r>
        <w:rPr>
          <w:rFonts w:ascii="Times New Roman" w:hAnsi="Times New Roman"/>
          <w:i/>
          <w:color w:val="000000"/>
          <w:sz w:val="24"/>
        </w:rPr>
        <w:t>Material Intellectual Property”</w:t>
      </w:r>
      <w:r>
        <w:rPr>
          <w:rFonts w:ascii="Times New Roman" w:hAnsi="Times New Roman"/>
          <w:color w:val="000000"/>
          <w:sz w:val="20"/>
        </w:rPr>
        <w:t xml:space="preserve"> </w:t>
      </w:r>
      <w:r>
        <w:rPr>
          <w:rFonts w:ascii="Times New Roman" w:hAnsi="Times New Roman"/>
          <w:color w:val="000000"/>
          <w:sz w:val="24"/>
        </w:rPr>
        <w:t>means all Obligor Intellectual Property, including those described in Schedule 7.05(b), whether currently owned or licensed, or acquired, developed or otherwise licensed or obtained after the date hereof (a) necessary for the operation of the business of any Obligor as currently conducted or as currently contemplated to be conducted, (b) the loss of which would reasonably be expected to have or result in a Material Adverse Effect or (c) that has a fair market value in excess of $1,000,000 (as such fair market value is determined in the reasonable judgment of the Obligors).</w:t>
      </w:r>
    </w:p>
    <w:p>
      <w:pPr>
        <w:pStyle w:val="TextBody"/>
        <w:bidi w:val="0"/>
        <w:spacing w:before="280" w:after="283"/>
        <w:jc w:val="both"/>
        <w:rPr/>
      </w:pPr>
      <w:r>
        <w:rPr>
          <w:color w:val="000000"/>
        </w:rPr>
        <w:t>“</w:t>
      </w:r>
      <w:r>
        <w:rPr>
          <w:rFonts w:ascii="Times New Roman" w:hAnsi="Times New Roman"/>
          <w:i/>
          <w:color w:val="000000"/>
          <w:sz w:val="24"/>
        </w:rPr>
        <w:t>Maturity Date”</w:t>
      </w:r>
      <w:r>
        <w:rPr>
          <w:rFonts w:ascii="Times New Roman" w:hAnsi="Times New Roman"/>
          <w:color w:val="000000"/>
          <w:sz w:val="20"/>
        </w:rPr>
        <w:t xml:space="preserve"> </w:t>
      </w:r>
      <w:r>
        <w:rPr>
          <w:rFonts w:ascii="Times New Roman" w:hAnsi="Times New Roman"/>
          <w:color w:val="000000"/>
          <w:sz w:val="24"/>
        </w:rPr>
        <w:t>means the earlier to occur of (a) the Stated Maturity Date, and (b) the date on which the Term Loans are accelerated pursuant to Section 10.02.</w:t>
      </w:r>
    </w:p>
    <w:p>
      <w:pPr>
        <w:pStyle w:val="TextBody"/>
        <w:bidi w:val="0"/>
        <w:spacing w:before="280" w:after="283"/>
        <w:jc w:val="both"/>
        <w:rPr/>
      </w:pPr>
      <w:r>
        <w:rPr>
          <w:color w:val="000000"/>
        </w:rPr>
        <w:t>“</w:t>
      </w:r>
      <w:r>
        <w:rPr>
          <w:rFonts w:ascii="Times New Roman" w:hAnsi="Times New Roman"/>
          <w:i/>
          <w:color w:val="000000"/>
          <w:sz w:val="24"/>
        </w:rPr>
        <w:t>Milestone Payment</w:t>
      </w:r>
      <w:r>
        <w:rPr>
          <w:rFonts w:ascii="Times New Roman" w:hAnsi="Times New Roman"/>
          <w:color w:val="000000"/>
          <w:sz w:val="20"/>
        </w:rPr>
        <w:t xml:space="preserve">” </w:t>
      </w:r>
      <w:r>
        <w:rPr>
          <w:rFonts w:ascii="Times New Roman" w:hAnsi="Times New Roman"/>
          <w:color w:val="000000"/>
          <w:sz w:val="24"/>
        </w:rPr>
        <w:t>has the meaning assigned to such term in Section 1.9 of the Indi Purchase Agreement as in effect on the Closing Date.</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Multiemployer Plan”</w:t>
      </w:r>
      <w:r>
        <w:rPr>
          <w:rFonts w:ascii="Times New Roman" w:hAnsi="Times New Roman"/>
          <w:color w:val="000000"/>
          <w:sz w:val="20"/>
        </w:rPr>
        <w:t xml:space="preserve"> </w:t>
      </w:r>
      <w:r>
        <w:rPr>
          <w:rFonts w:ascii="Times New Roman" w:hAnsi="Times New Roman"/>
          <w:color w:val="000000"/>
          <w:sz w:val="24"/>
        </w:rPr>
        <w:t>means any “multiemployer plan” as defined in Section 400l(a)(3) of ERISA, with respect to which any Obligor incurs, or otherwise has, any obligation or liability, contingent or otherwise (including on account of an ERISA Affiliate).</w:t>
      </w:r>
    </w:p>
    <w:p>
      <w:pPr>
        <w:pStyle w:val="TextBody"/>
        <w:bidi w:val="0"/>
        <w:spacing w:before="280" w:after="283"/>
        <w:jc w:val="both"/>
        <w:rPr/>
      </w:pPr>
      <w:r>
        <w:rPr>
          <w:color w:val="000000"/>
        </w:rPr>
        <w:t>“</w:t>
      </w:r>
      <w:r>
        <w:rPr>
          <w:rFonts w:ascii="Times New Roman" w:hAnsi="Times New Roman"/>
          <w:i/>
          <w:color w:val="000000"/>
          <w:sz w:val="24"/>
        </w:rPr>
        <w:t>Net Cash Proceeds”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with respect to the incurrence or issuance of any Indebtedness incurred by an Obligor not permitted under Section 9.01, the excess, if any, of (i) the sum of the cash received in connection with such incurrence or issuance over (ii) the investment banking fees, underwriting discounts, commissions, costs and other reasonable expenses and other customary expenses (including reasonable attorney’s accountant’s and other similar professional advisor’s fees), incurred by such obligor in connection with such incurrence or issuance to third parties (other than any other Obligor or any of their respective Affiliates); </w:t>
      </w:r>
    </w:p>
    <w:p>
      <w:pPr>
        <w:pStyle w:val="TextBody"/>
        <w:bidi w:val="0"/>
        <w:jc w:val="center"/>
        <w:rPr/>
      </w:pPr>
      <w:r>
        <w:rPr>
          <w:color w:val="000000"/>
        </w:rPr>
        <w:noBreakHyphen/>
      </w:r>
      <w:r>
        <w:rPr>
          <w:rFonts w:ascii="Times New Roman" w:hAnsi="Times New Roman"/>
          <w:color w:val="000000"/>
          <w:sz w:val="24"/>
        </w:rPr>
        <w:t>19</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 respect to any Casualty Event, the amount of cash proceeds actually received in the form of insurance proceeds or condemnation awards in respect of such Casualty Event from time to time by or on behalf of such Obligor after deducting therefrom only (i) actual costs and expenses related thereto incurred by such Obligor and (ii) Taxes paid or payable in each case, in connection therewith or as a result thereof;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 respect to any Asset Sale (other than transfers or sales of assets permitted pursuant to Section 9.09 (other than 9.09(i)), the excess, if any, of (i) cash proceeds received in respect of such Asset Sale (including cash proceeds subsequently received (as and when received)) over (ii) the sum of (A) the direct costs of such Asset Sale then payable by the recipient of such proceeds excluding amounts payable to any Obligor or any of its Subsidiaries, (B) Taxes paid or payable by such recipient in connection therewith or as a result thereof, (C) amounts required to be applied to repay principal, interest and prepayment premiums and penalties on Indebtedness secured by a Permitted Lien on the properties subject to such Asset Sale and (D) amounts reserved or deposited in escrow with respect to indemnity payments or price adjustments until such amounts are released to the applicable Obligor or any of its Subsidiaries.</w:t>
      </w:r>
    </w:p>
    <w:p>
      <w:pPr>
        <w:pStyle w:val="TextBody"/>
        <w:bidi w:val="0"/>
        <w:spacing w:before="280" w:after="283"/>
        <w:jc w:val="both"/>
        <w:rPr/>
      </w:pPr>
      <w:r>
        <w:rPr>
          <w:color w:val="000000"/>
        </w:rPr>
        <w:t>“</w:t>
      </w:r>
      <w:r>
        <w:rPr>
          <w:rFonts w:ascii="Times New Roman" w:hAnsi="Times New Roman"/>
          <w:i/>
          <w:color w:val="000000"/>
          <w:sz w:val="24"/>
        </w:rPr>
        <w:t>Net Revenue”</w:t>
      </w:r>
      <w:r>
        <w:rPr>
          <w:rFonts w:ascii="Times New Roman" w:hAnsi="Times New Roman"/>
          <w:color w:val="000000"/>
          <w:sz w:val="20"/>
        </w:rPr>
        <w:t xml:space="preserve"> </w:t>
      </w:r>
      <w:r>
        <w:rPr>
          <w:rFonts w:ascii="Times New Roman" w:hAnsi="Times New Roman"/>
          <w:color w:val="000000"/>
          <w:sz w:val="24"/>
        </w:rPr>
        <w:t>means, with respect to the Obligors, all amounts paid to and received by such Person in the Ordinary Course of Business that, in accordance with GAAP, would be classified as net revenue.</w:t>
      </w:r>
    </w:p>
    <w:p>
      <w:pPr>
        <w:pStyle w:val="TextBody"/>
        <w:bidi w:val="0"/>
        <w:spacing w:before="280" w:after="283"/>
        <w:jc w:val="both"/>
        <w:rPr/>
      </w:pPr>
      <w:r>
        <w:rPr>
          <w:color w:val="000000"/>
        </w:rPr>
        <w:t>“</w:t>
      </w:r>
      <w:r>
        <w:rPr>
          <w:rFonts w:ascii="Times New Roman" w:hAnsi="Times New Roman"/>
          <w:i/>
          <w:color w:val="000000"/>
          <w:sz w:val="24"/>
        </w:rPr>
        <w:t>Note”</w:t>
      </w:r>
      <w:r>
        <w:rPr>
          <w:rFonts w:ascii="Times New Roman" w:hAnsi="Times New Roman"/>
          <w:color w:val="000000"/>
          <w:sz w:val="20"/>
        </w:rPr>
        <w:t xml:space="preserve"> </w:t>
      </w:r>
      <w:r>
        <w:rPr>
          <w:rFonts w:ascii="Times New Roman" w:hAnsi="Times New Roman"/>
          <w:color w:val="000000"/>
          <w:sz w:val="24"/>
        </w:rPr>
        <w:t>means a promissory note executed and delivered by the Borrower to any Lender in the form attached hereto as Exhibit C.</w:t>
      </w:r>
    </w:p>
    <w:p>
      <w:pPr>
        <w:pStyle w:val="TextBody"/>
        <w:bidi w:val="0"/>
        <w:spacing w:before="280" w:after="283"/>
        <w:jc w:val="both"/>
        <w:rPr/>
      </w:pPr>
      <w:r>
        <w:rPr>
          <w:color w:val="000000"/>
        </w:rPr>
        <w:t>“</w:t>
      </w:r>
      <w:r>
        <w:rPr>
          <w:rFonts w:ascii="Times New Roman" w:hAnsi="Times New Roman"/>
          <w:i/>
          <w:color w:val="000000"/>
          <w:sz w:val="24"/>
        </w:rPr>
        <w:t>Obligations”</w:t>
      </w:r>
      <w:r>
        <w:rPr>
          <w:rFonts w:ascii="Times New Roman" w:hAnsi="Times New Roman"/>
          <w:color w:val="000000"/>
          <w:sz w:val="20"/>
        </w:rPr>
        <w:t xml:space="preserve"> </w:t>
      </w:r>
      <w:r>
        <w:rPr>
          <w:rFonts w:ascii="Times New Roman" w:hAnsi="Times New Roman"/>
          <w:color w:val="000000"/>
          <w:sz w:val="24"/>
        </w:rPr>
        <w:t>means, with respect to any Obligor, all amounts, obligations (including, without limitation, all Warrant Obligations), liabilities, covenants and duties of every type and description owing by such Obligor to any Lender or any other Indemnified Party hereunder,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for the payment of money, including, without duplication, (a) the principal amount of the Term Loans, (b) all interest on the Term Loans (including interest at the Default Rate), whether or not accruing after the filing of any petition in bankruptcy or after the commencement of any insolvency, reorganization or similar proceeding, and whether or not a Claim for post</w:t>
        <w:noBreakHyphen/>
        <w:t>filing or post</w:t>
        <w:noBreakHyphen/>
        <w:t>petition interest is allowed in any such proceeding, (c) any Prepayment Premium and (d) all other fees, expenses (including fees, charges and disbursement of counsel), interest, commissions, charges, costs, disbursements, indemnities and reimbursement of amounts paid and other sums chargeable to such Obligor under any Loan Document.</w:t>
      </w:r>
    </w:p>
    <w:p>
      <w:pPr>
        <w:pStyle w:val="TextBody"/>
        <w:bidi w:val="0"/>
        <w:spacing w:before="280" w:after="283"/>
        <w:jc w:val="both"/>
        <w:rPr/>
      </w:pPr>
      <w:r>
        <w:rPr>
          <w:color w:val="000000"/>
        </w:rPr>
        <w:t>“</w:t>
      </w:r>
      <w:r>
        <w:rPr>
          <w:rFonts w:ascii="Times New Roman" w:hAnsi="Times New Roman"/>
          <w:i/>
          <w:color w:val="000000"/>
          <w:sz w:val="24"/>
        </w:rPr>
        <w:t>Obligor Intellectual Property”</w:t>
      </w:r>
      <w:r>
        <w:rPr>
          <w:rFonts w:ascii="Times New Roman" w:hAnsi="Times New Roman"/>
          <w:color w:val="000000"/>
          <w:sz w:val="20"/>
        </w:rPr>
        <w:t xml:space="preserve"> </w:t>
      </w:r>
      <w:r>
        <w:rPr>
          <w:rFonts w:ascii="Times New Roman" w:hAnsi="Times New Roman"/>
          <w:color w:val="000000"/>
          <w:sz w:val="24"/>
        </w:rPr>
        <w:t>means, at any time of determination, Intellectual Property owned by or licensed to any Obligor at such time.</w:t>
      </w:r>
    </w:p>
    <w:p>
      <w:pPr>
        <w:pStyle w:val="TextBody"/>
        <w:bidi w:val="0"/>
        <w:spacing w:before="280" w:after="283"/>
        <w:jc w:val="both"/>
        <w:rPr/>
      </w:pPr>
      <w:r>
        <w:rPr>
          <w:color w:val="000000"/>
        </w:rPr>
        <w:t>“</w:t>
      </w:r>
      <w:r>
        <w:rPr>
          <w:rFonts w:ascii="Times New Roman" w:hAnsi="Times New Roman"/>
          <w:i/>
          <w:color w:val="000000"/>
          <w:sz w:val="24"/>
        </w:rPr>
        <w:t>Obligors”</w:t>
      </w:r>
      <w:r>
        <w:rPr>
          <w:rFonts w:ascii="Times New Roman" w:hAnsi="Times New Roman"/>
          <w:color w:val="000000"/>
          <w:sz w:val="20"/>
        </w:rPr>
        <w:t xml:space="preserve"> </w:t>
      </w:r>
      <w:r>
        <w:rPr>
          <w:rFonts w:ascii="Times New Roman" w:hAnsi="Times New Roman"/>
          <w:color w:val="000000"/>
          <w:sz w:val="24"/>
        </w:rPr>
        <w:t>means, collectively, the Borrower, each Guarantor and each of their respective successors and permitted assigns.</w:t>
      </w:r>
    </w:p>
    <w:p>
      <w:pPr>
        <w:pStyle w:val="TextBody"/>
        <w:bidi w:val="0"/>
        <w:jc w:val="center"/>
        <w:rPr/>
      </w:pPr>
      <w:r>
        <w:rPr>
          <w:color w:val="000000"/>
        </w:rPr>
        <w:noBreakHyphen/>
      </w:r>
      <w:r>
        <w:rPr>
          <w:rFonts w:ascii="Times New Roman" w:hAnsi="Times New Roman"/>
          <w:color w:val="000000"/>
          <w:sz w:val="24"/>
        </w:rPr>
        <w:t>20</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OFAC”</w:t>
      </w:r>
      <w:r>
        <w:rPr>
          <w:rFonts w:ascii="Times New Roman" w:hAnsi="Times New Roman"/>
          <w:color w:val="000000"/>
          <w:sz w:val="20"/>
        </w:rPr>
        <w:t xml:space="preserve"> </w:t>
      </w:r>
      <w:r>
        <w:rPr>
          <w:rFonts w:ascii="Times New Roman" w:hAnsi="Times New Roman"/>
          <w:color w:val="000000"/>
          <w:sz w:val="24"/>
        </w:rPr>
        <w:t>means the Office of Foreign Assets Control of the U.S. Department of the Treasury (or any successor thereto).</w:t>
      </w:r>
    </w:p>
    <w:p>
      <w:pPr>
        <w:pStyle w:val="TextBody"/>
        <w:bidi w:val="0"/>
        <w:spacing w:before="280" w:after="283"/>
        <w:jc w:val="both"/>
        <w:rPr/>
      </w:pPr>
      <w:r>
        <w:rPr>
          <w:color w:val="000000"/>
        </w:rPr>
        <w:t>“</w:t>
      </w:r>
      <w:r>
        <w:rPr>
          <w:rFonts w:ascii="Times New Roman" w:hAnsi="Times New Roman"/>
          <w:i/>
          <w:color w:val="000000"/>
          <w:sz w:val="24"/>
        </w:rPr>
        <w:t>Ordinary Course of Business”</w:t>
      </w:r>
      <w:r>
        <w:rPr>
          <w:rFonts w:ascii="Times New Roman" w:hAnsi="Times New Roman"/>
          <w:color w:val="000000"/>
          <w:sz w:val="20"/>
        </w:rPr>
        <w:t xml:space="preserve"> </w:t>
      </w:r>
      <w:r>
        <w:rPr>
          <w:rFonts w:ascii="Times New Roman" w:hAnsi="Times New Roman"/>
          <w:color w:val="000000"/>
          <w:sz w:val="24"/>
        </w:rPr>
        <w:t>means, with respect to the Obligors, the ordinary course of business generally consistent with past custom and practice (including with respect to nature, scope, magnitude, quantity and frequency).</w:t>
      </w:r>
    </w:p>
    <w:p>
      <w:pPr>
        <w:pStyle w:val="TextBody"/>
        <w:bidi w:val="0"/>
        <w:spacing w:before="280" w:after="283"/>
        <w:jc w:val="both"/>
        <w:rPr/>
      </w:pPr>
      <w:r>
        <w:rPr>
          <w:color w:val="000000"/>
        </w:rPr>
        <w:t>“</w:t>
      </w:r>
      <w:r>
        <w:rPr>
          <w:rFonts w:ascii="Times New Roman" w:hAnsi="Times New Roman"/>
          <w:i/>
          <w:color w:val="000000"/>
          <w:sz w:val="24"/>
        </w:rPr>
        <w:t>Organizational Documents”</w:t>
      </w:r>
      <w:r>
        <w:rPr>
          <w:rFonts w:ascii="Times New Roman" w:hAnsi="Times New Roman"/>
          <w:color w:val="000000"/>
          <w:sz w:val="20"/>
        </w:rPr>
        <w:t xml:space="preserve"> </w:t>
      </w:r>
      <w:r>
        <w:rPr>
          <w:rFonts w:ascii="Times New Roman" w:hAnsi="Times New Roman"/>
          <w:color w:val="000000"/>
          <w:sz w:val="24"/>
        </w:rPr>
        <w:t>means (a) with respect to any corporation, its certificate or articles of incorporation or organization, as amended, and its bylaws, as amended, (b) with respect to any limited partnership, its certificate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 In the event any term or condition of this Agreement or any other Loan Document requires any Organizational Document to be certified by a secretary of state or similar government official, the reference to any such “Organizational Document” shall only be to a document of a type customarily certified by such government official.</w:t>
      </w:r>
    </w:p>
    <w:p>
      <w:pPr>
        <w:pStyle w:val="TextBody"/>
        <w:bidi w:val="0"/>
        <w:spacing w:before="280" w:after="283"/>
        <w:jc w:val="both"/>
        <w:rPr/>
      </w:pPr>
      <w:r>
        <w:rPr>
          <w:color w:val="000000"/>
        </w:rPr>
        <w:t>“</w:t>
      </w:r>
      <w:r>
        <w:rPr>
          <w:rFonts w:ascii="Times New Roman" w:hAnsi="Times New Roman"/>
          <w:i/>
          <w:color w:val="000000"/>
          <w:sz w:val="24"/>
        </w:rPr>
        <w:t>Other Connection Taxes”</w:t>
      </w:r>
      <w:r>
        <w:rPr>
          <w:rFonts w:ascii="Times New Roman" w:hAnsi="Times New Roman"/>
          <w:color w:val="000000"/>
          <w:sz w:val="20"/>
        </w:rPr>
        <w:t xml:space="preserve"> </w:t>
      </w:r>
      <w:r>
        <w:rPr>
          <w:rFonts w:ascii="Times New Roman" w:hAnsi="Times New Roman"/>
          <w:color w:val="000000"/>
          <w:sz w:val="24"/>
        </w:rPr>
        <w:t>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pStyle w:val="TextBody"/>
        <w:bidi w:val="0"/>
        <w:spacing w:before="280" w:after="283"/>
        <w:jc w:val="both"/>
        <w:rPr/>
      </w:pPr>
      <w:r>
        <w:rPr>
          <w:color w:val="000000"/>
        </w:rPr>
        <w:t>“</w:t>
      </w:r>
      <w:r>
        <w:rPr>
          <w:rFonts w:ascii="Times New Roman" w:hAnsi="Times New Roman"/>
          <w:i/>
          <w:color w:val="000000"/>
          <w:sz w:val="24"/>
        </w:rPr>
        <w:t>Other Taxes”</w:t>
      </w:r>
      <w:r>
        <w:rPr>
          <w:rFonts w:ascii="Times New Roman" w:hAnsi="Times New Roman"/>
          <w:color w:val="000000"/>
          <w:sz w:val="20"/>
        </w:rPr>
        <w:t xml:space="preserve"> </w:t>
      </w:r>
      <w:r>
        <w:rPr>
          <w:rFonts w:ascii="Times New Roman" w:hAnsi="Times New Roman"/>
          <w:color w:val="000000"/>
          <w:sz w:val="24"/>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5.03(h)).</w:t>
      </w:r>
    </w:p>
    <w:p>
      <w:pPr>
        <w:pStyle w:val="TextBody"/>
        <w:bidi w:val="0"/>
        <w:spacing w:before="280" w:after="283"/>
        <w:jc w:val="both"/>
        <w:rPr/>
      </w:pPr>
      <w:r>
        <w:rPr>
          <w:color w:val="000000"/>
        </w:rPr>
        <w:t>“</w:t>
      </w:r>
      <w:r>
        <w:rPr>
          <w:rFonts w:ascii="Times New Roman" w:hAnsi="Times New Roman"/>
          <w:i/>
          <w:color w:val="000000"/>
          <w:sz w:val="24"/>
        </w:rPr>
        <w:t>Participant”</w:t>
      </w:r>
      <w:r>
        <w:rPr>
          <w:rFonts w:ascii="Times New Roman" w:hAnsi="Times New Roman"/>
          <w:color w:val="000000"/>
          <w:sz w:val="20"/>
        </w:rPr>
        <w:t xml:space="preserve"> </w:t>
      </w:r>
      <w:r>
        <w:rPr>
          <w:rFonts w:ascii="Times New Roman" w:hAnsi="Times New Roman"/>
          <w:color w:val="000000"/>
          <w:sz w:val="24"/>
        </w:rPr>
        <w:t>has the meaning set forth in Section 13.05(e).</w:t>
      </w:r>
    </w:p>
    <w:p>
      <w:pPr>
        <w:pStyle w:val="TextBody"/>
        <w:bidi w:val="0"/>
        <w:spacing w:before="280" w:after="283"/>
        <w:jc w:val="both"/>
        <w:rPr/>
      </w:pPr>
      <w:r>
        <w:rPr>
          <w:color w:val="000000"/>
        </w:rPr>
        <w:t>“</w:t>
      </w:r>
      <w:r>
        <w:rPr>
          <w:rFonts w:ascii="Times New Roman" w:hAnsi="Times New Roman"/>
          <w:i/>
          <w:color w:val="000000"/>
          <w:sz w:val="24"/>
        </w:rPr>
        <w:t>Participant Register”</w:t>
      </w:r>
      <w:r>
        <w:rPr>
          <w:rFonts w:ascii="Times New Roman" w:hAnsi="Times New Roman"/>
          <w:color w:val="000000"/>
          <w:sz w:val="20"/>
        </w:rPr>
        <w:t xml:space="preserve"> </w:t>
      </w:r>
      <w:r>
        <w:rPr>
          <w:rFonts w:ascii="Times New Roman" w:hAnsi="Times New Roman"/>
          <w:color w:val="000000"/>
          <w:sz w:val="24"/>
        </w:rPr>
        <w:t>has the meaning set forth in Section 13.05(f).</w:t>
      </w:r>
    </w:p>
    <w:p>
      <w:pPr>
        <w:pStyle w:val="TextBody"/>
        <w:bidi w:val="0"/>
        <w:spacing w:before="280" w:after="283"/>
        <w:jc w:val="both"/>
        <w:rPr/>
      </w:pPr>
      <w:r>
        <w:rPr>
          <w:color w:val="000000"/>
        </w:rPr>
        <w:t>“</w:t>
      </w:r>
      <w:r>
        <w:rPr>
          <w:rFonts w:ascii="Times New Roman" w:hAnsi="Times New Roman"/>
          <w:i/>
          <w:color w:val="000000"/>
          <w:sz w:val="24"/>
        </w:rPr>
        <w:t>Patents”</w:t>
      </w:r>
      <w:r>
        <w:rPr>
          <w:rFonts w:ascii="Times New Roman" w:hAnsi="Times New Roman"/>
          <w:color w:val="000000"/>
          <w:sz w:val="20"/>
        </w:rPr>
        <w:t xml:space="preserve"> </w:t>
      </w:r>
      <w:r>
        <w:rPr>
          <w:rFonts w:ascii="Times New Roman" w:hAnsi="Times New Roman"/>
          <w:color w:val="000000"/>
          <w:sz w:val="24"/>
        </w:rPr>
        <w:t>has the meaning set forth in the Security Documents.</w:t>
      </w:r>
    </w:p>
    <w:p>
      <w:pPr>
        <w:pStyle w:val="TextBody"/>
        <w:bidi w:val="0"/>
        <w:spacing w:before="280" w:after="283"/>
        <w:jc w:val="both"/>
        <w:rPr/>
      </w:pPr>
      <w:r>
        <w:rPr>
          <w:color w:val="000000"/>
        </w:rPr>
        <w:t>“</w:t>
      </w:r>
      <w:r>
        <w:rPr>
          <w:rFonts w:ascii="Times New Roman" w:hAnsi="Times New Roman"/>
          <w:i/>
          <w:color w:val="000000"/>
          <w:sz w:val="24"/>
        </w:rPr>
        <w:t>Payment Date”</w:t>
      </w:r>
      <w:r>
        <w:rPr>
          <w:rFonts w:ascii="Times New Roman" w:hAnsi="Times New Roman"/>
          <w:color w:val="000000"/>
          <w:sz w:val="20"/>
        </w:rPr>
        <w:t xml:space="preserve"> </w:t>
      </w:r>
      <w:r>
        <w:rPr>
          <w:rFonts w:ascii="Times New Roman" w:hAnsi="Times New Roman"/>
          <w:color w:val="000000"/>
          <w:sz w:val="24"/>
        </w:rPr>
        <w:t xml:space="preserve">means the last day of each Interest Period;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such last day of such Interest Period is not a Business Day, then the Payment Date for such Interest Period will be the next succeeding Business Day.</w:t>
      </w:r>
    </w:p>
    <w:p>
      <w:pPr>
        <w:pStyle w:val="TextBody"/>
        <w:bidi w:val="0"/>
        <w:spacing w:before="280" w:after="283"/>
        <w:jc w:val="both"/>
        <w:rPr/>
      </w:pPr>
      <w:r>
        <w:rPr>
          <w:color w:val="000000"/>
        </w:rPr>
        <w:t>“</w:t>
      </w:r>
      <w:r>
        <w:rPr>
          <w:rFonts w:ascii="Times New Roman" w:hAnsi="Times New Roman"/>
          <w:i/>
          <w:color w:val="000000"/>
          <w:sz w:val="24"/>
        </w:rPr>
        <w:t>PBGC”</w:t>
      </w:r>
      <w:r>
        <w:rPr>
          <w:rFonts w:ascii="Times New Roman" w:hAnsi="Times New Roman"/>
          <w:color w:val="000000"/>
          <w:sz w:val="20"/>
        </w:rPr>
        <w:t xml:space="preserve"> </w:t>
      </w:r>
      <w:r>
        <w:rPr>
          <w:rFonts w:ascii="Times New Roman" w:hAnsi="Times New Roman"/>
          <w:color w:val="000000"/>
          <w:sz w:val="24"/>
        </w:rPr>
        <w:t>means the United States Pension Benefit Guaranty Corporation referred to and defined in ERISA and any successor entity performing similar functions.</w:t>
      </w:r>
    </w:p>
    <w:p>
      <w:pPr>
        <w:pStyle w:val="TextBody"/>
        <w:bidi w:val="0"/>
        <w:spacing w:before="280" w:after="283"/>
        <w:jc w:val="both"/>
        <w:rPr/>
      </w:pPr>
      <w:r>
        <w:rPr>
          <w:color w:val="000000"/>
        </w:rPr>
        <w:t>“</w:t>
      </w:r>
      <w:r>
        <w:rPr>
          <w:rFonts w:ascii="Times New Roman" w:hAnsi="Times New Roman"/>
          <w:i/>
          <w:color w:val="000000"/>
          <w:sz w:val="24"/>
        </w:rPr>
        <w:t>Perceptive</w:t>
      </w:r>
      <w:r>
        <w:rPr>
          <w:rFonts w:ascii="Times New Roman" w:hAnsi="Times New Roman"/>
          <w:color w:val="000000"/>
          <w:sz w:val="20"/>
        </w:rPr>
        <w:t xml:space="preserve">” </w:t>
      </w:r>
      <w:r>
        <w:rPr>
          <w:rFonts w:ascii="Times New Roman" w:hAnsi="Times New Roman"/>
          <w:color w:val="000000"/>
          <w:sz w:val="24"/>
        </w:rPr>
        <w:t>has the meaning set forth in the introduction hereto.</w:t>
      </w:r>
    </w:p>
    <w:p>
      <w:pPr>
        <w:pStyle w:val="TextBody"/>
        <w:bidi w:val="0"/>
        <w:jc w:val="center"/>
        <w:rPr/>
      </w:pPr>
      <w:r>
        <w:rPr>
          <w:color w:val="000000"/>
        </w:rPr>
        <w:noBreakHyphen/>
      </w:r>
      <w:r>
        <w:rPr>
          <w:rFonts w:ascii="Times New Roman" w:hAnsi="Times New Roman"/>
          <w:color w:val="000000"/>
          <w:sz w:val="24"/>
        </w:rPr>
        <w:t>21</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 xml:space="preserve">Periodic Term SOFR Determination Day” </w:t>
      </w:r>
      <w:r>
        <w:rPr>
          <w:rFonts w:ascii="Times New Roman" w:hAnsi="Times New Roman"/>
          <w:color w:val="000000"/>
          <w:sz w:val="24"/>
        </w:rPr>
        <w:t>has the meaning specified in the definition of “Term SOFR.”</w:t>
      </w:r>
    </w:p>
    <w:p>
      <w:pPr>
        <w:pStyle w:val="TextBody"/>
        <w:bidi w:val="0"/>
        <w:spacing w:before="280" w:after="283"/>
        <w:jc w:val="both"/>
        <w:rPr/>
      </w:pPr>
      <w:r>
        <w:rPr>
          <w:color w:val="000000"/>
        </w:rPr>
        <w:t>“</w:t>
      </w:r>
      <w:r>
        <w:rPr>
          <w:rFonts w:ascii="Times New Roman" w:hAnsi="Times New Roman"/>
          <w:i/>
          <w:color w:val="000000"/>
          <w:sz w:val="24"/>
        </w:rPr>
        <w:t>Permits”</w:t>
      </w:r>
      <w:r>
        <w:rPr>
          <w:rFonts w:ascii="Times New Roman" w:hAnsi="Times New Roman"/>
          <w:color w:val="000000"/>
          <w:sz w:val="20"/>
        </w:rPr>
        <w:t xml:space="preserve"> </w:t>
      </w:r>
      <w:r>
        <w:rPr>
          <w:rFonts w:ascii="Times New Roman" w:hAnsi="Times New Roman"/>
          <w:color w:val="000000"/>
          <w:sz w:val="24"/>
        </w:rPr>
        <w:t>means all permits, licenses, registrations, certificates, orders, approvals, authorizations, consents, waivers, franchises, variances and similar rights issued by or obtained from any Governmental Authority or accreditation organization approved by a Governmental Authority, including, without limitation, those issued pursuant to Environmental Laws and Healthcare Laws.</w:t>
      </w:r>
    </w:p>
    <w:p>
      <w:pPr>
        <w:pStyle w:val="TextBody"/>
        <w:bidi w:val="0"/>
        <w:spacing w:before="280" w:after="283"/>
        <w:jc w:val="both"/>
        <w:rPr/>
      </w:pPr>
      <w:r>
        <w:rPr>
          <w:color w:val="000000"/>
        </w:rPr>
        <w:t>“</w:t>
      </w:r>
      <w:r>
        <w:rPr>
          <w:rFonts w:ascii="Times New Roman" w:hAnsi="Times New Roman"/>
          <w:i/>
          <w:color w:val="000000"/>
          <w:sz w:val="24"/>
        </w:rPr>
        <w:t>Permitted Acquisition”</w:t>
      </w:r>
      <w:r>
        <w:rPr>
          <w:rFonts w:ascii="Times New Roman" w:hAnsi="Times New Roman"/>
          <w:color w:val="000000"/>
          <w:sz w:val="20"/>
        </w:rPr>
        <w:t xml:space="preserve"> </w:t>
      </w:r>
      <w:r>
        <w:rPr>
          <w:rFonts w:ascii="Times New Roman" w:hAnsi="Times New Roman"/>
          <w:color w:val="000000"/>
          <w:sz w:val="24"/>
        </w:rPr>
        <w:t xml:space="preserve">means any Acquisition by any Obligor or any of their wholly-owned Subsidiaries, by (a) purchase, merger, amalgamation, plan of arrangement, license or otherwise, of all or substantially all of the assets of, all of the Equity Interests of, or a business line or unit or a division of, any Person or (b) license arrangement for the rights to use, develop, market or otherwise commercialize any Patents, Trademarks, Copyrights or other Intellectual Property (other than ordinary course, off-the-shelf or over the counter software license arrangements);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immediately prior to, and immediately after giving effect thereto, no Default or Event of Default shall have occurred and be continuing or would result therefrom;</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all transactions in connection therewith shall be consummated, in all material respects, in accordance with all applicable Laws and in conformity in all material respects with all applicable Governmental Approvals;</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in the case of the Acquisition of all of the Equity Interests of such Person, all of the Equity Interests (except for any such securities in the nature of directors’ qualifying shares required pursuant to applicable Law) acquired, or otherwise issued by such Person or any newly formed Subsidiary of such Obligor in connection with such Acquisition, shall be owned 100% by an Obligor and Borrower shall have taken, or caused to be taken, as of the date such Person becomes a Subsidiary of an Obligor, each of the actions set forth in Section 8.11, if applicable;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such Person (in the case of an Acquisition of Equity Interests) or assets (in the case of an Acquisition of assets or a division) (A) shall be engaged or used, as the case may be, in the same business or lines of business in which Borrower and/or its Subsidiaries are engaged or a business reasonably and substantially related thereto or (B) shall have a similar customer base as Borrower and/or its Subsidiaries;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Borrower shall have provided the Administrative Agent with at least ten (10) Business Days’ prior written notice of any such Acquisition, together with summaries, prepared in reasonable detail, of all due diligence </w:t>
      </w:r>
    </w:p>
    <w:p>
      <w:pPr>
        <w:pStyle w:val="TextBody"/>
        <w:bidi w:val="0"/>
        <w:jc w:val="center"/>
        <w:rPr/>
      </w:pPr>
      <w:r>
        <w:rPr>
          <w:color w:val="000000"/>
        </w:rPr>
        <w:noBreakHyphen/>
      </w:r>
      <w:r>
        <w:rPr>
          <w:rFonts w:ascii="Times New Roman" w:hAnsi="Times New Roman"/>
          <w:color w:val="000000"/>
          <w:sz w:val="24"/>
        </w:rPr>
        <w:t>22</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conducted by or on behalf of Borrower or the applicable Subsidiary prior to such Acquisition;</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the Acquisition shall have been approved by the Board or other governing body or controlling Person of the Person acquired or the Person from whom such assets or division is acquired;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(vii)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all of the assets or Equity Interests acquired in connection with such Acquisition shall be of a U.S. Person; and</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(viii)</w:t>
      </w:r>
    </w:p>
    <w:p>
      <w:pPr>
        <w:pStyle w:val="TextBody"/>
        <w:bidi w:val="0"/>
        <w:spacing w:before="320" w:after="283"/>
        <w:jc w:val="both"/>
        <w:rPr/>
      </w:pPr>
      <w:r>
        <w:rPr>
          <w:rFonts w:ascii="Times New Roman" w:hAnsi="Times New Roman"/>
          <w:color w:val="000000"/>
          <w:sz w:val="24"/>
        </w:rPr>
        <w:t xml:space="preserve">on a </w:t>
      </w:r>
      <w:r>
        <w:rPr>
          <w:rFonts w:ascii="Times New Roman" w:hAnsi="Times New Roman"/>
          <w:i/>
          <w:color w:val="000000"/>
          <w:sz w:val="24"/>
        </w:rPr>
        <w:t>pro forma</w:t>
      </w:r>
      <w:r>
        <w:rPr>
          <w:color w:val="000000"/>
        </w:rPr>
        <w:t xml:space="preserve"> </w:t>
      </w:r>
      <w:r>
        <w:rPr>
          <w:rFonts w:ascii="Times New Roman" w:hAnsi="Times New Roman"/>
          <w:color w:val="000000"/>
          <w:sz w:val="24"/>
        </w:rPr>
        <w:t xml:space="preserve">basis after giving effect to such Acquisition, the Obligors shall be in compliance with Section 8.15. </w:t>
      </w:r>
    </w:p>
    <w:p>
      <w:pPr>
        <w:pStyle w:val="TextBody"/>
        <w:bidi w:val="0"/>
        <w:spacing w:before="280" w:after="283"/>
        <w:jc w:val="both"/>
        <w:rPr/>
      </w:pPr>
      <w:r>
        <w:rPr>
          <w:color w:val="000000"/>
        </w:rPr>
        <w:t>“</w:t>
      </w:r>
      <w:r>
        <w:rPr>
          <w:rFonts w:ascii="Times New Roman" w:hAnsi="Times New Roman"/>
          <w:i/>
          <w:color w:val="000000"/>
          <w:sz w:val="24"/>
        </w:rPr>
        <w:t>Permitted Cash Equivalent Investments”</w:t>
      </w:r>
      <w:r>
        <w:rPr>
          <w:rFonts w:ascii="Times New Roman" w:hAnsi="Times New Roman"/>
          <w:color w:val="000000"/>
          <w:sz w:val="20"/>
        </w:rPr>
        <w:t xml:space="preserve"> </w:t>
      </w:r>
      <w:r>
        <w:rPr>
          <w:rFonts w:ascii="Times New Roman" w:hAnsi="Times New Roman"/>
          <w:color w:val="000000"/>
          <w:sz w:val="24"/>
        </w:rPr>
        <w:t>means (a) marketable direct obligations issued or unconditionally guaranteed by the United States or any agency or any state thereof, or by an instrumentality or agency of them with an equivalent credit rating having maturities of not more than two (2) years from the date of acquisition, (b) commercial paper with an average maturity of no more than one (1) year and having the highest rating from either Standard &amp; Poor’s Ratings Group or Moody’s Investors Service, Inc., (c) any money market funds or other investment vehicles whose principal investments are in investments described in clauses (a) or (b) above, (d) certificates of deposit maturing no more than one (1) year after issue, and (e) other similar Investments permitted by the Borrower’s investment policy delivered to the Administrative Agent prior to the Closing Date, as amended from time to time, so long as such investment policy and any such amounts have been approved by the Administrative Agent in advance in its sole discretion.</w:t>
      </w:r>
    </w:p>
    <w:p>
      <w:pPr>
        <w:pStyle w:val="TextBody"/>
        <w:bidi w:val="0"/>
        <w:spacing w:before="280" w:after="283"/>
        <w:jc w:val="both"/>
        <w:rPr/>
      </w:pPr>
      <w:r>
        <w:rPr>
          <w:color w:val="000000"/>
        </w:rPr>
        <w:t>“</w:t>
      </w:r>
      <w:r>
        <w:rPr>
          <w:rFonts w:ascii="Times New Roman" w:hAnsi="Times New Roman"/>
          <w:i/>
          <w:color w:val="000000"/>
          <w:sz w:val="24"/>
        </w:rPr>
        <w:t>Permitted Indebtedness”</w:t>
      </w:r>
      <w:r>
        <w:rPr>
          <w:rFonts w:ascii="Times New Roman" w:hAnsi="Times New Roman"/>
          <w:color w:val="000000"/>
          <w:sz w:val="20"/>
        </w:rPr>
        <w:t xml:space="preserve"> </w:t>
      </w:r>
      <w:r>
        <w:rPr>
          <w:rFonts w:ascii="Times New Roman" w:hAnsi="Times New Roman"/>
          <w:color w:val="000000"/>
          <w:sz w:val="24"/>
        </w:rPr>
        <w:t>means any Indebtedness permitted under Section 9.01.</w:t>
      </w:r>
    </w:p>
    <w:p>
      <w:pPr>
        <w:pStyle w:val="TextBody"/>
        <w:bidi w:val="0"/>
        <w:spacing w:before="280" w:after="283"/>
        <w:jc w:val="both"/>
        <w:rPr/>
      </w:pPr>
      <w:r>
        <w:rPr>
          <w:color w:val="000000"/>
        </w:rPr>
        <w:t>“</w:t>
      </w:r>
      <w:r>
        <w:rPr>
          <w:rFonts w:ascii="Times New Roman" w:hAnsi="Times New Roman"/>
          <w:i/>
          <w:color w:val="000000"/>
          <w:sz w:val="24"/>
        </w:rPr>
        <w:t>Permitted Licenses”</w:t>
      </w:r>
      <w:r>
        <w:rPr>
          <w:rFonts w:ascii="Times New Roman" w:hAnsi="Times New Roman"/>
          <w:color w:val="000000"/>
          <w:sz w:val="20"/>
        </w:rPr>
        <w:t xml:space="preserve"> </w:t>
      </w:r>
      <w:r>
        <w:rPr>
          <w:rFonts w:ascii="Times New Roman" w:hAnsi="Times New Roman"/>
          <w:color w:val="000000"/>
          <w:sz w:val="24"/>
        </w:rPr>
        <w:t>means (a)(i) licenses of off-the-shelf or over-the-counter or open-source software that is commercially available to the public, (ii) inbound licenses for the use of any Patents, Trademarks, Copyrights, Industrial Designs and Technical Information of any third party, (iii) non-exclusive licenses for the use of Obligor Intellectual Property and (iv) immaterial Intellectual Property licensed to Borrower or any of its Subsidiaries, in each case, entered into in the Ordinary Course of Business or as otherwise may be approved by the applicable Obligor’s Board and so long as such license does not materially impair the Lenders from exercising their rights under any of the Loan Documents and (b) the Caprion License.</w:t>
      </w:r>
    </w:p>
    <w:p>
      <w:pPr>
        <w:pStyle w:val="TextBody"/>
        <w:bidi w:val="0"/>
        <w:spacing w:before="280" w:after="283"/>
        <w:jc w:val="both"/>
        <w:rPr/>
      </w:pPr>
      <w:r>
        <w:rPr>
          <w:color w:val="000000"/>
        </w:rPr>
        <w:t>“</w:t>
      </w:r>
      <w:r>
        <w:rPr>
          <w:rFonts w:ascii="Times New Roman" w:hAnsi="Times New Roman"/>
          <w:i/>
          <w:color w:val="000000"/>
          <w:sz w:val="24"/>
        </w:rPr>
        <w:t>Permitted Liens”</w:t>
      </w:r>
      <w:r>
        <w:rPr>
          <w:rFonts w:ascii="Times New Roman" w:hAnsi="Times New Roman"/>
          <w:color w:val="000000"/>
          <w:sz w:val="20"/>
        </w:rPr>
        <w:t xml:space="preserve"> </w:t>
      </w:r>
      <w:r>
        <w:rPr>
          <w:rFonts w:ascii="Times New Roman" w:hAnsi="Times New Roman"/>
          <w:color w:val="000000"/>
          <w:sz w:val="24"/>
        </w:rPr>
        <w:t>means any Liens permitted under Section 9.02.</w:t>
      </w:r>
    </w:p>
    <w:p>
      <w:pPr>
        <w:pStyle w:val="TextBody"/>
        <w:bidi w:val="0"/>
        <w:spacing w:before="280" w:after="283"/>
        <w:jc w:val="both"/>
        <w:rPr/>
      </w:pPr>
      <w:r>
        <w:rPr>
          <w:color w:val="000000"/>
        </w:rPr>
        <w:t>“</w:t>
      </w:r>
      <w:r>
        <w:rPr>
          <w:rFonts w:ascii="Times New Roman" w:hAnsi="Times New Roman"/>
          <w:i/>
          <w:color w:val="000000"/>
          <w:sz w:val="24"/>
        </w:rPr>
        <w:t>Permitted Refinancing”</w:t>
      </w:r>
      <w:r>
        <w:rPr>
          <w:rFonts w:ascii="Times New Roman" w:hAnsi="Times New Roman"/>
          <w:color w:val="000000"/>
          <w:sz w:val="20"/>
        </w:rPr>
        <w:t xml:space="preserve"> </w:t>
      </w:r>
      <w:r>
        <w:rPr>
          <w:rFonts w:ascii="Times New Roman" w:hAnsi="Times New Roman"/>
          <w:color w:val="000000"/>
          <w:sz w:val="24"/>
        </w:rPr>
        <w:t xml:space="preserve">means, with respect to any Indebtedness permitted to be refinanced, extended, renewed or replaced hereunder, any refinancings, extensions, renewals and replacements of such Indebtedness;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refinancing, extension, renewal or replacement shall not (a) increase the outstanding principal amount of the Indebtedness being refinanced, extended, renewed or replaced (except in the amount of accrued interest, reasonable and documented upfront and other fees and transaction costs), (b) contain terms relating to</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23</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outstanding principal amount, amortization, interest rate or equivalent yield, maturity, collateral security (if any) or subordination (if any), or other material terms that, taken as a whole, are less favorable in any material respect to any Obligor or the Lenders than the terms of any agreement or instrument governing the Indebtedness being refinanced, (c) contain any new requirement to grant any Lien or to give any Guarantee that was not an existing requirement of the Indebtedness being refinanced and (d) at the time of and immediately after giving effect to the refinancing, extension, renewal or replacement, no Default shall have occurred and be continuing.</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Person”</w:t>
      </w:r>
      <w:r>
        <w:rPr>
          <w:rFonts w:ascii="Times New Roman" w:hAnsi="Times New Roman"/>
          <w:color w:val="000000"/>
          <w:sz w:val="20"/>
        </w:rPr>
        <w:t xml:space="preserve"> </w:t>
      </w:r>
      <w:r>
        <w:rPr>
          <w:rFonts w:ascii="Times New Roman" w:hAnsi="Times New Roman"/>
          <w:color w:val="000000"/>
          <w:sz w:val="24"/>
        </w:rPr>
        <w:t>means any individual, corporation, company, voluntary association, partnership, limited liability company, joint venture, trust, unincorporated organization or Governmental Authority or other entity of whatever nature.</w:t>
      </w:r>
    </w:p>
    <w:p>
      <w:pPr>
        <w:pStyle w:val="TextBody"/>
        <w:bidi w:val="0"/>
        <w:spacing w:before="280" w:after="283"/>
        <w:jc w:val="both"/>
        <w:rPr/>
      </w:pPr>
      <w:r>
        <w:rPr>
          <w:color w:val="000000"/>
        </w:rPr>
        <w:t>“</w:t>
      </w:r>
      <w:r>
        <w:rPr>
          <w:rFonts w:ascii="Times New Roman" w:hAnsi="Times New Roman"/>
          <w:i/>
          <w:color w:val="000000"/>
          <w:sz w:val="24"/>
        </w:rPr>
        <w:t>PFIC”</w:t>
      </w:r>
      <w:r>
        <w:rPr>
          <w:rFonts w:ascii="Times New Roman" w:hAnsi="Times New Roman"/>
          <w:color w:val="000000"/>
          <w:sz w:val="20"/>
        </w:rPr>
        <w:t xml:space="preserve"> </w:t>
      </w:r>
      <w:r>
        <w:rPr>
          <w:rFonts w:ascii="Times New Roman" w:hAnsi="Times New Roman"/>
          <w:color w:val="000000"/>
          <w:sz w:val="24"/>
        </w:rPr>
        <w:t>has the meaning set forth in Section 8.01(i).</w:t>
      </w:r>
    </w:p>
    <w:p>
      <w:pPr>
        <w:pStyle w:val="TextBody"/>
        <w:bidi w:val="0"/>
        <w:spacing w:before="280" w:after="283"/>
        <w:jc w:val="both"/>
        <w:rPr/>
      </w:pPr>
      <w:r>
        <w:rPr>
          <w:color w:val="000000"/>
        </w:rPr>
        <w:t>“</w:t>
      </w:r>
      <w:r>
        <w:rPr>
          <w:rFonts w:ascii="Times New Roman" w:hAnsi="Times New Roman"/>
          <w:i/>
          <w:color w:val="000000"/>
          <w:sz w:val="24"/>
        </w:rPr>
        <w:t>Prepayment Premium”</w:t>
      </w:r>
      <w:r>
        <w:rPr>
          <w:rFonts w:ascii="Times New Roman" w:hAnsi="Times New Roman"/>
          <w:color w:val="000000"/>
          <w:sz w:val="20"/>
        </w:rPr>
        <w:t xml:space="preserve"> </w:t>
      </w:r>
      <w:r>
        <w:rPr>
          <w:rFonts w:ascii="Times New Roman" w:hAnsi="Times New Roman"/>
          <w:color w:val="000000"/>
          <w:sz w:val="24"/>
        </w:rPr>
        <w:t>has the meaning set forth in Section 3.03(a).</w:t>
      </w:r>
    </w:p>
    <w:p>
      <w:pPr>
        <w:pStyle w:val="TextBody"/>
        <w:bidi w:val="0"/>
        <w:spacing w:before="280" w:after="283"/>
        <w:jc w:val="both"/>
        <w:rPr/>
      </w:pPr>
      <w:r>
        <w:rPr>
          <w:color w:val="000000"/>
        </w:rPr>
        <w:t>“</w:t>
      </w:r>
      <w:r>
        <w:rPr>
          <w:rFonts w:ascii="Times New Roman" w:hAnsi="Times New Roman"/>
          <w:i/>
          <w:color w:val="000000"/>
          <w:sz w:val="24"/>
        </w:rPr>
        <w:t>Pro Rata Share”</w:t>
      </w:r>
      <w:r>
        <w:rPr>
          <w:rFonts w:ascii="Times New Roman" w:hAnsi="Times New Roman"/>
          <w:color w:val="000000"/>
          <w:sz w:val="20"/>
        </w:rPr>
        <w:t xml:space="preserve"> </w:t>
      </w:r>
      <w:r>
        <w:rPr>
          <w:rFonts w:ascii="Times New Roman" w:hAnsi="Times New Roman"/>
          <w:color w:val="000000"/>
          <w:sz w:val="24"/>
        </w:rPr>
        <w:t>has the meaning set forth in Section 11.08.</w:t>
      </w:r>
    </w:p>
    <w:p>
      <w:pPr>
        <w:pStyle w:val="TextBody"/>
        <w:bidi w:val="0"/>
        <w:spacing w:before="280" w:after="283"/>
        <w:jc w:val="both"/>
        <w:rPr/>
      </w:pPr>
      <w:r>
        <w:rPr>
          <w:color w:val="000000"/>
        </w:rPr>
        <w:t>“</w:t>
      </w:r>
      <w:r>
        <w:rPr>
          <w:rFonts w:ascii="Times New Roman" w:hAnsi="Times New Roman"/>
          <w:i/>
          <w:color w:val="000000"/>
          <w:sz w:val="24"/>
        </w:rPr>
        <w:t>Product”</w:t>
      </w:r>
      <w:r>
        <w:rPr>
          <w:rFonts w:ascii="Times New Roman" w:hAnsi="Times New Roman"/>
          <w:color w:val="000000"/>
          <w:sz w:val="20"/>
        </w:rPr>
        <w:t xml:space="preserve"> </w:t>
      </w:r>
      <w:r>
        <w:rPr>
          <w:rFonts w:ascii="Times New Roman" w:hAnsi="Times New Roman"/>
          <w:color w:val="000000"/>
          <w:sz w:val="24"/>
        </w:rPr>
        <w:t>means (a) those Devices set forth (and described in reasonable detail) on Schedule 3 attached hereto and (b) any current or future Device subject to any Product Development and Commercialization Activities by any Obligor, including any such Device currently in development.</w:t>
      </w:r>
    </w:p>
    <w:p>
      <w:pPr>
        <w:pStyle w:val="TextBody"/>
        <w:bidi w:val="0"/>
        <w:spacing w:before="280" w:after="283"/>
        <w:jc w:val="both"/>
        <w:rPr/>
      </w:pPr>
      <w:r>
        <w:rPr>
          <w:color w:val="000000"/>
        </w:rPr>
        <w:t>“</w:t>
      </w:r>
      <w:r>
        <w:rPr>
          <w:rFonts w:ascii="Times New Roman" w:hAnsi="Times New Roman"/>
          <w:i/>
          <w:color w:val="000000"/>
          <w:sz w:val="24"/>
        </w:rPr>
        <w:t>Product Agreement”</w:t>
      </w:r>
      <w:r>
        <w:rPr>
          <w:rFonts w:ascii="Times New Roman" w:hAnsi="Times New Roman"/>
          <w:color w:val="000000"/>
          <w:sz w:val="20"/>
        </w:rPr>
        <w:t xml:space="preserve"> </w:t>
      </w:r>
      <w:r>
        <w:rPr>
          <w:rFonts w:ascii="Times New Roman" w:hAnsi="Times New Roman"/>
          <w:color w:val="000000"/>
          <w:sz w:val="24"/>
        </w:rPr>
        <w:t>means, with respect to any Product, any Contract, license, document, instrument, interest (equity or otherwise) or the like under which one or more Persons grants or receives (a) any right, title or interest with respect to any Product Development and Commercialization Activities of such Product or (b) any right to exclude any other Person from engaging in, or otherwise restricting any right, title or interest as to, any Product Development and Commercialization Activities with respect to such Product, including any Contract with suppliers, manufacturers, distributors, clinical research organizations, hospitals, group purchasing organizations, wholesalers, pharmacies or any other Person related to such entity.</w:t>
      </w:r>
    </w:p>
    <w:p>
      <w:pPr>
        <w:pStyle w:val="TextBody"/>
        <w:bidi w:val="0"/>
        <w:spacing w:before="280" w:after="283"/>
        <w:jc w:val="both"/>
        <w:rPr/>
      </w:pPr>
      <w:r>
        <w:rPr>
          <w:color w:val="000000"/>
        </w:rPr>
        <w:t>“</w:t>
      </w:r>
      <w:r>
        <w:rPr>
          <w:rFonts w:ascii="Times New Roman" w:hAnsi="Times New Roman"/>
          <w:i/>
          <w:color w:val="000000"/>
          <w:sz w:val="24"/>
        </w:rPr>
        <w:t>Product Assets”</w:t>
      </w:r>
      <w:r>
        <w:rPr>
          <w:rFonts w:ascii="Times New Roman" w:hAnsi="Times New Roman"/>
          <w:color w:val="000000"/>
          <w:sz w:val="20"/>
        </w:rPr>
        <w:t xml:space="preserve"> </w:t>
      </w:r>
      <w:r>
        <w:rPr>
          <w:rFonts w:ascii="Times New Roman" w:hAnsi="Times New Roman"/>
          <w:color w:val="000000"/>
          <w:sz w:val="24"/>
        </w:rPr>
        <w:t>means, with respect to any Product, (a) any and all rights, title and interest of the Obligors in any assets relating to such Product or any Product Development and Commercialization Activities with respect to such Product, (b) all Product Related Information with respect to such Product or any related Product Development and Commercialization Activities, (c) any rights, title and interest of the Obligors under any Product Agreement related to such Product or any such Product Development and Commercialization Activities, (d) any rights, title and interest of the Obligors to Intellectual Property, Regulatory Approvals and similar assets with respect to such Product or any such Product Development and Commercialization Activities, and (e) all rights, title and interests of the Obligors in any other property, tangible or intangible manifesting or otherwise in respect of such Product or any such Product Development and Commercialization Activities, including, without limitation, inventory, accounts receivable or similar rights to receive money or payment pertaining thereto and all proceeds of the foregoing.</w:t>
      </w:r>
    </w:p>
    <w:p>
      <w:pPr>
        <w:pStyle w:val="TextBody"/>
        <w:bidi w:val="0"/>
        <w:jc w:val="center"/>
        <w:rPr/>
      </w:pPr>
      <w:r>
        <w:rPr>
          <w:color w:val="000000"/>
        </w:rPr>
        <w:noBreakHyphen/>
      </w:r>
      <w:r>
        <w:rPr>
          <w:rFonts w:ascii="Times New Roman" w:hAnsi="Times New Roman"/>
          <w:color w:val="000000"/>
          <w:sz w:val="24"/>
        </w:rPr>
        <w:t>24</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Product Authorizations”</w:t>
      </w:r>
      <w:r>
        <w:rPr>
          <w:rFonts w:ascii="Times New Roman" w:hAnsi="Times New Roman"/>
          <w:color w:val="000000"/>
          <w:sz w:val="20"/>
        </w:rPr>
        <w:t xml:space="preserve"> </w:t>
      </w:r>
      <w:r>
        <w:rPr>
          <w:rFonts w:ascii="Times New Roman" w:hAnsi="Times New Roman"/>
          <w:color w:val="000000"/>
          <w:sz w:val="24"/>
        </w:rPr>
        <w:t>means any and all Regulatory Approvals (including all applicable Device Clearance Applications, supplements, amendments, governmental price and reimbursement approvals and approvals of applications for regulatory exclusivity), clearances, licenses, notifications, registrations, safety or quality specifications and standards, or any other authorizations of any applicable Regulatory Authority in each case necessary for the manufacturing, development, distribution, ownership, use, storage, import, export, transport, promotion, marketing, sale or other commercialization of any Product or for any Product Development and Commercialization Activities with respect thereto in any country or jurisdiction, whether U.S. or non</w:t>
        <w:noBreakHyphen/>
        <w:t>U.S.</w:t>
      </w:r>
    </w:p>
    <w:p>
      <w:pPr>
        <w:pStyle w:val="TextBody"/>
        <w:bidi w:val="0"/>
        <w:spacing w:before="280" w:after="283"/>
        <w:jc w:val="both"/>
        <w:rPr/>
      </w:pPr>
      <w:r>
        <w:rPr>
          <w:color w:val="000000"/>
        </w:rPr>
        <w:t>“</w:t>
      </w:r>
      <w:r>
        <w:rPr>
          <w:rFonts w:ascii="Times New Roman" w:hAnsi="Times New Roman"/>
          <w:i/>
          <w:color w:val="000000"/>
          <w:sz w:val="24"/>
        </w:rPr>
        <w:t>Product Development and Commercialization Activities”</w:t>
      </w:r>
      <w:r>
        <w:rPr>
          <w:rFonts w:ascii="Times New Roman" w:hAnsi="Times New Roman"/>
          <w:color w:val="000000"/>
          <w:sz w:val="20"/>
        </w:rPr>
        <w:t xml:space="preserve"> </w:t>
      </w:r>
      <w:r>
        <w:rPr>
          <w:rFonts w:ascii="Times New Roman" w:hAnsi="Times New Roman"/>
          <w:color w:val="000000"/>
          <w:sz w:val="24"/>
        </w:rPr>
        <w:t>means, with respect to any Product, any combination of research, development, manufacture, import, use, sale, licensing, importation, storage, design, labeling, marketing, promotion, supply, distribution, testing,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pStyle w:val="TextBody"/>
        <w:bidi w:val="0"/>
        <w:spacing w:before="280" w:after="283"/>
        <w:jc w:val="both"/>
        <w:rPr/>
      </w:pPr>
      <w:r>
        <w:rPr>
          <w:color w:val="000000"/>
        </w:rPr>
        <w:t>“</w:t>
      </w:r>
      <w:r>
        <w:rPr>
          <w:rFonts w:ascii="Times New Roman" w:hAnsi="Times New Roman"/>
          <w:i/>
          <w:color w:val="000000"/>
          <w:sz w:val="24"/>
        </w:rPr>
        <w:t xml:space="preserve">Product Related Information” </w:t>
      </w:r>
      <w:r>
        <w:rPr>
          <w:rFonts w:ascii="Times New Roman" w:hAnsi="Times New Roman"/>
          <w:color w:val="000000"/>
          <w:sz w:val="24"/>
        </w:rPr>
        <w:t>means, with respect to any Product, all books, records, lists, ledgers, files, manuals, Contracts, correspondence, reports, plans, drawings and data (in any form or medium), and all techniques and other know</w:t>
        <w:noBreakHyphen/>
        <w:t>how, owned or possessed by the Borrower or any of its Subsidiaries that are necessary or required for any Product Development and Commercialization Activities by any Obligor relating to such Product, including (a) brand materials, packaging and other trade dress, customer targeting and other marketing, promotion and sales materials and information, referral, customer, supplier and other contact lists and information, product, business, marketing and sales plans, research, studies and reports, sales, maintenance and production records, training materials and other marketing, sales and promotional information, (b) clinical data, information included or supporting any Product Authorization or other Regulatory Approval, any regulatory filings, updates, notices and correspondence (including adverse event and other pharmacovigilance and other post</w:t>
        <w:noBreakHyphen/>
        <w:t>marketing reports and information, etc.), technical information, product development and operational data and records, and all other documents, records, files, data and other information relating to product development, manufacture and use, (c) litigation and dispute records, and accounting records, (d) all documents, records and files relating to Intellectual Property, including all correspondence from and to third parties (including Intellectual Property counsel and patent, trademark and other intellectual property registries, including the United States Patent and Trademark Office) and (e) all other information, techniques and know</w:t>
        <w:noBreakHyphen/>
        <w:t>how necessary or required in connection with the Product Development and Commercialization Activities by any Obligor for any Product.</w:t>
      </w:r>
    </w:p>
    <w:p>
      <w:pPr>
        <w:pStyle w:val="TextBody"/>
        <w:bidi w:val="0"/>
        <w:spacing w:before="280" w:after="283"/>
        <w:jc w:val="both"/>
        <w:rPr/>
      </w:pPr>
      <w:r>
        <w:rPr>
          <w:color w:val="000000"/>
        </w:rPr>
        <w:t>“</w:t>
      </w:r>
      <w:r>
        <w:rPr>
          <w:rFonts w:ascii="Times New Roman" w:hAnsi="Times New Roman"/>
          <w:i/>
          <w:color w:val="000000"/>
          <w:sz w:val="24"/>
        </w:rPr>
        <w:t>Prohibited Payment”</w:t>
      </w:r>
      <w:r>
        <w:rPr>
          <w:rFonts w:ascii="Times New Roman" w:hAnsi="Times New Roman"/>
          <w:color w:val="000000"/>
          <w:sz w:val="20"/>
        </w:rPr>
        <w:t xml:space="preserve"> </w:t>
      </w:r>
      <w:r>
        <w:rPr>
          <w:rFonts w:ascii="Times New Roman" w:hAnsi="Times New Roman"/>
          <w:color w:val="000000"/>
          <w:sz w:val="24"/>
        </w:rPr>
        <w:t>means any bribe, rebate, payoff, influence payment, kickback or other payment or gift of money or anything of value (including meals or entertainment) to any officer, employee or ceremonial office holder of any government or instrumentality thereof, political party or supra</w:t>
        <w:noBreakHyphen/>
        <w:t>national organization (such as the United Nations), any political candidate, any royal family member or any other person who is connected or associated personally with any of the foregoing that is prohibited under any Requirement of Law.</w:t>
      </w:r>
    </w:p>
    <w:p>
      <w:pPr>
        <w:pStyle w:val="TextBody"/>
        <w:bidi w:val="0"/>
        <w:jc w:val="center"/>
        <w:rPr/>
      </w:pPr>
      <w:r>
        <w:rPr>
          <w:color w:val="000000"/>
        </w:rPr>
        <w:noBreakHyphen/>
      </w:r>
      <w:r>
        <w:rPr>
          <w:rFonts w:ascii="Times New Roman" w:hAnsi="Times New Roman"/>
          <w:color w:val="000000"/>
          <w:sz w:val="24"/>
        </w:rPr>
        <w:t>25</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Projections”</w:t>
      </w:r>
      <w:r>
        <w:rPr>
          <w:rFonts w:ascii="Times New Roman" w:hAnsi="Times New Roman"/>
          <w:color w:val="000000"/>
          <w:sz w:val="20"/>
        </w:rPr>
        <w:t xml:space="preserve"> </w:t>
      </w:r>
      <w:r>
        <w:rPr>
          <w:rFonts w:ascii="Times New Roman" w:hAnsi="Times New Roman"/>
          <w:color w:val="000000"/>
          <w:sz w:val="24"/>
        </w:rPr>
        <w:t>has the meaning set forth in Section 7.04(b).</w:t>
      </w:r>
    </w:p>
    <w:p>
      <w:pPr>
        <w:pStyle w:val="TextBody"/>
        <w:bidi w:val="0"/>
        <w:spacing w:before="280" w:after="283"/>
        <w:jc w:val="both"/>
        <w:rPr/>
      </w:pPr>
      <w:r>
        <w:rPr>
          <w:color w:val="000000"/>
        </w:rPr>
        <w:t>“</w:t>
      </w:r>
      <w:r>
        <w:rPr>
          <w:rFonts w:ascii="Times New Roman" w:hAnsi="Times New Roman"/>
          <w:i/>
          <w:color w:val="000000"/>
          <w:sz w:val="24"/>
        </w:rPr>
        <w:t>Property”</w:t>
      </w:r>
      <w:r>
        <w:rPr>
          <w:rFonts w:ascii="Times New Roman" w:hAnsi="Times New Roman"/>
          <w:color w:val="000000"/>
          <w:sz w:val="20"/>
        </w:rPr>
        <w:t xml:space="preserve"> </w:t>
      </w:r>
      <w:r>
        <w:rPr>
          <w:rFonts w:ascii="Times New Roman" w:hAnsi="Times New Roman"/>
          <w:color w:val="000000"/>
          <w:sz w:val="24"/>
        </w:rPr>
        <w:t>of any Person means any property or assets, or interest therein, of such Person.</w:t>
      </w:r>
    </w:p>
    <w:p>
      <w:pPr>
        <w:pStyle w:val="TextBody"/>
        <w:bidi w:val="0"/>
        <w:spacing w:before="280" w:after="283"/>
        <w:jc w:val="both"/>
        <w:rPr/>
      </w:pPr>
      <w:r>
        <w:rPr>
          <w:color w:val="000000"/>
        </w:rPr>
        <w:t>“</w:t>
      </w:r>
      <w:r>
        <w:rPr>
          <w:rFonts w:ascii="Times New Roman" w:hAnsi="Times New Roman"/>
          <w:i/>
          <w:color w:val="000000"/>
          <w:sz w:val="24"/>
        </w:rPr>
        <w:t>Proportionate Share”</w:t>
      </w:r>
      <w:r>
        <w:rPr>
          <w:rFonts w:ascii="Times New Roman" w:hAnsi="Times New Roman"/>
          <w:color w:val="000000"/>
          <w:sz w:val="20"/>
        </w:rPr>
        <w:t xml:space="preserve"> </w:t>
      </w:r>
      <w:r>
        <w:rPr>
          <w:rFonts w:ascii="Times New Roman" w:hAnsi="Times New Roman"/>
          <w:color w:val="000000"/>
          <w:sz w:val="24"/>
        </w:rPr>
        <w:t>means, with respect to any Lender, the percentage obtained by dividing (a) the Loan Exposure of such Lender then in effect by (b) the aggregate Loan Exposure of all Lenders then in effect.</w:t>
      </w:r>
    </w:p>
    <w:p>
      <w:pPr>
        <w:pStyle w:val="TextBody"/>
        <w:bidi w:val="0"/>
        <w:spacing w:before="280" w:after="283"/>
        <w:jc w:val="both"/>
        <w:rPr/>
      </w:pPr>
      <w:r>
        <w:rPr>
          <w:color w:val="000000"/>
        </w:rPr>
        <w:t>“</w:t>
      </w:r>
      <w:r>
        <w:rPr>
          <w:rFonts w:ascii="Times New Roman" w:hAnsi="Times New Roman"/>
          <w:i/>
          <w:color w:val="000000"/>
          <w:sz w:val="24"/>
        </w:rPr>
        <w:t>Proposal Letter”</w:t>
      </w:r>
      <w:r>
        <w:rPr>
          <w:rFonts w:ascii="Times New Roman" w:hAnsi="Times New Roman"/>
          <w:color w:val="000000"/>
          <w:sz w:val="20"/>
        </w:rPr>
        <w:t xml:space="preserve"> </w:t>
      </w:r>
      <w:r>
        <w:rPr>
          <w:rFonts w:ascii="Times New Roman" w:hAnsi="Times New Roman"/>
          <w:color w:val="000000"/>
          <w:sz w:val="24"/>
        </w:rPr>
        <w:t>means the letter agreement, dated October 17, 2022, among the Borrower and Perceptive Advisors LLC, regarding the transactions contemplated hereby and the outline of proposed terms and conditions attached thereto.</w:t>
      </w:r>
    </w:p>
    <w:p>
      <w:pPr>
        <w:pStyle w:val="TextBody"/>
        <w:bidi w:val="0"/>
        <w:spacing w:before="280" w:after="283"/>
        <w:jc w:val="both"/>
        <w:rPr/>
      </w:pPr>
      <w:r>
        <w:rPr>
          <w:color w:val="000000"/>
        </w:rPr>
        <w:t>“</w:t>
      </w:r>
      <w:r>
        <w:rPr>
          <w:rFonts w:ascii="Times New Roman" w:hAnsi="Times New Roman"/>
          <w:i/>
          <w:color w:val="000000"/>
          <w:sz w:val="24"/>
        </w:rPr>
        <w:t>Publicly Reporting Company”</w:t>
      </w:r>
      <w:r>
        <w:rPr>
          <w:rFonts w:ascii="Times New Roman" w:hAnsi="Times New Roman"/>
          <w:color w:val="000000"/>
          <w:sz w:val="20"/>
        </w:rPr>
        <w:t xml:space="preserve"> </w:t>
      </w:r>
      <w:r>
        <w:rPr>
          <w:rFonts w:ascii="Times New Roman" w:hAnsi="Times New Roman"/>
          <w:color w:val="000000"/>
          <w:sz w:val="24"/>
        </w:rPr>
        <w:t>means an issuer generally subject to the public reporting requirements of the Exchange Act.</w:t>
      </w:r>
    </w:p>
    <w:p>
      <w:pPr>
        <w:pStyle w:val="TextBody"/>
        <w:bidi w:val="0"/>
        <w:spacing w:before="280" w:after="283"/>
        <w:jc w:val="both"/>
        <w:rPr/>
      </w:pPr>
      <w:r>
        <w:rPr>
          <w:color w:val="000000"/>
        </w:rPr>
        <w:t>“</w:t>
      </w:r>
      <w:r>
        <w:rPr>
          <w:rFonts w:ascii="Times New Roman" w:hAnsi="Times New Roman"/>
          <w:i/>
          <w:color w:val="000000"/>
          <w:sz w:val="24"/>
        </w:rPr>
        <w:t>Qualified Equity Interest”</w:t>
      </w:r>
      <w:r>
        <w:rPr>
          <w:rFonts w:ascii="Times New Roman" w:hAnsi="Times New Roman"/>
          <w:color w:val="000000"/>
          <w:sz w:val="20"/>
        </w:rPr>
        <w:t xml:space="preserve"> </w:t>
      </w:r>
      <w:r>
        <w:rPr>
          <w:rFonts w:ascii="Times New Roman" w:hAnsi="Times New Roman"/>
          <w:color w:val="000000"/>
          <w:sz w:val="24"/>
        </w:rPr>
        <w:t>means, with respect to any Person, any Equity Interest of such Person that is not a Disqualified Equity Interest.</w:t>
      </w:r>
    </w:p>
    <w:p>
      <w:pPr>
        <w:pStyle w:val="TextBody"/>
        <w:bidi w:val="0"/>
        <w:spacing w:before="280" w:after="283"/>
        <w:jc w:val="both"/>
        <w:rPr/>
      </w:pPr>
      <w:r>
        <w:rPr>
          <w:color w:val="000000"/>
        </w:rPr>
        <w:t>“</w:t>
      </w:r>
      <w:r>
        <w:rPr>
          <w:rFonts w:ascii="Times New Roman" w:hAnsi="Times New Roman"/>
          <w:i/>
          <w:color w:val="000000"/>
          <w:sz w:val="24"/>
        </w:rPr>
        <w:t>Recipient”</w:t>
      </w:r>
      <w:r>
        <w:rPr>
          <w:rFonts w:ascii="Times New Roman" w:hAnsi="Times New Roman"/>
          <w:color w:val="000000"/>
          <w:sz w:val="20"/>
        </w:rPr>
        <w:t xml:space="preserve"> </w:t>
      </w:r>
      <w:r>
        <w:rPr>
          <w:rFonts w:ascii="Times New Roman" w:hAnsi="Times New Roman"/>
          <w:color w:val="000000"/>
          <w:sz w:val="24"/>
        </w:rPr>
        <w:t>means any Lender or the Administrative Agent.</w:t>
      </w:r>
    </w:p>
    <w:p>
      <w:pPr>
        <w:pStyle w:val="TextBody"/>
        <w:bidi w:val="0"/>
        <w:spacing w:before="280" w:after="283"/>
        <w:jc w:val="both"/>
        <w:rPr/>
      </w:pPr>
      <w:r>
        <w:rPr>
          <w:color w:val="000000"/>
        </w:rPr>
        <w:t>“</w:t>
      </w:r>
      <w:r>
        <w:rPr>
          <w:rFonts w:ascii="Times New Roman" w:hAnsi="Times New Roman"/>
          <w:i/>
          <w:color w:val="000000"/>
          <w:sz w:val="24"/>
        </w:rPr>
        <w:t>Redemption Date”</w:t>
      </w:r>
      <w:r>
        <w:rPr>
          <w:rFonts w:ascii="Times New Roman" w:hAnsi="Times New Roman"/>
          <w:color w:val="000000"/>
          <w:sz w:val="20"/>
        </w:rPr>
        <w:t xml:space="preserve"> </w:t>
      </w:r>
      <w:r>
        <w:rPr>
          <w:rFonts w:ascii="Times New Roman" w:hAnsi="Times New Roman"/>
          <w:color w:val="000000"/>
          <w:sz w:val="24"/>
        </w:rPr>
        <w:t>has the meaning set forth in Section 3.03(a).</w:t>
      </w:r>
    </w:p>
    <w:p>
      <w:pPr>
        <w:pStyle w:val="TextBody"/>
        <w:bidi w:val="0"/>
        <w:spacing w:before="280" w:after="283"/>
        <w:jc w:val="both"/>
        <w:rPr/>
      </w:pPr>
      <w:r>
        <w:rPr>
          <w:color w:val="000000"/>
        </w:rPr>
        <w:t>“</w:t>
      </w:r>
      <w:r>
        <w:rPr>
          <w:rFonts w:ascii="Times New Roman" w:hAnsi="Times New Roman"/>
          <w:i/>
          <w:color w:val="000000"/>
          <w:sz w:val="24"/>
        </w:rPr>
        <w:t>Redemption Price”</w:t>
      </w:r>
      <w:r>
        <w:rPr>
          <w:rFonts w:ascii="Times New Roman" w:hAnsi="Times New Roman"/>
          <w:color w:val="000000"/>
          <w:sz w:val="20"/>
        </w:rPr>
        <w:t xml:space="preserve"> </w:t>
      </w:r>
      <w:r>
        <w:rPr>
          <w:rFonts w:ascii="Times New Roman" w:hAnsi="Times New Roman"/>
          <w:color w:val="000000"/>
          <w:sz w:val="24"/>
        </w:rPr>
        <w:t>has the meaning set forth in Section 3.03(a).</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 xml:space="preserve">Referral Source” </w:t>
      </w:r>
      <w:r>
        <w:rPr>
          <w:rFonts w:ascii="Times New Roman" w:hAnsi="Times New Roman"/>
          <w:color w:val="000000"/>
          <w:sz w:val="24"/>
        </w:rPr>
        <w:t>has the meaning set forth in Section 7.07(b)(i).</w:t>
      </w:r>
    </w:p>
    <w:p>
      <w:pPr>
        <w:pStyle w:val="TextBody"/>
        <w:bidi w:val="0"/>
        <w:spacing w:before="280" w:after="283"/>
        <w:jc w:val="both"/>
        <w:rPr/>
      </w:pPr>
      <w:r>
        <w:rPr>
          <w:color w:val="000000"/>
        </w:rPr>
        <w:t>“</w:t>
      </w:r>
      <w:r>
        <w:rPr>
          <w:rFonts w:ascii="Times New Roman" w:hAnsi="Times New Roman"/>
          <w:i/>
          <w:color w:val="000000"/>
          <w:sz w:val="24"/>
        </w:rPr>
        <w:t>Refinancing</w:t>
      </w:r>
      <w:r>
        <w:rPr>
          <w:rFonts w:ascii="Times New Roman" w:hAnsi="Times New Roman"/>
          <w:color w:val="000000"/>
          <w:sz w:val="20"/>
        </w:rPr>
        <w:t xml:space="preserve">” </w:t>
      </w:r>
      <w:r>
        <w:rPr>
          <w:rFonts w:ascii="Times New Roman" w:hAnsi="Times New Roman"/>
          <w:color w:val="000000"/>
          <w:sz w:val="24"/>
        </w:rPr>
        <w:t>has the meaning set forth in Section 2.05(b).</w:t>
      </w:r>
    </w:p>
    <w:p>
      <w:pPr>
        <w:pStyle w:val="TextBody"/>
        <w:bidi w:val="0"/>
        <w:spacing w:before="280" w:after="283"/>
        <w:jc w:val="both"/>
        <w:rPr/>
      </w:pPr>
      <w:r>
        <w:rPr>
          <w:color w:val="000000"/>
        </w:rPr>
        <w:t>“</w:t>
      </w:r>
      <w:r>
        <w:rPr>
          <w:rFonts w:ascii="Times New Roman" w:hAnsi="Times New Roman"/>
          <w:i/>
          <w:color w:val="000000"/>
          <w:sz w:val="24"/>
        </w:rPr>
        <w:t>Register”</w:t>
      </w:r>
      <w:r>
        <w:rPr>
          <w:rFonts w:ascii="Times New Roman" w:hAnsi="Times New Roman"/>
          <w:color w:val="000000"/>
          <w:sz w:val="20"/>
        </w:rPr>
        <w:t xml:space="preserve"> </w:t>
      </w:r>
      <w:r>
        <w:rPr>
          <w:rFonts w:ascii="Times New Roman" w:hAnsi="Times New Roman"/>
          <w:color w:val="000000"/>
          <w:sz w:val="24"/>
        </w:rPr>
        <w:t>has the meaning set forth in Section 13.05(d).</w:t>
      </w:r>
    </w:p>
    <w:p>
      <w:pPr>
        <w:pStyle w:val="TextBody"/>
        <w:bidi w:val="0"/>
        <w:spacing w:before="280" w:after="283"/>
        <w:jc w:val="both"/>
        <w:rPr/>
      </w:pPr>
      <w:r>
        <w:rPr>
          <w:color w:val="000000"/>
        </w:rPr>
        <w:t>“</w:t>
      </w:r>
      <w:r>
        <w:rPr>
          <w:rFonts w:ascii="Times New Roman" w:hAnsi="Times New Roman"/>
          <w:i/>
          <w:color w:val="000000"/>
          <w:sz w:val="24"/>
        </w:rPr>
        <w:t>Regulation T”</w:t>
      </w:r>
      <w:r>
        <w:rPr>
          <w:rFonts w:ascii="Times New Roman" w:hAnsi="Times New Roman"/>
          <w:color w:val="000000"/>
          <w:sz w:val="20"/>
        </w:rPr>
        <w:t xml:space="preserve"> </w:t>
      </w:r>
      <w:r>
        <w:rPr>
          <w:rFonts w:ascii="Times New Roman" w:hAnsi="Times New Roman"/>
          <w:color w:val="000000"/>
          <w:sz w:val="24"/>
        </w:rPr>
        <w:t>means Regulation T of the Board of Governors of the Federal Reserve System, as amended.</w:t>
      </w:r>
    </w:p>
    <w:p>
      <w:pPr>
        <w:pStyle w:val="TextBody"/>
        <w:bidi w:val="0"/>
        <w:spacing w:before="280" w:after="283"/>
        <w:jc w:val="both"/>
        <w:rPr/>
      </w:pPr>
      <w:r>
        <w:rPr>
          <w:color w:val="000000"/>
        </w:rPr>
        <w:t>“</w:t>
      </w:r>
      <w:r>
        <w:rPr>
          <w:rFonts w:ascii="Times New Roman" w:hAnsi="Times New Roman"/>
          <w:i/>
          <w:color w:val="000000"/>
          <w:sz w:val="24"/>
        </w:rPr>
        <w:t>Regulation U”</w:t>
      </w:r>
      <w:r>
        <w:rPr>
          <w:rFonts w:ascii="Times New Roman" w:hAnsi="Times New Roman"/>
          <w:color w:val="000000"/>
          <w:sz w:val="20"/>
        </w:rPr>
        <w:t xml:space="preserve"> </w:t>
      </w:r>
      <w:r>
        <w:rPr>
          <w:rFonts w:ascii="Times New Roman" w:hAnsi="Times New Roman"/>
          <w:color w:val="000000"/>
          <w:sz w:val="24"/>
        </w:rPr>
        <w:t>means Regulation U of the Board of Governors of the Federal Reserve System, as amended.</w:t>
      </w:r>
    </w:p>
    <w:p>
      <w:pPr>
        <w:pStyle w:val="TextBody"/>
        <w:bidi w:val="0"/>
        <w:spacing w:before="280" w:after="283"/>
        <w:jc w:val="both"/>
        <w:rPr/>
      </w:pPr>
      <w:r>
        <w:rPr>
          <w:color w:val="000000"/>
        </w:rPr>
        <w:t>“</w:t>
      </w:r>
      <w:r>
        <w:rPr>
          <w:rFonts w:ascii="Times New Roman" w:hAnsi="Times New Roman"/>
          <w:i/>
          <w:color w:val="000000"/>
          <w:sz w:val="24"/>
        </w:rPr>
        <w:t>Regulation X”</w:t>
      </w:r>
      <w:r>
        <w:rPr>
          <w:rFonts w:ascii="Times New Roman" w:hAnsi="Times New Roman"/>
          <w:color w:val="000000"/>
          <w:sz w:val="20"/>
        </w:rPr>
        <w:t xml:space="preserve"> </w:t>
      </w:r>
      <w:r>
        <w:rPr>
          <w:rFonts w:ascii="Times New Roman" w:hAnsi="Times New Roman"/>
          <w:color w:val="000000"/>
          <w:sz w:val="24"/>
        </w:rPr>
        <w:t>means Regulation X of the Board of Governors of the Federal Reserve System, as amended.</w:t>
      </w:r>
    </w:p>
    <w:p>
      <w:pPr>
        <w:pStyle w:val="TextBody"/>
        <w:bidi w:val="0"/>
        <w:spacing w:before="280" w:after="283"/>
        <w:jc w:val="both"/>
        <w:rPr/>
      </w:pPr>
      <w:r>
        <w:rPr>
          <w:color w:val="000000"/>
        </w:rPr>
        <w:t>“</w:t>
      </w:r>
      <w:r>
        <w:rPr>
          <w:rFonts w:ascii="Times New Roman" w:hAnsi="Times New Roman"/>
          <w:i/>
          <w:color w:val="000000"/>
          <w:sz w:val="24"/>
        </w:rPr>
        <w:t>Regulatory Approvals”</w:t>
      </w:r>
      <w:r>
        <w:rPr>
          <w:rFonts w:ascii="Times New Roman" w:hAnsi="Times New Roman"/>
          <w:color w:val="000000"/>
          <w:sz w:val="20"/>
        </w:rPr>
        <w:t xml:space="preserve"> </w:t>
      </w:r>
      <w:r>
        <w:rPr>
          <w:rFonts w:ascii="Times New Roman" w:hAnsi="Times New Roman"/>
          <w:color w:val="000000"/>
          <w:sz w:val="24"/>
        </w:rPr>
        <w:t>means any Governmental Approval relating to any Product or any Product Development and Commercialization Activities related to such Product, including any Product Authorizations with respect thereto.</w:t>
      </w:r>
    </w:p>
    <w:p>
      <w:pPr>
        <w:pStyle w:val="TextBody"/>
        <w:bidi w:val="0"/>
        <w:spacing w:before="280" w:after="283"/>
        <w:jc w:val="both"/>
        <w:rPr/>
      </w:pPr>
      <w:r>
        <w:rPr>
          <w:color w:val="000000"/>
        </w:rPr>
        <w:t>“</w:t>
      </w:r>
      <w:r>
        <w:rPr>
          <w:rFonts w:ascii="Times New Roman" w:hAnsi="Times New Roman"/>
          <w:i/>
          <w:color w:val="000000"/>
          <w:sz w:val="24"/>
        </w:rPr>
        <w:t>Regulatory Authority”</w:t>
      </w:r>
      <w:r>
        <w:rPr>
          <w:rFonts w:ascii="Times New Roman" w:hAnsi="Times New Roman"/>
          <w:color w:val="000000"/>
          <w:sz w:val="20"/>
        </w:rPr>
        <w:t xml:space="preserve"> </w:t>
      </w:r>
      <w:r>
        <w:rPr>
          <w:rFonts w:ascii="Times New Roman" w:hAnsi="Times New Roman"/>
          <w:color w:val="000000"/>
          <w:sz w:val="24"/>
        </w:rPr>
        <w:t>means any Governmental Authority that is concerned with or has regulatory or supervisory oversight with respect to any Product or any Product Development and</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26</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Commercialization Activities relating to any Product, including the FDA and all equivalent Governmental Authorities, whether U.S. or non</w:t>
        <w:noBreakHyphen/>
        <w:t>U.S.</w:t>
      </w:r>
    </w:p>
    <w:p>
      <w:pPr>
        <w:pStyle w:val="TextBody"/>
        <w:bidi w:val="0"/>
        <w:spacing w:before="280" w:after="283"/>
        <w:jc w:val="both"/>
        <w:rPr/>
      </w:pPr>
      <w:r>
        <w:rPr>
          <w:color w:val="000000"/>
        </w:rPr>
        <w:t>“</w:t>
      </w:r>
      <w:r>
        <w:rPr>
          <w:rFonts w:ascii="Times New Roman" w:hAnsi="Times New Roman"/>
          <w:i/>
          <w:color w:val="000000"/>
          <w:sz w:val="24"/>
        </w:rPr>
        <w:t>Relevant Governmental Body</w:t>
      </w:r>
      <w:r>
        <w:rPr>
          <w:rFonts w:ascii="Times New Roman" w:hAnsi="Times New Roman"/>
          <w:color w:val="000000"/>
          <w:sz w:val="20"/>
        </w:rPr>
        <w:t xml:space="preserve">” </w:t>
      </w:r>
      <w:r>
        <w:rPr>
          <w:rFonts w:ascii="Times New Roman" w:hAnsi="Times New Roman"/>
          <w:color w:val="000000"/>
          <w:sz w:val="24"/>
        </w:rPr>
        <w:t>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280" w:after="283"/>
        <w:jc w:val="both"/>
        <w:rPr/>
      </w:pPr>
      <w:r>
        <w:rPr>
          <w:color w:val="000000"/>
        </w:rPr>
        <w:t>“</w:t>
      </w:r>
      <w:r>
        <w:rPr>
          <w:rFonts w:ascii="Times New Roman" w:hAnsi="Times New Roman"/>
          <w:i/>
          <w:color w:val="000000"/>
          <w:sz w:val="24"/>
        </w:rPr>
        <w:t>Representatives”</w:t>
      </w:r>
      <w:r>
        <w:rPr>
          <w:rFonts w:ascii="Times New Roman" w:hAnsi="Times New Roman"/>
          <w:color w:val="000000"/>
          <w:sz w:val="20"/>
        </w:rPr>
        <w:t xml:space="preserve"> </w:t>
      </w:r>
      <w:r>
        <w:rPr>
          <w:rFonts w:ascii="Times New Roman" w:hAnsi="Times New Roman"/>
          <w:color w:val="000000"/>
          <w:sz w:val="24"/>
        </w:rPr>
        <w:t>has the meaning set forth in Section 13.17.</w:t>
      </w:r>
    </w:p>
    <w:p>
      <w:pPr>
        <w:pStyle w:val="TextBody"/>
        <w:bidi w:val="0"/>
        <w:spacing w:before="280" w:after="283"/>
        <w:jc w:val="both"/>
        <w:rPr/>
      </w:pPr>
      <w:r>
        <w:rPr>
          <w:color w:val="000000"/>
        </w:rPr>
        <w:t>“</w:t>
      </w:r>
      <w:r>
        <w:rPr>
          <w:rFonts w:ascii="Times New Roman" w:hAnsi="Times New Roman"/>
          <w:i/>
          <w:color w:val="000000"/>
          <w:sz w:val="24"/>
        </w:rPr>
        <w:t>Requirement of Law”</w:t>
      </w:r>
      <w:r>
        <w:rPr>
          <w:rFonts w:ascii="Times New Roman" w:hAnsi="Times New Roman"/>
          <w:color w:val="000000"/>
          <w:sz w:val="20"/>
        </w:rPr>
        <w:t xml:space="preserve"> </w:t>
      </w:r>
      <w:r>
        <w:rPr>
          <w:rFonts w:ascii="Times New Roman" w:hAnsi="Times New Roman"/>
          <w:color w:val="000000"/>
          <w:sz w:val="24"/>
        </w:rPr>
        <w:t>means, as to any Person, any Law applicable to or binding upon such Person or any of its Properties or revenues.</w:t>
      </w:r>
    </w:p>
    <w:p>
      <w:pPr>
        <w:pStyle w:val="TextBody"/>
        <w:bidi w:val="0"/>
        <w:spacing w:before="280" w:after="283"/>
        <w:jc w:val="both"/>
        <w:rPr/>
      </w:pPr>
      <w:r>
        <w:rPr>
          <w:color w:val="000000"/>
        </w:rPr>
        <w:t>“</w:t>
      </w:r>
      <w:r>
        <w:rPr>
          <w:rFonts w:ascii="Times New Roman" w:hAnsi="Times New Roman"/>
          <w:i/>
          <w:color w:val="000000"/>
          <w:sz w:val="24"/>
        </w:rPr>
        <w:t>Resignation Effective Date”</w:t>
      </w:r>
      <w:r>
        <w:rPr>
          <w:rFonts w:ascii="Times New Roman" w:hAnsi="Times New Roman"/>
          <w:color w:val="000000"/>
          <w:sz w:val="20"/>
        </w:rPr>
        <w:t xml:space="preserve"> </w:t>
      </w:r>
      <w:r>
        <w:rPr>
          <w:rFonts w:ascii="Times New Roman" w:hAnsi="Times New Roman"/>
          <w:color w:val="000000"/>
          <w:sz w:val="24"/>
        </w:rPr>
        <w:t>has the meaning set forth in Section 12.06(a).</w:t>
      </w:r>
    </w:p>
    <w:p>
      <w:pPr>
        <w:pStyle w:val="TextBody"/>
        <w:bidi w:val="0"/>
        <w:spacing w:before="280" w:after="283"/>
        <w:jc w:val="both"/>
        <w:rPr/>
      </w:pPr>
      <w:r>
        <w:rPr>
          <w:color w:val="000000"/>
        </w:rPr>
        <w:t>“</w:t>
      </w:r>
      <w:r>
        <w:rPr>
          <w:rFonts w:ascii="Times New Roman" w:hAnsi="Times New Roman"/>
          <w:i/>
          <w:color w:val="000000"/>
          <w:sz w:val="24"/>
        </w:rPr>
        <w:t>Resolution Authority”</w:t>
      </w:r>
      <w:r>
        <w:rPr>
          <w:rFonts w:ascii="Times New Roman" w:hAnsi="Times New Roman"/>
          <w:color w:val="000000"/>
          <w:sz w:val="20"/>
        </w:rPr>
        <w:t xml:space="preserve"> </w:t>
      </w:r>
      <w:r>
        <w:rPr>
          <w:rFonts w:ascii="Times New Roman" w:hAnsi="Times New Roman"/>
          <w:color w:val="000000"/>
          <w:sz w:val="24"/>
        </w:rPr>
        <w:t>means an EEA Resolution Authority or, with respect to any UK Financial Institution, a UK Resolution Authority.</w:t>
      </w:r>
    </w:p>
    <w:p>
      <w:pPr>
        <w:pStyle w:val="TextBody"/>
        <w:bidi w:val="0"/>
        <w:spacing w:before="280" w:after="283"/>
        <w:jc w:val="both"/>
        <w:rPr/>
      </w:pPr>
      <w:r>
        <w:rPr>
          <w:color w:val="000000"/>
        </w:rPr>
        <w:t>“</w:t>
      </w:r>
      <w:r>
        <w:rPr>
          <w:rFonts w:ascii="Times New Roman" w:hAnsi="Times New Roman"/>
          <w:i/>
          <w:color w:val="000000"/>
          <w:sz w:val="24"/>
        </w:rPr>
        <w:t>Responsible Officer”</w:t>
      </w:r>
      <w:r>
        <w:rPr>
          <w:rFonts w:ascii="Times New Roman" w:hAnsi="Times New Roman"/>
          <w:color w:val="000000"/>
          <w:sz w:val="20"/>
        </w:rPr>
        <w:t xml:space="preserve"> </w:t>
      </w:r>
      <w:r>
        <w:rPr>
          <w:rFonts w:ascii="Times New Roman" w:hAnsi="Times New Roman"/>
          <w:color w:val="000000"/>
          <w:sz w:val="24"/>
        </w:rPr>
        <w:t>of any Person means each of the president, chief executive officer, chief financial officer, chief accounting officer or titles equivalent to the foregoing of such Person.</w:t>
      </w:r>
    </w:p>
    <w:p>
      <w:pPr>
        <w:pStyle w:val="TextBody"/>
        <w:bidi w:val="0"/>
        <w:spacing w:before="280" w:after="283"/>
        <w:jc w:val="both"/>
        <w:rPr/>
      </w:pPr>
      <w:r>
        <w:rPr>
          <w:color w:val="000000"/>
        </w:rPr>
        <w:t>“</w:t>
      </w:r>
      <w:r>
        <w:rPr>
          <w:rFonts w:ascii="Times New Roman" w:hAnsi="Times New Roman"/>
          <w:i/>
          <w:color w:val="000000"/>
          <w:sz w:val="24"/>
        </w:rPr>
        <w:t>Restricted Payment”</w:t>
      </w:r>
      <w:r>
        <w:rPr>
          <w:rFonts w:ascii="Times New Roman" w:hAnsi="Times New Roman"/>
          <w:color w:val="000000"/>
          <w:sz w:val="20"/>
        </w:rPr>
        <w:t xml:space="preserve"> </w:t>
      </w:r>
      <w:r>
        <w:rPr>
          <w:rFonts w:ascii="Times New Roman" w:hAnsi="Times New Roman"/>
          <w:color w:val="000000"/>
          <w:sz w:val="24"/>
        </w:rPr>
        <w:t>means any dividend or other distribution (whether in cash, Equity Interest or other Property) with respect to any Equity Interest of an Obligor or any of its Subsidiaries, or any payment (whether in cash, Equity Interests or other Property), including any sinking fund or similar deposit, on account of the purchase, redemption, retirement, acquisition, cancellation or termination of any Equity Interests of an Obligor or any of its Subsidiaries or any option, warrant or other right to acquire any such Equity Interests of an Obligor or any of its Subsidiaries.</w:t>
      </w:r>
    </w:p>
    <w:p>
      <w:pPr>
        <w:pStyle w:val="TextBody"/>
        <w:bidi w:val="0"/>
        <w:spacing w:before="280" w:after="283"/>
        <w:jc w:val="both"/>
        <w:rPr/>
      </w:pPr>
      <w:r>
        <w:rPr>
          <w:color w:val="000000"/>
        </w:rPr>
        <w:t>“</w:t>
      </w:r>
      <w:r>
        <w:rPr>
          <w:rFonts w:ascii="Times New Roman" w:hAnsi="Times New Roman"/>
          <w:i/>
          <w:color w:val="000000"/>
          <w:sz w:val="24"/>
        </w:rPr>
        <w:t>Restrictive Agreement</w:t>
      </w:r>
      <w:r>
        <w:rPr>
          <w:rFonts w:ascii="Times New Roman" w:hAnsi="Times New Roman"/>
          <w:color w:val="000000"/>
          <w:sz w:val="20"/>
        </w:rPr>
        <w:t xml:space="preserve">” </w:t>
      </w:r>
      <w:r>
        <w:rPr>
          <w:rFonts w:ascii="Times New Roman" w:hAnsi="Times New Roman"/>
          <w:color w:val="000000"/>
          <w:sz w:val="24"/>
        </w:rPr>
        <w:t>means any indenture, agreement, instrument or other binding arrangement that prohibits, restricts or imposes any condition upon (a) the ability of an Obligor or any Subsidiary to create, incur or permit to exist any Lien upon any of its Property (other than (i) customary provisions in Contracts (including without limitation leases and in-bound licenses of Intellectual Property) restricting the assignment thereof, (ii) restrictions or conditions imposed by any agreement governing secured Permitted Indebtedness permitted under Section 9.01(g), to the extent that such restrictions or conditions apply only to the Property securing such Indebtedness and (iii) software and other Intellectual Property licenses pursuant to which an Obligor or a Subsidiary thereof is the licensee of the relevant software or Intellectual Property, as the case may be (in which case, any prohibition or limitation shall relate only to the assets or rights subject to the applicable license and/or the license itself)), or (b) the ability of any Subsidiary to pay dividends or other distributions with respect to any shares of its Equity Interests or to make or repay loans or advances to an Obligor or any other Subsidiary or to Guarantee Indebtedness of an Obligor or any other Subsidiary (other than restrictions or encumbrances that do not materially and adversely impact the ability of the Borrower to pay any Obligations when due).</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SEC”</w:t>
      </w:r>
      <w:r>
        <w:rPr>
          <w:rFonts w:ascii="Times New Roman" w:hAnsi="Times New Roman"/>
          <w:color w:val="000000"/>
          <w:sz w:val="20"/>
        </w:rPr>
        <w:t xml:space="preserve"> </w:t>
      </w:r>
      <w:r>
        <w:rPr>
          <w:rFonts w:ascii="Times New Roman" w:hAnsi="Times New Roman"/>
          <w:color w:val="000000"/>
          <w:sz w:val="24"/>
        </w:rPr>
        <w:t>means United States Securities and Exchange Commission.</w:t>
      </w:r>
    </w:p>
    <w:p>
      <w:pPr>
        <w:pStyle w:val="TextBody"/>
        <w:bidi w:val="0"/>
        <w:jc w:val="center"/>
        <w:rPr/>
      </w:pPr>
      <w:r>
        <w:rPr>
          <w:color w:val="000000"/>
        </w:rPr>
        <w:noBreakHyphen/>
      </w:r>
      <w:r>
        <w:rPr>
          <w:rFonts w:ascii="Times New Roman" w:hAnsi="Times New Roman"/>
          <w:color w:val="000000"/>
          <w:sz w:val="24"/>
        </w:rPr>
        <w:t>27</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Second Amendment Effective Date”</w:t>
      </w:r>
      <w:r>
        <w:rPr>
          <w:rFonts w:ascii="Times New Roman" w:hAnsi="Times New Roman"/>
          <w:color w:val="000000"/>
          <w:sz w:val="20"/>
        </w:rPr>
        <w:t xml:space="preserve"> </w:t>
      </w:r>
      <w:r>
        <w:rPr>
          <w:rFonts w:ascii="Times New Roman" w:hAnsi="Times New Roman"/>
          <w:color w:val="000000"/>
          <w:sz w:val="24"/>
        </w:rPr>
        <w:t>means August 4, 2023.</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Securities Account”</w:t>
      </w:r>
      <w:r>
        <w:rPr>
          <w:rFonts w:ascii="Times New Roman" w:hAnsi="Times New Roman"/>
          <w:color w:val="000000"/>
          <w:sz w:val="20"/>
        </w:rPr>
        <w:t xml:space="preserve"> </w:t>
      </w:r>
      <w:r>
        <w:rPr>
          <w:rFonts w:ascii="Times New Roman" w:hAnsi="Times New Roman"/>
          <w:color w:val="000000"/>
          <w:sz w:val="24"/>
        </w:rPr>
        <w:t>has the meaning set forth in the Security Agreement.</w:t>
      </w:r>
    </w:p>
    <w:p>
      <w:pPr>
        <w:pStyle w:val="TextBody"/>
        <w:bidi w:val="0"/>
        <w:spacing w:before="280" w:after="283"/>
        <w:jc w:val="both"/>
        <w:rPr/>
      </w:pPr>
      <w:r>
        <w:rPr>
          <w:color w:val="000000"/>
        </w:rPr>
        <w:t>“</w:t>
      </w:r>
      <w:r>
        <w:rPr>
          <w:rFonts w:ascii="Times New Roman" w:hAnsi="Times New Roman"/>
          <w:i/>
          <w:color w:val="000000"/>
          <w:sz w:val="24"/>
        </w:rPr>
        <w:t>Security Agreement”</w:t>
      </w:r>
      <w:r>
        <w:rPr>
          <w:rFonts w:ascii="Times New Roman" w:hAnsi="Times New Roman"/>
          <w:color w:val="000000"/>
          <w:sz w:val="20"/>
        </w:rPr>
        <w:t xml:space="preserve"> </w:t>
      </w:r>
      <w:r>
        <w:rPr>
          <w:rFonts w:ascii="Times New Roman" w:hAnsi="Times New Roman"/>
          <w:color w:val="000000"/>
          <w:sz w:val="24"/>
        </w:rPr>
        <w:t>means the Security Agreement, dated as of the Funding Date, in substantially the form of Exhibit G, among the Obligors and the Administrative Agent, granting a security interest in the personal Property constituting Collateral thereunder in favor of the Administrative Agent for the benefit of the Lenders.</w:t>
      </w:r>
    </w:p>
    <w:p>
      <w:pPr>
        <w:pStyle w:val="TextBody"/>
        <w:bidi w:val="0"/>
        <w:spacing w:before="280" w:after="283"/>
        <w:jc w:val="both"/>
        <w:rPr/>
      </w:pPr>
      <w:r>
        <w:rPr>
          <w:color w:val="000000"/>
        </w:rPr>
        <w:t>“</w:t>
      </w:r>
      <w:r>
        <w:rPr>
          <w:rFonts w:ascii="Times New Roman" w:hAnsi="Times New Roman"/>
          <w:i/>
          <w:color w:val="000000"/>
          <w:sz w:val="24"/>
        </w:rPr>
        <w:t>Security Documents”</w:t>
      </w:r>
      <w:r>
        <w:rPr>
          <w:rFonts w:ascii="Times New Roman" w:hAnsi="Times New Roman"/>
          <w:color w:val="000000"/>
          <w:sz w:val="20"/>
        </w:rPr>
        <w:t xml:space="preserve"> </w:t>
      </w:r>
      <w:r>
        <w:rPr>
          <w:rFonts w:ascii="Times New Roman" w:hAnsi="Times New Roman"/>
          <w:color w:val="000000"/>
          <w:sz w:val="24"/>
        </w:rPr>
        <w:t>means, collectively, the Security Agreement, each Short</w:t>
        <w:noBreakHyphen/>
        <w:t>Form IP Security Agreement, and each other security document, control agreement or financing statement executed to perfect Liens in favor of the Administrative Agent for the benefit of the Lenders.</w:t>
      </w:r>
    </w:p>
    <w:p>
      <w:pPr>
        <w:pStyle w:val="TextBody"/>
        <w:bidi w:val="0"/>
        <w:spacing w:before="280" w:after="283"/>
        <w:jc w:val="both"/>
        <w:rPr/>
      </w:pPr>
      <w:r>
        <w:rPr>
          <w:color w:val="000000"/>
        </w:rPr>
        <w:t>“</w:t>
      </w:r>
      <w:r>
        <w:rPr>
          <w:rFonts w:ascii="Times New Roman" w:hAnsi="Times New Roman"/>
          <w:i/>
          <w:color w:val="000000"/>
          <w:sz w:val="24"/>
        </w:rPr>
        <w:t>Segregated Health Care Account”</w:t>
      </w:r>
      <w:r>
        <w:rPr>
          <w:rFonts w:ascii="Times New Roman" w:hAnsi="Times New Roman"/>
          <w:color w:val="000000"/>
          <w:sz w:val="20"/>
        </w:rPr>
        <w:t xml:space="preserve"> </w:t>
      </w:r>
      <w:r>
        <w:rPr>
          <w:rFonts w:ascii="Times New Roman" w:hAnsi="Times New Roman"/>
          <w:color w:val="000000"/>
          <w:sz w:val="24"/>
        </w:rPr>
        <w:t>means, a Deposit Account of an Obligor in the name of such Obligor and under the sole dominion and control of such Obligor maintained in accordance with the requirements of Section 8.17(c) hereof, the only funds on deposit in which constitute the direct proceeds of payments made by third party payers pertaining to clinical diagnostic testing claims including funds from Federal Health Care Programs.</w:t>
      </w:r>
    </w:p>
    <w:p>
      <w:pPr>
        <w:pStyle w:val="TextBody"/>
        <w:bidi w:val="0"/>
        <w:spacing w:before="280" w:after="283"/>
        <w:jc w:val="both"/>
        <w:rPr/>
      </w:pPr>
      <w:r>
        <w:rPr>
          <w:color w:val="000000"/>
        </w:rPr>
        <w:t>“</w:t>
      </w:r>
      <w:r>
        <w:rPr>
          <w:rFonts w:ascii="Times New Roman" w:hAnsi="Times New Roman"/>
          <w:i/>
          <w:color w:val="000000"/>
          <w:sz w:val="24"/>
        </w:rPr>
        <w:t>Short</w:t>
        <w:noBreakHyphen/>
        <w:t>Form IP Security Agreements”</w:t>
      </w:r>
      <w:r>
        <w:rPr>
          <w:rFonts w:ascii="Times New Roman" w:hAnsi="Times New Roman"/>
          <w:color w:val="000000"/>
          <w:sz w:val="20"/>
        </w:rPr>
        <w:t xml:space="preserve"> </w:t>
      </w:r>
      <w:r>
        <w:rPr>
          <w:rFonts w:ascii="Times New Roman" w:hAnsi="Times New Roman"/>
          <w:color w:val="000000"/>
          <w:sz w:val="24"/>
        </w:rPr>
        <w:t>means any short</w:t>
        <w:noBreakHyphen/>
        <w:t>form copyright, patent or trademark (as the case may be) security agreements, in substantially the form of Exhibits H-1 and H-2, entered into by one or more Obligors in favor of the Administrative Agent for the benefit of the Lenders, each in form and substance reasonably satisfactory to the Administrative Agent and as amended, modified or replaced from time to time.</w:t>
      </w:r>
    </w:p>
    <w:p>
      <w:pPr>
        <w:pStyle w:val="TextBody"/>
        <w:bidi w:val="0"/>
        <w:spacing w:before="280" w:after="283"/>
        <w:jc w:val="both"/>
        <w:rPr/>
      </w:pPr>
      <w:r>
        <w:rPr>
          <w:color w:val="000000"/>
        </w:rPr>
        <w:t>“</w:t>
      </w:r>
      <w:r>
        <w:rPr>
          <w:rFonts w:ascii="Times New Roman" w:hAnsi="Times New Roman"/>
          <w:i/>
          <w:color w:val="000000"/>
          <w:sz w:val="24"/>
        </w:rPr>
        <w:t>Sixth Amendment Effective Date</w:t>
      </w:r>
      <w:r>
        <w:rPr>
          <w:rFonts w:ascii="Times New Roman" w:hAnsi="Times New Roman"/>
          <w:color w:val="000000"/>
          <w:sz w:val="20"/>
        </w:rPr>
        <w:t xml:space="preserve">” </w:t>
      </w:r>
      <w:r>
        <w:rPr>
          <w:rFonts w:ascii="Times New Roman" w:hAnsi="Times New Roman"/>
          <w:color w:val="000000"/>
          <w:sz w:val="24"/>
        </w:rPr>
        <w:t>means February 25, 2026.</w:t>
      </w:r>
    </w:p>
    <w:p>
      <w:pPr>
        <w:pStyle w:val="TextBody"/>
        <w:bidi w:val="0"/>
        <w:spacing w:before="280" w:after="283"/>
        <w:jc w:val="both"/>
        <w:rPr/>
      </w:pPr>
      <w:r>
        <w:rPr>
          <w:color w:val="000000"/>
        </w:rPr>
        <w:t>“</w:t>
      </w:r>
      <w:r>
        <w:rPr>
          <w:rFonts w:ascii="Times New Roman" w:hAnsi="Times New Roman"/>
          <w:i/>
          <w:color w:val="000000"/>
          <w:sz w:val="24"/>
        </w:rPr>
        <w:t>SOFR</w:t>
      </w:r>
      <w:r>
        <w:rPr>
          <w:rFonts w:ascii="Times New Roman" w:hAnsi="Times New Roman"/>
          <w:color w:val="000000"/>
          <w:sz w:val="20"/>
        </w:rPr>
        <w:t xml:space="preserve">” </w:t>
      </w:r>
      <w:r>
        <w:rPr>
          <w:rFonts w:ascii="Times New Roman" w:hAnsi="Times New Roman"/>
          <w:color w:val="000000"/>
          <w:sz w:val="24"/>
        </w:rPr>
        <w:t>means a rate equal to the secured overnight financing rate as administered by the SOFR Administrator.</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SOFR Administrator</w:t>
      </w:r>
      <w:r>
        <w:rPr>
          <w:rFonts w:ascii="Times New Roman" w:hAnsi="Times New Roman"/>
          <w:color w:val="000000"/>
          <w:sz w:val="20"/>
        </w:rPr>
        <w:t xml:space="preserve">” </w:t>
      </w:r>
      <w:r>
        <w:rPr>
          <w:rFonts w:ascii="Times New Roman" w:hAnsi="Times New Roman"/>
          <w:color w:val="000000"/>
          <w:sz w:val="24"/>
        </w:rPr>
        <w:t>means the Federal Reserve Bank of New York (or a successor administrator of the secured overnight financing rate).</w:t>
      </w:r>
    </w:p>
    <w:p>
      <w:pPr>
        <w:pStyle w:val="TextBody"/>
        <w:bidi w:val="0"/>
        <w:spacing w:before="280" w:after="283"/>
        <w:jc w:val="both"/>
        <w:rPr/>
      </w:pPr>
      <w:r>
        <w:rPr>
          <w:color w:val="000000"/>
        </w:rPr>
        <w:t>“</w:t>
      </w:r>
      <w:r>
        <w:rPr>
          <w:rFonts w:ascii="Times New Roman" w:hAnsi="Times New Roman"/>
          <w:i/>
          <w:color w:val="000000"/>
          <w:sz w:val="24"/>
        </w:rPr>
        <w:t>Solvent”</w:t>
      </w:r>
      <w:r>
        <w:rPr>
          <w:rFonts w:ascii="Times New Roman" w:hAnsi="Times New Roman"/>
          <w:color w:val="000000"/>
          <w:sz w:val="20"/>
        </w:rPr>
        <w:t xml:space="preserve"> </w:t>
      </w:r>
      <w:r>
        <w:rPr>
          <w:rFonts w:ascii="Times New Roman" w:hAnsi="Times New Roman"/>
          <w:color w:val="000000"/>
          <w:sz w:val="24"/>
        </w:rPr>
        <w:t>means, with respect to any Person at any time, that (a) the present fair saleable value of the Property of such Person is greater than the total amount of liabilities (including contingent liabilities) of such Person, (b) the present fair saleable value of the Property of such Person is not less than the amount that will be required to pay the probable liability of such Person on its debts as they become absolute and matured and (c) such Person has not incurred and does not intend to, and does not believe that it will, incur debts or liabilities beyond such Person’s ability to pay as such debts and liabilities mature.</w:t>
      </w:r>
    </w:p>
    <w:p>
      <w:pPr>
        <w:pStyle w:val="TextBody"/>
        <w:bidi w:val="0"/>
        <w:spacing w:before="280" w:after="283"/>
        <w:jc w:val="both"/>
        <w:rPr/>
      </w:pPr>
      <w:r>
        <w:rPr>
          <w:color w:val="000000"/>
        </w:rPr>
        <w:t>“</w:t>
      </w:r>
      <w:r>
        <w:rPr>
          <w:rFonts w:ascii="Times New Roman" w:hAnsi="Times New Roman"/>
          <w:i/>
          <w:color w:val="000000"/>
          <w:sz w:val="24"/>
        </w:rPr>
        <w:t>Specified Representations</w:t>
      </w:r>
      <w:r>
        <w:rPr>
          <w:rFonts w:ascii="Times New Roman" w:hAnsi="Times New Roman"/>
          <w:color w:val="000000"/>
          <w:sz w:val="20"/>
        </w:rPr>
        <w:t xml:space="preserve">” </w:t>
      </w:r>
      <w:r>
        <w:rPr>
          <w:rFonts w:ascii="Times New Roman" w:hAnsi="Times New Roman"/>
          <w:color w:val="000000"/>
          <w:sz w:val="24"/>
        </w:rPr>
        <w:t>means the representations and warranties made by the Borrower and the other Obligors, as applicable, set forth in Section 7.01(a), (b), (d) and (e), 7.02 (solely to the extent relating to this Agreement and the Fee Letter), 7.03(c), 7.04(c), 7.06(a), 7.10(a), 7.12, 7.23, 7.24 and 7.25.</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28</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Standard Body”</w:t>
      </w:r>
      <w:r>
        <w:rPr>
          <w:rFonts w:ascii="Times New Roman" w:hAnsi="Times New Roman"/>
          <w:color w:val="000000"/>
          <w:sz w:val="20"/>
        </w:rPr>
        <w:t xml:space="preserve"> </w:t>
      </w:r>
      <w:r>
        <w:rPr>
          <w:rFonts w:ascii="Times New Roman" w:hAnsi="Times New Roman"/>
          <w:color w:val="000000"/>
          <w:sz w:val="24"/>
        </w:rPr>
        <w:t>means any of the organizations that create, sponsor or maintain safety, quality or other standards, including ISO, ANSI, CEN and SCC and the like.</w:t>
      </w:r>
    </w:p>
    <w:p>
      <w:pPr>
        <w:pStyle w:val="TextBody"/>
        <w:bidi w:val="0"/>
        <w:spacing w:before="280" w:after="283"/>
        <w:jc w:val="both"/>
        <w:rPr/>
      </w:pPr>
      <w:r>
        <w:rPr>
          <w:color w:val="000000"/>
        </w:rPr>
        <w:t>“</w:t>
      </w:r>
      <w:r>
        <w:rPr>
          <w:rFonts w:ascii="Times New Roman" w:hAnsi="Times New Roman"/>
          <w:i/>
          <w:color w:val="000000"/>
          <w:sz w:val="24"/>
        </w:rPr>
        <w:t>Stated Maturity Date”</w:t>
      </w:r>
      <w:r>
        <w:rPr>
          <w:rFonts w:ascii="Times New Roman" w:hAnsi="Times New Roman"/>
          <w:color w:val="000000"/>
          <w:sz w:val="20"/>
        </w:rPr>
        <w:t xml:space="preserve"> </w:t>
      </w:r>
      <w:r>
        <w:rPr>
          <w:rFonts w:ascii="Times New Roman" w:hAnsi="Times New Roman"/>
          <w:color w:val="000000"/>
          <w:sz w:val="24"/>
        </w:rPr>
        <w:t>means the sixth (6</w:t>
      </w:r>
      <w:r>
        <w:rPr>
          <w:rFonts w:ascii="Times New Roman" w:hAnsi="Times New Roman"/>
          <w:color w:val="000000"/>
          <w:sz w:val="16"/>
        </w:rPr>
        <w:t>th</w:t>
      </w:r>
      <w:r>
        <w:rPr>
          <w:rFonts w:ascii="Times New Roman" w:hAnsi="Times New Roman"/>
          <w:color w:val="000000"/>
          <w:sz w:val="24"/>
        </w:rPr>
        <w:t xml:space="preserve">) anniversary of the Funding Date;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any such date shall occur on a day that is not a Business Day, then the Stated Maturity Date shall be the immediately succeeding Business Day.</w:t>
      </w:r>
    </w:p>
    <w:p>
      <w:pPr>
        <w:pStyle w:val="TextBody"/>
        <w:bidi w:val="0"/>
        <w:spacing w:before="280" w:after="283"/>
        <w:jc w:val="both"/>
        <w:rPr/>
      </w:pPr>
      <w:r>
        <w:rPr>
          <w:color w:val="000000"/>
        </w:rPr>
        <w:t>“</w:t>
      </w:r>
      <w:r>
        <w:rPr>
          <w:rFonts w:ascii="Times New Roman" w:hAnsi="Times New Roman"/>
          <w:i/>
          <w:color w:val="000000"/>
          <w:sz w:val="24"/>
        </w:rPr>
        <w:t>Subsidiary”</w:t>
      </w:r>
      <w:r>
        <w:rPr>
          <w:rFonts w:ascii="Times New Roman" w:hAnsi="Times New Roman"/>
          <w:color w:val="000000"/>
          <w:sz w:val="20"/>
        </w:rPr>
        <w:t xml:space="preserve"> </w:t>
      </w:r>
      <w:r>
        <w:rPr>
          <w:rFonts w:ascii="Times New Roman" w:hAnsi="Times New Roman"/>
          <w:color w:val="000000"/>
          <w:sz w:val="24"/>
        </w:rPr>
        <w:t xml:space="preserve">means, with respect to any Person (the </w:t>
      </w:r>
      <w:r>
        <w:rPr>
          <w:rFonts w:ascii="Times New Roman" w:hAnsi="Times New Roman"/>
          <w:color w:val="000000"/>
          <w:sz w:val="20"/>
        </w:rPr>
        <w:t>“</w:t>
      </w:r>
      <w:r>
        <w:rPr>
          <w:rFonts w:ascii="Times New Roman" w:hAnsi="Times New Roman"/>
          <w:i/>
          <w:color w:val="000000"/>
          <w:sz w:val="24"/>
        </w:rPr>
        <w:t>parent”</w:t>
      </w:r>
      <w:r>
        <w:rPr>
          <w:rFonts w:ascii="Times New Roman" w:hAnsi="Times New Roman"/>
          <w:color w:val="000000"/>
          <w:sz w:val="24"/>
        </w:rPr>
        <w:t>) at any time of determination, any other Person of which more than 50% of the outstanding capital stock of such other Person having ordinary voting powers, determined on a fully diluted basis, is at the time directly or indirectly owned or Controlled by the parent. Unless the context otherwise specifically requires, the term “Subsidiary” shall be a reference to a Subsidiary of the Borrower.</w:t>
      </w:r>
    </w:p>
    <w:p>
      <w:pPr>
        <w:pStyle w:val="TextBody"/>
        <w:bidi w:val="0"/>
        <w:spacing w:before="280" w:after="283"/>
        <w:jc w:val="both"/>
        <w:rPr/>
      </w:pPr>
      <w:r>
        <w:rPr>
          <w:color w:val="000000"/>
        </w:rPr>
        <w:t>“</w:t>
      </w:r>
      <w:r>
        <w:rPr>
          <w:rFonts w:ascii="Times New Roman" w:hAnsi="Times New Roman"/>
          <w:i/>
          <w:color w:val="000000"/>
          <w:sz w:val="24"/>
        </w:rPr>
        <w:t>Sweep Agreement</w:t>
      </w:r>
      <w:r>
        <w:rPr>
          <w:rFonts w:ascii="Times New Roman" w:hAnsi="Times New Roman"/>
          <w:color w:val="000000"/>
          <w:sz w:val="20"/>
        </w:rPr>
        <w:t xml:space="preserve">” </w:t>
      </w:r>
      <w:r>
        <w:rPr>
          <w:rFonts w:ascii="Times New Roman" w:hAnsi="Times New Roman"/>
          <w:color w:val="000000"/>
          <w:sz w:val="24"/>
        </w:rPr>
        <w:t>means an agreement, in form and substance reasonably satisfactory to Agent, between the Obligor maintaining a Segregated Health Care Account, Administrative Agent and applicable bank or other financial institution at which such Segregated Health Care Account is maintained, pursuant to which such bank or financial institution (a) agrees to automatically sweep amounts deposited in such Segregated Health Care Account to a Controlled Account satisfying the requirements set forth in Section 8.17(c) hereof, as and when funds clear and become available in accordance with such bank’s or financial institution’s standard practices and procedures and (b) agrees not to change such standing sweep instructions until the date at least five (5) days (or such lesser period as Administrative Agent may agree in its reasonable discretion or as may be required by applicable Federal Health Care Program laws or policies after receipt of notice from such Obligor maintaining such Segregated Health Care Account by the Administrative Agent and such bank or financial institution of the termination of such standing sweep instruction).</w:t>
      </w:r>
    </w:p>
    <w:p>
      <w:pPr>
        <w:pStyle w:val="TextBody"/>
        <w:bidi w:val="0"/>
        <w:spacing w:before="280" w:after="283"/>
        <w:jc w:val="both"/>
        <w:rPr/>
      </w:pPr>
      <w:r>
        <w:rPr>
          <w:color w:val="000000"/>
        </w:rPr>
        <w:t>“</w:t>
      </w:r>
      <w:r>
        <w:rPr>
          <w:rFonts w:ascii="Times New Roman" w:hAnsi="Times New Roman"/>
          <w:i/>
          <w:color w:val="000000"/>
          <w:sz w:val="24"/>
        </w:rPr>
        <w:t>Taxes”</w:t>
      </w:r>
      <w:r>
        <w:rPr>
          <w:rFonts w:ascii="Times New Roman" w:hAnsi="Times New Roman"/>
          <w:color w:val="000000"/>
          <w:sz w:val="20"/>
        </w:rPr>
        <w:t xml:space="preserve"> </w:t>
      </w:r>
      <w:r>
        <w:rPr>
          <w:rFonts w:ascii="Times New Roman" w:hAnsi="Times New Roman"/>
          <w:color w:val="000000"/>
          <w:sz w:val="24"/>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280" w:after="283"/>
        <w:jc w:val="both"/>
        <w:rPr/>
      </w:pPr>
      <w:r>
        <w:rPr>
          <w:color w:val="000000"/>
        </w:rPr>
        <w:t>“</w:t>
      </w:r>
      <w:r>
        <w:rPr>
          <w:rFonts w:ascii="Times New Roman" w:hAnsi="Times New Roman"/>
          <w:i/>
          <w:color w:val="000000"/>
          <w:sz w:val="24"/>
        </w:rPr>
        <w:t>Technical Information”</w:t>
      </w:r>
      <w:r>
        <w:rPr>
          <w:rFonts w:ascii="Times New Roman" w:hAnsi="Times New Roman"/>
          <w:color w:val="000000"/>
          <w:sz w:val="20"/>
        </w:rPr>
        <w:t xml:space="preserve"> </w:t>
      </w:r>
      <w:r>
        <w:rPr>
          <w:rFonts w:ascii="Times New Roman" w:hAnsi="Times New Roman"/>
          <w:color w:val="000000"/>
          <w:sz w:val="24"/>
        </w:rPr>
        <w:t>means all trade secrets and other proprietary or confidential information, which may include any proprietary information of a scientific, technical, or business nature in any form or medium, standards and specifications, conceptions, ideas, innovations, discoveries, Invention disclosures, all documented research, developmental, demonstration or engineering work, data, plans, specifications, reports, summaries, experimental data, manuals, models, samples, know</w:t>
        <w:noBreakHyphen/>
        <w:t>how, technical information, systems, methodologies, computer programs or information technology.</w:t>
      </w:r>
    </w:p>
    <w:p>
      <w:pPr>
        <w:pStyle w:val="TextBody"/>
        <w:bidi w:val="0"/>
        <w:spacing w:before="280" w:after="283"/>
        <w:jc w:val="both"/>
        <w:rPr/>
      </w:pPr>
      <w:r>
        <w:rPr>
          <w:color w:val="000000"/>
        </w:rPr>
        <w:t>“</w:t>
      </w:r>
      <w:r>
        <w:rPr>
          <w:rFonts w:ascii="Times New Roman" w:hAnsi="Times New Roman"/>
          <w:i/>
          <w:color w:val="000000"/>
          <w:sz w:val="24"/>
        </w:rPr>
        <w:t>Term Loans”</w:t>
      </w:r>
      <w:r>
        <w:rPr>
          <w:rFonts w:ascii="Times New Roman" w:hAnsi="Times New Roman"/>
          <w:color w:val="000000"/>
          <w:sz w:val="20"/>
        </w:rPr>
        <w:t xml:space="preserve"> </w:t>
      </w:r>
      <w:r>
        <w:rPr>
          <w:rFonts w:ascii="Times New Roman" w:hAnsi="Times New Roman"/>
          <w:color w:val="000000"/>
          <w:sz w:val="24"/>
        </w:rPr>
        <w:t>means the Tranche A Loan, the Tranche B Loan and the Tranche C Loan.</w:t>
      </w:r>
    </w:p>
    <w:p>
      <w:pPr>
        <w:pStyle w:val="TextBody"/>
        <w:bidi w:val="0"/>
        <w:spacing w:before="280" w:after="283"/>
        <w:jc w:val="both"/>
        <w:rPr/>
      </w:pPr>
      <w:r>
        <w:rPr>
          <w:color w:val="000000"/>
        </w:rPr>
        <w:t>“</w:t>
      </w:r>
      <w:r>
        <w:rPr>
          <w:rFonts w:ascii="Times New Roman" w:hAnsi="Times New Roman"/>
          <w:i/>
          <w:color w:val="000000"/>
          <w:sz w:val="24"/>
        </w:rPr>
        <w:t>Term SOFR</w:t>
      </w:r>
      <w:r>
        <w:rPr>
          <w:rFonts w:ascii="Times New Roman" w:hAnsi="Times New Roman"/>
          <w:color w:val="000000"/>
          <w:sz w:val="20"/>
        </w:rPr>
        <w:t xml:space="preserve">” </w:t>
      </w:r>
      <w:r>
        <w:rPr>
          <w:rFonts w:ascii="Times New Roman" w:hAnsi="Times New Roman"/>
          <w:color w:val="000000"/>
          <w:sz w:val="24"/>
        </w:rPr>
        <w:t xml:space="preserve">means the Term SOFR Reference Rate for a tenor comparable to the applicable Interest Period on the day (such day, the </w:t>
      </w:r>
      <w:r>
        <w:rPr>
          <w:rFonts w:ascii="Times New Roman" w:hAnsi="Times New Roman"/>
          <w:color w:val="000000"/>
          <w:sz w:val="20"/>
        </w:rPr>
        <w:t>“</w:t>
      </w:r>
      <w:r>
        <w:rPr>
          <w:rFonts w:ascii="Times New Roman" w:hAnsi="Times New Roman"/>
          <w:i/>
          <w:color w:val="000000"/>
          <w:sz w:val="24"/>
        </w:rPr>
        <w:t>Periodic Term SOFR Determination Day”</w:t>
      </w:r>
      <w:r>
        <w:rPr>
          <w:rFonts w:ascii="Times New Roman" w:hAnsi="Times New Roman"/>
          <w:color w:val="000000"/>
          <w:sz w:val="24"/>
        </w:rPr>
        <w:t>) that is two (2) U.S. Government Securities Business Days prior to the first day of such Interest Period, as such rate is published by the Term SOFR Administrator</w:t>
      </w:r>
      <w:r>
        <w:rPr>
          <w:rFonts w:ascii="Times New Roman" w:hAnsi="Times New Roman"/>
          <w:i/>
          <w:color w:val="000000"/>
          <w:sz w:val="24"/>
        </w:rPr>
        <w:t>; provided, however</w:t>
      </w:r>
      <w:r>
        <w:rPr>
          <w:rFonts w:ascii="Times New Roman" w:hAnsi="Times New Roman"/>
          <w:color w:val="000000"/>
          <w:sz w:val="24"/>
        </w:rPr>
        <w:t>, that if as of 5:00 p.m. (New York City time) on any Periodic Term SOFR Determination Day the Term SOFR Reference Rate for the applicable tenor has not been published by the Term SOFR</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29</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hAnsi="Times New Roman"/>
          <w:i/>
          <w:color w:val="000000"/>
          <w:sz w:val="24"/>
        </w:rPr>
        <w:t>provided, further</w:t>
      </w:r>
      <w:r>
        <w:rPr>
          <w:rFonts w:ascii="Times New Roman" w:hAnsi="Times New Roman"/>
          <w:color w:val="000000"/>
          <w:sz w:val="24"/>
        </w:rPr>
        <w:t xml:space="preserve">, Term SOFR shall be rounded upwards to the next 1/100% (if necessary); </w:t>
      </w:r>
      <w:r>
        <w:rPr>
          <w:rFonts w:ascii="Times New Roman" w:hAnsi="Times New Roman"/>
          <w:i/>
          <w:color w:val="000000"/>
          <w:sz w:val="24"/>
        </w:rPr>
        <w:t>provided, further, however</w:t>
      </w:r>
      <w:r>
        <w:rPr>
          <w:rFonts w:ascii="Times New Roman" w:hAnsi="Times New Roman"/>
          <w:color w:val="000000"/>
          <w:sz w:val="24"/>
        </w:rPr>
        <w:t>, if Term SOFR as so determined shall ever be less than the Floor, then Term SOFR shall be deemed to be the Floor.</w:t>
      </w:r>
    </w:p>
    <w:p>
      <w:pPr>
        <w:pStyle w:val="TextBody"/>
        <w:bidi w:val="0"/>
        <w:spacing w:before="280" w:after="283"/>
        <w:jc w:val="both"/>
        <w:rPr/>
      </w:pPr>
      <w:r>
        <w:rPr>
          <w:color w:val="000000"/>
        </w:rPr>
        <w:t>“</w:t>
      </w:r>
      <w:r>
        <w:rPr>
          <w:rFonts w:ascii="Times New Roman" w:hAnsi="Times New Roman"/>
          <w:i/>
          <w:color w:val="000000"/>
          <w:sz w:val="24"/>
        </w:rPr>
        <w:t>Term SOFR Administrator</w:t>
      </w:r>
      <w:r>
        <w:rPr>
          <w:rFonts w:ascii="Times New Roman" w:hAnsi="Times New Roman"/>
          <w:color w:val="000000"/>
          <w:sz w:val="20"/>
        </w:rPr>
        <w:t xml:space="preserve">” </w:t>
      </w:r>
      <w:r>
        <w:rPr>
          <w:rFonts w:ascii="Times New Roman" w:hAnsi="Times New Roman"/>
          <w:color w:val="000000"/>
          <w:sz w:val="24"/>
        </w:rPr>
        <w:t>means CME Group Benchmark Administration Limited (CBA) (or a successor administrator of the Term SOFR Reference Rate selected by the Administrative Agent in its reasonable discretion).</w:t>
      </w:r>
    </w:p>
    <w:p>
      <w:pPr>
        <w:pStyle w:val="TextBody"/>
        <w:bidi w:val="0"/>
        <w:spacing w:before="280" w:after="283"/>
        <w:jc w:val="both"/>
        <w:rPr/>
      </w:pPr>
      <w:r>
        <w:rPr>
          <w:color w:val="000000"/>
        </w:rPr>
        <w:t>“</w:t>
      </w:r>
      <w:r>
        <w:rPr>
          <w:rFonts w:ascii="Times New Roman" w:hAnsi="Times New Roman"/>
          <w:i/>
          <w:color w:val="000000"/>
          <w:sz w:val="24"/>
        </w:rPr>
        <w:t>Term SOFR Reference Rate</w:t>
      </w:r>
      <w:r>
        <w:rPr>
          <w:rFonts w:ascii="Times New Roman" w:hAnsi="Times New Roman"/>
          <w:color w:val="000000"/>
          <w:sz w:val="20"/>
        </w:rPr>
        <w:t xml:space="preserve">” </w:t>
      </w:r>
      <w:r>
        <w:rPr>
          <w:rFonts w:ascii="Times New Roman" w:hAnsi="Times New Roman"/>
          <w:color w:val="000000"/>
          <w:sz w:val="24"/>
        </w:rPr>
        <w:t>means the forward-looking term rate based on SOFR.</w:t>
      </w:r>
    </w:p>
    <w:p>
      <w:pPr>
        <w:pStyle w:val="TextBody"/>
        <w:bidi w:val="0"/>
        <w:spacing w:before="280" w:after="283"/>
        <w:jc w:val="both"/>
        <w:rPr/>
      </w:pPr>
      <w:r>
        <w:rPr>
          <w:color w:val="000000"/>
        </w:rPr>
        <w:t>“</w:t>
      </w:r>
      <w:r>
        <w:rPr>
          <w:rFonts w:ascii="Times New Roman" w:hAnsi="Times New Roman"/>
          <w:i/>
          <w:color w:val="000000"/>
          <w:sz w:val="24"/>
        </w:rPr>
        <w:t>Third Amendment Effective Date”</w:t>
      </w:r>
      <w:r>
        <w:rPr>
          <w:rFonts w:ascii="Times New Roman" w:hAnsi="Times New Roman"/>
          <w:color w:val="000000"/>
          <w:sz w:val="20"/>
        </w:rPr>
        <w:t xml:space="preserve"> </w:t>
      </w:r>
      <w:r>
        <w:rPr>
          <w:rFonts w:ascii="Times New Roman" w:hAnsi="Times New Roman"/>
          <w:color w:val="000000"/>
          <w:sz w:val="24"/>
        </w:rPr>
        <w:t>means February 29, 2024.</w:t>
      </w:r>
    </w:p>
    <w:p>
      <w:pPr>
        <w:pStyle w:val="TextBody"/>
        <w:bidi w:val="0"/>
        <w:spacing w:before="280" w:after="283"/>
        <w:jc w:val="both"/>
        <w:rPr/>
      </w:pPr>
      <w:r>
        <w:rPr>
          <w:color w:val="000000"/>
        </w:rPr>
        <w:t>“</w:t>
      </w:r>
      <w:r>
        <w:rPr>
          <w:rFonts w:ascii="Times New Roman" w:hAnsi="Times New Roman"/>
          <w:i/>
          <w:color w:val="000000"/>
          <w:sz w:val="24"/>
        </w:rPr>
        <w:t>Title IV Plan”</w:t>
      </w:r>
      <w:r>
        <w:rPr>
          <w:rFonts w:ascii="Times New Roman" w:hAnsi="Times New Roman"/>
          <w:color w:val="000000"/>
          <w:sz w:val="20"/>
        </w:rPr>
        <w:t xml:space="preserve"> </w:t>
      </w:r>
      <w:r>
        <w:rPr>
          <w:rFonts w:ascii="Times New Roman" w:hAnsi="Times New Roman"/>
          <w:color w:val="000000"/>
          <w:sz w:val="24"/>
        </w:rPr>
        <w:t>means an “employee benefit plan” as defined in Section 3(3) of ERISA (other than a Multiemployer Plan) (a) that is maintained. sponsored or contributed to by any Obligor or with respect to which any Obligor has or may have liability (including on account of an ERISA Affiliate) and (b) that is or was subject to Section 412 of the Code, Section 302 of ERISA or Title IV of ERISA.</w:t>
      </w:r>
    </w:p>
    <w:p>
      <w:pPr>
        <w:pStyle w:val="TextBody"/>
        <w:bidi w:val="0"/>
        <w:spacing w:before="280" w:after="283"/>
        <w:jc w:val="both"/>
        <w:rPr/>
      </w:pPr>
      <w:r>
        <w:rPr>
          <w:color w:val="000000"/>
        </w:rPr>
        <w:t>“</w:t>
      </w:r>
      <w:r>
        <w:rPr>
          <w:rFonts w:ascii="Times New Roman" w:hAnsi="Times New Roman"/>
          <w:i/>
          <w:color w:val="000000"/>
          <w:sz w:val="24"/>
        </w:rPr>
        <w:t>Trademarks”</w:t>
      </w:r>
      <w:r>
        <w:rPr>
          <w:rFonts w:ascii="Times New Roman" w:hAnsi="Times New Roman"/>
          <w:color w:val="000000"/>
          <w:sz w:val="20"/>
        </w:rPr>
        <w:t xml:space="preserve"> </w:t>
      </w:r>
      <w:r>
        <w:rPr>
          <w:rFonts w:ascii="Times New Roman" w:hAnsi="Times New Roman"/>
          <w:color w:val="000000"/>
          <w:sz w:val="24"/>
        </w:rPr>
        <w:t>has the meaning set forth in the Security Documents.</w:t>
      </w:r>
    </w:p>
    <w:p>
      <w:pPr>
        <w:pStyle w:val="TextBody"/>
        <w:bidi w:val="0"/>
        <w:spacing w:before="280" w:after="283"/>
        <w:jc w:val="both"/>
        <w:rPr/>
      </w:pPr>
      <w:r>
        <w:rPr>
          <w:color w:val="000000"/>
        </w:rPr>
        <w:t>“</w:t>
      </w:r>
      <w:r>
        <w:rPr>
          <w:rFonts w:ascii="Times New Roman" w:hAnsi="Times New Roman"/>
          <w:i/>
          <w:color w:val="000000"/>
          <w:sz w:val="24"/>
        </w:rPr>
        <w:t>Tranche A Loan</w:t>
      </w:r>
      <w:r>
        <w:rPr>
          <w:rFonts w:ascii="Times New Roman" w:hAnsi="Times New Roman"/>
          <w:color w:val="000000"/>
          <w:sz w:val="20"/>
        </w:rPr>
        <w:t xml:space="preserve">” </w:t>
      </w:r>
      <w:r>
        <w:rPr>
          <w:rFonts w:ascii="Times New Roman" w:hAnsi="Times New Roman"/>
          <w:color w:val="000000"/>
          <w:sz w:val="24"/>
        </w:rPr>
        <w:t>means each loan advanced by a Lender pursuant to Section 2.01(a). For purposes of clarification, any calculation of the aggregate outstanding principal amount of the Tranche A Loan on any date of determination shall mean the aggregate principal amount of the Tranche A Loan made pursuant to Section 2.01(a) that has not yet been repaid as of such date.</w:t>
      </w:r>
    </w:p>
    <w:p>
      <w:pPr>
        <w:pStyle w:val="TextBody"/>
        <w:bidi w:val="0"/>
        <w:spacing w:before="280" w:after="283"/>
        <w:jc w:val="both"/>
        <w:rPr/>
      </w:pPr>
      <w:r>
        <w:rPr>
          <w:color w:val="000000"/>
        </w:rPr>
        <w:t>“</w:t>
      </w:r>
      <w:r>
        <w:rPr>
          <w:rFonts w:ascii="Times New Roman" w:hAnsi="Times New Roman"/>
          <w:i/>
          <w:color w:val="000000"/>
          <w:sz w:val="24"/>
        </w:rPr>
        <w:t>Tranche A Loan Commitment</w:t>
      </w:r>
      <w:r>
        <w:rPr>
          <w:rFonts w:ascii="Times New Roman" w:hAnsi="Times New Roman"/>
          <w:color w:val="000000"/>
          <w:sz w:val="20"/>
        </w:rPr>
        <w:t xml:space="preserve">” </w:t>
      </w:r>
      <w:r>
        <w:rPr>
          <w:rFonts w:ascii="Times New Roman" w:hAnsi="Times New Roman"/>
          <w:color w:val="000000"/>
          <w:sz w:val="24"/>
        </w:rPr>
        <w:t xml:space="preserve">means the commitment of a Lender to make or otherwise fund a Tranche A Loan and </w:t>
      </w:r>
      <w:r>
        <w:rPr>
          <w:rFonts w:ascii="Times New Roman" w:hAnsi="Times New Roman"/>
          <w:color w:val="000000"/>
          <w:sz w:val="20"/>
        </w:rPr>
        <w:t>“</w:t>
      </w:r>
      <w:r>
        <w:rPr>
          <w:rFonts w:ascii="Times New Roman" w:hAnsi="Times New Roman"/>
          <w:i/>
          <w:color w:val="000000"/>
          <w:sz w:val="24"/>
        </w:rPr>
        <w:t>Tranche A Loan Commitments”</w:t>
      </w:r>
      <w:r>
        <w:rPr>
          <w:rFonts w:ascii="Times New Roman" w:hAnsi="Times New Roman"/>
          <w:color w:val="000000"/>
          <w:sz w:val="20"/>
        </w:rPr>
        <w:t xml:space="preserve"> </w:t>
      </w:r>
      <w:r>
        <w:rPr>
          <w:rFonts w:ascii="Times New Roman" w:hAnsi="Times New Roman"/>
          <w:color w:val="000000"/>
          <w:sz w:val="24"/>
        </w:rPr>
        <w:t>means such commitments of all Lenders in the aggregate. The aggregate amount of the Tranche A Loan Commitments as of the Fifth Amendment Effective Date is $0.</w:t>
      </w:r>
    </w:p>
    <w:p>
      <w:pPr>
        <w:pStyle w:val="TextBody"/>
        <w:bidi w:val="0"/>
        <w:spacing w:before="280" w:after="283"/>
        <w:jc w:val="both"/>
        <w:rPr/>
      </w:pPr>
      <w:r>
        <w:rPr>
          <w:color w:val="000000"/>
        </w:rPr>
        <w:t>“</w:t>
      </w:r>
      <w:r>
        <w:rPr>
          <w:rFonts w:ascii="Times New Roman" w:hAnsi="Times New Roman"/>
          <w:i/>
          <w:color w:val="000000"/>
          <w:sz w:val="24"/>
        </w:rPr>
        <w:t>Tranche B Loan</w:t>
      </w:r>
      <w:r>
        <w:rPr>
          <w:rFonts w:ascii="Times New Roman" w:hAnsi="Times New Roman"/>
          <w:color w:val="000000"/>
          <w:sz w:val="20"/>
        </w:rPr>
        <w:t xml:space="preserve">” </w:t>
      </w:r>
      <w:r>
        <w:rPr>
          <w:rFonts w:ascii="Times New Roman" w:hAnsi="Times New Roman"/>
          <w:color w:val="000000"/>
          <w:sz w:val="24"/>
        </w:rPr>
        <w:t>means each loan advanced by a Lender pursuant to Section 2.01(b). For purposes of clarification, any calculation of the aggregate outstanding principal amount of the Tranche B Loan on any date of determination shall mean the aggregate principal amount of the Tranche B Loan made pursuant to Section 2.01(b) that has not yet been repaid as of such date.</w:t>
      </w:r>
    </w:p>
    <w:p>
      <w:pPr>
        <w:pStyle w:val="TextBody"/>
        <w:bidi w:val="0"/>
        <w:spacing w:before="280" w:after="283"/>
        <w:jc w:val="both"/>
        <w:rPr/>
      </w:pPr>
      <w:r>
        <w:rPr>
          <w:color w:val="000000"/>
        </w:rPr>
        <w:t>“</w:t>
      </w:r>
      <w:r>
        <w:rPr>
          <w:rFonts w:ascii="Times New Roman" w:hAnsi="Times New Roman"/>
          <w:i/>
          <w:color w:val="000000"/>
          <w:sz w:val="24"/>
        </w:rPr>
        <w:t>Tranche B Loan Borrowing Date</w:t>
      </w:r>
      <w:r>
        <w:rPr>
          <w:rFonts w:ascii="Times New Roman" w:hAnsi="Times New Roman"/>
          <w:color w:val="000000"/>
          <w:sz w:val="20"/>
        </w:rPr>
        <w:t xml:space="preserve">” </w:t>
      </w:r>
      <w:r>
        <w:rPr>
          <w:rFonts w:ascii="Times New Roman" w:hAnsi="Times New Roman"/>
          <w:color w:val="000000"/>
          <w:sz w:val="24"/>
        </w:rPr>
        <w:t>means with respect to the Tranche B Loan, the Business Day on which all conditions set forth in Section 6.03 have been satisfied or waived by the Lenders and the Tranche B Loan is made hereunder.</w:t>
      </w:r>
    </w:p>
    <w:p>
      <w:pPr>
        <w:pStyle w:val="TextBody"/>
        <w:bidi w:val="0"/>
        <w:jc w:val="center"/>
        <w:rPr/>
      </w:pPr>
      <w:r>
        <w:rPr>
          <w:color w:val="000000"/>
        </w:rPr>
        <w:noBreakHyphen/>
      </w:r>
      <w:r>
        <w:rPr>
          <w:rFonts w:ascii="Times New Roman" w:hAnsi="Times New Roman"/>
          <w:color w:val="000000"/>
          <w:sz w:val="24"/>
        </w:rPr>
        <w:t>30</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Tranche B Loan Commitment</w:t>
      </w:r>
      <w:r>
        <w:rPr>
          <w:rFonts w:ascii="Times New Roman" w:hAnsi="Times New Roman"/>
          <w:color w:val="000000"/>
          <w:sz w:val="20"/>
        </w:rPr>
        <w:t xml:space="preserve">” </w:t>
      </w:r>
      <w:r>
        <w:rPr>
          <w:rFonts w:ascii="Times New Roman" w:hAnsi="Times New Roman"/>
          <w:color w:val="000000"/>
          <w:sz w:val="24"/>
        </w:rPr>
        <w:t xml:space="preserve">means the commitment of a Lender to make or otherwise fund a Tranche B Loan and </w:t>
      </w:r>
      <w:r>
        <w:rPr>
          <w:rFonts w:ascii="Times New Roman" w:hAnsi="Times New Roman"/>
          <w:color w:val="000000"/>
          <w:sz w:val="20"/>
        </w:rPr>
        <w:t>“</w:t>
      </w:r>
      <w:r>
        <w:rPr>
          <w:rFonts w:ascii="Times New Roman" w:hAnsi="Times New Roman"/>
          <w:i/>
          <w:color w:val="000000"/>
          <w:sz w:val="24"/>
        </w:rPr>
        <w:t>Tranche B Loan Commitments”</w:t>
      </w:r>
      <w:r>
        <w:rPr>
          <w:rFonts w:ascii="Times New Roman" w:hAnsi="Times New Roman"/>
          <w:color w:val="000000"/>
          <w:sz w:val="20"/>
        </w:rPr>
        <w:t xml:space="preserve"> </w:t>
      </w:r>
      <w:r>
        <w:rPr>
          <w:rFonts w:ascii="Times New Roman" w:hAnsi="Times New Roman"/>
          <w:color w:val="000000"/>
          <w:sz w:val="24"/>
        </w:rPr>
        <w:t>means such commitments of all Lenders in the aggregate. The aggregate amount of the Tranche B Loan Commitments as of the Fifth Amendment Effective Date is $0.</w:t>
      </w:r>
    </w:p>
    <w:p>
      <w:pPr>
        <w:pStyle w:val="TextBody"/>
        <w:bidi w:val="0"/>
        <w:spacing w:before="280" w:after="283"/>
        <w:jc w:val="both"/>
        <w:rPr/>
      </w:pPr>
      <w:r>
        <w:rPr>
          <w:color w:val="000000"/>
        </w:rPr>
        <w:t>“</w:t>
      </w:r>
      <w:r>
        <w:rPr>
          <w:rFonts w:ascii="Times New Roman" w:hAnsi="Times New Roman"/>
          <w:i/>
          <w:color w:val="000000"/>
          <w:sz w:val="24"/>
        </w:rPr>
        <w:t>Tranche B Loan Commitment Termination Date</w:t>
      </w:r>
      <w:r>
        <w:rPr>
          <w:rFonts w:ascii="Times New Roman" w:hAnsi="Times New Roman"/>
          <w:color w:val="000000"/>
          <w:sz w:val="20"/>
        </w:rPr>
        <w:t xml:space="preserve">” </w:t>
      </w:r>
      <w:r>
        <w:rPr>
          <w:rFonts w:ascii="Times New Roman" w:hAnsi="Times New Roman"/>
          <w:color w:val="000000"/>
          <w:sz w:val="24"/>
        </w:rPr>
        <w:t>means December 31, 2023.</w:t>
      </w:r>
    </w:p>
    <w:p>
      <w:pPr>
        <w:pStyle w:val="TextBody"/>
        <w:bidi w:val="0"/>
        <w:spacing w:before="280" w:after="283"/>
        <w:jc w:val="both"/>
        <w:rPr/>
      </w:pPr>
      <w:r>
        <w:rPr>
          <w:color w:val="000000"/>
        </w:rPr>
        <w:t>“</w:t>
      </w:r>
      <w:r>
        <w:rPr>
          <w:rFonts w:ascii="Times New Roman" w:hAnsi="Times New Roman"/>
          <w:i/>
          <w:color w:val="000000"/>
          <w:sz w:val="24"/>
        </w:rPr>
        <w:t>Tranche C Loan</w:t>
      </w:r>
      <w:r>
        <w:rPr>
          <w:rFonts w:ascii="Times New Roman" w:hAnsi="Times New Roman"/>
          <w:color w:val="000000"/>
          <w:sz w:val="20"/>
        </w:rPr>
        <w:t xml:space="preserve">” </w:t>
      </w:r>
      <w:r>
        <w:rPr>
          <w:rFonts w:ascii="Times New Roman" w:hAnsi="Times New Roman"/>
          <w:color w:val="000000"/>
          <w:sz w:val="24"/>
        </w:rPr>
        <w:t>means each loan advanced by a Lender pursuant to Section 2.01(c). For purposes of clarification, any calculation of the aggregate outstanding principal amount of the Tranche C Loan on any date of determination shall mean the aggregate principal amount of the Tranche C Loan made pursuant to Section 2.01(c) that has not yet been repaid as of such date.</w:t>
      </w:r>
    </w:p>
    <w:p>
      <w:pPr>
        <w:pStyle w:val="TextBody"/>
        <w:bidi w:val="0"/>
        <w:spacing w:before="280" w:after="283"/>
        <w:jc w:val="both"/>
        <w:rPr/>
      </w:pPr>
      <w:r>
        <w:rPr>
          <w:color w:val="000000"/>
        </w:rPr>
        <w:t>“</w:t>
      </w:r>
      <w:r>
        <w:rPr>
          <w:rFonts w:ascii="Times New Roman" w:hAnsi="Times New Roman"/>
          <w:i/>
          <w:color w:val="000000"/>
          <w:sz w:val="24"/>
        </w:rPr>
        <w:t>Tranche C Loan Borrowing Date</w:t>
      </w:r>
      <w:r>
        <w:rPr>
          <w:rFonts w:ascii="Times New Roman" w:hAnsi="Times New Roman"/>
          <w:color w:val="000000"/>
          <w:sz w:val="20"/>
        </w:rPr>
        <w:t xml:space="preserve">” </w:t>
      </w:r>
      <w:r>
        <w:rPr>
          <w:rFonts w:ascii="Times New Roman" w:hAnsi="Times New Roman"/>
          <w:color w:val="000000"/>
          <w:sz w:val="24"/>
        </w:rPr>
        <w:t>means with respect to the Tranche C Loan, the Business Day on which all conditions set forth in Section 6.04 have been satisfied or waived by the Lenders and the Tranche C Loan is made hereunder.</w:t>
      </w:r>
    </w:p>
    <w:p>
      <w:pPr>
        <w:pStyle w:val="TextBody"/>
        <w:bidi w:val="0"/>
        <w:spacing w:before="280" w:after="283"/>
        <w:jc w:val="both"/>
        <w:rPr/>
      </w:pPr>
      <w:r>
        <w:rPr>
          <w:color w:val="000000"/>
        </w:rPr>
        <w:t>“</w:t>
      </w:r>
      <w:r>
        <w:rPr>
          <w:rFonts w:ascii="Times New Roman" w:hAnsi="Times New Roman"/>
          <w:i/>
          <w:color w:val="000000"/>
          <w:sz w:val="24"/>
        </w:rPr>
        <w:t>Tranche C Loan Commitment</w:t>
      </w:r>
      <w:r>
        <w:rPr>
          <w:rFonts w:ascii="Times New Roman" w:hAnsi="Times New Roman"/>
          <w:color w:val="000000"/>
          <w:sz w:val="20"/>
        </w:rPr>
        <w:t xml:space="preserve">” </w:t>
      </w:r>
      <w:r>
        <w:rPr>
          <w:rFonts w:ascii="Times New Roman" w:hAnsi="Times New Roman"/>
          <w:color w:val="000000"/>
          <w:sz w:val="24"/>
        </w:rPr>
        <w:t xml:space="preserve">means the commitment of a Lender to make or otherwise fund a Tranche C Loan and </w:t>
      </w:r>
      <w:r>
        <w:rPr>
          <w:rFonts w:ascii="Times New Roman" w:hAnsi="Times New Roman"/>
          <w:color w:val="000000"/>
          <w:sz w:val="20"/>
        </w:rPr>
        <w:t>“</w:t>
      </w:r>
      <w:r>
        <w:rPr>
          <w:rFonts w:ascii="Times New Roman" w:hAnsi="Times New Roman"/>
          <w:i/>
          <w:color w:val="000000"/>
          <w:sz w:val="24"/>
        </w:rPr>
        <w:t>Tranche C Loan Commitments”</w:t>
      </w:r>
      <w:r>
        <w:rPr>
          <w:rFonts w:ascii="Times New Roman" w:hAnsi="Times New Roman"/>
          <w:color w:val="000000"/>
          <w:sz w:val="20"/>
        </w:rPr>
        <w:t xml:space="preserve"> </w:t>
      </w:r>
      <w:r>
        <w:rPr>
          <w:rFonts w:ascii="Times New Roman" w:hAnsi="Times New Roman"/>
          <w:color w:val="000000"/>
          <w:sz w:val="24"/>
        </w:rPr>
        <w:t>means such commitments of all Lenders in the aggregate. The amount of each Lender’s Tranche C Loan Commitment, if any, is set forth on Schedule 1. The aggregate amount of the Tranche C Loan Commitments as of the Closing Date is $10,000,000.</w:t>
      </w:r>
    </w:p>
    <w:p>
      <w:pPr>
        <w:pStyle w:val="TextBody"/>
        <w:bidi w:val="0"/>
        <w:spacing w:before="280" w:after="283"/>
        <w:jc w:val="both"/>
        <w:rPr/>
      </w:pPr>
      <w:r>
        <w:rPr>
          <w:color w:val="000000"/>
        </w:rPr>
        <w:t>“</w:t>
      </w:r>
      <w:r>
        <w:rPr>
          <w:rFonts w:ascii="Times New Roman" w:hAnsi="Times New Roman"/>
          <w:i/>
          <w:color w:val="000000"/>
          <w:sz w:val="24"/>
        </w:rPr>
        <w:t>Tranche C Loan Commitment Termination Date</w:t>
      </w:r>
      <w:r>
        <w:rPr>
          <w:rFonts w:ascii="Times New Roman" w:hAnsi="Times New Roman"/>
          <w:color w:val="000000"/>
          <w:sz w:val="20"/>
        </w:rPr>
        <w:t xml:space="preserve">” </w:t>
      </w:r>
      <w:r>
        <w:rPr>
          <w:rFonts w:ascii="Times New Roman" w:hAnsi="Times New Roman"/>
          <w:color w:val="000000"/>
          <w:sz w:val="24"/>
        </w:rPr>
        <w:t>means December 31, 2025.</w:t>
      </w:r>
    </w:p>
    <w:p>
      <w:pPr>
        <w:pStyle w:val="TextBody"/>
        <w:bidi w:val="0"/>
        <w:spacing w:before="280" w:after="283"/>
        <w:jc w:val="both"/>
        <w:rPr/>
      </w:pPr>
      <w:r>
        <w:rPr>
          <w:color w:val="000000"/>
        </w:rPr>
        <w:t>“</w:t>
      </w:r>
      <w:r>
        <w:rPr>
          <w:rFonts w:ascii="Times New Roman" w:hAnsi="Times New Roman"/>
          <w:i/>
          <w:color w:val="000000"/>
          <w:sz w:val="24"/>
        </w:rPr>
        <w:t>Transactions”</w:t>
      </w:r>
      <w:r>
        <w:rPr>
          <w:rFonts w:ascii="Times New Roman" w:hAnsi="Times New Roman"/>
          <w:color w:val="000000"/>
          <w:sz w:val="20"/>
        </w:rPr>
        <w:t xml:space="preserve"> </w:t>
      </w:r>
      <w:r>
        <w:rPr>
          <w:rFonts w:ascii="Times New Roman" w:hAnsi="Times New Roman"/>
          <w:color w:val="000000"/>
          <w:sz w:val="24"/>
        </w:rPr>
        <w:t>means (a) the execution, delivery and performance by each Obligor of this Agreement and the other Loan Documents to which such Obligor is a party and the other transactions contemplated hereby and thereby, including disbursement and application of the proceeds of the Term Loans and (b) the Refinancing.</w:t>
      </w:r>
    </w:p>
    <w:p>
      <w:pPr>
        <w:pStyle w:val="TextBody"/>
        <w:bidi w:val="0"/>
        <w:spacing w:before="280" w:after="283"/>
        <w:jc w:val="both"/>
        <w:rPr/>
      </w:pPr>
      <w:r>
        <w:rPr>
          <w:color w:val="000000"/>
        </w:rPr>
        <w:t>“</w:t>
      </w:r>
      <w:r>
        <w:rPr>
          <w:rFonts w:ascii="Times New Roman" w:hAnsi="Times New Roman"/>
          <w:i/>
          <w:color w:val="000000"/>
          <w:sz w:val="24"/>
        </w:rPr>
        <w:t>UK Financial Institution”</w:t>
      </w:r>
      <w:r>
        <w:rPr>
          <w:rFonts w:ascii="Times New Roman" w:hAnsi="Times New Roman"/>
          <w:color w:val="000000"/>
          <w:sz w:val="20"/>
        </w:rPr>
        <w:t xml:space="preserve"> </w:t>
      </w:r>
      <w:r>
        <w:rPr>
          <w:rFonts w:ascii="Times New Roman" w:hAnsi="Times New Roman"/>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280" w:after="283"/>
        <w:jc w:val="both"/>
        <w:rPr/>
      </w:pPr>
      <w:r>
        <w:rPr>
          <w:color w:val="000000"/>
        </w:rPr>
        <w:t>“</w:t>
      </w:r>
      <w:r>
        <w:rPr>
          <w:rFonts w:ascii="Times New Roman" w:hAnsi="Times New Roman"/>
          <w:i/>
          <w:color w:val="000000"/>
          <w:sz w:val="24"/>
        </w:rPr>
        <w:t>UK Resolution Authority”</w:t>
      </w:r>
      <w:r>
        <w:rPr>
          <w:rFonts w:ascii="Times New Roman" w:hAnsi="Times New Roman"/>
          <w:color w:val="000000"/>
          <w:sz w:val="20"/>
        </w:rPr>
        <w:t xml:space="preserve"> </w:t>
      </w:r>
      <w:r>
        <w:rPr>
          <w:rFonts w:ascii="Times New Roman" w:hAnsi="Times New Roman"/>
          <w:color w:val="000000"/>
          <w:sz w:val="24"/>
        </w:rPr>
        <w:t>means the Bank of England or any other public administrative authority having responsibility for the resolution of any UK Financial Institution.</w:t>
      </w:r>
    </w:p>
    <w:p>
      <w:pPr>
        <w:pStyle w:val="TextBody"/>
        <w:bidi w:val="0"/>
        <w:spacing w:before="280" w:after="283"/>
        <w:jc w:val="both"/>
        <w:rPr/>
      </w:pPr>
      <w:r>
        <w:rPr>
          <w:color w:val="000000"/>
        </w:rPr>
        <w:t>“</w:t>
      </w:r>
      <w:r>
        <w:rPr>
          <w:rFonts w:ascii="Times New Roman" w:hAnsi="Times New Roman"/>
          <w:i/>
          <w:color w:val="000000"/>
          <w:sz w:val="24"/>
        </w:rPr>
        <w:t>Unadjusted Benchmark Replacement</w:t>
      </w:r>
      <w:r>
        <w:rPr>
          <w:rFonts w:ascii="Times New Roman" w:hAnsi="Times New Roman"/>
          <w:color w:val="000000"/>
          <w:sz w:val="20"/>
        </w:rPr>
        <w:t xml:space="preserve">” </w:t>
      </w:r>
      <w:r>
        <w:rPr>
          <w:rFonts w:ascii="Times New Roman" w:hAnsi="Times New Roman"/>
          <w:color w:val="000000"/>
          <w:sz w:val="24"/>
        </w:rPr>
        <w:t>means the applicable Benchmark Replacement excluding the related Benchmark Replacement Adjustment.</w:t>
      </w:r>
    </w:p>
    <w:p>
      <w:pPr>
        <w:pStyle w:val="TextBody"/>
        <w:bidi w:val="0"/>
        <w:spacing w:before="280" w:after="283"/>
        <w:jc w:val="both"/>
        <w:rPr/>
      </w:pPr>
      <w:r>
        <w:rPr>
          <w:color w:val="000000"/>
        </w:rPr>
        <w:t>“</w:t>
      </w:r>
      <w:r>
        <w:rPr>
          <w:rFonts w:ascii="Times New Roman" w:hAnsi="Times New Roman"/>
          <w:i/>
          <w:color w:val="000000"/>
          <w:sz w:val="24"/>
        </w:rPr>
        <w:t>Unrestricted Cash”</w:t>
      </w:r>
      <w:r>
        <w:rPr>
          <w:rFonts w:ascii="Times New Roman" w:hAnsi="Times New Roman"/>
          <w:color w:val="000000"/>
          <w:sz w:val="20"/>
        </w:rPr>
        <w:t xml:space="preserve"> </w:t>
      </w:r>
      <w:r>
        <w:rPr>
          <w:rFonts w:ascii="Times New Roman" w:hAnsi="Times New Roman"/>
          <w:color w:val="000000"/>
          <w:sz w:val="24"/>
        </w:rPr>
        <w:t>means the balance of unencumbered cash (other than cash encumbered by the Liens granted to the Lenders pursuant to the Loan Documents) and Permitted Cash Equivalent Investments (which for greater certainty shall not include any undrawn credit lines), in each case, to the extent held in a Controlled Account.</w:t>
      </w:r>
    </w:p>
    <w:p>
      <w:pPr>
        <w:pStyle w:val="TextBody"/>
        <w:bidi w:val="0"/>
        <w:jc w:val="center"/>
        <w:rPr/>
      </w:pPr>
      <w:r>
        <w:rPr>
          <w:color w:val="000000"/>
        </w:rPr>
        <w:noBreakHyphen/>
      </w:r>
      <w:r>
        <w:rPr>
          <w:rFonts w:ascii="Times New Roman" w:hAnsi="Times New Roman"/>
          <w:color w:val="000000"/>
          <w:sz w:val="24"/>
        </w:rPr>
        <w:t>31</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 xml:space="preserve">U.S. Government Securities Business Day” </w:t>
      </w:r>
      <w:r>
        <w:rPr>
          <w:rFonts w:ascii="Times New Roman" w:hAnsi="Times New Roman"/>
          <w:color w:val="000000"/>
          <w:sz w:val="24"/>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280" w:after="283"/>
        <w:jc w:val="both"/>
        <w:rPr/>
      </w:pPr>
      <w:r>
        <w:rPr>
          <w:color w:val="000000"/>
        </w:rPr>
        <w:t>“</w:t>
      </w:r>
      <w:r>
        <w:rPr>
          <w:rFonts w:ascii="Times New Roman" w:hAnsi="Times New Roman"/>
          <w:i/>
          <w:color w:val="000000"/>
          <w:sz w:val="24"/>
        </w:rPr>
        <w:t>U.S. Person”</w:t>
      </w:r>
      <w:r>
        <w:rPr>
          <w:rFonts w:ascii="Times New Roman" w:hAnsi="Times New Roman"/>
          <w:color w:val="000000"/>
          <w:sz w:val="20"/>
        </w:rPr>
        <w:t xml:space="preserve"> </w:t>
      </w:r>
      <w:r>
        <w:rPr>
          <w:rFonts w:ascii="Times New Roman" w:hAnsi="Times New Roman"/>
          <w:color w:val="000000"/>
          <w:sz w:val="24"/>
        </w:rPr>
        <w:t>means a “United States person” within the meaning of Section 7701(a)(30) of the Code.</w:t>
      </w:r>
    </w:p>
    <w:p>
      <w:pPr>
        <w:pStyle w:val="TextBody"/>
        <w:bidi w:val="0"/>
        <w:spacing w:before="280" w:after="283"/>
        <w:jc w:val="both"/>
        <w:rPr/>
      </w:pPr>
      <w:r>
        <w:rPr>
          <w:color w:val="000000"/>
        </w:rPr>
        <w:t>“</w:t>
      </w:r>
      <w:r>
        <w:rPr>
          <w:rFonts w:ascii="Times New Roman" w:hAnsi="Times New Roman"/>
          <w:i/>
          <w:color w:val="000000"/>
          <w:sz w:val="24"/>
        </w:rPr>
        <w:t>U.S. Tax Compliance Certificate”</w:t>
      </w:r>
      <w:r>
        <w:rPr>
          <w:rFonts w:ascii="Times New Roman" w:hAnsi="Times New Roman"/>
          <w:color w:val="000000"/>
          <w:sz w:val="20"/>
        </w:rPr>
        <w:t xml:space="preserve"> </w:t>
      </w:r>
      <w:r>
        <w:rPr>
          <w:rFonts w:ascii="Times New Roman" w:hAnsi="Times New Roman"/>
          <w:color w:val="000000"/>
          <w:sz w:val="24"/>
        </w:rPr>
        <w:t>has the meaning set forth in Section 5.03(f)(ii)(B)(3).</w:t>
      </w:r>
    </w:p>
    <w:p>
      <w:pPr>
        <w:pStyle w:val="TextBody"/>
        <w:bidi w:val="0"/>
        <w:spacing w:before="280" w:after="283"/>
        <w:jc w:val="both"/>
        <w:rPr/>
      </w:pPr>
      <w:r>
        <w:rPr>
          <w:color w:val="000000"/>
        </w:rPr>
        <w:t>“</w:t>
      </w:r>
      <w:r>
        <w:rPr>
          <w:rFonts w:ascii="Times New Roman" w:hAnsi="Times New Roman"/>
          <w:i/>
          <w:color w:val="000000"/>
          <w:sz w:val="24"/>
        </w:rPr>
        <w:t xml:space="preserve">Warrant Certificates” </w:t>
      </w:r>
      <w:r>
        <w:rPr>
          <w:rFonts w:ascii="Times New Roman" w:hAnsi="Times New Roman"/>
          <w:color w:val="000000"/>
          <w:sz w:val="24"/>
        </w:rPr>
        <w:t>means collectively, (a) the Warrant Certificate (Funding Date), (b) the Warrant Certificate (First Amendment Effective Date) and (c) the Warrant Certificate (Sixth Amendment Effective Date), in each case as the Warrant Certificates may be amended, replaced or otherwise modified pursuant to the terms thereof.</w:t>
      </w:r>
    </w:p>
    <w:p>
      <w:pPr>
        <w:pStyle w:val="TextBody"/>
        <w:bidi w:val="0"/>
        <w:spacing w:before="280" w:after="283"/>
        <w:jc w:val="both"/>
        <w:rPr/>
      </w:pPr>
      <w:r>
        <w:rPr>
          <w:color w:val="000000"/>
        </w:rPr>
        <w:t>“</w:t>
      </w:r>
      <w:r>
        <w:rPr>
          <w:rFonts w:ascii="Times New Roman" w:hAnsi="Times New Roman"/>
          <w:i/>
          <w:color w:val="000000"/>
          <w:sz w:val="24"/>
        </w:rPr>
        <w:t xml:space="preserve">Warrant Certificate (First Amendment Effective Date)” </w:t>
      </w:r>
      <w:r>
        <w:rPr>
          <w:rFonts w:ascii="Times New Roman" w:hAnsi="Times New Roman"/>
          <w:color w:val="000000"/>
          <w:sz w:val="24"/>
        </w:rPr>
        <w:t>means the warrant delivered to the Administrative Agent on the First Amendment Effective Date that, among other things, grants the holder thereof the right to purchase the number of common shares of Borrower as indicated on the warrant shares table on Schedule 1 labeled as “First Amendment Warrant Shares,” as the Warrant Certificate may be amended, replaced or otherwise modified pursuant to the terms thereof.</w:t>
      </w:r>
    </w:p>
    <w:p>
      <w:pPr>
        <w:pStyle w:val="TextBody"/>
        <w:bidi w:val="0"/>
        <w:spacing w:before="280" w:after="283"/>
        <w:jc w:val="both"/>
        <w:rPr/>
      </w:pPr>
      <w:r>
        <w:rPr>
          <w:color w:val="000000"/>
        </w:rPr>
        <w:t>“</w:t>
      </w:r>
      <w:r>
        <w:rPr>
          <w:rFonts w:ascii="Times New Roman" w:hAnsi="Times New Roman"/>
          <w:i/>
          <w:color w:val="000000"/>
          <w:sz w:val="24"/>
        </w:rPr>
        <w:t xml:space="preserve">Warrant Certificate (Funding Date)” </w:t>
      </w:r>
      <w:r>
        <w:rPr>
          <w:rFonts w:ascii="Times New Roman" w:hAnsi="Times New Roman"/>
          <w:color w:val="000000"/>
          <w:sz w:val="24"/>
        </w:rPr>
        <w:t>means the warrant, substantially in the form of Exhibit J, to be delivered to the Administrative Agent pursuant to Section 6.02(a)(ii) that, among other things, grants the holder thereof the right to purchase the number of common shares of Borrower as indicated on the warrant shares table on Schedule 1 labeled as “Initial Warrant Shares,” “Second Tranche Warrant Shares” and “Third Tranche Warrant Shares,” as the Warrant Certificate may be amended, replaced or otherwise modified pursuant to the terms thereof.</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Warrant Certificate (Sixth Amendment Effective Date)” </w:t>
      </w:r>
      <w:r>
        <w:rPr>
          <w:rFonts w:ascii="Times New Roman" w:hAnsi="Times New Roman"/>
          <w:color w:val="000000"/>
          <w:sz w:val="24"/>
        </w:rPr>
        <w:t>means the warrant delivered to the Administrative Agent on the Sixth Amendment Effective Date that, among other things, grants the holder thereof the right to purchase the number of common shares of Borrower as indicated on the warrant shares table on Schedule 1 labeled as “Sixth Amendment Warrant Shares,” as the Warrant Certificate may be amended, replaced or otherwise modified pursuant to the terms thereof.</w:t>
      </w:r>
    </w:p>
    <w:p>
      <w:pPr>
        <w:pStyle w:val="TextBody"/>
        <w:bidi w:val="0"/>
        <w:spacing w:before="280" w:after="283"/>
        <w:jc w:val="both"/>
        <w:rPr/>
      </w:pPr>
      <w:r>
        <w:rPr>
          <w:color w:val="000000"/>
        </w:rPr>
        <w:t>“</w:t>
      </w:r>
      <w:r>
        <w:rPr>
          <w:rFonts w:ascii="Times New Roman" w:hAnsi="Times New Roman"/>
          <w:i/>
          <w:color w:val="000000"/>
          <w:sz w:val="24"/>
        </w:rPr>
        <w:t xml:space="preserve">Warrant Obligations” </w:t>
      </w:r>
      <w:r>
        <w:rPr>
          <w:rFonts w:ascii="Times New Roman" w:hAnsi="Times New Roman"/>
          <w:color w:val="000000"/>
          <w:sz w:val="24"/>
        </w:rPr>
        <w:t xml:space="preserve">means, with respect to the Borrower, all of its Obligations arising out of, under or in connection with, any Warrant Certificate;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any term or provision hereof or of any other Loan Document to the contrary notwithstanding, neither the Borrower nor any other Person is providing (or intends to provide) the holder of such Warrant Certificate with any Guarantee or assurance of economic return or against risk of loss in respect of such Warrant Certificate or any Equity Interests issuable upon exercise thereof and neither the term “Obligations” nor the term “Warrant Obligations” shall be deemed to include, directly or indirectly, and such Guarantee or assurance.</w:t>
      </w:r>
    </w:p>
    <w:p>
      <w:pPr>
        <w:pStyle w:val="TextBody"/>
        <w:bidi w:val="0"/>
        <w:spacing w:before="280" w:after="283"/>
        <w:jc w:val="both"/>
        <w:rPr/>
      </w:pPr>
      <w:r>
        <w:rPr>
          <w:color w:val="000000"/>
        </w:rPr>
        <w:t>“</w:t>
      </w:r>
      <w:r>
        <w:rPr>
          <w:rFonts w:ascii="Times New Roman" w:hAnsi="Times New Roman"/>
          <w:i/>
          <w:color w:val="000000"/>
          <w:sz w:val="24"/>
        </w:rPr>
        <w:t>Write</w:t>
        <w:noBreakHyphen/>
        <w:t xml:space="preserve">Down and Conversion Powers” </w:t>
      </w:r>
      <w:r>
        <w:rPr>
          <w:rFonts w:ascii="Times New Roman" w:hAnsi="Times New Roman"/>
          <w:color w:val="000000"/>
          <w:sz w:val="24"/>
        </w:rPr>
        <w:t>means, (a) with respect to any EEA Resolution Authority, the write-down and conversion powers of such EEA Resolution Authority from time to time under the Bail-In Legislation for the applicable EEA Member Country, which write-down</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32</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1.02. Accounting Terms and Principles</w:t>
      </w:r>
      <w:r>
        <w:rPr>
          <w:rFonts w:ascii="Times New Roman" w:hAnsi="Times New Roman"/>
          <w:color w:val="000000"/>
          <w:sz w:val="24"/>
        </w:rPr>
        <w:t xml:space="preserve">. All accounting determinations required to be made pursuant hereto shall, unless expressly otherwise provided herein, be made substantially in accordance with GAAP. If, after the date hereof, any change occurs in GAAP or in the application thereof (an </w:t>
      </w:r>
      <w:r>
        <w:rPr>
          <w:rFonts w:ascii="Times New Roman" w:hAnsi="Times New Roman"/>
          <w:color w:val="000000"/>
          <w:sz w:val="20"/>
        </w:rPr>
        <w:t>“</w:t>
      </w:r>
      <w:r>
        <w:rPr>
          <w:rFonts w:ascii="Times New Roman" w:hAnsi="Times New Roman"/>
          <w:i/>
          <w:color w:val="000000"/>
          <w:sz w:val="24"/>
        </w:rPr>
        <w:t>Accounting Change”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and such change would cause any amount required to be determined for the purposes of the covenants to be maintained or calculated pursuant to Article 8 or 9 to be materially different than the amount that would be determined prior to such change, then the Borrower will provide a detailed notice of such change (an </w:t>
      </w:r>
      <w:r>
        <w:rPr>
          <w:rFonts w:ascii="Times New Roman" w:hAnsi="Times New Roman"/>
          <w:color w:val="000000"/>
          <w:sz w:val="20"/>
        </w:rPr>
        <w:t>“</w:t>
      </w:r>
      <w:r>
        <w:rPr>
          <w:rFonts w:ascii="Times New Roman" w:hAnsi="Times New Roman"/>
          <w:i/>
          <w:color w:val="000000"/>
          <w:sz w:val="24"/>
        </w:rPr>
        <w:t>Accounting Change Notice”</w:t>
      </w:r>
      <w:r>
        <w:rPr>
          <w:rFonts w:ascii="Times New Roman" w:hAnsi="Times New Roman"/>
          <w:color w:val="000000"/>
          <w:sz w:val="24"/>
        </w:rPr>
        <w:t>) to the Administrative Agent in conjunction with the next required delivery of financial statements pursuant to Section 8.01. If the Borrower requests an amendment to any provision hereof to eliminate the effect of any Accounting Change occurring after the Closing Date or in the application thereof on the operation of such provision, regardless of whether any Accounting Change Notice is given before or after such Accounting Change or in the application thereof, then the Administrative Agent and the Borrower agree that they will negotiate in good faith amendments to the provisions of this Agreement that are directly affected by such Accounting Change with the intent of having the respective positions of the Administrative Agent and the Borrower after such Accounting Change conform as nearly as possible to their respective positions as of the date of this Agreement and, until any such amendments have been agreed upon, (a) the provisions in this Agreement shall be calculated as if no such Accounting Change had occurred and (b) the Borrower shall provide to the Administrative Agent a written reconciliation in form and substance reasonably satisfactory to the Administrative Agent, between calculations of any baskets and other requirements hereunder before and after giving effect to such Accounting Change.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All components of financial calculations made to determine compliance with this Agreement shall be adjusted to include or exclude, as the case may be, without duplication, such components of such calculations attributable to any Acquisition or disposition of assets consummated after the first day of the applicable period of determination and prior to the end of such period, as determined in good faith by the Borrower based on assumptions expressed therein and that were reasonable based on the information available to the Borrower at the time of preparation of the Compliance Certificate setting forth such calculations.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1.03. Interpretation</w:t>
      </w:r>
      <w:r>
        <w:rPr>
          <w:rFonts w:ascii="Times New Roman" w:hAnsi="Times New Roman"/>
          <w:color w:val="000000"/>
          <w:sz w:val="24"/>
        </w:rPr>
        <w:t>. For all purposes of this Agreement, except as otherwise expressly provided herein or unless the context otherwise requires, (a) the terms defined in this Agreement include the plural as well as the singular and vice versa; (b) words importing gender include all genders; (c) any reference to a Section, Article, Annex, Schedule or Exhibit refers to a Section or Article of, or Annex, Schedule or Exhibit to, this Agreement; (d) any reference to “this Agreement” refers to this Agreement, including all Annexes, Schedules and Exhibits hereto, and</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33</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words herein, hereof, hereto and hereunder and words of similar import refer to this Agreement and its Annexes, Schedules and Exhibits as a whole and not to any particular Section, Article, Annex, Schedule, Exhibit or any other subdivision; (e) references to days, months and years refer to calendar days, months and years, respectively; (f) all references herein to “include” or “including” shall be deemed to be followed by the words “without limitation”; (g) the word “from” when used in connection with a period of time means “from and including” and the word “until” means “to but not including”; (h) any definition of or reference to any statute, rule or regulation shall be construed as referring thereto as from time to time amended, supplemented or otherwise modified (including by succession of comparable successor laws), unless otherwise expressly stated to the contrary; (i) the words “herein”, “hereof” and “hereunder”, and words of similar import, shall be construed to refer to this Agreement in its entirety and not to any particular provision hereof; and (j) accounting terms not specifically defined herein shall be construed substantially in accordance with GAAP (except for the term “property,” which shall be interpreted as broadly as possible, including, in any case, cash, securities, other assets, rights under contractual obligations and Permits and any right or interest in any property, except where otherwise noted). 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1.04. Divisions</w:t>
      </w:r>
      <w:r>
        <w:rPr>
          <w:rFonts w:ascii="Times New Roman" w:hAnsi="Times New Roman"/>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1.05. Interest Rates. </w:t>
      </w:r>
      <w:r>
        <w:rPr>
          <w:rFonts w:ascii="Times New Roman" w:hAnsi="Times New Roman"/>
          <w:color w:val="000000"/>
          <w:sz w:val="24"/>
        </w:rPr>
        <w:t>The Administrative Agent does not warrant or accept responsibility for, and shall not have any liability with respect to (a) the continuation of, administration of, submission of, calculation of or any other matter related to the Term SOFR Reference Rate,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Term SOFR or any other Benchmark, in each case pursuant to the terms of this Agreement, and shall have no liability to the Borrower, any Lender or any other person or entity for damages of any kind, including direct or indirect, special, punitive,</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34</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incidental or consequential damages, costs, losses or expenses (whether in tort, contract or otherwise and whether at law or in equity), for any error or calculation of any such rate (or component thereof) provided by any such information source or service.</w:t>
      </w:r>
      <w:r>
        <w:rPr>
          <w:rFonts w:ascii="Times New Roman" w:hAnsi="Times New Roman"/>
          <w:color w:val="000000"/>
          <w:sz w:val="20"/>
        </w:rPr>
        <w:t xml:space="preserve">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2</w:t>
        <w:br/>
        <w:br/>
        <w:t>The Commitments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2.01. Term Loans</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Tranche A Loan</w:t>
      </w:r>
      <w:r>
        <w:rPr>
          <w:rFonts w:ascii="Times New Roman" w:hAnsi="Times New Roman"/>
          <w:color w:val="000000"/>
          <w:sz w:val="24"/>
        </w:rPr>
        <w:t xml:space="preserve">.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Subject to the terms and conditions of this Agreement and relying on the representations and warranties set forth herein, each Lender, severally and not jointly, agrees to provide its share of the Tranche A Loan to the Borrower on the Funding Date in Dollars in a principal amount equal to such Lender’s Tranche A Loan Commitment. No Lender shall have an obligation to make a Tranche A Loan in excess of such Lender’s Tranche A Loan Commitment.</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Subject to the terms and conditions of this Agreement (including Section 6.02), the Borrower shall deliver to the Administrative Agent a fully executed Borrowing Notice no later than 5 p.m. (New York City time) at least one (1) Business Day in advance of the Funding Date.</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The Borrower may make one borrowing under the Tranche A Loan Commitment which shall be on the Funding Date. Subject to Section 3.03, all amounts owed hereunder with respect to the Tranche A Loan shall be paid in full no later than the Maturity Date. Each Lender’s Tranche A Loan Commitment shall terminate immediately and without further action on the Funding Date after giving effect to the funding of such Lender’s Tranche A Loan Commitment on such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i/>
          <w:color w:val="000000"/>
          <w:sz w:val="24"/>
        </w:rPr>
      </w:pPr>
      <w:r>
        <w:rPr>
          <w:rFonts w:ascii="Times New Roman" w:hAnsi="Times New Roman"/>
          <w:i/>
          <w:color w:val="000000"/>
          <w:sz w:val="24"/>
        </w:rPr>
        <w:t>Tranche B Loan.</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Subject to the terms and conditions of this Agreement and relying on the representations and warranties set forth herein, each Lender, severally and not jointly, agrees to provide its share of the Tranche B Loan to the Borrower on the Tranche B Loan Borrowing Date in Dollars in a principal amount equal to such Lender’s Tranche B Loan Commitment. No Lender shall have an obligation to make a Tranche B Loan in excess of such Lender’s Tranche B Loan Commitment.</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Subject to the terms and conditions of this Agreement (including Section 6.03), the Borrower shall deliver to the Administrative Agent a fully executed Borrowing Notice no later than 5 p.m. (New York City time) at least </w:t>
      </w:r>
    </w:p>
    <w:p>
      <w:pPr>
        <w:pStyle w:val="TextBody"/>
        <w:bidi w:val="0"/>
        <w:jc w:val="center"/>
        <w:rPr/>
      </w:pPr>
      <w:r>
        <w:rPr>
          <w:color w:val="000000"/>
        </w:rPr>
        <w:noBreakHyphen/>
      </w:r>
      <w:r>
        <w:rPr>
          <w:rFonts w:ascii="Times New Roman" w:hAnsi="Times New Roman"/>
          <w:color w:val="000000"/>
          <w:sz w:val="24"/>
        </w:rPr>
        <w:t>35</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three (3) Business Days in advance of the proposed Tranche B Loan Borrowing Date.</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The Borrower may make one borrowing under the Tranche B Loan Commitment which shall be on the Tranche B Loan Borrowing Date. Subject to Section 3.03, all amounts owed hereunder with respect to the Tranche B Loan shall be paid in full no later than the Maturity Date. Each Lender’s Tranche B Loan Commitment shall terminate immediately and without further action on the earlier of (x) the Tranche B Loan Borrowing Date after giving effect to the funding of such Lender’s Tranche B Loan Commitment on such date and (y) the Tranche B Loan Commitment Termination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i/>
          <w:color w:val="000000"/>
          <w:sz w:val="24"/>
        </w:rPr>
      </w:pPr>
      <w:r>
        <w:rPr>
          <w:rFonts w:ascii="Times New Roman" w:hAnsi="Times New Roman"/>
          <w:i/>
          <w:color w:val="000000"/>
          <w:sz w:val="24"/>
        </w:rPr>
        <w:t>Tranche C Loan.</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Subject to the terms and conditions of this Agreement and relying on the representations and warranties set forth herein, each Lender, severally and not jointly, agrees to provide its share of the Tranche C Loan to the Borrower on the Tranche C Loan Borrowing Date in Dollars in a principal amount equal to such Lender’s Tranche C Loan Commitment. No Lender shall have an obligation to make a Tranche C Loan in excess of such Lender’s Tranche C Loan Commitment.</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Subject to the terms and conditions of this Agreement (including Section 6.04), the Borrower shall deliver to the Administrative Agent a fully executed Borrowing Notice no later than 5 p.m. (New York City time) at least three (3) Business Days in advance of the proposed Tranche C Loan Borrowing Date.</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The Borrower may make one borrowing under the Tranche C Loan Commitment which shall be on the Tranche C Loan Borrowing Date. Subject to Section 3.03, all amounts owed hereunder with respect to the Tranche C Loan shall be paid in full no later than the Maturity Date. Each Lender’s Tranche C Loan Commitment shall terminate immediately and without further action on the earlier of (x) the Tranche C Loan Borrowing Date after giving effect to the funding of such Lender’s Tranche C Loan Commitment on such date and (y) the Tranche C Loan Commitment Termination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principal amount of the Term Loans borrowed under Section 2.01(a), (b) or (c) hereof and subsequently repaid or prepaid may not be reborrowed.</w:t>
      </w:r>
    </w:p>
    <w:p>
      <w:pPr>
        <w:pStyle w:val="TextBody"/>
        <w:bidi w:val="0"/>
        <w:spacing w:before="280" w:after="283"/>
        <w:jc w:val="both"/>
        <w:rPr>
          <w:rFonts w:ascii="Times New Roman" w:hAnsi="Times New Roman"/>
          <w:sz w:val="20"/>
        </w:rPr>
      </w:pPr>
      <w:r>
        <w:rPr>
          <w:rFonts w:ascii="Times New Roman" w:hAnsi="Times New Roman"/>
          <w:i/>
          <w:color w:val="000000"/>
          <w:sz w:val="24"/>
        </w:rPr>
        <w:t>Section 2.02. Proportionate Shares</w:t>
      </w:r>
      <w:r>
        <w:rPr>
          <w:rFonts w:ascii="Times New Roman" w:hAnsi="Times New Roman"/>
          <w:color w:val="000000"/>
          <w:sz w:val="24"/>
        </w:rPr>
        <w:t>. All Term Loans shall be made, and all participations purchased, by the Lenders simultaneously and proportionately to their respective Proportionate Shares, it being understood that no Lender shall be responsible for any default by any other Lender in such other Lender’s obligation to make a Term Loan hereunder or purchase a participation required hereby nor shall the Commitment of any Lender be increased or decreased as a result of</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36</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default by any other Lender in such other Lender’s obligation to make a Term Loan requested hereunder or purchase a participation required hereby.</w:t>
      </w:r>
    </w:p>
    <w:p>
      <w:pPr>
        <w:pStyle w:val="TextBody"/>
        <w:bidi w:val="0"/>
        <w:spacing w:before="280" w:after="283"/>
        <w:jc w:val="both"/>
        <w:rPr>
          <w:rFonts w:ascii="Times New Roman" w:hAnsi="Times New Roman"/>
          <w:sz w:val="20"/>
        </w:rPr>
      </w:pPr>
      <w:r>
        <w:rPr>
          <w:rFonts w:ascii="Times New Roman" w:hAnsi="Times New Roman"/>
          <w:i/>
          <w:color w:val="000000"/>
          <w:sz w:val="24"/>
        </w:rPr>
        <w:t>Section 2.03. Fees</w:t>
      </w:r>
      <w:r>
        <w:rPr>
          <w:rFonts w:ascii="Times New Roman" w:hAnsi="Times New Roman"/>
          <w:color w:val="000000"/>
          <w:sz w:val="24"/>
        </w:rPr>
        <w:t>. The Borrower shall pay to the Administrative Agent, in accordance with the provisions of the Fee Letter, and for distribution to each Lender in accordance with its Pro Rata Share of the Term Loans, the Funding Fee. Such payments shall be in addition to such fees, costs and expenses due and payable pursuant to Section 13.03.</w:t>
      </w:r>
    </w:p>
    <w:p>
      <w:pPr>
        <w:pStyle w:val="TextBody"/>
        <w:bidi w:val="0"/>
        <w:spacing w:before="280" w:after="283"/>
        <w:jc w:val="both"/>
        <w:rPr>
          <w:rFonts w:ascii="Times New Roman" w:hAnsi="Times New Roman"/>
          <w:sz w:val="20"/>
        </w:rPr>
      </w:pPr>
      <w:r>
        <w:rPr>
          <w:rFonts w:ascii="Times New Roman" w:hAnsi="Times New Roman"/>
          <w:i/>
          <w:color w:val="000000"/>
          <w:sz w:val="24"/>
        </w:rPr>
        <w:t>Section 2.04. Notes</w:t>
      </w:r>
      <w:r>
        <w:rPr>
          <w:rFonts w:ascii="Times New Roman" w:hAnsi="Times New Roman"/>
          <w:color w:val="000000"/>
          <w:sz w:val="24"/>
        </w:rPr>
        <w:t>. Upon the request of any Lender, the Borrower shall prepare, execute and deliver to such Lender one or more Notes evidencing the portion of the Term Loans payable to such Lender (or if requested by it, to it and its registered assigns).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2.05. Use of Proceeds</w:t>
      </w:r>
      <w:r>
        <w:rPr>
          <w:rFonts w:ascii="Times New Roman" w:hAnsi="Times New Roman"/>
          <w:color w:val="000000"/>
          <w:sz w:val="24"/>
        </w:rPr>
        <w:t>. The Borrower shall use the proceeds of the Tranche A Loan and Tranche B Loan (a) for general working capital purposes and corporate purposes permitted hereunder, (b) to refinance the Existing Credit Agreements (the “</w:t>
      </w:r>
      <w:r>
        <w:rPr>
          <w:rFonts w:ascii="Times New Roman" w:hAnsi="Times New Roman"/>
          <w:i/>
          <w:color w:val="000000"/>
          <w:sz w:val="24"/>
        </w:rPr>
        <w:t>Refinancing</w:t>
      </w:r>
      <w:r>
        <w:rPr>
          <w:rFonts w:ascii="Times New Roman" w:hAnsi="Times New Roman"/>
          <w:color w:val="000000"/>
          <w:sz w:val="20"/>
        </w:rPr>
        <w:t>”</w:t>
      </w:r>
      <w:r>
        <w:rPr>
          <w:rFonts w:ascii="Times New Roman" w:hAnsi="Times New Roman"/>
          <w:color w:val="000000"/>
          <w:sz w:val="24"/>
        </w:rPr>
        <w:t>), and (c) to pay, in accordance with the funds flow attached to the Borrowing Notice, reasonable and documented out-of-pocket fees, costs and expenses incurred in connection with the Transactions. The Borrower shall use the proceeds of the Tranche C Loan for general working capital purposes and corporate purposes permitted hereunder, including, but not limited to, making Permitted Acquisitions with the prior written consent of the Administrative Agent.</w:t>
      </w:r>
      <w:r>
        <w:rPr>
          <w:rFonts w:ascii="Times New Roman" w:hAnsi="Times New Roman"/>
          <w:color w:val="000000"/>
          <w:sz w:val="20"/>
        </w:rPr>
        <w:t xml:space="preserve">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 xml:space="preserve">Article 3 </w:t>
        <w:br/>
        <w:br/>
        <w:t>Payments of Principal and Interest</w:t>
      </w:r>
    </w:p>
    <w:p>
      <w:pPr>
        <w:pStyle w:val="TextBody"/>
        <w:bidi w:val="0"/>
        <w:spacing w:before="280" w:after="283"/>
        <w:jc w:val="both"/>
        <w:rPr>
          <w:rFonts w:ascii="Times New Roman" w:hAnsi="Times New Roman"/>
          <w:sz w:val="20"/>
        </w:rPr>
      </w:pPr>
      <w:r>
        <w:rPr>
          <w:rFonts w:ascii="Times New Roman" w:hAnsi="Times New Roman"/>
          <w:i/>
          <w:color w:val="000000"/>
          <w:sz w:val="24"/>
        </w:rPr>
        <w:t>Section 3.01. Repayment</w:t>
      </w:r>
      <w:r>
        <w:rPr>
          <w:rFonts w:ascii="Times New Roman" w:hAnsi="Times New Roman"/>
          <w:color w:val="000000"/>
          <w:sz w:val="24"/>
        </w:rPr>
        <w:t>. There will be no scheduled repayments of principal on the Term Loans prior to the Maturity Date. The entire outstanding principal amount of the Term Loans, together with all accrued and unpaid interest thereon, will be due and payable on the Maturity Date.</w:t>
      </w:r>
    </w:p>
    <w:p>
      <w:pPr>
        <w:pStyle w:val="TextBody"/>
        <w:bidi w:val="0"/>
        <w:spacing w:before="280" w:after="283"/>
        <w:jc w:val="both"/>
        <w:rPr>
          <w:rFonts w:ascii="Times New Roman" w:hAnsi="Times New Roman"/>
          <w:sz w:val="20"/>
        </w:rPr>
      </w:pPr>
      <w:r>
        <w:rPr>
          <w:rFonts w:ascii="Times New Roman" w:hAnsi="Times New Roman"/>
          <w:i/>
          <w:color w:val="000000"/>
          <w:sz w:val="24"/>
        </w:rPr>
        <w:t>Section 3.02. Interest</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 xml:space="preserve">Interest Generally. </w:t>
      </w:r>
      <w:r>
        <w:rPr>
          <w:rFonts w:ascii="Times New Roman" w:hAnsi="Times New Roman"/>
          <w:color w:val="000000"/>
          <w:sz w:val="24"/>
        </w:rPr>
        <w:t>The Borrower agrees to pay to the Lenders interest in cash on the outstanding principal amount of the Term Loans for each Interest Period at a rate per annum equal to the sum of (i) Term SOFR plus (ii) the Applicable Margin.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 xml:space="preserve">Term SOFR Conforming Changes. </w:t>
      </w:r>
      <w:r>
        <w:rPr>
          <w:rFonts w:ascii="Times New Roman" w:hAnsi="Times New Roman"/>
          <w:color w:val="000000"/>
          <w:sz w:val="24"/>
        </w:rPr>
        <w:t>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jc w:val="center"/>
        <w:rPr/>
      </w:pPr>
      <w:r>
        <w:rPr>
          <w:color w:val="000000"/>
        </w:rPr>
        <w:noBreakHyphen/>
      </w:r>
      <w:r>
        <w:rPr>
          <w:rFonts w:ascii="Times New Roman" w:hAnsi="Times New Roman"/>
          <w:color w:val="000000"/>
          <w:sz w:val="24"/>
        </w:rPr>
        <w:t>37</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i/>
          <w:color w:val="000000"/>
          <w:sz w:val="24"/>
        </w:rPr>
      </w:pPr>
      <w:r>
        <w:rPr>
          <w:rFonts w:ascii="Times New Roman" w:hAnsi="Times New Roman"/>
          <w:i/>
          <w:color w:val="000000"/>
          <w:sz w:val="24"/>
        </w:rPr>
        <w:t>Effect of Benchmark Transition Event.</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320" w:after="283"/>
        <w:jc w:val="both"/>
        <w:rPr/>
      </w:pPr>
      <w:r>
        <w:rPr>
          <w:rFonts w:ascii="Times New Roman" w:hAnsi="Times New Roman"/>
          <w:i/>
          <w:color w:val="000000"/>
          <w:sz w:val="24"/>
        </w:rPr>
        <w:t>Benchmark Replacement</w:t>
      </w:r>
      <w:r>
        <w:rPr>
          <w:rFonts w:ascii="Times New Roman" w:hAnsi="Times New Roman"/>
          <w:color w:val="000000"/>
          <w:sz w:val="24"/>
        </w:rPr>
        <w: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any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Majority Lenders.</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320" w:after="283"/>
        <w:jc w:val="both"/>
        <w:rPr/>
      </w:pPr>
      <w:r>
        <w:rPr>
          <w:rFonts w:ascii="Times New Roman" w:hAnsi="Times New Roman"/>
          <w:i/>
          <w:color w:val="000000"/>
          <w:sz w:val="24"/>
        </w:rPr>
        <w:t>Conforming Changes</w:t>
      </w:r>
      <w:r>
        <w:rPr>
          <w:rFonts w:ascii="Times New Roman" w:hAnsi="Times New Roman"/>
          <w:color w:val="000000"/>
          <w:sz w:val="24"/>
        </w:rPr>
        <w:t xml:space="preserve">. In connection with the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the Loan Documents.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320" w:after="283"/>
        <w:jc w:val="both"/>
        <w:rPr/>
      </w:pPr>
      <w:r>
        <w:rPr>
          <w:rFonts w:ascii="Times New Roman" w:hAnsi="Times New Roman"/>
          <w:i/>
          <w:color w:val="000000"/>
          <w:sz w:val="24"/>
        </w:rPr>
        <w:t>Notices; Standards for Decisions and Determinations</w:t>
      </w:r>
      <w:r>
        <w:rPr>
          <w:rFonts w:ascii="Times New Roman" w:hAnsi="Times New Roman"/>
          <w:color w:val="000000"/>
          <w:sz w:val="24"/>
        </w:rPr>
        <w:t>. The Administrative Agent will promptly notify the Borrower and the Lenders of (x) the implementation of any Benchmark Replacement and (y) the effectiveness of any Conforming Changes in connection with the use, administration, adoption or implementation of a Benchmark Replacement. Any determination, decision or election that may be made by the Administrative Agent or the Lenders pursuant to this Section 3.02(c)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reasonable discretion and without consent from any other party hereto, except, in each case, as expressly required pursuant to this Section 3.02(c).</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320" w:after="283"/>
        <w:jc w:val="both"/>
        <w:rPr/>
      </w:pPr>
      <w:r>
        <w:rPr>
          <w:rFonts w:ascii="Times New Roman" w:hAnsi="Times New Roman"/>
          <w:i/>
          <w:color w:val="000000"/>
          <w:sz w:val="24"/>
        </w:rPr>
        <w:t>Unavailability of Tenor of Benchmark</w:t>
      </w:r>
      <w:r>
        <w:rPr>
          <w:rFonts w:ascii="Times New Roman" w:hAnsi="Times New Roman"/>
          <w:color w:val="000000"/>
          <w:sz w:val="24"/>
        </w:rPr>
        <w:t xml:space="preserve">. Notwithstanding anything to the contrary herein or in any other Loan Document, at any time (including in connection with the implementation of a Benchmark Replacement), </w:t>
      </w:r>
    </w:p>
    <w:p>
      <w:pPr>
        <w:pStyle w:val="TextBody"/>
        <w:bidi w:val="0"/>
        <w:jc w:val="center"/>
        <w:rPr/>
      </w:pPr>
      <w:r>
        <w:rPr>
          <w:color w:val="000000"/>
        </w:rPr>
        <w:noBreakHyphen/>
      </w:r>
      <w:r>
        <w:rPr>
          <w:rFonts w:ascii="Times New Roman" w:hAnsi="Times New Roman"/>
          <w:color w:val="000000"/>
          <w:sz w:val="24"/>
        </w:rPr>
        <w:t>38</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(x)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or non-representative, non-compliant or non-aligned tenor and (y) if a tenor that was removed pursuant to clause (x) above either (A) is subsequently displayed on a screen or information service for a Benchmark (including a Benchmark Replacement) or (B) is not, or is no longer, subject to an announcement that it is not or will not be representative or incompliance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pPr>
      <w:r>
        <w:rPr>
          <w:rFonts w:ascii="Times New Roman" w:hAnsi="Times New Roman"/>
          <w:i/>
          <w:color w:val="000000"/>
          <w:sz w:val="24"/>
        </w:rPr>
        <w:t>Default Interest.</w:t>
      </w:r>
      <w:r>
        <w:rPr>
          <w:color w:val="000000"/>
        </w:rPr>
        <w:t xml:space="preserve"> </w:t>
      </w:r>
      <w:r>
        <w:rPr>
          <w:rFonts w:ascii="Times New Roman" w:hAnsi="Times New Roman"/>
          <w:color w:val="000000"/>
          <w:sz w:val="24"/>
        </w:rPr>
        <w:t xml:space="preserve">Notwithstanding the foregoing, upon written notice from the Administrative Agent following the occurrence and during the continuance of any Event of Default, the Applicable Margin shall increase automatically by 4.00% per annum (the interest rate, as increased pursuant to this Section 3.02(d), being the </w:t>
      </w:r>
      <w:r>
        <w:rPr>
          <w:color w:val="000000"/>
        </w:rPr>
        <w:t>“</w:t>
      </w:r>
      <w:r>
        <w:rPr>
          <w:rFonts w:ascii="Times New Roman" w:hAnsi="Times New Roman"/>
          <w:i/>
          <w:color w:val="000000"/>
          <w:sz w:val="24"/>
        </w:rPr>
        <w:t>Default Rate”</w:t>
      </w:r>
      <w:r>
        <w:rPr>
          <w:rFonts w:ascii="Times New Roman" w:hAnsi="Times New Roman"/>
          <w:color w:val="000000"/>
          <w:sz w:val="24"/>
        </w:rPr>
        <w:t>). Notwithstanding any other provision herein, if interest is required to be paid at the Default Rate, it shall also be paid entirely in cash. If any Obligation is not paid when due under any applicable Loan Document, the amount thereof shall accrue interest at the Default Rate. Payment or acceptance of the increased rates of interest provided for in this Section 3.02(d) is not a permitted alternative to timely payment and shall not constitute a waiver of any Default or otherwise prejudice or limit any rights or remedies of the Administrative Agent or any Lender.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pPr>
      <w:r>
        <w:rPr>
          <w:rFonts w:ascii="Times New Roman" w:hAnsi="Times New Roman"/>
          <w:i/>
          <w:color w:val="000000"/>
          <w:sz w:val="24"/>
        </w:rPr>
        <w:t>Payment Dates.</w:t>
      </w:r>
      <w:r>
        <w:rPr>
          <w:color w:val="000000"/>
        </w:rPr>
        <w:t xml:space="preserve"> </w:t>
      </w:r>
      <w:r>
        <w:rPr>
          <w:rFonts w:ascii="Times New Roman" w:hAnsi="Times New Roman"/>
          <w:color w:val="000000"/>
          <w:sz w:val="24"/>
        </w:rPr>
        <w:t xml:space="preserve">Accrued interest on the Term Loans shall be payable in arrears on each Payment Date with respect to the most recently completed Interest Period in cash, and upon the payment or prepayment of the Term Loans (on the principal amount being so paid or prepaid); </w:t>
      </w:r>
      <w:r>
        <w:rPr>
          <w:rFonts w:ascii="Times New Roman" w:hAnsi="Times New Roman"/>
          <w:i/>
          <w:color w:val="000000"/>
          <w:sz w:val="24"/>
        </w:rPr>
        <w:t>provided</w:t>
      </w:r>
      <w:r>
        <w:rPr>
          <w:color w:val="000000"/>
        </w:rPr>
        <w:t xml:space="preserve"> </w:t>
      </w:r>
      <w:r>
        <w:rPr>
          <w:rFonts w:ascii="Times New Roman" w:hAnsi="Times New Roman"/>
          <w:color w:val="000000"/>
          <w:sz w:val="24"/>
        </w:rPr>
        <w:t>that interest payable at the Default Rate shall be payable from time to time on demand by the Majority Lenders.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pPr>
      <w:r>
        <w:rPr>
          <w:rFonts w:ascii="Times New Roman" w:hAnsi="Times New Roman"/>
          <w:i/>
          <w:color w:val="000000"/>
          <w:sz w:val="24"/>
        </w:rPr>
        <w:t>Maximum Rate.</w:t>
      </w:r>
      <w:r>
        <w:rPr>
          <w:color w:val="000000"/>
        </w:rPr>
        <w:t xml:space="preserve"> </w:t>
      </w:r>
      <w:r>
        <w:rPr>
          <w:rFonts w:ascii="Times New Roman" w:hAnsi="Times New Roman"/>
          <w:color w:val="000000"/>
          <w:sz w:val="24"/>
        </w:rPr>
        <w:t xml:space="preserve">Notwithstanding any other provision of this Agreement, in no event will any interest or rates referred to herein exceed the maximum interest rate permitted by applicable Law. If such maximum interest rate would be exceeded by the terms hereof, the rates of interest payable hereunder will be reduced to the extent necessary so that such rates (together with any fees or other amounts which are construed by a court of competent jurisdiction to be interest or in the nature of interest) </w:t>
      </w:r>
    </w:p>
    <w:p>
      <w:pPr>
        <w:pStyle w:val="TextBody"/>
        <w:bidi w:val="0"/>
        <w:jc w:val="center"/>
        <w:rPr/>
      </w:pPr>
      <w:r>
        <w:rPr>
          <w:color w:val="000000"/>
        </w:rPr>
        <w:noBreakHyphen/>
      </w:r>
      <w:r>
        <w:rPr>
          <w:rFonts w:ascii="Times New Roman" w:hAnsi="Times New Roman"/>
          <w:color w:val="000000"/>
          <w:sz w:val="24"/>
        </w:rPr>
        <w:t>39</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equal the maximum interest rate permitted by applicable Law and any overpayment of interest received by the Lenders before such rates are so construed will be applied, forthwith after determination of such overpayment, to pay all then outstanding interest, and thereafter to pay outstanding principal.</w:t>
      </w:r>
    </w:p>
    <w:p>
      <w:pPr>
        <w:pStyle w:val="TextBody"/>
        <w:bidi w:val="0"/>
        <w:spacing w:before="280" w:after="283"/>
        <w:jc w:val="both"/>
        <w:rPr>
          <w:rFonts w:ascii="Times New Roman" w:hAnsi="Times New Roman"/>
          <w:sz w:val="20"/>
        </w:rPr>
      </w:pPr>
      <w:r>
        <w:rPr>
          <w:rFonts w:ascii="Times New Roman" w:hAnsi="Times New Roman"/>
          <w:i/>
          <w:color w:val="000000"/>
          <w:sz w:val="24"/>
        </w:rPr>
        <w:t>Section 3.03. Prepayments</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i/>
          <w:color w:val="000000"/>
          <w:sz w:val="24"/>
        </w:rPr>
      </w:pPr>
      <w:r>
        <w:rPr>
          <w:rFonts w:ascii="Times New Roman" w:hAnsi="Times New Roman"/>
          <w:i/>
          <w:color w:val="000000"/>
          <w:sz w:val="24"/>
        </w:rPr>
        <w:t xml:space="preserve">Optional Prepayments.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320" w:after="283"/>
        <w:jc w:val="both"/>
        <w:rPr/>
      </w:pPr>
      <w:r>
        <w:rPr>
          <w:rFonts w:ascii="Times New Roman" w:hAnsi="Times New Roman"/>
          <w:color w:val="000000"/>
          <w:sz w:val="24"/>
        </w:rPr>
        <w:t xml:space="preserve">The Borrower shall have the right to optionally prepay in whole or in part (in a minimum amount of $500,000 and integral multiples of $100,000 in excess of that amount for each partial prepayment, or, if less, the entire outstanding principal amount of the Term Loans) the outstanding principal amount of the Term Loans on any Business Day (a </w:t>
      </w:r>
      <w:r>
        <w:rPr>
          <w:color w:val="000000"/>
        </w:rPr>
        <w:t>“</w:t>
      </w:r>
      <w:r>
        <w:rPr>
          <w:rFonts w:ascii="Times New Roman" w:hAnsi="Times New Roman"/>
          <w:i/>
          <w:color w:val="000000"/>
          <w:sz w:val="24"/>
        </w:rPr>
        <w:t>Redemption Date”</w:t>
      </w:r>
      <w:r>
        <w:rPr>
          <w:rFonts w:ascii="Times New Roman" w:hAnsi="Times New Roman"/>
          <w:color w:val="000000"/>
          <w:sz w:val="24"/>
        </w:rPr>
        <w:t xml:space="preserve">) for an amount equal to the sum of (x) the aggregate principal amount of the Term Loans being prepaid, (y) the prepayment premium set forth in clause (ii) below (the </w:t>
      </w:r>
      <w:r>
        <w:rPr>
          <w:color w:val="000000"/>
        </w:rPr>
        <w:t>“</w:t>
      </w:r>
      <w:r>
        <w:rPr>
          <w:rFonts w:ascii="Times New Roman" w:hAnsi="Times New Roman"/>
          <w:i/>
          <w:color w:val="000000"/>
          <w:sz w:val="24"/>
        </w:rPr>
        <w:t>Prepayment Premium”</w:t>
      </w:r>
      <w:r>
        <w:rPr>
          <w:rFonts w:ascii="Times New Roman" w:hAnsi="Times New Roman"/>
          <w:color w:val="000000"/>
          <w:sz w:val="24"/>
        </w:rPr>
        <w:t xml:space="preserve">) and (z) any accrued but unpaid interest in respect of the aggregate principal amount of the Term Loans being prepaid (such aggregate amount, the </w:t>
      </w:r>
      <w:r>
        <w:rPr>
          <w:color w:val="000000"/>
        </w:rPr>
        <w:t>“</w:t>
      </w:r>
      <w:r>
        <w:rPr>
          <w:rFonts w:ascii="Times New Roman" w:hAnsi="Times New Roman"/>
          <w:i/>
          <w:color w:val="000000"/>
          <w:sz w:val="24"/>
        </w:rPr>
        <w:t>Redemption Price”</w:t>
      </w:r>
      <w:r>
        <w:rPr>
          <w:rFonts w:ascii="Times New Roman" w:hAnsi="Times New Roman"/>
          <w:color w:val="000000"/>
          <w:sz w:val="24"/>
        </w:rPr>
        <w:t>). The applicable Prepayment Premium shall be an amount calculated pursuant to Section 3.03(a)(ii).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If the Redemption Date occurs:</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on or prior to the first anniversary of the Funding Date, the Prepayment Premium shall be an amount equal to ten percent (10%) of the aggregate outstanding principal amount of the Term Loans being prepaid on such Redemption Date;</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after the first anniversary of the Funding Date and on or prior to the second anniversary of the Funding Date, the Prepayment Premium shall be an amount equal to nine percent (9%) of the aggregate outstanding principal amount of the Term Loans being prepaid on such Redemption Date;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after the second anniversary of the Funding Date and on or prior to the third anniversary of the Funding Date, the Prepayment Premium shall be an amount equal to eight percent (8%) of the aggregate outstanding principal amount of the Term Loans being prepaid on such Redemption Date;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after the third anniversary of the Funding Date and on or prior to the fourth anniversary of the Funding Date, the Prepayment Premium shall be an amount equal to five percent (5%) of the aggregate </w:t>
      </w:r>
    </w:p>
    <w:p>
      <w:pPr>
        <w:pStyle w:val="TextBody"/>
        <w:bidi w:val="0"/>
        <w:jc w:val="center"/>
        <w:rPr/>
      </w:pPr>
      <w:r>
        <w:rPr>
          <w:color w:val="000000"/>
        </w:rPr>
        <w:noBreakHyphen/>
      </w:r>
      <w:r>
        <w:rPr>
          <w:rFonts w:ascii="Times New Roman" w:hAnsi="Times New Roman"/>
          <w:color w:val="000000"/>
          <w:sz w:val="24"/>
        </w:rPr>
        <w:t>40</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outstanding principal amount of the Term Loans being prepaid on such Redemption Date; and</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after the fourth anniversary of the Funding Date and on or prior to the date that is six (6) months prior to the fifth anniversary of the Funding Date, the Prepayment Premium shall be an amount equal to two percent (2%) of the aggregate outstanding principal amount of the Term Loans being prepaid on such Redemption Date; and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thereafter, the Prepayment Premium shall be zero percent (0%) of the aggregate outstanding principal amount of the Term Loans being prepaid on such Redemption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Mandatory Prepayments.</w:t>
      </w:r>
      <w:r>
        <w:rPr>
          <w:color w:val="000000"/>
        </w:rPr>
        <w:t xml:space="preserve"> </w:t>
      </w:r>
      <w:r>
        <w:rPr>
          <w:rFonts w:ascii="Times New Roman" w:hAnsi="Times New Roman"/>
          <w:color w:val="000000"/>
          <w:sz w:val="24"/>
        </w:rPr>
        <w:t>The Borrower shall on or prior to the third (3rd) Business Day following the occurrence of any applicable event under clauses (i) through (iii) below, prepay the Term Loans in amounts as provided below, plus the Prepayment Premium on the principal amount of the Term Loans being prepaid (calculated in accordance with Section 3.03(a)(ii), it being agreed that the relevant payment date shall be deemed to be the “Redemption Date” for purposes of such calculation), plus any accrued but unpaid interest and fees then due and owing, as follows:</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320" w:after="283"/>
        <w:jc w:val="both"/>
        <w:rPr/>
      </w:pPr>
      <w:r>
        <w:rPr>
          <w:rFonts w:ascii="Times New Roman" w:hAnsi="Times New Roman"/>
          <w:color w:val="000000"/>
          <w:sz w:val="24"/>
        </w:rPr>
        <w:t xml:space="preserve">In the event of any Casualty Event, an amount equal to 100% of the Net Cash Proceeds received by any Obligor with respect thereto;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so long as no Default has occurred and is continuing within one hundred eighty (180) days after receipt of such Net Cash Proceeds, the Obligors may apply the Net Cash Proceeds of any casualty policy not exceeding $2,500,000 in the aggregate for all losses under all Casualty Events during the term of this Agreement toward the replacement or repair of destroyed or damaged property; </w:t>
      </w:r>
      <w:r>
        <w:rPr>
          <w:rFonts w:ascii="Times New Roman" w:hAnsi="Times New Roman"/>
          <w:i/>
          <w:color w:val="000000"/>
          <w:sz w:val="24"/>
        </w:rPr>
        <w:t>provided, further</w:t>
      </w:r>
      <w:r>
        <w:rPr>
          <w:rFonts w:ascii="Times New Roman" w:hAnsi="Times New Roman"/>
          <w:color w:val="000000"/>
          <w:sz w:val="24"/>
        </w:rPr>
        <w:t>, that any such replaced or repaired property shall be Collateral in which the Administrative Agent for the benefit of the Lenders has been granted a security interest under the Security Documents.</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In the event any Obligor incurs Indebtedness other than Indebtedness that is permitted by Section 9.01 hereof, 100% of the Net Cash Proceeds thereof received by such Obligor. For the avoidance of doubt, any prepayment made pursuant to this Section 3.03(b)(ii) shall not be deemed to be a consent to any such incurrence of Indebtedness or a cure or waiver of any Event of Default which occurs in connection therewith, it being understood that any such Event of Default may only be waived with the express consent of the Majority Lenders.</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320" w:after="283"/>
        <w:jc w:val="both"/>
        <w:rPr/>
      </w:pPr>
      <w:r>
        <w:rPr>
          <w:rFonts w:ascii="Times New Roman" w:hAnsi="Times New Roman"/>
          <w:color w:val="000000"/>
          <w:sz w:val="24"/>
        </w:rPr>
        <w:t xml:space="preserve">In the event any Obligor consummates an Asset Sale other than an Asset Sale that is permitted by Section 9.09 hereof (other than Section 9.09(i)), 100% of the Net Cash Proceeds received by such Obligor in connection with such Asset Sale;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 xml:space="preserve">so long as no Default has occurred and is </w:t>
      </w:r>
    </w:p>
    <w:p>
      <w:pPr>
        <w:pStyle w:val="TextBody"/>
        <w:bidi w:val="0"/>
        <w:jc w:val="center"/>
        <w:rPr/>
      </w:pPr>
      <w:r>
        <w:rPr>
          <w:color w:val="000000"/>
        </w:rPr>
        <w:noBreakHyphen/>
      </w:r>
      <w:r>
        <w:rPr>
          <w:rFonts w:ascii="Times New Roman" w:hAnsi="Times New Roman"/>
          <w:color w:val="000000"/>
          <w:sz w:val="24"/>
        </w:rPr>
        <w:t>41</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both"/>
        <w:rPr/>
      </w:pPr>
      <w:r>
        <w:rPr>
          <w:rFonts w:ascii="Times New Roman" w:hAnsi="Times New Roman"/>
          <w:color w:val="000000"/>
          <w:sz w:val="24"/>
        </w:rPr>
        <w:t xml:space="preserve">continuing, within one hundred eighty (180) days after receipt of such Net Cash Proceeds, the Obligors may use such Net Cash Proceeds not exceeding $2,500,000 in the aggregate for all Asset Sales during the term of this Agreement, to purchase, replace, repair or restore properties or assets used in the Obligors’ businesses; </w:t>
      </w:r>
      <w:r>
        <w:rPr>
          <w:rFonts w:ascii="Times New Roman" w:hAnsi="Times New Roman"/>
          <w:i/>
          <w:color w:val="000000"/>
          <w:sz w:val="24"/>
        </w:rPr>
        <w:t>provided, further,</w:t>
      </w:r>
      <w:r>
        <w:rPr>
          <w:color w:val="000000"/>
        </w:rPr>
        <w:t xml:space="preserve"> </w:t>
      </w:r>
      <w:r>
        <w:rPr>
          <w:rFonts w:ascii="Times New Roman" w:hAnsi="Times New Roman"/>
          <w:color w:val="000000"/>
          <w:sz w:val="24"/>
        </w:rPr>
        <w:t>that any such purchased, replaced, repaired or restored property shall be Collateral in which the Administrative Agent for the benefit of the Lenders has been granted a security interest under the Security Documents. For the avoidance of doubt, any prepayment made pursuant to this Section 3.03(b)(iii) shall not be deemed to be a consent to any Asset Sale or a cure or waiver of any Event of Default which occurs in connection therewith, it being understood that any such Event of Default may only be waived with the express consent of the Majority Lenders.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olor w:val="000000"/>
          <w:sz w:val="24"/>
        </w:rPr>
        <w:t>Prepayment Premium.</w:t>
      </w:r>
      <w:r>
        <w:rPr>
          <w:color w:val="000000"/>
        </w:rPr>
        <w:t xml:space="preserve"> </w:t>
      </w:r>
      <w:r>
        <w:rPr>
          <w:rFonts w:ascii="Times New Roman" w:hAnsi="Times New Roman"/>
          <w:color w:val="000000"/>
          <w:sz w:val="24"/>
        </w:rPr>
        <w:t xml:space="preserve">Payment of any Prepayment Premium under this Section 3.03 constitutes liquidated damages, not unmatured interest or a penalty, as the actual amount of damages to the Lenders as a result of the relevant triggering event, prepayment or repayment would be impracticable and extremely difficult to ascertain. Accordingly, any Prepayment Premium hereunder is provided by mutual agreement of the Obligors and the Lenders as a reasonable estimation and calculation of such actual lost profits and other actual damages of the Lenders. Without limiting the generality of the foregoing, it is understood and agreed that upon the occurrence of any prepayment event, any Prepayment Premium shall be automatically and immediately due and payable as though any prepaid or repaid portion of the Term Loans were voluntarily prepaid as of such date and shall constitute part of the Obligations secured by the Collateral. Any Prepayment Premium shall also be automatically and immediately due and payable if the Term Loans are satisfied or released by foreclosure (whether by power of judicial proceeding or otherwise), deed in lieu of foreclosure or by any other means. EACH OBLIGOR HEREBY EXPRESSLY WAIVES (TO THE FULLEST EXTENT IT MAY LAWFULLY DO SO) THE PROVISIONS OF ANY PRESENT OR FUTURE STATUTE OR OTHER LAW THAT PROHIBITS OR MAY PROHIBIT THE COLLECTION OF THE FOREGOING </w:t>
      </w:r>
      <w:r>
        <w:rPr>
          <w:rFonts w:ascii="Times New Roman" w:hAnsi="Times New Roman"/>
          <w:caps/>
          <w:color w:val="000000"/>
          <w:sz w:val="24"/>
        </w:rPr>
        <w:t>Prepayment Premium</w:t>
      </w:r>
      <w:r>
        <w:rPr>
          <w:color w:val="000000"/>
        </w:rPr>
        <w:t xml:space="preserve"> </w:t>
      </w:r>
      <w:r>
        <w:rPr>
          <w:rFonts w:ascii="Times New Roman" w:hAnsi="Times New Roman"/>
          <w:color w:val="000000"/>
          <w:sz w:val="24"/>
        </w:rPr>
        <w:t>IN CONNECTION WITH ANY SUCH EVENTS. The Borrower and the other Obligors expressly agree (to the fullest extent it and they may lawfully do so) that with respect to any Prepayment Premium payable under the terms of this Agreement: (i) such Prepayment Premium is reasonable and is the product of an arm’s length transaction between sophisticated business parties, ably represented by counsel; (ii) such Prepayment Premium shall be payable notwithstanding the then-prevailing market rates at the time payment is made; (iii) there has been a course of conduct between the Lenders and the Obligors giving specific consideration in this transaction for such agreement to pay such Prepayment Premium; and (iv) the Obligors shall be estopped hereafter from claiming differently than as agreed to in this paragraph. The Obligors expressly acknowledge that their agreement to pay such Prepayment Premium as herein described is a material inducement to the Lenders to provide the Commitments and to make the Term Loans.</w:t>
      </w:r>
    </w:p>
    <w:p>
      <w:pPr>
        <w:pStyle w:val="TextBody"/>
        <w:bidi w:val="0"/>
        <w:jc w:val="center"/>
        <w:rPr/>
      </w:pPr>
      <w:r>
        <w:rPr>
          <w:color w:val="000000"/>
        </w:rPr>
        <w:noBreakHyphen/>
      </w:r>
      <w:r>
        <w:rPr>
          <w:rFonts w:ascii="Times New Roman" w:hAnsi="Times New Roman"/>
          <w:color w:val="000000"/>
          <w:sz w:val="24"/>
        </w:rPr>
        <w:t>42</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4</w:t>
        <w:br/>
        <w:br/>
        <w:t>Payments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4.01. Payments</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Payments Generally.</w:t>
      </w:r>
      <w:r>
        <w:rPr>
          <w:color w:val="000000"/>
        </w:rPr>
        <w:t xml:space="preserve"> </w:t>
      </w:r>
      <w:r>
        <w:rPr>
          <w:rFonts w:ascii="Times New Roman" w:hAnsi="Times New Roman"/>
          <w:color w:val="000000"/>
          <w:sz w:val="24"/>
        </w:rPr>
        <w:t>Each payment of principal, interest and other amounts to be made by the Obligors under this Agreement or any other Loan Document shall be made in Dollars, in immediately available funds, without deduction, set off or counterclaim, to the deposit account of the Administrative Agent specified to the Borrower from time to time, not later than 4:00 p.m. (New York City time) on the date on which such payment shall become due (each such payment made after such time on such due date to be deemed to have been made on the next succeeding Business Day).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Application of Payments.</w:t>
      </w:r>
      <w:r>
        <w:rPr>
          <w:color w:val="000000"/>
        </w:rPr>
        <w:t xml:space="preserve"> </w:t>
      </w:r>
      <w:r>
        <w:rPr>
          <w:rFonts w:ascii="Times New Roman" w:hAnsi="Times New Roman"/>
          <w:color w:val="000000"/>
          <w:sz w:val="24"/>
        </w:rPr>
        <w:t>Each payment under this Agreement or any other Loan Document shall be applied in the following order of priority, with proceeds being applied to a succeeding level of priority only if amounts owing pursuant to the immediately preceding level of priority have been paid in full in cash:</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320" w:after="283"/>
        <w:jc w:val="both"/>
        <w:rPr/>
      </w:pPr>
      <w:r>
        <w:rPr>
          <w:rFonts w:ascii="Times New Roman" w:hAnsi="Times New Roman"/>
          <w:i/>
          <w:color w:val="000000"/>
          <w:sz w:val="24"/>
        </w:rPr>
        <w:t>first</w:t>
      </w:r>
      <w:r>
        <w:rPr>
          <w:rFonts w:ascii="Times New Roman" w:hAnsi="Times New Roman"/>
          <w:color w:val="000000"/>
          <w:sz w:val="24"/>
        </w:rPr>
        <w:t>, to the payment of any unpaid costs and expenses referred to in Section 13.03(a) then due and owing;</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320" w:after="283"/>
        <w:jc w:val="both"/>
        <w:rPr/>
      </w:pPr>
      <w:r>
        <w:rPr>
          <w:rFonts w:ascii="Times New Roman" w:hAnsi="Times New Roman"/>
          <w:i/>
          <w:color w:val="000000"/>
          <w:sz w:val="24"/>
        </w:rPr>
        <w:t>second</w:t>
      </w:r>
      <w:r>
        <w:rPr>
          <w:rFonts w:ascii="Times New Roman" w:hAnsi="Times New Roman"/>
          <w:color w:val="000000"/>
          <w:sz w:val="24"/>
        </w:rPr>
        <w:t>, in reduction of the Borrower’s obligation to pay any unpaid interest and any fees then due and owing including, without limitation, (x) interest payable pursuant to Section 3.02(d) and (y) any Prepayment Premium, if applicable;</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320" w:after="283"/>
        <w:jc w:val="both"/>
        <w:rPr/>
      </w:pPr>
      <w:r>
        <w:rPr>
          <w:rFonts w:ascii="Times New Roman" w:hAnsi="Times New Roman"/>
          <w:i/>
          <w:color w:val="000000"/>
          <w:sz w:val="24"/>
        </w:rPr>
        <w:t>third</w:t>
      </w:r>
      <w:r>
        <w:rPr>
          <w:rFonts w:ascii="Times New Roman" w:hAnsi="Times New Roman"/>
          <w:color w:val="000000"/>
          <w:sz w:val="24"/>
        </w:rPr>
        <w:t>, in reduction of the Borrower’s obligation to pay any Claims or Losses referred to in Section 13.03(b) then due and owing;</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320" w:after="283"/>
        <w:jc w:val="both"/>
        <w:rPr/>
      </w:pPr>
      <w:r>
        <w:rPr>
          <w:rFonts w:ascii="Times New Roman" w:hAnsi="Times New Roman"/>
          <w:i/>
          <w:color w:val="000000"/>
          <w:sz w:val="24"/>
        </w:rPr>
        <w:t>fourth</w:t>
      </w:r>
      <w:r>
        <w:rPr>
          <w:rFonts w:ascii="Times New Roman" w:hAnsi="Times New Roman"/>
          <w:color w:val="000000"/>
          <w:sz w:val="24"/>
        </w:rPr>
        <w:t>, to the payment of unpaid principal of the Term Loans on a pro rata basis;</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320" w:after="283"/>
        <w:jc w:val="both"/>
        <w:rPr/>
      </w:pPr>
      <w:r>
        <w:rPr>
          <w:rFonts w:ascii="Times New Roman" w:hAnsi="Times New Roman"/>
          <w:i/>
          <w:color w:val="000000"/>
          <w:sz w:val="24"/>
        </w:rPr>
        <w:t>fifth</w:t>
      </w:r>
      <w:r>
        <w:rPr>
          <w:rFonts w:ascii="Times New Roman" w:hAnsi="Times New Roman"/>
          <w:color w:val="000000"/>
          <w:sz w:val="24"/>
        </w:rPr>
        <w:t>, in reduction of any other Obligation then due and owing; and</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320" w:after="283"/>
        <w:jc w:val="both"/>
        <w:rPr/>
      </w:pPr>
      <w:r>
        <w:rPr>
          <w:rFonts w:ascii="Times New Roman" w:hAnsi="Times New Roman"/>
          <w:i/>
          <w:color w:val="000000"/>
          <w:sz w:val="24"/>
        </w:rPr>
        <w:t>sixth</w:t>
      </w:r>
      <w:r>
        <w:rPr>
          <w:rFonts w:ascii="Times New Roman" w:hAnsi="Times New Roman"/>
          <w:color w:val="000000"/>
          <w:sz w:val="24"/>
        </w:rPr>
        <w:t>, to the Borrower or such other Persons as may lawfully be entitled to or directed by the Borrower to receive the remainder.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Unless otherwise directed by the Majority Lenders, all payments of principal, interest and fees under this Agreement and the other Loan Documents shall be made by the Obligors to the Lenders pro rata in accordance with the Lenders’ respective Proportionate Shares of such payments.</w:t>
      </w:r>
    </w:p>
    <w:p>
      <w:pPr>
        <w:pStyle w:val="TextBody"/>
        <w:bidi w:val="0"/>
        <w:jc w:val="center"/>
        <w:rPr/>
      </w:pPr>
      <w:r>
        <w:rPr>
          <w:color w:val="000000"/>
        </w:rPr>
        <w:noBreakHyphen/>
      </w:r>
      <w:r>
        <w:rPr>
          <w:rFonts w:ascii="Times New Roman" w:hAnsi="Times New Roman"/>
          <w:color w:val="000000"/>
          <w:sz w:val="24"/>
        </w:rPr>
        <w:t>43</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olor w:val="000000"/>
          <w:sz w:val="24"/>
        </w:rPr>
        <w:t>Non</w:t>
        <w:noBreakHyphen/>
        <w:t>Business Days.</w:t>
      </w:r>
      <w:r>
        <w:rPr>
          <w:color w:val="000000"/>
        </w:rPr>
        <w:t xml:space="preserve"> </w:t>
      </w:r>
      <w:r>
        <w:rPr>
          <w:rFonts w:ascii="Times New Roman" w:hAnsi="Times New Roman"/>
          <w:color w:val="000000"/>
          <w:sz w:val="24"/>
        </w:rPr>
        <w:t>If the due date of any payment under this Agreement (whether in respect of principal, interest, fees, costs or otherwise) would otherwise fall on a day that is not a Business Day, such date shall be extended to the next succeeding Business Day, and, in the case of any payment accruing interest, interest thereon shall be payable for the period of such extension.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4.02. Computations.</w:t>
      </w:r>
      <w:r>
        <w:rPr>
          <w:rFonts w:ascii="Times New Roman" w:hAnsi="Times New Roman"/>
          <w:color w:val="000000"/>
          <w:sz w:val="20"/>
        </w:rPr>
        <w:t xml:space="preserve"> </w:t>
      </w:r>
      <w:r>
        <w:rPr>
          <w:rFonts w:ascii="Times New Roman" w:hAnsi="Times New Roman"/>
          <w:color w:val="000000"/>
          <w:sz w:val="24"/>
        </w:rPr>
        <w:t>All computations of interest and fees hereunder shall be computed on the basis of a year of 360 days and actual days elapsed during the period for which payable.</w:t>
      </w:r>
    </w:p>
    <w:p>
      <w:pPr>
        <w:pStyle w:val="TextBody"/>
        <w:bidi w:val="0"/>
        <w:spacing w:before="280" w:after="283"/>
        <w:jc w:val="both"/>
        <w:rPr>
          <w:rFonts w:ascii="Times New Roman" w:hAnsi="Times New Roman"/>
          <w:sz w:val="20"/>
        </w:rPr>
      </w:pPr>
      <w:r>
        <w:rPr>
          <w:rFonts w:ascii="Times New Roman" w:hAnsi="Times New Roman"/>
          <w:i/>
          <w:color w:val="000000"/>
          <w:sz w:val="24"/>
        </w:rPr>
        <w:t>Section 4.03. Notices.</w:t>
      </w:r>
      <w:r>
        <w:rPr>
          <w:rFonts w:ascii="Times New Roman" w:hAnsi="Times New Roman"/>
          <w:color w:val="000000"/>
          <w:sz w:val="20"/>
        </w:rPr>
        <w:t xml:space="preserve"> </w:t>
      </w:r>
      <w:r>
        <w:rPr>
          <w:rFonts w:ascii="Times New Roman" w:hAnsi="Times New Roman"/>
          <w:color w:val="000000"/>
          <w:sz w:val="24"/>
        </w:rPr>
        <w:t>Each notice of optional prepayment shall be effective only if received by the Lenders not later than 4:00 p.m. (New York City time) on the Business Day prior to the date of prepayment. Each notice of optional prepayment shall specify the amount to be prepaid and the date of prepayment.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4.04. Set</w:t>
        <w:noBreakHyphen/>
        <w:t>Off</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Set</w:t>
        <w:noBreakHyphen/>
        <w:t>Off Generally.</w:t>
      </w:r>
      <w:r>
        <w:rPr>
          <w:color w:val="000000"/>
        </w:rPr>
        <w:t xml:space="preserve"> </w:t>
      </w:r>
      <w:r>
        <w:rPr>
          <w:rFonts w:ascii="Times New Roman" w:hAnsi="Times New Roman"/>
          <w:color w:val="000000"/>
          <w:sz w:val="24"/>
        </w:rPr>
        <w:t>Upon the occurrence and during the continuance of any Event of Default, the Administrative Agent, the Lenders and each of their respective Affiliates are hereby authorized at any time and from time to time, to the fullest extent permitted by Law, to set off and apply any and all deposits (general or special, time or demand, provisional or final) at any time held and other Indebtedness at any time owing by the Lenders or such Affiliates to or for the credit or the account of any Obligor against any and all of the Obligations, whether or not the Lenders shall have made any demand and although such Obligations may be unmatured. Any Person exercising rights of set off hereunder agrees promptly to notify the Borrower after any such set</w:t>
        <w:noBreakHyphen/>
        <w:t xml:space="preserve">off and application,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failure to give such notice shall not affect the validity of such set</w:t>
        <w:noBreakHyphen/>
        <w:t>off and application. The rights of the Administrative Agent, the Lenders and each of their respective Affiliates under this Section 4.04 are in addition to other rights and remedies (including other rights of set</w:t>
        <w:noBreakHyphen/>
        <w:t>off) that the Lenders and their respective Affiliates may have.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Exercise of Rights Not Required.</w:t>
      </w:r>
      <w:r>
        <w:rPr>
          <w:color w:val="000000"/>
        </w:rPr>
        <w:t xml:space="preserve"> </w:t>
      </w:r>
      <w:r>
        <w:rPr>
          <w:rFonts w:ascii="Times New Roman" w:hAnsi="Times New Roman"/>
          <w:color w:val="000000"/>
          <w:sz w:val="24"/>
        </w:rPr>
        <w:t>Nothing contained herein shall require the Administrative Agent, the Lenders or any of their respective Affiliates to exercise any such right or shall affect the right of such Persons to exercise, and retain the benefits of exercising, any such right with respect to any other indebtedness or obligation of any Obligor.</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5</w:t>
        <w:br/>
        <w:br/>
        <w:t>Yield Protection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5.01. Additional Costs</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Change in Requirements of Law Generally.</w:t>
      </w:r>
      <w:r>
        <w:rPr>
          <w:color w:val="000000"/>
        </w:rPr>
        <w:t xml:space="preserve"> </w:t>
      </w:r>
      <w:r>
        <w:rPr>
          <w:rFonts w:ascii="Times New Roman" w:hAnsi="Times New Roman"/>
          <w:color w:val="000000"/>
          <w:sz w:val="24"/>
        </w:rPr>
        <w:t xml:space="preserve">If, on or after the date hereof (or, with respect to any Lender that becomes a party hereto, such later date on which such Lender comes party to this Agreement), the adoption of any Requirement of Law, or </w:t>
      </w:r>
    </w:p>
    <w:p>
      <w:pPr>
        <w:pStyle w:val="TextBody"/>
        <w:bidi w:val="0"/>
        <w:jc w:val="center"/>
        <w:rPr/>
      </w:pPr>
      <w:r>
        <w:rPr>
          <w:color w:val="000000"/>
        </w:rPr>
        <w:noBreakHyphen/>
      </w:r>
      <w:r>
        <w:rPr>
          <w:rFonts w:ascii="Times New Roman" w:hAnsi="Times New Roman"/>
          <w:color w:val="000000"/>
          <w:sz w:val="24"/>
        </w:rPr>
        <w:t>44</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rFonts w:ascii="Times New Roman" w:hAnsi="Times New Roman"/>
          <w:color w:val="000000"/>
          <w:sz w:val="24"/>
        </w:rPr>
        <w:t xml:space="preserve">any change in any Requirement of Law, or any change in the interpretation or administration thereof by any court or other Governmental Authority charged with the interpretation or administration thereof, or compliance by any Lender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(or, with respect to any Lender that becomes a party hereto, such later date on which such Lender comes party to this Agreement), against assets of, deposits with or for the account of, or credit extended by, a Lender (or its lending office) or shall impose on a Lender (or its lending office) any other condition affecting the Term Loans or the Commitment, not as a result of any action or inaction on the part of such Lender, and the result of any of the foregoing is to increase the cost to any Lender of making or maintaining its portion of the Term Loans, or to reduce the amount of any sum received or receivable by any Lender under this Agreement or any other Loan Document, by an amount reasonably deemed by such Lender in good faith to be material (other than (i) Indemnified Taxes, (ii) Taxes described in clauses (b) through (d) of the definition of </w:t>
      </w:r>
      <w:r>
        <w:rPr>
          <w:color w:val="000000"/>
        </w:rPr>
        <w:t>“</w:t>
      </w:r>
      <w:r>
        <w:rPr>
          <w:rFonts w:ascii="Times New Roman" w:hAnsi="Times New Roman"/>
          <w:i/>
          <w:color w:val="000000"/>
          <w:sz w:val="24"/>
        </w:rPr>
        <w:t>Excluded Taxes”</w:t>
      </w:r>
      <w:r>
        <w:rPr>
          <w:color w:val="000000"/>
        </w:rPr>
        <w:t xml:space="preserve"> </w:t>
      </w:r>
      <w:r>
        <w:rPr>
          <w:rFonts w:ascii="Times New Roman" w:hAnsi="Times New Roman"/>
          <w:color w:val="000000"/>
          <w:sz w:val="24"/>
        </w:rPr>
        <w:t>and (iii) Connection Income Taxes), then the Borrower shall promptly pay to such Lender on demand such additional amount or amounts as will compensate such Lender for such increased cost or reduction. Notwithstanding anything herein to the contrary, (x) the Dodd</w:t>
        <w:noBreakHyphen/>
        <w:t>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Requirements of Law for all purposes of this Section 5.01, regardless of the date enacted, adopted or issued.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Change in Capital Requirements.</w:t>
      </w:r>
      <w:r>
        <w:rPr>
          <w:color w:val="000000"/>
        </w:rPr>
        <w:t xml:space="preserve"> </w:t>
      </w:r>
      <w:r>
        <w:rPr>
          <w:rFonts w:ascii="Times New Roman" w:hAnsi="Times New Roman"/>
          <w:color w:val="000000"/>
          <w:sz w:val="24"/>
        </w:rPr>
        <w:t>If a Lender shall have determined that, on or after the date hereof (or, with respect to any Lender that becomes a party hereto, such later date on which such Lender comes party to this Agreement), the adoption of any Requirement of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(or, with respect to any Lender that becomes a party hereto, such later date on which such Lender comes party to this Agreement), has or would have the effect of reducing the rate of return on capital of a Lender (or its parent) as a consequence of a Lender’s obligations hereunder or the Term Loans to a level below that which a Lender (or its parent) would have achieved but for such adoption, change, request or directive by an amount reasonably deemed by it to be material, then the Borrower shall promptly pay to such Lender within three (3) Business Days after demand such additional amount or amounts as will compensate such Lender (or its parent) for such reduction.</w:t>
      </w:r>
    </w:p>
    <w:p>
      <w:pPr>
        <w:pStyle w:val="TextBody"/>
        <w:bidi w:val="0"/>
        <w:jc w:val="center"/>
        <w:rPr/>
      </w:pPr>
      <w:r>
        <w:rPr>
          <w:color w:val="000000"/>
        </w:rPr>
        <w:noBreakHyphen/>
      </w:r>
      <w:r>
        <w:rPr>
          <w:rFonts w:ascii="Times New Roman" w:hAnsi="Times New Roman"/>
          <w:color w:val="000000"/>
          <w:sz w:val="24"/>
        </w:rPr>
        <w:t>45</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olor w:val="000000"/>
          <w:sz w:val="24"/>
        </w:rPr>
        <w:t>Notification by Lender.</w:t>
      </w:r>
      <w:r>
        <w:rPr>
          <w:color w:val="000000"/>
        </w:rPr>
        <w:t xml:space="preserve"> </w:t>
      </w:r>
      <w:r>
        <w:rPr>
          <w:rFonts w:ascii="Times New Roman" w:hAnsi="Times New Roman"/>
          <w:color w:val="000000"/>
          <w:sz w:val="24"/>
        </w:rPr>
        <w:t>The Lenders will promptly notify the Borrower of any event of which it has knowledge, occurring after the date hereof (or, with respect to any Lender that becomes a party hereto, such later date on which such Lender comes party to this Agreement), which will entitle a Lender to compensation pursuant to this Section 5.01. Before giving any such notice pursuant to this Section 5.01(c) 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the Lender claiming compensation under this Section 5.01, setting forth in reasonable detail, the computation of the additional amount or amounts to be paid to it hereunder, shall be conclusive and binding on the Borrower in the absence of manifest error.</w:t>
      </w:r>
    </w:p>
    <w:p>
      <w:pPr>
        <w:pStyle w:val="TextBody"/>
        <w:bidi w:val="0"/>
        <w:spacing w:before="280" w:after="283"/>
        <w:jc w:val="both"/>
        <w:rPr>
          <w:rFonts w:ascii="Times New Roman" w:hAnsi="Times New Roman"/>
          <w:sz w:val="20"/>
        </w:rPr>
      </w:pPr>
      <w:r>
        <w:rPr>
          <w:rFonts w:ascii="Times New Roman" w:hAnsi="Times New Roman"/>
          <w:i/>
          <w:color w:val="000000"/>
          <w:sz w:val="24"/>
        </w:rPr>
        <w:t>Section 5.02. Illegality.</w:t>
      </w:r>
      <w:r>
        <w:rPr>
          <w:rFonts w:ascii="Times New Roman" w:hAnsi="Times New Roman"/>
          <w:color w:val="000000"/>
          <w:sz w:val="20"/>
        </w:rPr>
        <w:t xml:space="preserve"> </w:t>
      </w:r>
      <w:r>
        <w:rPr>
          <w:rFonts w:ascii="Times New Roman" w:hAnsi="Times New Roman"/>
          <w:color w:val="000000"/>
          <w:sz w:val="24"/>
        </w:rPr>
        <w:t xml:space="preserve">Notwithstanding any other provision of this Agreement, in the event that on or after the date hereof (or, with respect to any Lender that becomes a party hereto, such later date on which such Lender comes party to this Agreement) the adoption of or any change in any Requirement of Law or in the interpretation or application thereof by any competent Governmental Authority shall make it unlawful for a Lender or its lending office to make or maintain the Term Loans (and, in the reasonable opinion of such Lender, the designation of a different lending office would either not avoid such unlawfulness or would be disadvantageous to such Lender), then such Lender shall promptly notify the Borrower thereof following which (a) the Lender’s Commitment shall be suspended until such time as such Lender may again make and maintain the Term Loans hereunder and (b) if such Requirement of Law shall so mandate, the Term Loans shall be prepaid by the Borrower on or before such date as shall be mandated by such Requirement of Law in an amount equal to the Redemption Price applicable on the date of such prepayment in accordance with Section 3.03(a); </w:t>
      </w:r>
      <w:r>
        <w:rPr>
          <w:rFonts w:ascii="Times New Roman" w:hAnsi="Times New Roman"/>
          <w:i/>
          <w:color w:val="000000"/>
          <w:sz w:val="24"/>
        </w:rPr>
        <w:t>provided</w:t>
      </w:r>
      <w:r>
        <w:rPr>
          <w:rFonts w:ascii="Times New Roman" w:hAnsi="Times New Roman"/>
          <w:color w:val="000000"/>
          <w:sz w:val="24"/>
        </w:rPr>
        <w:t>, that no Prepayment Premium pursuant to Section 3.03(a)(ii) shall be due with respect thereto.</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5.03. Taxes</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Payments Free of Taxes.</w:t>
      </w:r>
      <w:r>
        <w:rPr>
          <w:color w:val="000000"/>
        </w:rPr>
        <w:t xml:space="preserve"> </w:t>
      </w:r>
      <w:r>
        <w:rPr>
          <w:rFonts w:ascii="Times New Roman" w:hAnsi="Times New Roman"/>
          <w:color w:val="000000"/>
          <w:sz w:val="24"/>
        </w:rPr>
        <w:t>Any and all payments by or on account of any Obligation shall be made without deduction or withholding for any Taxes, except as required by applicable Law. If any applicable Law (as determined in the good faith discretion of the Administrative Agent) requires the deduction or withholding of any Tax from any such payment by an Obligor, then such Obligor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that after such deduction or withholding for Indemnified Taxes has been made (including such deductions and withholdings for Indemnified Taxes applicable to additional sums payable under this Section 5.03) the applicable Recipient receives an amount equal to the sum it would have received had no such deduction or withholding for Indemnified Taxes been made. For purposes of this Section 5.03, the term “applicable Law” includes FATCA.</w:t>
      </w:r>
    </w:p>
    <w:p>
      <w:pPr>
        <w:pStyle w:val="TextBody"/>
        <w:bidi w:val="0"/>
        <w:jc w:val="center"/>
        <w:rPr/>
      </w:pPr>
      <w:r>
        <w:rPr>
          <w:color w:val="000000"/>
        </w:rPr>
        <w:noBreakHyphen/>
      </w:r>
      <w:r>
        <w:rPr>
          <w:rFonts w:ascii="Times New Roman" w:hAnsi="Times New Roman"/>
          <w:color w:val="000000"/>
          <w:sz w:val="24"/>
        </w:rPr>
        <w:t>46</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 xml:space="preserve">Payment of Other Taxes by the Borrower. </w:t>
      </w:r>
      <w:r>
        <w:rPr>
          <w:rFonts w:ascii="Times New Roman" w:hAnsi="Times New Roman"/>
          <w:color w:val="000000"/>
          <w:sz w:val="24"/>
        </w:rPr>
        <w:t>The Borrower shall timely pay to the relevant Governmental Authority in accordance with applicable Law, or at the option of the Administrative Agent, timely reimburse it for, Other Taxes.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olor w:val="000000"/>
          <w:sz w:val="24"/>
        </w:rPr>
        <w:t>Evidence of Payments.</w:t>
      </w:r>
      <w:r>
        <w:rPr>
          <w:color w:val="000000"/>
        </w:rPr>
        <w:t xml:space="preserve"> </w:t>
      </w:r>
      <w:r>
        <w:rPr>
          <w:rFonts w:ascii="Times New Roman" w:hAnsi="Times New Roman"/>
          <w:color w:val="000000"/>
          <w:sz w:val="24"/>
        </w:rPr>
        <w:t>As soon as practicable after any payment of Taxes by the Borrower to a Governmental Authority, as a withholding Tax pursuant to this Section 5.03, the Borrower shall deliver to the Administrative Agent the original or a certified copy of a receipt issued by such Governmental Authority evidencing such payment, or a copy of the return reporting such payment or other evidence of such payment reasonably satisfactory to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pPr>
      <w:r>
        <w:rPr>
          <w:rFonts w:ascii="Times New Roman" w:hAnsi="Times New Roman"/>
          <w:i/>
          <w:color w:val="000000"/>
          <w:sz w:val="24"/>
        </w:rPr>
        <w:t xml:space="preserve">Indemnification. </w:t>
      </w:r>
      <w:r>
        <w:rPr>
          <w:rFonts w:ascii="Times New Roman" w:hAnsi="Times New Roman"/>
          <w:color w:val="000000"/>
          <w:sz w:val="24"/>
        </w:rPr>
        <w:t>The Borrower shall reimburse and indemnify each Recipient, within ten (10) days after demand therefor, for the full amount of any Indemnified Taxes (including Indemnified Taxes imposed or asserted on or attributable to amounts payable under this Section 5.03) payable or paid by such Recipient or required to be withheld or deducted from a payment to such Recipient and any reasonable expenses arising therefrom or with respect thereto (including, but not limited to, any costs arising from a dispute with the relevant Government Authority in respect of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pPr>
      <w:r>
        <w:rPr>
          <w:rFonts w:ascii="Times New Roman" w:hAnsi="Times New Roman"/>
          <w:i/>
          <w:color w:val="000000"/>
          <w:sz w:val="24"/>
        </w:rPr>
        <w:t xml:space="preserve">Indemnification by the Lenders. </w:t>
      </w:r>
      <w:r>
        <w:rPr>
          <w:rFonts w:ascii="Times New Roman" w:hAnsi="Times New Roman"/>
          <w:color w:val="000000"/>
          <w:sz w:val="24"/>
        </w:rPr>
        <w:t>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and (ii)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pPr>
      <w:r>
        <w:rPr>
          <w:rFonts w:ascii="Times New Roman" w:hAnsi="Times New Roman"/>
          <w:i/>
          <w:color w:val="000000"/>
          <w:sz w:val="24"/>
        </w:rPr>
        <w:t>Status of Lenders.</w:t>
      </w:r>
      <w:r>
        <w:rPr>
          <w:color w:val="000000"/>
        </w:rPr>
        <w:t xml:space="preserve">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w:t>
      </w:r>
    </w:p>
    <w:p>
      <w:pPr>
        <w:pStyle w:val="TextBody"/>
        <w:bidi w:val="0"/>
        <w:jc w:val="center"/>
        <w:rPr/>
      </w:pPr>
      <w:r>
        <w:rPr>
          <w:color w:val="000000"/>
        </w:rPr>
        <w:noBreakHyphen/>
      </w:r>
      <w:r>
        <w:rPr>
          <w:rFonts w:ascii="Times New Roman" w:hAnsi="Times New Roman"/>
          <w:color w:val="000000"/>
          <w:sz w:val="24"/>
        </w:rPr>
        <w:t>47</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5.03(f)(ii)(A), (B) or (D))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Without limiting the generality of the foregoing:</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duly completed, valid, executed copies of IRS Form W</w:t>
        <w:noBreakHyphen/>
        <w:t>9 (or successor form) certifying that such Lender is exempt from U.S. Federal backup withholding Tax;</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in the case of a Foreign Lender claiming the benefits of an income Tax treaty to which the United States is a party (x) with respect to payments of interest under any Loan Document, duly completed, valid executed copies of IRS Form W</w:t>
        <w:noBreakHyphen/>
        <w:t>8BEN (or successor form) or IRS Form W</w:t>
        <w:noBreakHyphen/>
        <w:t>8BEN</w:t>
        <w:noBreakHyphen/>
        <w:t>E (or successor form) establishing an exemption from, or reduction of, U.S. Federal withholding Tax pursuant to the “interest” article of such Tax treaty and (y) with respect to any other applicable payments under any Loan Document, duly completed, valid, executed originals of IRS Form W</w:t>
        <w:noBreakHyphen/>
        <w:t>8BEN (or successor form) or IRS Form W</w:t>
        <w:noBreakHyphen/>
        <w:t>8BEN</w:t>
        <w:noBreakHyphen/>
        <w:t xml:space="preserve">E (or successor form) establishing an exemption from, or reduction of, </w:t>
      </w:r>
    </w:p>
    <w:p>
      <w:pPr>
        <w:pStyle w:val="TextBody"/>
        <w:bidi w:val="0"/>
        <w:jc w:val="center"/>
        <w:rPr/>
      </w:pPr>
      <w:r>
        <w:rPr>
          <w:color w:val="000000"/>
        </w:rPr>
        <w:noBreakHyphen/>
      </w:r>
      <w:r>
        <w:rPr>
          <w:rFonts w:ascii="Times New Roman" w:hAnsi="Times New Roman"/>
          <w:color w:val="000000"/>
          <w:sz w:val="24"/>
        </w:rPr>
        <w:t>48</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U.S. Federal withholding Tax pursuant to the “business profits” or “other income” article of such Tax treaty;</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duly completed, valid, executed copies of IRS Form W</w:t>
        <w:noBreakHyphen/>
        <w:t>8ECI (or successor form);</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320" w:after="283"/>
        <w:jc w:val="both"/>
        <w:rPr/>
      </w:pPr>
      <w:r>
        <w:rPr>
          <w:rFonts w:ascii="Times New Roman" w:hAnsi="Times New Roman"/>
          <w:color w:val="000000"/>
          <w:sz w:val="24"/>
        </w:rPr>
        <w:t xml:space="preserve">in the case of a Foreign Lender claiming the benefits of the exemption for portfolio interest under Section 881(c) of the Code, (x) a certificate substantially in the form of Exhibit D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color w:val="000000"/>
        </w:rPr>
        <w:t>“</w:t>
      </w:r>
      <w:r>
        <w:rPr>
          <w:rFonts w:ascii="Times New Roman" w:hAnsi="Times New Roman"/>
          <w:i/>
          <w:color w:val="000000"/>
          <w:sz w:val="24"/>
        </w:rPr>
        <w:t>U.S. Tax Compliance Certificate”</w:t>
      </w:r>
      <w:r>
        <w:rPr>
          <w:rFonts w:ascii="Times New Roman" w:hAnsi="Times New Roman"/>
          <w:color w:val="000000"/>
          <w:sz w:val="24"/>
        </w:rPr>
        <w:t>) and (y) executed copies of IRS Form W</w:t>
        <w:noBreakHyphen/>
        <w:t>8BEN (or successor form) or IRS Form W</w:t>
        <w:noBreakHyphen/>
        <w:t>8BEN</w:t>
        <w:noBreakHyphen/>
        <w:t>E (or successor form); or</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320" w:after="283"/>
        <w:jc w:val="both"/>
        <w:rPr/>
      </w:pPr>
      <w:r>
        <w:rPr>
          <w:rFonts w:ascii="Times New Roman" w:hAnsi="Times New Roman"/>
          <w:color w:val="000000"/>
          <w:sz w:val="24"/>
        </w:rPr>
        <w:t>to the extent a Foreign Lender is not the beneficial owner, duly completed, valid, executed copies of IRS Form W</w:t>
        <w:noBreakHyphen/>
        <w:t>8IMY (or successor form), accompanied by IRS Form W</w:t>
        <w:noBreakHyphen/>
        <w:t>8ECI (or successor form), IRS Form W</w:t>
        <w:noBreakHyphen/>
        <w:t>8BEN (or successor form), IRS Form W</w:t>
        <w:noBreakHyphen/>
        <w:t>8BEN</w:t>
        <w:noBreakHyphen/>
        <w:t>E (or successor form), a U.S. Tax Compliance Certificate, IRS Form W</w:t>
        <w:noBreakHyphen/>
        <w:t xml:space="preserve">9 (or successor form), and/or other certification documents from each beneficial owner, as applicable; </w:t>
      </w:r>
      <w:r>
        <w:rPr>
          <w:rFonts w:ascii="Times New Roman" w:hAnsi="Times New Roman"/>
          <w:i/>
          <w:color w:val="000000"/>
          <w:sz w:val="24"/>
        </w:rPr>
        <w:t>provided</w:t>
      </w:r>
      <w:r>
        <w:rPr>
          <w:color w:val="000000"/>
        </w:rPr>
        <w:t xml:space="preserve"> </w:t>
      </w:r>
      <w:r>
        <w:rPr>
          <w:rFonts w:ascii="Times New Roman" w:hAnsi="Times New Roman"/>
          <w:color w:val="000000"/>
          <w:sz w:val="24"/>
        </w:rPr>
        <w:t>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if a payment made to a Lender under any Loan Document would be subject to U.S. federal withholding Tax imposed by FATCA if such Lender were to fail to comply with the applicable reporting </w:t>
      </w:r>
    </w:p>
    <w:p>
      <w:pPr>
        <w:pStyle w:val="TextBody"/>
        <w:bidi w:val="0"/>
        <w:jc w:val="center"/>
        <w:rPr/>
      </w:pPr>
      <w:r>
        <w:rPr>
          <w:color w:val="000000"/>
        </w:rPr>
        <w:noBreakHyphen/>
      </w:r>
      <w:r>
        <w:rPr>
          <w:rFonts w:ascii="Times New Roman" w:hAnsi="Times New Roman"/>
          <w:color w:val="000000"/>
          <w:sz w:val="24"/>
        </w:rPr>
        <w:t>49</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 and</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(E)</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20" w:after="283"/>
        <w:jc w:val="both"/>
        <w:rPr/>
      </w:pPr>
      <w:r>
        <w:rPr>
          <w:rFonts w:ascii="Times New Roman" w:hAnsi="Times New Roman"/>
          <w:color w:val="000000"/>
          <w:sz w:val="24"/>
        </w:rPr>
        <w:t>on or before the date the Administrative Agent (or any successor thereto) becomes a party to this Agreement, the Administrative Agent shall provide to the Borrower, a duly completed, valid copy of the documentation prescribed in clause (i) or (ii) below, as applicable (together with all required attachments thereto): (i)</w:t>
      </w:r>
      <w:r>
        <w:rPr>
          <w:color w:val="000000"/>
        </w:rPr>
        <w:t xml:space="preserve"> </w:t>
      </w:r>
      <w:r>
        <w:rPr>
          <w:rFonts w:ascii="Times New Roman" w:hAnsi="Times New Roman"/>
          <w:color w:val="000000"/>
          <w:sz w:val="24"/>
        </w:rPr>
        <w:t xml:space="preserve">IRS Form W-9 or any successor thereto, or (ii) </w:t>
      </w:r>
      <w:bookmarkStart w:id="41" w:name="docxtextref1886"/>
      <w:bookmarkEnd w:id="41"/>
      <w:r>
        <w:rPr>
          <w:rFonts w:ascii="Times New Roman" w:hAnsi="Times New Roman"/>
          <w:color w:val="000000"/>
          <w:sz w:val="24"/>
        </w:rPr>
        <w:t>(A)</w:t>
      </w:r>
      <w:r>
        <w:rPr>
          <w:color w:val="000000"/>
        </w:rPr>
        <w:t xml:space="preserve"> </w:t>
      </w:r>
      <w:r>
        <w:rPr>
          <w:rFonts w:ascii="Times New Roman" w:hAnsi="Times New Roman"/>
          <w:color w:val="000000"/>
          <w:sz w:val="24"/>
        </w:rPr>
        <w:t xml:space="preserve">IRS Form W-8ECI or any successor thereto, and </w:t>
      </w:r>
      <w:bookmarkStart w:id="42" w:name="docxtextref1887"/>
      <w:bookmarkEnd w:id="42"/>
      <w:r>
        <w:rPr>
          <w:rFonts w:ascii="Times New Roman" w:hAnsi="Times New Roman"/>
          <w:color w:val="000000"/>
          <w:sz w:val="24"/>
        </w:rPr>
        <w:t>(B)</w:t>
      </w:r>
      <w:r>
        <w:rPr>
          <w:color w:val="000000"/>
        </w:rPr>
        <w:t xml:space="preserve"> </w:t>
      </w:r>
      <w:r>
        <w:rPr>
          <w:rFonts w:ascii="Times New Roman" w:hAnsi="Times New Roman"/>
          <w:color w:val="000000"/>
          <w:sz w:val="24"/>
        </w:rPr>
        <w:t>with respect to payments received on account of any Lender, a U.S. branch withholding certificate on IRS Form W-8IMY or any successor thereto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Recipient agrees that if any form or certification it previously delivered expires or becomes obsolete or inaccurate in any respect, it shall promptly update such form or certification or promptly notify the Borrower and the Administrative Agent in writing of its legal inability to do so.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pPr>
      <w:r>
        <w:rPr>
          <w:rFonts w:ascii="Times New Roman" w:hAnsi="Times New Roman"/>
          <w:i/>
          <w:color w:val="000000"/>
          <w:sz w:val="24"/>
        </w:rPr>
        <w:t>Treatment of Certain Refunds.</w:t>
      </w:r>
      <w:r>
        <w:rPr>
          <w:color w:val="000000"/>
        </w:rPr>
        <w:t xml:space="preserve"> </w:t>
      </w:r>
      <w:r>
        <w:rPr>
          <w:rFonts w:ascii="Times New Roman" w:hAnsi="Times New Roman"/>
          <w:color w:val="000000"/>
          <w:sz w:val="24"/>
        </w:rPr>
        <w:t>If any party to this Agreement determines, in its reasonable discretion exercised in good faith, that it has received a refund of any Taxes as to which it has been indemnified pursuant to this Section 5.03 (including by the payment of additional amounts pursuant to this Section 5.03), it shall pay to the indemnifying party an amount equal to such refund (but only to the extent of indemnity payments made under this Section 5.03 with respect to the Taxes giving rise to such refund), net of all out</w:t>
        <w:noBreakHyphen/>
        <w:t>of</w:t>
        <w:noBreakHyphen/>
        <w:t xml:space="preserve">pocket expenses (including Taxes) of such indemnified party and without interest (other than any interest paid by the relevant Governmental Authority with respect to such refund). Such indemnifying party, upon the written request of such indemnified party, shall repay to such indemnified party the amount paid over pursuant to this paragraph (plus any penalties, interest or other charges imposed by the relevant </w:t>
      </w:r>
    </w:p>
    <w:p>
      <w:pPr>
        <w:pStyle w:val="TextBody"/>
        <w:bidi w:val="0"/>
        <w:jc w:val="center"/>
        <w:rPr/>
      </w:pPr>
      <w:r>
        <w:rPr>
          <w:color w:val="000000"/>
        </w:rPr>
        <w:noBreakHyphen/>
      </w:r>
      <w:r>
        <w:rPr>
          <w:rFonts w:ascii="Times New Roman" w:hAnsi="Times New Roman"/>
          <w:color w:val="000000"/>
          <w:sz w:val="24"/>
        </w:rPr>
        <w:t>50</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Governmental Authority) in the event that such indemnified party is required to repay such refund to such Governmental Authority. Notwithstanding anything to the contrary in this Section 5.03(g), in no event will the indemnified party be required to pay any amount to an indemnifying party pursuant to this Section 5.03(g) the payment of which would place the indemnified party in a less favorable net after</w:t>
        <w:noBreakHyphen/>
        <w:t>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5.03(g) shall not be construed to require any indemnified party to make available its Tax returns (or any other information relating to its Taxes that it deems confidential) to the indemnifying party or any other Person.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pPr>
      <w:r>
        <w:rPr>
          <w:rFonts w:ascii="Times New Roman" w:hAnsi="Times New Roman"/>
          <w:i/>
          <w:color w:val="000000"/>
          <w:sz w:val="24"/>
        </w:rPr>
        <w:t>Mitigation Obligations.</w:t>
      </w:r>
      <w:r>
        <w:rPr>
          <w:color w:val="000000"/>
        </w:rPr>
        <w:t xml:space="preserve"> </w:t>
      </w:r>
      <w:r>
        <w:rPr>
          <w:rFonts w:ascii="Times New Roman" w:hAnsi="Times New Roman"/>
          <w:color w:val="000000"/>
          <w:sz w:val="24"/>
        </w:rPr>
        <w:t xml:space="preserve">If the Borrower is required to pay any Indemnified Taxes or additional amounts to any Lender or to any Governmental Authority for the account of any Lender pursuant to Section 5.01 or this Section 5.03, then such Lender shall (at the request of the Borrower) use commercially reasonable efforts to designate a different lending office for funding or booking its Term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Section 5.01 or this Section 5.03, as the case may be, in the future, (ii) not subject such Lender to any unreimbursed cost or expense and (iii) not otherwise be disadvantageous to such Lender. The Borrower hereby agrees to pay all reasonable out-of-pocket costs and expenses incurred by any Lender in connection with any such designation or assignment and delegation.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pPr>
      <w:r>
        <w:rPr>
          <w:rFonts w:ascii="Times New Roman" w:hAnsi="Times New Roman"/>
          <w:i/>
          <w:color w:val="000000"/>
          <w:sz w:val="24"/>
        </w:rPr>
        <w:t>Survival</w:t>
      </w:r>
      <w:r>
        <w:rPr>
          <w:rFonts w:ascii="Times New Roman" w:hAnsi="Times New Roman"/>
          <w:color w:val="000000"/>
          <w:sz w:val="24"/>
        </w:rPr>
        <w:t>. Each party’s obligations under this Article 5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5.04. Delay in Requests</w:t>
      </w:r>
      <w:r>
        <w:rPr>
          <w:rFonts w:ascii="Times New Roman" w:hAnsi="Times New Roman"/>
          <w:color w:val="000000"/>
          <w:sz w:val="24"/>
        </w:rPr>
        <w:t xml:space="preserve">. Failure or delay on the part of any Lender to demand compensation pursuant to this Article 5 shall not constitute a waiver of such Lender’s right to demand such compensation;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Borrower shall not be required to compensate a Lender pursuant to this Article 5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jc w:val="center"/>
        <w:rPr/>
      </w:pPr>
      <w:r>
        <w:rPr>
          <w:color w:val="000000"/>
        </w:rPr>
        <w:noBreakHyphen/>
      </w:r>
      <w:r>
        <w:rPr>
          <w:rFonts w:ascii="Times New Roman" w:hAnsi="Times New Roman"/>
          <w:color w:val="000000"/>
          <w:sz w:val="24"/>
        </w:rPr>
        <w:t>51</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 xml:space="preserve">Article 6 </w:t>
        <w:br/>
        <w:br/>
        <w:t>Conditions Precedent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6.01. Conditions to Closing Date.</w:t>
      </w:r>
      <w:r>
        <w:rPr>
          <w:rFonts w:ascii="Times New Roman" w:hAnsi="Times New Roman"/>
          <w:color w:val="000000"/>
          <w:sz w:val="20"/>
        </w:rPr>
        <w:t xml:space="preserve"> </w:t>
      </w:r>
      <w:r>
        <w:rPr>
          <w:rFonts w:ascii="Times New Roman" w:hAnsi="Times New Roman"/>
          <w:color w:val="000000"/>
          <w:sz w:val="24"/>
        </w:rPr>
        <w:t>The obligation of each Lender to enter into this Agreement on the Closing Date shall not become effective until the following conditions precedent shall have been reasonably satisfied or waived in writing by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Organization and Capitalization</w:t>
      </w:r>
      <w:r>
        <w:rPr>
          <w:rFonts w:ascii="Times New Roman" w:hAnsi="Times New Roman"/>
          <w:color w:val="000000"/>
          <w:sz w:val="24"/>
        </w:rPr>
        <w:t>. The organizational structure and pro-forma capitalization of the Obligors, after giving effect to the Transactions, as set forth on Schedule 7.20 shall be reasonably satisfactory to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Lien Searches.</w:t>
      </w:r>
      <w:r>
        <w:rPr>
          <w:color w:val="000000"/>
        </w:rPr>
        <w:t xml:space="preserve"> </w:t>
      </w:r>
      <w:r>
        <w:rPr>
          <w:rFonts w:ascii="Times New Roman" w:hAnsi="Times New Roman"/>
          <w:color w:val="000000"/>
          <w:sz w:val="24"/>
        </w:rPr>
        <w:t>The Administrative Agent shall be reasonably satisfied with Lien searches regarding the Obligors made prior to the Closing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olor w:val="000000"/>
          <w:sz w:val="24"/>
        </w:rPr>
        <w:t>Documentary Deliveries.</w:t>
      </w:r>
      <w:r>
        <w:rPr>
          <w:color w:val="000000"/>
        </w:rPr>
        <w:t xml:space="preserve"> </w:t>
      </w:r>
      <w:r>
        <w:rPr>
          <w:rFonts w:ascii="Times New Roman" w:hAnsi="Times New Roman"/>
          <w:color w:val="000000"/>
          <w:sz w:val="24"/>
        </w:rPr>
        <w:t>The Administrative Agent shall have received the following documents, each of which shall be in form and substance reasonably satisfactory to the Administrative Agent:</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320" w:after="283"/>
        <w:jc w:val="both"/>
        <w:rPr/>
      </w:pPr>
      <w:r>
        <w:rPr>
          <w:rFonts w:ascii="Times New Roman" w:hAnsi="Times New Roman"/>
          <w:i/>
          <w:color w:val="000000"/>
          <w:sz w:val="24"/>
        </w:rPr>
        <w:t>Agreement.</w:t>
      </w:r>
      <w:r>
        <w:rPr>
          <w:color w:val="000000"/>
        </w:rPr>
        <w:t xml:space="preserve"> </w:t>
      </w:r>
      <w:r>
        <w:rPr>
          <w:rFonts w:ascii="Times New Roman" w:hAnsi="Times New Roman"/>
          <w:color w:val="000000"/>
          <w:sz w:val="24"/>
        </w:rPr>
        <w:t>This Agreement duly executed and delivered by the Borrower and each of the other parties hereto.</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320" w:after="283"/>
        <w:jc w:val="both"/>
        <w:rPr/>
      </w:pPr>
      <w:r>
        <w:rPr>
          <w:rFonts w:ascii="Times New Roman" w:hAnsi="Times New Roman"/>
          <w:i/>
          <w:color w:val="000000"/>
          <w:sz w:val="24"/>
        </w:rPr>
        <w:t>Collateral Questionnaire.</w:t>
      </w:r>
      <w:r>
        <w:rPr>
          <w:color w:val="000000"/>
        </w:rPr>
        <w:t xml:space="preserve"> </w:t>
      </w:r>
      <w:r>
        <w:rPr>
          <w:rFonts w:ascii="Times New Roman" w:hAnsi="Times New Roman"/>
          <w:color w:val="000000"/>
          <w:sz w:val="24"/>
        </w:rPr>
        <w:t>The Collateral Questionnaire, duly executed and delivered by a Responsible Officer of the Borrower, substantially in the form of Exhibit I hereto and otherwise in form and substance satisfactory to the Administrative Agent.</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320" w:after="283"/>
        <w:jc w:val="both"/>
        <w:rPr/>
      </w:pPr>
      <w:r>
        <w:rPr>
          <w:rFonts w:ascii="Times New Roman" w:hAnsi="Times New Roman"/>
          <w:i/>
          <w:color w:val="000000"/>
          <w:sz w:val="24"/>
        </w:rPr>
        <w:t>Fee Letter</w:t>
      </w:r>
      <w:r>
        <w:rPr>
          <w:rFonts w:ascii="Times New Roman" w:hAnsi="Times New Roman"/>
          <w:color w:val="000000"/>
          <w:sz w:val="24"/>
        </w:rPr>
        <w:t>. The Fee Letter duly executed and delivered by the Borrower, the Lenders and the Administrative Agent.</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320" w:after="283"/>
        <w:jc w:val="both"/>
        <w:rPr/>
      </w:pPr>
      <w:r>
        <w:rPr>
          <w:rFonts w:ascii="Times New Roman" w:hAnsi="Times New Roman"/>
          <w:i/>
          <w:color w:val="000000"/>
          <w:sz w:val="24"/>
        </w:rPr>
        <w:t>Note.</w:t>
      </w:r>
      <w:r>
        <w:rPr>
          <w:color w:val="000000"/>
        </w:rPr>
        <w:t xml:space="preserve"> </w:t>
      </w:r>
      <w:r>
        <w:rPr>
          <w:rFonts w:ascii="Times New Roman" w:hAnsi="Times New Roman"/>
          <w:color w:val="000000"/>
          <w:sz w:val="24"/>
        </w:rPr>
        <w:t>Any Notes requested in accordance with Section 2.04.</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320" w:after="283"/>
        <w:jc w:val="both"/>
        <w:rPr/>
      </w:pPr>
      <w:r>
        <w:rPr>
          <w:rFonts w:ascii="Times New Roman" w:hAnsi="Times New Roman"/>
          <w:i/>
          <w:color w:val="000000"/>
          <w:sz w:val="24"/>
        </w:rPr>
        <w:t>Organizational Documents.</w:t>
      </w:r>
      <w:r>
        <w:rPr>
          <w:color w:val="000000"/>
        </w:rPr>
        <w:t xml:space="preserve"> </w:t>
      </w:r>
      <w:r>
        <w:rPr>
          <w:rFonts w:ascii="Times New Roman" w:hAnsi="Times New Roman"/>
          <w:color w:val="000000"/>
          <w:sz w:val="24"/>
        </w:rPr>
        <w:t xml:space="preserve">(A) Certified copies of the Organizational Documents of each Obligor and of resolutions of the Board (or similar governing body) of each Obligor approving and authorizing the execution, delivery and performance of this Agreement and each of the other Loan Documents to which it is a party, certified as of the Closing Date by a Responsible Officer of such Obligor as being in full force and effect without modification or amendment; (B) a good standing certificate and/or compliance certificate from the applicable Governmental Authority of each Obligor’s jurisdiction of incorporation and in each jurisdiction in which it is qualified as a foreign corporation or other entity to do business (except where failure to be in good standing would not, either individually or in the aggregate, reasonably be expected to have a Material Adverse Effect), </w:t>
      </w:r>
    </w:p>
    <w:p>
      <w:pPr>
        <w:pStyle w:val="TextBody"/>
        <w:bidi w:val="0"/>
        <w:jc w:val="center"/>
        <w:rPr/>
      </w:pPr>
      <w:r>
        <w:rPr>
          <w:color w:val="000000"/>
        </w:rPr>
        <w:noBreakHyphen/>
      </w:r>
      <w:r>
        <w:rPr>
          <w:rFonts w:ascii="Times New Roman" w:hAnsi="Times New Roman"/>
          <w:color w:val="000000"/>
          <w:sz w:val="24"/>
        </w:rPr>
        <w:t>52</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each dated a recent date prior to the Closing Date; and (C) such other documents as the Administrative Agent may reasonably request.</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320" w:after="283"/>
        <w:jc w:val="both"/>
        <w:rPr/>
      </w:pPr>
      <w:r>
        <w:rPr>
          <w:rFonts w:ascii="Times New Roman" w:hAnsi="Times New Roman"/>
          <w:i/>
          <w:color w:val="000000"/>
          <w:sz w:val="24"/>
        </w:rPr>
        <w:t>Incumbency Certificate.</w:t>
      </w:r>
      <w:r>
        <w:rPr>
          <w:color w:val="000000"/>
        </w:rPr>
        <w:t xml:space="preserve"> </w:t>
      </w:r>
      <w:r>
        <w:rPr>
          <w:rFonts w:ascii="Times New Roman" w:hAnsi="Times New Roman"/>
          <w:color w:val="000000"/>
          <w:sz w:val="24"/>
        </w:rPr>
        <w:t>A certificate of each Obligor as to the authority, incumbency and specimen signatures of the persons who have executed the Loan Documents and any other documents in connection herewith on behalf of the Obligors.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(vii)</w:t>
      </w:r>
    </w:p>
    <w:p>
      <w:pPr>
        <w:pStyle w:val="TextBody"/>
        <w:bidi w:val="0"/>
        <w:spacing w:before="280" w:after="283"/>
        <w:jc w:val="both"/>
        <w:rPr/>
      </w:pPr>
      <w:r>
        <w:rPr>
          <w:rFonts w:ascii="Times New Roman" w:hAnsi="Times New Roman"/>
          <w:i/>
          <w:color w:val="000000"/>
          <w:sz w:val="24"/>
        </w:rPr>
        <w:t>Officer’s Certificate.</w:t>
      </w:r>
      <w:r>
        <w:rPr>
          <w:color w:val="000000"/>
        </w:rPr>
        <w:t xml:space="preserve"> </w:t>
      </w:r>
      <w:r>
        <w:rPr>
          <w:rFonts w:ascii="Times New Roman" w:hAnsi="Times New Roman"/>
          <w:color w:val="000000"/>
          <w:sz w:val="24"/>
        </w:rPr>
        <w:t>A certificate, in form and substance satisfactory to the Administrative Agent, dated as of the Closing Date and signed by a Responsible Officer of the Borrower, confirming compliance with the conditions set forth in subsections (f) and (g) of this Section 6.01.</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(viii)</w:t>
      </w:r>
    </w:p>
    <w:p>
      <w:pPr>
        <w:pStyle w:val="TextBody"/>
        <w:bidi w:val="0"/>
        <w:spacing w:before="280" w:after="283"/>
        <w:jc w:val="both"/>
        <w:rPr/>
      </w:pPr>
      <w:r>
        <w:rPr>
          <w:rFonts w:ascii="Times New Roman" w:hAnsi="Times New Roman"/>
          <w:i/>
          <w:color w:val="000000"/>
          <w:sz w:val="24"/>
        </w:rPr>
        <w:t>Opinion of Counsel.</w:t>
      </w:r>
      <w:r>
        <w:rPr>
          <w:color w:val="000000"/>
        </w:rPr>
        <w:t xml:space="preserve"> </w:t>
      </w:r>
      <w:r>
        <w:rPr>
          <w:rFonts w:ascii="Times New Roman" w:hAnsi="Times New Roman"/>
          <w:color w:val="000000"/>
          <w:sz w:val="24"/>
        </w:rPr>
        <w:t>A favorable opinion, dated as of the Closing Date, of Sidley Austin LLP, counsel to each Obligor in form reasonably acceptable to the Administrative Agent and its counsel.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(ix)</w:t>
      </w:r>
    </w:p>
    <w:p>
      <w:pPr>
        <w:pStyle w:val="TextBody"/>
        <w:bidi w:val="0"/>
        <w:spacing w:before="280" w:after="283"/>
        <w:jc w:val="both"/>
        <w:rPr/>
      </w:pPr>
      <w:r>
        <w:rPr>
          <w:rFonts w:ascii="Times New Roman" w:hAnsi="Times New Roman"/>
          <w:i/>
          <w:color w:val="000000"/>
          <w:sz w:val="24"/>
        </w:rPr>
        <w:t>Evidence of Insurance.</w:t>
      </w:r>
      <w:r>
        <w:rPr>
          <w:color w:val="000000"/>
        </w:rPr>
        <w:t xml:space="preserve"> </w:t>
      </w:r>
      <w:r>
        <w:rPr>
          <w:rFonts w:ascii="Times New Roman" w:hAnsi="Times New Roman"/>
          <w:color w:val="000000"/>
          <w:sz w:val="24"/>
        </w:rPr>
        <w:t>Certificates from each Obligor’s insurance broker or other evidence reasonably satisfactory to the Administrative Agent that all insurance required to be maintained pursuant to Section 8.05 is in full force and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pPr>
      <w:r>
        <w:rPr>
          <w:rFonts w:ascii="Times New Roman" w:hAnsi="Times New Roman"/>
          <w:i/>
          <w:color w:val="000000"/>
          <w:sz w:val="24"/>
        </w:rPr>
        <w:t>Documents in Agreed Form.</w:t>
      </w:r>
      <w:r>
        <w:rPr>
          <w:color w:val="000000"/>
        </w:rPr>
        <w:t xml:space="preserve"> </w:t>
      </w:r>
      <w:r>
        <w:rPr>
          <w:rFonts w:ascii="Times New Roman" w:hAnsi="Times New Roman"/>
          <w:color w:val="000000"/>
          <w:sz w:val="24"/>
        </w:rPr>
        <w:t>The Administrative Agent shall have received the following documents, each of which shall be in form and substance reasonably satisfactory to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UCC-1 financing statement in form and substance satisfactory to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Security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Short</w:t>
        <w:noBreakHyphen/>
        <w:t>Form IP Security Agreements;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Warrant Certificate (Funding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pPr>
      <w:r>
        <w:rPr>
          <w:rFonts w:ascii="Times New Roman" w:hAnsi="Times New Roman"/>
          <w:i/>
          <w:color w:val="000000"/>
          <w:sz w:val="24"/>
        </w:rPr>
        <w:t>Indebtedness.</w:t>
      </w:r>
      <w:r>
        <w:rPr>
          <w:color w:val="000000"/>
        </w:rPr>
        <w:t xml:space="preserve"> </w:t>
      </w:r>
      <w:r>
        <w:rPr>
          <w:rFonts w:ascii="Times New Roman" w:hAnsi="Times New Roman"/>
          <w:color w:val="000000"/>
          <w:sz w:val="24"/>
        </w:rPr>
        <w:t xml:space="preserve">As of the Closing Date, no Obligor shall have any Indebtedness other than the Obligations, Permitted Indebtedness, Indebtedness evidenced by the Existing Credit Agreements and any Indebtedness specified on Schedule 7.13A.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pPr>
      <w:r>
        <w:rPr>
          <w:rFonts w:ascii="Times New Roman" w:hAnsi="Times New Roman"/>
          <w:i/>
          <w:color w:val="000000"/>
          <w:sz w:val="24"/>
        </w:rPr>
        <w:t>Representations and Warranties</w:t>
      </w:r>
      <w:r>
        <w:rPr>
          <w:rFonts w:ascii="Times New Roman" w:hAnsi="Times New Roman"/>
          <w:color w:val="000000"/>
          <w:sz w:val="24"/>
        </w:rPr>
        <w:t xml:space="preserve">. The Specified Representations shall be true and correct in all material respects on and as of the Closing Date;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to the extent that such representations and warranties specifically refer to an earlier date, they shall be true and correct in all material respects as of such earlier date; </w:t>
      </w:r>
      <w:r>
        <w:rPr>
          <w:rFonts w:ascii="Times New Roman" w:hAnsi="Times New Roman"/>
          <w:i/>
          <w:color w:val="000000"/>
          <w:sz w:val="24"/>
        </w:rPr>
        <w:t>provided further</w:t>
      </w:r>
      <w:r>
        <w:rPr>
          <w:color w:val="000000"/>
        </w:rPr>
        <w:t xml:space="preserve"> </w:t>
      </w:r>
      <w:r>
        <w:rPr>
          <w:rFonts w:ascii="Times New Roman" w:hAnsi="Times New Roman"/>
          <w:color w:val="000000"/>
          <w:sz w:val="24"/>
        </w:rPr>
        <w:t>that any representation and warranty that is qualified as to “materiality”, “Material Adverse Effect” or similar language shall be true and correct (after giving effect to any qualification therein) in all respects.</w:t>
      </w:r>
    </w:p>
    <w:p>
      <w:pPr>
        <w:pStyle w:val="TextBody"/>
        <w:bidi w:val="0"/>
        <w:jc w:val="center"/>
        <w:rPr/>
      </w:pPr>
      <w:r>
        <w:rPr>
          <w:color w:val="000000"/>
        </w:rPr>
        <w:noBreakHyphen/>
      </w:r>
      <w:r>
        <w:rPr>
          <w:rFonts w:ascii="Times New Roman" w:hAnsi="Times New Roman"/>
          <w:color w:val="000000"/>
          <w:sz w:val="24"/>
        </w:rPr>
        <w:t>53</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pPr>
      <w:r>
        <w:rPr>
          <w:rFonts w:ascii="Times New Roman" w:hAnsi="Times New Roman"/>
          <w:i/>
          <w:color w:val="000000"/>
          <w:sz w:val="24"/>
        </w:rPr>
        <w:t>No Default</w:t>
      </w:r>
      <w:r>
        <w:rPr>
          <w:rFonts w:ascii="Times New Roman" w:hAnsi="Times New Roman"/>
          <w:color w:val="000000"/>
          <w:sz w:val="24"/>
        </w:rPr>
        <w:t>. No Default shall exist.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execution of this Agreement shall constitute a certification by the Borrower, the Administrative Agent and the Lenders to the effect that the conditions set forth in Section 6.01 have been fulfilled as of the Closing Date.</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6.02. Conditions to Funding Date; Tranche A Loan. </w:t>
      </w:r>
      <w:r>
        <w:rPr>
          <w:rFonts w:ascii="Times New Roman" w:hAnsi="Times New Roman"/>
          <w:color w:val="000000"/>
          <w:sz w:val="24"/>
        </w:rPr>
        <w:t>The obligation of each Lender to make the Tranche A Loan on the Funding Date shall not become effective until the following conditions precedent shall have been reasonably satisfied or waived in writing by the Administrative Agent (which satisfaction or waiver may be made simultaneously with the making of the Tranche A Loan hereunder):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Documentary Deliveries.</w:t>
      </w:r>
      <w:r>
        <w:rPr>
          <w:color w:val="000000"/>
        </w:rPr>
        <w:t xml:space="preserve"> </w:t>
      </w:r>
      <w:r>
        <w:rPr>
          <w:rFonts w:ascii="Times New Roman" w:hAnsi="Times New Roman"/>
          <w:color w:val="000000"/>
          <w:sz w:val="24"/>
        </w:rPr>
        <w:t>The Administrative Agent shall have received the following documents, each of which shall be in form and substance reasonably satisfactory to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pPr>
      <w:r>
        <w:rPr>
          <w:rFonts w:ascii="Times New Roman" w:hAnsi="Times New Roman"/>
          <w:i/>
          <w:color w:val="000000"/>
          <w:sz w:val="24"/>
        </w:rPr>
        <w:t>Borrowing Notice.</w:t>
      </w:r>
      <w:r>
        <w:rPr>
          <w:color w:val="000000"/>
        </w:rPr>
        <w:t xml:space="preserve"> </w:t>
      </w:r>
      <w:r>
        <w:rPr>
          <w:rFonts w:ascii="Times New Roman" w:hAnsi="Times New Roman"/>
          <w:color w:val="000000"/>
          <w:sz w:val="24"/>
        </w:rPr>
        <w:t>The Administrative Agent shall have received a Borrowing Notice in accordance with Section 2.01(a)(ii) duly executed and delivered by a Responsible Officer of the Borrower, in form and substance satisfactory to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pPr>
      <w:r>
        <w:rPr>
          <w:rFonts w:ascii="Times New Roman" w:hAnsi="Times New Roman"/>
          <w:i/>
          <w:color w:val="000000"/>
          <w:sz w:val="24"/>
        </w:rPr>
        <w:t>Warrant Certificate</w:t>
      </w:r>
      <w:r>
        <w:rPr>
          <w:rFonts w:ascii="Times New Roman" w:hAnsi="Times New Roman"/>
          <w:color w:val="000000"/>
          <w:sz w:val="24"/>
        </w:rPr>
        <w:t>. The Administrative Agent shall have received the executed Warrant Certificate (Funding Date), dated as of the Funding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pPr>
      <w:r>
        <w:rPr>
          <w:rFonts w:ascii="Times New Roman" w:hAnsi="Times New Roman"/>
          <w:i/>
          <w:color w:val="000000"/>
          <w:sz w:val="24"/>
        </w:rPr>
        <w:t>Security Documents.</w:t>
      </w:r>
      <w:r>
        <w:rPr>
          <w:color w:val="00000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Security Documents, including, without limitation, the Security Agreement, each Short</w:t>
        <w:noBreakHyphen/>
        <w:t>Form IP Security Agreement and financing statements, duly executed and delivered by each of the Obligors and the other parties thereto.</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Without limitation, all other documents and instruments reasonably required to perfect the Lenders’ Lien on, and security interest in, the Collateral required to be delivered on or prior to the Funding Date shall have been duly executed and delivered and be in proper form for filing, and shall create in favor of the Administrative Agent, for the benefit of the Lenders, a perfected Lien on, and security interest in, the Collateral, subject to no Liens other than Permitted Liens.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80" w:after="283"/>
        <w:jc w:val="both"/>
        <w:rPr/>
      </w:pPr>
      <w:r>
        <w:rPr>
          <w:rFonts w:ascii="Times New Roman" w:hAnsi="Times New Roman"/>
          <w:i/>
          <w:color w:val="000000"/>
          <w:sz w:val="24"/>
        </w:rPr>
        <w:t>Opinion of Counsel.</w:t>
      </w:r>
      <w:r>
        <w:rPr>
          <w:color w:val="000000"/>
        </w:rPr>
        <w:t xml:space="preserve"> </w:t>
      </w:r>
      <w:r>
        <w:rPr>
          <w:rFonts w:ascii="Times New Roman" w:hAnsi="Times New Roman"/>
          <w:color w:val="000000"/>
          <w:sz w:val="24"/>
        </w:rPr>
        <w:t>A favorable opinion, dated as of the Funding Date, of Sidley Austin LLP, counsel to each Obligor in form reasonably acceptable to the Administrative Agent and its counsel.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80" w:after="283"/>
        <w:jc w:val="both"/>
        <w:rPr/>
      </w:pPr>
      <w:r>
        <w:rPr>
          <w:rFonts w:ascii="Times New Roman" w:hAnsi="Times New Roman"/>
          <w:i/>
          <w:color w:val="000000"/>
          <w:sz w:val="24"/>
        </w:rPr>
        <w:t>Officer’s Certificate.</w:t>
      </w:r>
      <w:r>
        <w:rPr>
          <w:color w:val="000000"/>
        </w:rPr>
        <w:t xml:space="preserve"> </w:t>
      </w:r>
      <w:r>
        <w:rPr>
          <w:rFonts w:ascii="Times New Roman" w:hAnsi="Times New Roman"/>
          <w:color w:val="000000"/>
          <w:sz w:val="24"/>
        </w:rPr>
        <w:t xml:space="preserve">A certificate, in form and substance satisfactory to the Administrative Agent, dated as of the Funding Date and signed </w:t>
      </w:r>
    </w:p>
    <w:p>
      <w:pPr>
        <w:pStyle w:val="TextBody"/>
        <w:bidi w:val="0"/>
        <w:jc w:val="center"/>
        <w:rPr/>
      </w:pPr>
      <w:r>
        <w:rPr>
          <w:color w:val="000000"/>
        </w:rPr>
        <w:noBreakHyphen/>
      </w:r>
      <w:r>
        <w:rPr>
          <w:rFonts w:ascii="Times New Roman" w:hAnsi="Times New Roman"/>
          <w:color w:val="000000"/>
          <w:sz w:val="24"/>
        </w:rPr>
        <w:t>54</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rFonts w:ascii="Times New Roman" w:hAnsi="Times New Roman"/>
          <w:color w:val="000000"/>
          <w:sz w:val="24"/>
        </w:rPr>
        <w:t>by a Responsible Officer of the Borrower: (A) confirming compliance with the conditions set forth in subsections (d), (e) and (f) of this Section 6.02, (B) certifying that the applicable names, titles and officers of each Obligor have not changed since the Closing Date and (C) confirming that the Organizational Documents of each Obligor have not changed since the Closing Date.</w:t>
      </w:r>
      <w:r>
        <w:rPr>
          <w:color w:val="00000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80" w:after="283"/>
        <w:jc w:val="both"/>
        <w:rPr/>
      </w:pPr>
      <w:r>
        <w:rPr>
          <w:rFonts w:ascii="Times New Roman" w:hAnsi="Times New Roman"/>
          <w:color w:val="000000"/>
          <w:sz w:val="24"/>
        </w:rPr>
        <w:t>If the Funding Date occurs more than thirty (30) days after the Closing Date:</w:t>
      </w:r>
      <w:r>
        <w:rPr>
          <w:color w:val="000000"/>
        </w:rPr>
        <w:t xml:space="preserve">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320" w:after="283"/>
        <w:jc w:val="both"/>
        <w:rPr/>
      </w:pPr>
      <w:r>
        <w:rPr>
          <w:rFonts w:ascii="Times New Roman" w:hAnsi="Times New Roman"/>
          <w:i/>
          <w:color w:val="000000"/>
          <w:sz w:val="24"/>
        </w:rPr>
        <w:t>Good Standing Certificates.</w:t>
      </w:r>
      <w:r>
        <w:rPr>
          <w:color w:val="000000"/>
        </w:rPr>
        <w:t xml:space="preserve"> </w:t>
      </w:r>
      <w:r>
        <w:rPr>
          <w:rFonts w:ascii="Times New Roman" w:hAnsi="Times New Roman"/>
          <w:color w:val="000000"/>
          <w:sz w:val="24"/>
        </w:rPr>
        <w:t>A good standing certificate and/or compliance certificate from the applicable Governmental Authority of each Obligor’s jurisdiction of incorporation or organization, and in each jurisdiction in which it is qualified as a foreign corporation or other entity to do business (except where failure to be in good standing would not, either individually or in the aggregate, reasonably be expected to have a Material Adverse Effect), each dated a recent date prior to the Funding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Bringdown Lien Searches.</w:t>
      </w:r>
      <w:r>
        <w:rPr>
          <w:color w:val="000000"/>
        </w:rPr>
        <w:t xml:space="preserve"> </w:t>
      </w:r>
      <w:r>
        <w:rPr>
          <w:rFonts w:ascii="Times New Roman" w:hAnsi="Times New Roman"/>
          <w:color w:val="000000"/>
          <w:sz w:val="24"/>
        </w:rPr>
        <w:t>The Administrative Agent shall be satisfied with bringdown Lien searches regarding the Obligors made prior to the Funding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Funding Fees and Expenses.</w:t>
      </w:r>
      <w:r>
        <w:rPr>
          <w:color w:val="000000"/>
        </w:rPr>
        <w:t xml:space="preserve"> </w:t>
      </w:r>
      <w:r>
        <w:rPr>
          <w:rFonts w:ascii="Times New Roman" w:hAnsi="Times New Roman"/>
          <w:color w:val="000000"/>
          <w:sz w:val="24"/>
        </w:rPr>
        <w:t>The Lenders and their Affiliates shall have received for their own account, the Funding Fee and all fees, costs and expenses due (including applicable attorney costs and the reasonable and documented out</w:t>
        <w:noBreakHyphen/>
        <w:t>of</w:t>
        <w:noBreakHyphen/>
        <w:t>pocket fees and expenses of any other advisors to the Lenders) and payable pursuant to Section 13.03.</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olor w:val="000000"/>
          <w:sz w:val="24"/>
        </w:rPr>
        <w:t>Indebtedness.</w:t>
      </w:r>
      <w:r>
        <w:rPr>
          <w:color w:val="000000"/>
        </w:rPr>
        <w:t xml:space="preserve"> </w:t>
      </w:r>
      <w:r>
        <w:rPr>
          <w:rFonts w:ascii="Times New Roman" w:hAnsi="Times New Roman"/>
          <w:color w:val="000000"/>
          <w:sz w:val="24"/>
        </w:rPr>
        <w:t>As of the Funding Date, after giving effect to the Transactions, no Obligor shall have any Indebtedness other than the Obligations, the Permitted Indebtedness and any Indebtedness specified on Schedule 7.13A. The Indebtedness evidenced by the Existing Credit Agreements shall have been repaid in full, all commitments (if any) in respect thereof terminated, all guarantees (if any) thereof discharged and released and all security therefor (if any) released, together with all fees and other amounts owing thereon, or documentation in form and substance reasonably satisfactory to the Administrative Agent to effect such release upon such repayment and termination shall have been delivered to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pPr>
      <w:r>
        <w:rPr>
          <w:rFonts w:ascii="Times New Roman" w:hAnsi="Times New Roman"/>
          <w:i/>
          <w:color w:val="000000"/>
          <w:sz w:val="24"/>
        </w:rPr>
        <w:t>Representations and Warranties</w:t>
      </w:r>
      <w:r>
        <w:rPr>
          <w:rFonts w:ascii="Times New Roman" w:hAnsi="Times New Roman"/>
          <w:color w:val="000000"/>
          <w:sz w:val="24"/>
        </w:rPr>
        <w:t xml:space="preserve">. The representations and warranties of the Obligors contained in Article 7 or any other Loan Document shall be true and correct in all material respects on and as of the Funding Date;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to the extent that such representations and warranties specifically refer to an earlier date, they shall be true and correct in all material respects as of such earlier date; </w:t>
      </w:r>
      <w:r>
        <w:rPr>
          <w:rFonts w:ascii="Times New Roman" w:hAnsi="Times New Roman"/>
          <w:i/>
          <w:color w:val="000000"/>
          <w:sz w:val="24"/>
        </w:rPr>
        <w:t>provided further</w:t>
      </w:r>
      <w:r>
        <w:rPr>
          <w:color w:val="000000"/>
        </w:rPr>
        <w:t xml:space="preserve"> </w:t>
      </w:r>
      <w:r>
        <w:rPr>
          <w:rFonts w:ascii="Times New Roman" w:hAnsi="Times New Roman"/>
          <w:color w:val="000000"/>
          <w:sz w:val="24"/>
        </w:rPr>
        <w:t>that any representation and warranty that is qualified as to “materiality”, “Material Adverse Effect” or similar language shall be true and correct (after giving effect to any qualification therein) in all respects.</w:t>
      </w:r>
    </w:p>
    <w:p>
      <w:pPr>
        <w:pStyle w:val="TextBody"/>
        <w:bidi w:val="0"/>
        <w:jc w:val="center"/>
        <w:rPr/>
      </w:pPr>
      <w:r>
        <w:rPr>
          <w:color w:val="000000"/>
        </w:rPr>
        <w:noBreakHyphen/>
      </w:r>
      <w:r>
        <w:rPr>
          <w:rFonts w:ascii="Times New Roman" w:hAnsi="Times New Roman"/>
          <w:color w:val="000000"/>
          <w:sz w:val="24"/>
        </w:rPr>
        <w:t>55</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pPr>
      <w:r>
        <w:rPr>
          <w:rFonts w:ascii="Times New Roman" w:hAnsi="Times New Roman"/>
          <w:i/>
          <w:color w:val="000000"/>
          <w:sz w:val="24"/>
        </w:rPr>
        <w:t>Required Equity Financing</w:t>
      </w:r>
      <w:r>
        <w:rPr>
          <w:rFonts w:ascii="Times New Roman" w:hAnsi="Times New Roman"/>
          <w:color w:val="000000"/>
          <w:sz w:val="24"/>
        </w:rPr>
        <w:t>. The Borrower shall have raised new equity resulting in gross proceeds of at least $30,000,000, on terms reasonably satisfactory to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pPr>
      <w:r>
        <w:rPr>
          <w:rFonts w:ascii="Times New Roman" w:hAnsi="Times New Roman"/>
          <w:i/>
          <w:color w:val="000000"/>
          <w:sz w:val="24"/>
        </w:rPr>
        <w:t>No Default</w:t>
      </w:r>
      <w:r>
        <w:rPr>
          <w:rFonts w:ascii="Times New Roman" w:hAnsi="Times New Roman"/>
          <w:color w:val="000000"/>
          <w:sz w:val="24"/>
        </w:rPr>
        <w:t>. No Default shall exist, or would result from such proposed Borrowing or from the application of the proceeds therefrom.</w:t>
      </w:r>
    </w:p>
    <w:p>
      <w:pPr>
        <w:pStyle w:val="TextBody"/>
        <w:bidi w:val="0"/>
        <w:spacing w:before="280" w:after="283"/>
        <w:jc w:val="both"/>
        <w:rPr>
          <w:rFonts w:ascii="Times New Roman" w:hAnsi="Times New Roman"/>
          <w:sz w:val="20"/>
        </w:rPr>
      </w:pPr>
      <w:r>
        <w:rPr>
          <w:rFonts w:ascii="Times New Roman" w:hAnsi="Times New Roman"/>
          <w:i/>
          <w:color w:val="000000"/>
          <w:sz w:val="24"/>
        </w:rPr>
        <w:t>Section 6.03. Conditions to Tranche B Loan; Tranche B Loan Borrowing Date.</w:t>
      </w:r>
      <w:r>
        <w:rPr>
          <w:rFonts w:ascii="Times New Roman" w:hAnsi="Times New Roman"/>
          <w:color w:val="000000"/>
          <w:sz w:val="20"/>
        </w:rPr>
        <w:t xml:space="preserve"> </w:t>
      </w:r>
      <w:r>
        <w:rPr>
          <w:rFonts w:ascii="Times New Roman" w:hAnsi="Times New Roman"/>
          <w:color w:val="000000"/>
          <w:sz w:val="24"/>
        </w:rPr>
        <w:t>The obligation of each Lender to make the Tranche B Loan on the Tranche B Loan Borrowing Date shall not become effective until the following conditions precedent shall have been satisfied or waived in writing by the Administrative Agent (which satisfaction or waiver may be made simultaneously with the making of the Tranche B Loan hereunder):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Tranche B Loan Commitment Termination Date</w:t>
      </w:r>
      <w:r>
        <w:rPr>
          <w:rFonts w:ascii="Times New Roman" w:hAnsi="Times New Roman"/>
          <w:color w:val="000000"/>
          <w:sz w:val="24"/>
        </w:rPr>
        <w:t>. The Tranche B Loan Commitment Termination Date shall not have occurred.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Borrowing Notice.</w:t>
      </w:r>
      <w:r>
        <w:rPr>
          <w:color w:val="000000"/>
        </w:rPr>
        <w:t xml:space="preserve"> </w:t>
      </w:r>
      <w:r>
        <w:rPr>
          <w:rFonts w:ascii="Times New Roman" w:hAnsi="Times New Roman"/>
          <w:color w:val="000000"/>
          <w:sz w:val="24"/>
        </w:rPr>
        <w:t>The Administrative Agent shall have received a Borrowing Notice in accordance with Section 2.01(b)(ii) requesting the Borrowing of the Tranche B Loan duly executed by a Responsible Officer of the Borrower and the Borrower’s updated Schedules to this Agreement (if any), in form and substance reasonably satisfactory to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olor w:val="000000"/>
          <w:sz w:val="24"/>
        </w:rPr>
        <w:t>Representations and Warranties</w:t>
      </w:r>
      <w:r>
        <w:rPr>
          <w:rFonts w:ascii="Times New Roman" w:hAnsi="Times New Roman"/>
          <w:color w:val="000000"/>
          <w:sz w:val="24"/>
        </w:rPr>
        <w:t xml:space="preserve">. The representations and warranties of the Obligors contained in Article 7 or any other Loan Document shall be true and correct in all material respects on and as of the Tranche B Loan Borrowing Date;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to the extent that such representations and warranties specifically refer to an earlier date, they shall be true and correct in all material respects as of such earlier date; </w:t>
      </w:r>
      <w:r>
        <w:rPr>
          <w:rFonts w:ascii="Times New Roman" w:hAnsi="Times New Roman"/>
          <w:i/>
          <w:color w:val="000000"/>
          <w:sz w:val="24"/>
        </w:rPr>
        <w:t>provided further</w:t>
      </w:r>
      <w:r>
        <w:rPr>
          <w:color w:val="000000"/>
        </w:rPr>
        <w:t xml:space="preserve"> </w:t>
      </w:r>
      <w:r>
        <w:rPr>
          <w:rFonts w:ascii="Times New Roman" w:hAnsi="Times New Roman"/>
          <w:color w:val="000000"/>
          <w:sz w:val="24"/>
        </w:rPr>
        <w:t>that any representation and warranty that is qualified as to “materiality”, “Material Adverse Effect” or similar language shall be true and correct (after giving effect to any qualification therein) in all respects.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pPr>
      <w:r>
        <w:rPr>
          <w:rFonts w:ascii="Times New Roman" w:hAnsi="Times New Roman"/>
          <w:i/>
          <w:color w:val="000000"/>
          <w:sz w:val="24"/>
        </w:rPr>
        <w:t>No Default</w:t>
      </w:r>
      <w:r>
        <w:rPr>
          <w:rFonts w:ascii="Times New Roman" w:hAnsi="Times New Roman"/>
          <w:color w:val="000000"/>
          <w:sz w:val="24"/>
        </w:rPr>
        <w:t>. No Default shall exist, or would result from such proposed Borrowing or from the application of the proceeds therefrom.</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pPr>
      <w:r>
        <w:rPr>
          <w:rFonts w:ascii="Times New Roman" w:hAnsi="Times New Roman"/>
          <w:i/>
          <w:color w:val="000000"/>
          <w:sz w:val="24"/>
        </w:rPr>
        <w:t>Officer’s Certificate.</w:t>
      </w:r>
      <w:r>
        <w:rPr>
          <w:color w:val="000000"/>
        </w:rPr>
        <w:t xml:space="preserve"> </w:t>
      </w:r>
      <w:r>
        <w:rPr>
          <w:rFonts w:ascii="Times New Roman" w:hAnsi="Times New Roman"/>
          <w:color w:val="000000"/>
          <w:sz w:val="24"/>
        </w:rPr>
        <w:t>A certificate, dated as of the Tranche B Borrowing Date and signed by a Responsible Officer of the Borrower, confirming compliance with the conditions set forth in subsections (c), (d) and (f) of this Section 6.03.</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pPr>
      <w:r>
        <w:rPr>
          <w:rFonts w:ascii="Times New Roman" w:hAnsi="Times New Roman"/>
          <w:i/>
          <w:color w:val="000000"/>
          <w:sz w:val="24"/>
        </w:rPr>
        <w:t>Milestone.</w:t>
      </w:r>
      <w:r>
        <w:rPr>
          <w:color w:val="000000"/>
        </w:rPr>
        <w:t xml:space="preserve"> </w:t>
      </w:r>
      <w:r>
        <w:rPr>
          <w:rFonts w:ascii="Times New Roman" w:hAnsi="Times New Roman"/>
          <w:color w:val="000000"/>
          <w:sz w:val="24"/>
        </w:rPr>
        <w:t>The Administrative Agent shall have received evidence reasonably satisfactory to the Administrative Agent that the Borrower has (i) achieved Net Revenue of at least $43,600,000 for any twelve (12) consecutive month period prior to the Tranche B Borrowing Date and (ii) received aggregate cash proceeds of at least $27,500,000 from the sale or issuance of Equity Interests of the Borrower prior to the Tranche B Borrowing Date.</w:t>
      </w:r>
    </w:p>
    <w:p>
      <w:pPr>
        <w:pStyle w:val="TextBody"/>
        <w:bidi w:val="0"/>
        <w:jc w:val="center"/>
        <w:rPr/>
      </w:pPr>
      <w:r>
        <w:rPr>
          <w:color w:val="000000"/>
        </w:rPr>
        <w:noBreakHyphen/>
      </w:r>
      <w:r>
        <w:rPr>
          <w:rFonts w:ascii="Times New Roman" w:hAnsi="Times New Roman"/>
          <w:color w:val="000000"/>
          <w:sz w:val="24"/>
        </w:rPr>
        <w:t>56</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pPr>
      <w:r>
        <w:rPr>
          <w:rFonts w:ascii="Times New Roman" w:hAnsi="Times New Roman"/>
          <w:i/>
          <w:color w:val="000000"/>
          <w:sz w:val="24"/>
        </w:rPr>
        <w:t>Expenses.</w:t>
      </w:r>
      <w:r>
        <w:rPr>
          <w:color w:val="000000"/>
        </w:rPr>
        <w:t xml:space="preserve"> </w:t>
      </w:r>
      <w:r>
        <w:rPr>
          <w:rFonts w:ascii="Times New Roman" w:hAnsi="Times New Roman"/>
          <w:color w:val="000000"/>
          <w:sz w:val="24"/>
        </w:rPr>
        <w:t>The Lenders and their Affiliates shall have received for their own account, all fees, costs and expenses due (including applicable attorney costs and the reasonable and documented out-of-pocket fees and expenses of any other advisors to the Lenders) and payable pursuant to Section 13.03.</w:t>
      </w:r>
    </w:p>
    <w:p>
      <w:pPr>
        <w:pStyle w:val="TextBody"/>
        <w:bidi w:val="0"/>
        <w:spacing w:before="280" w:after="283"/>
        <w:jc w:val="both"/>
        <w:rPr>
          <w:rFonts w:ascii="Times New Roman" w:hAnsi="Times New Roman"/>
          <w:sz w:val="20"/>
        </w:rPr>
      </w:pPr>
      <w:r>
        <w:rPr>
          <w:rFonts w:ascii="Times New Roman" w:hAnsi="Times New Roman"/>
          <w:i/>
          <w:color w:val="000000"/>
          <w:sz w:val="24"/>
        </w:rPr>
        <w:t>Section 6.04. Conditions to Tranche C Loan; Tranche C Loan Borrowing Date.</w:t>
      </w:r>
      <w:r>
        <w:rPr>
          <w:rFonts w:ascii="Times New Roman" w:hAnsi="Times New Roman"/>
          <w:color w:val="000000"/>
          <w:sz w:val="20"/>
        </w:rPr>
        <w:t xml:space="preserve"> </w:t>
      </w:r>
      <w:r>
        <w:rPr>
          <w:rFonts w:ascii="Times New Roman" w:hAnsi="Times New Roman"/>
          <w:color w:val="000000"/>
          <w:sz w:val="24"/>
        </w:rPr>
        <w:t>The obligation of each Lender to make the Tranche C Loan on the Tranche C Loan Borrowing Date shall not become effective until the following conditions precedent shall have been satisfied or waived in writing by the Administrative Agent (which satisfaction or waiver may be made simultaneously with the making of the Tranche C Loan hereunder):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Tranche C Loan Commitment Termination Date</w:t>
      </w:r>
      <w:r>
        <w:rPr>
          <w:rFonts w:ascii="Times New Roman" w:hAnsi="Times New Roman"/>
          <w:color w:val="000000"/>
          <w:sz w:val="24"/>
        </w:rPr>
        <w:t>. The Tranche C Loan Commitment Termination Date shall not have occurred.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Borrowing Notice.</w:t>
      </w:r>
      <w:r>
        <w:rPr>
          <w:color w:val="000000"/>
        </w:rPr>
        <w:t xml:space="preserve"> </w:t>
      </w:r>
      <w:r>
        <w:rPr>
          <w:rFonts w:ascii="Times New Roman" w:hAnsi="Times New Roman"/>
          <w:color w:val="000000"/>
          <w:sz w:val="24"/>
        </w:rPr>
        <w:t>The Administrative Agent shall have received a Borrowing Notice in accordance with Section 2.01(c)(ii) requesting the Borrowing of the Tranche C Loan duly executed by a Responsible Officer of the Borrower and the Borrower’s updated Schedules to this Agreement (if any), in form and substance reasonably satisfactory to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olor w:val="000000"/>
          <w:sz w:val="24"/>
        </w:rPr>
        <w:t>Representations and Warranties</w:t>
      </w:r>
      <w:r>
        <w:rPr>
          <w:rFonts w:ascii="Times New Roman" w:hAnsi="Times New Roman"/>
          <w:color w:val="000000"/>
          <w:sz w:val="24"/>
        </w:rPr>
        <w:t xml:space="preserve">. The representations and warranties of the Obligors contained in Article 7 or any other Loan Document shall be true and correct in all material respects on and as of the Tranche C Loan Borrowing Date;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to the extent that such representations and warranties specifically refer to an earlier date, they shall be true and correct in all material respects as of such earlier date; </w:t>
      </w:r>
      <w:r>
        <w:rPr>
          <w:rFonts w:ascii="Times New Roman" w:hAnsi="Times New Roman"/>
          <w:i/>
          <w:color w:val="000000"/>
          <w:sz w:val="24"/>
        </w:rPr>
        <w:t>provided further</w:t>
      </w:r>
      <w:r>
        <w:rPr>
          <w:color w:val="000000"/>
        </w:rPr>
        <w:t xml:space="preserve"> </w:t>
      </w:r>
      <w:r>
        <w:rPr>
          <w:rFonts w:ascii="Times New Roman" w:hAnsi="Times New Roman"/>
          <w:color w:val="000000"/>
          <w:sz w:val="24"/>
        </w:rPr>
        <w:t>that any representation and warranty that is qualified as to “materiality”, “Material Adverse Effect” or similar language shall be true and correct (after giving effect to any qualification therein) in all respects.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pPr>
      <w:r>
        <w:rPr>
          <w:rFonts w:ascii="Times New Roman" w:hAnsi="Times New Roman"/>
          <w:i/>
          <w:color w:val="000000"/>
          <w:sz w:val="24"/>
        </w:rPr>
        <w:t>No Default</w:t>
      </w:r>
      <w:r>
        <w:rPr>
          <w:rFonts w:ascii="Times New Roman" w:hAnsi="Times New Roman"/>
          <w:color w:val="000000"/>
          <w:sz w:val="24"/>
        </w:rPr>
        <w:t>. No Default shall exist, or would result from such proposed Borrowing or from the application of the proceeds therefrom.</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pPr>
      <w:r>
        <w:rPr>
          <w:rFonts w:ascii="Times New Roman" w:hAnsi="Times New Roman"/>
          <w:i/>
          <w:color w:val="000000"/>
          <w:sz w:val="24"/>
        </w:rPr>
        <w:t>Officer’s Certificate.</w:t>
      </w:r>
      <w:r>
        <w:rPr>
          <w:color w:val="000000"/>
        </w:rPr>
        <w:t xml:space="preserve"> </w:t>
      </w:r>
      <w:r>
        <w:rPr>
          <w:rFonts w:ascii="Times New Roman" w:hAnsi="Times New Roman"/>
          <w:color w:val="000000"/>
          <w:sz w:val="24"/>
        </w:rPr>
        <w:t>A certificate, dated as of the Tranche C Borrowing Date and signed by a Responsible Officer of the Borrower, confirming compliance with the conditions set forth in subsections (c), (d) and (f) of this Section 6.04.</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rFonts w:ascii="Times New Roman" w:hAnsi="Times New Roman"/>
          <w:i/>
          <w:color w:val="000000"/>
          <w:sz w:val="24"/>
        </w:rPr>
      </w:pPr>
      <w:r>
        <w:rPr>
          <w:rFonts w:ascii="Times New Roman" w:hAnsi="Times New Roman"/>
          <w:i/>
          <w:color w:val="000000"/>
          <w:sz w:val="24"/>
        </w:rPr>
        <w:t>[Reserved].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pPr>
      <w:r>
        <w:rPr>
          <w:rFonts w:ascii="Times New Roman" w:hAnsi="Times New Roman"/>
          <w:i/>
          <w:color w:val="000000"/>
          <w:sz w:val="24"/>
        </w:rPr>
        <w:t>Expenses.</w:t>
      </w:r>
      <w:r>
        <w:rPr>
          <w:color w:val="000000"/>
        </w:rPr>
        <w:t xml:space="preserve"> </w:t>
      </w:r>
      <w:r>
        <w:rPr>
          <w:rFonts w:ascii="Times New Roman" w:hAnsi="Times New Roman"/>
          <w:color w:val="000000"/>
          <w:sz w:val="24"/>
        </w:rPr>
        <w:t>The Lenders and their Affiliates shall have received for their own account, all fees, costs and expenses due (including applicable attorney costs and the reasonable and documented out-of-pocket fees and expenses of any other advisors to the Lenders) and payable pursuant to Section 13.03.</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pPr>
      <w:r>
        <w:rPr>
          <w:rFonts w:ascii="Times New Roman" w:hAnsi="Times New Roman"/>
          <w:i/>
          <w:color w:val="000000"/>
          <w:sz w:val="24"/>
        </w:rPr>
        <w:t>Consent to Permitted Acquisition</w:t>
      </w:r>
      <w:r>
        <w:rPr>
          <w:rFonts w:ascii="Times New Roman" w:hAnsi="Times New Roman"/>
          <w:color w:val="000000"/>
          <w:sz w:val="24"/>
        </w:rPr>
        <w:t xml:space="preserve">. The Borrower shall have received the Administrative Agent’s prior written consent to the making of any Permitted Acquisition. </w:t>
      </w:r>
    </w:p>
    <w:p>
      <w:pPr>
        <w:pStyle w:val="TextBody"/>
        <w:bidi w:val="0"/>
        <w:jc w:val="center"/>
        <w:rPr/>
      </w:pPr>
      <w:r>
        <w:rPr>
          <w:color w:val="000000"/>
        </w:rPr>
        <w:noBreakHyphen/>
      </w:r>
      <w:r>
        <w:rPr>
          <w:rFonts w:ascii="Times New Roman" w:hAnsi="Times New Roman"/>
          <w:color w:val="000000"/>
          <w:sz w:val="24"/>
        </w:rPr>
        <w:t>57</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borrowing of the Term Loans shall constitute a certification by the Borrower to the effect that the conditions set forth in Section 6.02, 6.03 and 6.04, as applicable, have been fulfilled as of the Funding Date, the Tranche B Loan Borrowing Date or the Tranche C Loan Borrowing Date, as applicable.</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7</w:t>
        <w:br/>
        <w:br/>
        <w:t>Representations and Warranties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order to induce the Lenders to enter into this Agreement and to extend the Term Loans hereunder, each Obligor represents and warrants to the Lenders and the Administrative Agent, on the Closing Date (solely with respect to the Specified Representations), on the Funding Date, on the Tranche B Loan Borrowing Date and on the Tranche C Loan Borrowing Date, as applicable, that the following statements are true and correct: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7.01. Power and Authority.</w:t>
      </w:r>
      <w:r>
        <w:rPr>
          <w:rFonts w:ascii="Times New Roman" w:hAnsi="Times New Roman"/>
          <w:color w:val="000000"/>
          <w:sz w:val="20"/>
        </w:rPr>
        <w:t xml:space="preserve"> </w:t>
      </w:r>
      <w:r>
        <w:rPr>
          <w:rFonts w:ascii="Times New Roman" w:hAnsi="Times New Roman"/>
          <w:color w:val="000000"/>
          <w:sz w:val="24"/>
        </w:rPr>
        <w:t>Each Obligor and each of its Subsidiaries (a) is duly organized, validly existing and in good standing under the Laws of its jurisdiction of organization, (b) has all requisite corporate (or equivalent) power, (c) has all material Governmental Approvals necessary to own its assets and carry on its business as now being or as proposed to be conducted except to the extent that failure to have the same would not reasonably be expected to have a Material Adverse Effect, (d) is qualified to do business and is in good standing in all jurisdictions in which the nature of the business conducted by it makes such qualification necessary except where failure to so qualify would not (either individually or in the aggregate) reasonably be expected to result in a Material Adverse Effect, and (e) has full power, authority and legal right to make and perform its obligations under each of the Loan Documents to which it is a party and, in the case of the Borrower, to borrow the Term Loans hereunder.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7.02. Authorization; Enforceability.</w:t>
      </w:r>
      <w:r>
        <w:rPr>
          <w:rFonts w:ascii="Times New Roman" w:hAnsi="Times New Roman"/>
          <w:color w:val="000000"/>
          <w:sz w:val="20"/>
        </w:rPr>
        <w:t xml:space="preserve"> </w:t>
      </w:r>
      <w:r>
        <w:rPr>
          <w:rFonts w:ascii="Times New Roman" w:hAnsi="Times New Roman"/>
          <w:color w:val="000000"/>
          <w:sz w:val="24"/>
        </w:rPr>
        <w:t>The Transactions are within each Obligor’s corporate (or equivalent) powers and have been duly authorized by all necessary corporate (or equivalent) action and, if required, by all necessary shareholder or other equity holder action. The Loan Documents have been duly executed and delivered by each Obligor party thereto and constitutes, and each of the other Loan Documents to which it is a party when executed and delivered by such Obligor will constitute, a legal, valid and binding obligation of such Obligor, enforceable against each Obligor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7.03. Governmental and Other Approvals; No Conflicts.</w:t>
      </w:r>
      <w:r>
        <w:rPr>
          <w:rFonts w:ascii="Times New Roman" w:hAnsi="Times New Roman"/>
          <w:color w:val="000000"/>
          <w:sz w:val="20"/>
        </w:rPr>
        <w:t xml:space="preserve"> </w:t>
      </w:r>
      <w:r>
        <w:rPr>
          <w:rFonts w:ascii="Times New Roman" w:hAnsi="Times New Roman"/>
          <w:color w:val="000000"/>
          <w:sz w:val="24"/>
        </w:rPr>
        <w:t>The Transactions (a) do not require any consent or approval of, registration or filing with, or any other action by, any Governmental Authority or any other Person, except for (i) prior to the Funding Date, those consents and approvals required by the Indebtedness set forth on Schedule 7.13(A) which is subject to the Refinancing, (ii) such as have been obtained or made and are in full force and effect and (iii) filings and recordings in respect of perfecting or recording the Liens created pursuant to the Security Documents, (b) will not violate any applicable Requirement of Law or any applicable</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58</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order of any Governmental Authority, in each case, other than any such violations that, individually or in the aggregate, would not reasonably be expected to have a Material Adverse Effect, (c) will not violate the Organizational Documents of any Obligor other than any such violations that, individually or in the aggregate, would not reasonably be expected to have a Material Adverse Effect, (d) will not violate or result in a default under any Material Agreement, or give rise to a right thereunder to require any payment to be made by any such Person and (e) will not result in the creation or imposition of any Lien (other than Permitted Liens) on any asset of any Obligor or any of its Subsidiaries.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7.04. Financial Statements; Projections; Material Adverse Change</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 xml:space="preserve">Financial Statements. </w:t>
      </w:r>
      <w:r>
        <w:rPr>
          <w:rFonts w:ascii="Times New Roman" w:hAnsi="Times New Roman"/>
          <w:color w:val="000000"/>
          <w:sz w:val="24"/>
        </w:rPr>
        <w:t>The Borrower has heretofore furnished to the Administrative Agent certain consolidated financial statements as provided for in Section 8.01. Such financial statements present fairly, in all material respects, the consolidated financial position and results of operations and cash flows of the Obligors as of such dates and for such periods substantially in accordance with GAAP, subject to quarterly or year</w:t>
        <w:noBreakHyphen/>
        <w:t>end adjustments and the absence of footnotes. As of the date of such financial statements, no Obligor has any material contingent liabilities, long</w:t>
        <w:noBreakHyphen/>
        <w:t>term lease or unusual forward or long</w:t>
        <w:noBreakHyphen/>
        <w:t>term commitments not disclosed in the aforementioned financial statements.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Projections.</w:t>
      </w:r>
      <w:r>
        <w:rPr>
          <w:color w:val="000000"/>
        </w:rPr>
        <w:t xml:space="preserve"> </w:t>
      </w:r>
      <w:r>
        <w:rPr>
          <w:rFonts w:ascii="Times New Roman" w:hAnsi="Times New Roman"/>
          <w:color w:val="000000"/>
          <w:sz w:val="24"/>
        </w:rPr>
        <w:t xml:space="preserve">On and as of the Closing Date, the projections of the Obligors (collectively, the </w:t>
      </w:r>
      <w:r>
        <w:rPr>
          <w:color w:val="000000"/>
        </w:rPr>
        <w:t>“</w:t>
      </w:r>
      <w:r>
        <w:rPr>
          <w:rFonts w:ascii="Times New Roman" w:hAnsi="Times New Roman"/>
          <w:i/>
          <w:color w:val="000000"/>
          <w:sz w:val="24"/>
        </w:rPr>
        <w:t>Projections”</w:t>
      </w:r>
      <w:r>
        <w:rPr>
          <w:rFonts w:ascii="Times New Roman" w:hAnsi="Times New Roman"/>
          <w:color w:val="000000"/>
          <w:sz w:val="24"/>
        </w:rPr>
        <w:t xml:space="preserve">) are based on good faith estimates and reasonable assumptions made by the management of the Borrower;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the Projections are not to be viewed as facts and that actual results during the period or periods covered by the Projections may differ from such Projections and that the differences may be material; </w:t>
      </w:r>
      <w:r>
        <w:rPr>
          <w:rFonts w:ascii="Times New Roman" w:hAnsi="Times New Roman"/>
          <w:i/>
          <w:color w:val="000000"/>
          <w:sz w:val="24"/>
        </w:rPr>
        <w:t>provided, further,</w:t>
      </w:r>
      <w:r>
        <w:rPr>
          <w:color w:val="000000"/>
        </w:rPr>
        <w:t xml:space="preserve"> </w:t>
      </w:r>
      <w:r>
        <w:rPr>
          <w:rFonts w:ascii="Times New Roman" w:hAnsi="Times New Roman"/>
          <w:color w:val="000000"/>
          <w:sz w:val="24"/>
        </w:rPr>
        <w:t>as of the Closing Date, the management of the Borrower believes that the Projections are reasonable and attainable, as of the date prepared.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olor w:val="000000"/>
          <w:sz w:val="24"/>
        </w:rPr>
        <w:t>No Material Adverse Change.</w:t>
      </w:r>
      <w:r>
        <w:rPr>
          <w:color w:val="000000"/>
        </w:rPr>
        <w:t xml:space="preserve"> </w:t>
      </w:r>
      <w:r>
        <w:rPr>
          <w:rFonts w:ascii="Times New Roman" w:hAnsi="Times New Roman"/>
          <w:color w:val="000000"/>
          <w:sz w:val="24"/>
        </w:rPr>
        <w:t>Since December 31, 2021 no event, circumstance or change has occurred that has caused or evidences, either in individually or in the aggregate, a Material Adverse Change.</w:t>
      </w:r>
    </w:p>
    <w:p>
      <w:pPr>
        <w:pStyle w:val="TextBody"/>
        <w:bidi w:val="0"/>
        <w:spacing w:before="280" w:after="283"/>
        <w:jc w:val="both"/>
        <w:rPr>
          <w:rFonts w:ascii="Times New Roman" w:hAnsi="Times New Roman"/>
          <w:i/>
          <w:color w:val="000000"/>
          <w:sz w:val="24"/>
        </w:rPr>
      </w:pPr>
      <w:r>
        <w:rPr>
          <w:rFonts w:ascii="Times New Roman" w:hAnsi="Times New Roman"/>
          <w:i/>
          <w:color w:val="000000"/>
          <w:sz w:val="24"/>
        </w:rPr>
        <w:t>Section 7.05. Properties.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Property Generally.</w:t>
      </w:r>
      <w:r>
        <w:rPr>
          <w:color w:val="000000"/>
        </w:rPr>
        <w:t xml:space="preserve"> </w:t>
      </w:r>
      <w:r>
        <w:rPr>
          <w:rFonts w:ascii="Times New Roman" w:hAnsi="Times New Roman"/>
          <w:color w:val="000000"/>
          <w:sz w:val="24"/>
        </w:rPr>
        <w:t>With respect to all real and personal assets and properties of each Obligor and each of its Subsidiaries (other than Intellectual Property which is covered by clause (b) below), such Obligor and each of its Subsidiaries has valid fee simple title to, or valid leasehold or license interests in, all its real and personal Property material to its business, including all Product Assets, subject only to Permitted Liens and except as would not reasonably be expected to materially interfere with its ability to conduct its business as currently conducted or to utilize such properties for their intended purposes. No Obligor or any Subsidiary thereof owns any real property in fee simple as of the Closing Date and the Funding Date.</w:t>
      </w:r>
    </w:p>
    <w:p>
      <w:pPr>
        <w:pStyle w:val="TextBody"/>
        <w:bidi w:val="0"/>
        <w:spacing w:before="280" w:after="283"/>
        <w:jc w:val="both"/>
        <w:rPr/>
      </w:pPr>
      <w:r>
        <w:rPr/>
        <w:t> </w:t>
      </w:r>
    </w:p>
    <w:p>
      <w:pPr>
        <w:pStyle w:val="TextBody"/>
        <w:bidi w:val="0"/>
        <w:jc w:val="center"/>
        <w:rPr/>
      </w:pPr>
      <w:r>
        <w:rPr>
          <w:color w:val="000000"/>
        </w:rPr>
        <w:noBreakHyphen/>
      </w:r>
      <w:r>
        <w:rPr>
          <w:rFonts w:ascii="Times New Roman" w:hAnsi="Times New Roman"/>
          <w:color w:val="000000"/>
          <w:sz w:val="24"/>
        </w:rPr>
        <w:t>59</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Intellectual Property.</w:t>
      </w:r>
      <w:r>
        <w:rPr>
          <w:color w:val="00000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Schedule 7.05(b) lists, with respect to each Obligor, all United States and foreign registrations of and applications for Patents, Trademarks, Copyrights, and Industrial Designs that are Obligor Intellectual Property owned by or exclusively licensed to such Obligor, including the applicable jurisdiction, registration or application number and date, as applicable thereto, a designation as to whether it is Material Intellectual Property.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Obligor (A) owns or possesses all legal rights, title and interest in and to the Material Intellectual Property designated on Schedule 7.05(b) as being owned by such Obligor and (B) has the right to use the Material Intellectual Property licensed to such Obligor, in each case free and clear of any Liens or Claims of any kind, other than Permitted Liens, in each case, except as described in Schedule 7.05(b).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Material Intellectual Property does not violate any license or infringe any valid and enforceable Intellectual Property right of another, that either individually or in the aggregate would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Other than with respect to the Material Agreements, or as permitted by this Agreement, the Obligors have not assigned or otherwise transferred ownership of, or agreed to assign or otherwise transfer ownership of, any Material Intellectual Property owned by an Obligor, in whole or in part, to any Person who is not an Obligor.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Other than as set forth on Schedule 7.05(b), the Obligors have not received any written communications in the past twelve (12) months, nor is there any pending or, to each Obligor’s knowledge, threatened action in writing, suit, proceeding or claim in writing by another, alleging that any of the Obligors has violated, infringed, diluted or misappropriated any Intellectual Property of another.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There is no pending or, to any Obligor’s knowledge, threatened action in writing, suit, proceeding or Claim in writing by another: (A) challenging an Obligor’s rights in or to any Material Intellectual Property owned by such Obligor; or (B) challenging the validity, enforceability or scope of any Material Intellectual Property owned by an Obligor.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Each Obligor has taken commercially reasonable precautions to protect the secrecy, confidentiality and value of the Material Intellectual Property (including without limitation, by requiring that all relevant current and former </w:t>
      </w:r>
    </w:p>
    <w:p>
      <w:pPr>
        <w:pStyle w:val="TextBody"/>
        <w:bidi w:val="0"/>
        <w:jc w:val="center"/>
        <w:rPr/>
      </w:pPr>
      <w:r>
        <w:rPr>
          <w:color w:val="000000"/>
        </w:rPr>
        <w:noBreakHyphen/>
      </w:r>
      <w:r>
        <w:rPr>
          <w:rFonts w:ascii="Times New Roman" w:hAnsi="Times New Roman"/>
          <w:color w:val="000000"/>
          <w:sz w:val="24"/>
        </w:rPr>
        <w:t>60</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employees, contractors and consultants of the Obligors execute written confidentiality and Invention assignment Contracts).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Obligor has complied in all material respects with the terms of each Material Agreement pursuant to which Intellectual Property has been licensed to the Obligors (which material terms shall include, but not be limited to, pricing and duration of the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(ix)</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All maintenance fees, annuities, and the like due or payable on the Patents within the Material Intellectual Property owned by an Obligor and, to each Obligor’s knowledge, the Patents within the Material Intellectual Property licensed to such Obligor have been timely paid or the failure to so pay was the result of an intentional decision by the applicable Obligor, which would not reasonably be expected to result in a Material Adverse Change. All documents and instruments necessary to register or apply for or renew registration of all Patents, Trademarks and Copyrights within the Material Intellectual Property owned by an Obligor and, to each Obligor’s knowledge, the Material Intellectual Property licensed to such Obligor have been validly executed, delivered and filed in a timely manner with the United States Patent and Trademark Office or the United States Copyright Office, as applicable.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To each Obligor’s knowledge, (A) there are no material defects in the applicable applications for any of the Patents within the Material Intellectual Property owned by an Obligor and (B) no such Patents within the Material Intellectual Property owned by an Obligor have ever been finally adjudicated to be invalid, unpatentable or unenforceable for any reason in any administrative, arbitration, judicial or other proceeding.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To each Obligor’s knowledge, no Obligor has received any written notice in the past twelve (12) months asserting that the Patents within the Material Intellectual Property owned by an Obligor are invalid, unpatentable or unenforceable and, to each Obligor’s knowledge, no Obligor has engaged in any conduct, or omitted to perform any necessary act, the result of which would invalidate or render unpatentable or unenforceable any such Patent within the Material Intellectual Property.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employee and consultant with access to Material Intellectual Property has signed a written agreement assigning to the applicable Obligor all intellectual property rights that are created or developed by such employee or consultant, as applicable, on behalf of such Obligor with respect to such Obligor’s business as now conducted and as presently proposed to be conducted and confidentiality provisions protecting trade secrets and confidentiality information of the Obligors.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To the knowledge of each Obligor, no third party is infringing upon or misappropriating any Material Intellectual Property, or violating any material </w:t>
      </w:r>
    </w:p>
    <w:p>
      <w:pPr>
        <w:pStyle w:val="TextBody"/>
        <w:bidi w:val="0"/>
        <w:jc w:val="center"/>
        <w:rPr/>
      </w:pPr>
      <w:r>
        <w:rPr>
          <w:color w:val="000000"/>
        </w:rPr>
        <w:noBreakHyphen/>
      </w:r>
      <w:r>
        <w:rPr>
          <w:rFonts w:ascii="Times New Roman" w:hAnsi="Times New Roman"/>
          <w:color w:val="000000"/>
          <w:sz w:val="24"/>
        </w:rPr>
        <w:t>61</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license or agreement with such Obligor relating to any Material Intellectual Property.</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7.06. No Actions or Proceedings</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Litigation.</w:t>
      </w:r>
      <w:r>
        <w:rPr>
          <w:color w:val="000000"/>
        </w:rPr>
        <w:t xml:space="preserve"> </w:t>
      </w:r>
      <w:r>
        <w:rPr>
          <w:rFonts w:ascii="Times New Roman" w:hAnsi="Times New Roman"/>
          <w:color w:val="000000"/>
          <w:sz w:val="24"/>
        </w:rPr>
        <w:t>There is no litigation, investigation or enforcement proceeding pending or threatened in writing with respect to any Obligor by or before any Governmental Authority or arbitrator (i) that either individually or in the aggregate would reasonably be expected to have a Material Adverse Effect or (ii) that involves this Agreement or the Transactions.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Environmental Matters.</w:t>
      </w:r>
      <w:r>
        <w:rPr>
          <w:color w:val="000000"/>
        </w:rPr>
        <w:t xml:space="preserve"> </w:t>
      </w:r>
      <w:r>
        <w:rPr>
          <w:rFonts w:ascii="Times New Roman" w:hAnsi="Times New Roman"/>
          <w:color w:val="000000"/>
          <w:sz w:val="24"/>
        </w:rPr>
        <w:t>The operations and the real Property of the Obligors comply with all applicable Environmental Laws, except to the extent the failure to so comply, either individually or in the aggregate, would not reasonably be expected to have a Material Adverse Effect. To each Obligor’s knowledge, there have been no conditions, occurrences or release of Hazardous Materials which would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olor w:val="000000"/>
          <w:sz w:val="24"/>
        </w:rPr>
        <w:t>Labor Matters.</w:t>
      </w:r>
      <w:r>
        <w:rPr>
          <w:color w:val="000000"/>
        </w:rPr>
        <w:t xml:space="preserve"> </w:t>
      </w:r>
      <w:r>
        <w:rPr>
          <w:rFonts w:ascii="Times New Roman" w:hAnsi="Times New Roman"/>
          <w:color w:val="000000"/>
          <w:sz w:val="24"/>
        </w:rPr>
        <w:t>No Obligor has engaged in unfair labor practices and there are no pending or, to any Obligor’s knowledge, threatened in writing labor actions, disputes, grievance or arbitration proceedings involving the employees of any Obligor, in each case that would reasonably be expected to have a Material Adverse Effect. There is no material strike or work stoppage in existence or threatened in writing against any Obligor and to the knowledge of such Obligor, no union organization activity is taking place.</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7.07. Compliance with Laws and Agreements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Obligor is in compliance with all Requirements of Law (including Healthcare Laws and Environmental Laws) and all Contracts binding upon it or its Property, except (other than with respect to Material Intellectual Property) where the failure to do so, individually or in the aggregate, would not reasonably be expected to result in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Without limiting the generality of the foregoing, except as, individually or in the aggregate, would not reasonably be expected to result in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pPr>
      <w:r>
        <w:rPr>
          <w:rFonts w:ascii="Times New Roman" w:hAnsi="Times New Roman"/>
          <w:color w:val="000000"/>
          <w:sz w:val="24"/>
        </w:rPr>
        <w:t xml:space="preserve">Any financial relationships between or among the Borrower, any other Obligor, or any of their respective Subsidiaries, on the one hand, and any Person who is in a position to refer patients or other Federal Health Care Program to the Borrower, any other Obligor or any Subsidiaries (collectively a </w:t>
      </w:r>
      <w:r>
        <w:rPr>
          <w:color w:val="000000"/>
        </w:rPr>
        <w:t>“</w:t>
      </w:r>
      <w:r>
        <w:rPr>
          <w:rFonts w:ascii="Times New Roman" w:hAnsi="Times New Roman"/>
          <w:i/>
          <w:color w:val="000000"/>
          <w:sz w:val="24"/>
        </w:rPr>
        <w:t>Referral Source”</w:t>
      </w:r>
      <w:r>
        <w:rPr>
          <w:rFonts w:ascii="Times New Roman" w:hAnsi="Times New Roman"/>
          <w:color w:val="000000"/>
          <w:sz w:val="24"/>
        </w:rPr>
        <w:t xml:space="preserve">), on the other hand, (A) comply with all applicable Healthcare Laws, (B) reflect fair market value, have commercially reasonable terms and were negotiated at arm’s length; and (C) do not obligate the Referral Source to purchase, use, recommend or arrange for the use of any products or services of the Borrower, any other Obligor, or any of their respective Subsidiaries in any manner that could </w:t>
      </w:r>
    </w:p>
    <w:p>
      <w:pPr>
        <w:pStyle w:val="TextBody"/>
        <w:bidi w:val="0"/>
        <w:jc w:val="center"/>
        <w:rPr/>
      </w:pPr>
      <w:r>
        <w:rPr>
          <w:color w:val="000000"/>
        </w:rPr>
        <w:noBreakHyphen/>
      </w:r>
      <w:r>
        <w:rPr>
          <w:rFonts w:ascii="Times New Roman" w:hAnsi="Times New Roman"/>
          <w:color w:val="000000"/>
          <w:sz w:val="24"/>
        </w:rPr>
        <w:t>62</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reasonably be expected to constitute a violation of a state, federal or foreign health care fraud and abuse law. No Obligor, nor any of its respective Subsidiaries, directly or indirectly, has guaranteed a loan, made a payment toward a loan or otherwise subsidized a loan for any Referral Source including, without limitation, any loans related to financing the Referral Source’s ownership, investment or financial interest in any Obligor or any such Subsidiary in any manner that could reasonably be expected to constitute a violation of a state, federal or foreign health care fraud and abuse law.</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Except as disclosed on Schedule 7.19(b) or 7.19(e), all Products have been developed, tested, manufactured, distributed, marketed and sold in compliance with all applicable FDA Laws, including, without limitation, all requirements relating to pre</w:t>
        <w:noBreakHyphen/>
        <w:t>market notification, good manufacturing practices/quality system regulations (21 CFR Part 820), labeling, advertising, record</w:t>
        <w:noBreakHyphen/>
        <w:t>keeping, and adverse event reporting.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Borrower, each other Obligor, and each of their respective Subsidiaries are in compliance with the Physician Payments Sunshine Act (Section 6002 of the Affordable Care Act of 2010) and its implementing regulations and any applicable state disclosure and transparency laws.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To the extent any Obligor and any Subsidiary participates in or receives reimbursement from any Federal Health Care Program or other third-party payor program, each such Obligor and each such Subsidiary shall have the requisite provider number or authorization necessary to bill any third-party payor program in which it participates and there are no audits, inquiries, adjustments, appeals or recoupment efforts by any third-party payor program of or against any Obligor or Subsidiary with respect to any prior Claims, reports or billings.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80" w:after="283"/>
        <w:jc w:val="both"/>
        <w:rPr/>
      </w:pPr>
      <w:r>
        <w:rPr>
          <w:rFonts w:ascii="Times New Roman" w:hAnsi="Times New Roman"/>
          <w:color w:val="000000"/>
          <w:sz w:val="24"/>
        </w:rPr>
        <w:t xml:space="preserve">Each Obligor will maintain and adhere to a commercially reasonable compliance program designed to promote compliance with and to detect, prevent and address violations of all material Healthcare Laws (a </w:t>
      </w:r>
      <w:r>
        <w:rPr>
          <w:color w:val="000000"/>
        </w:rPr>
        <w:t>“</w:t>
      </w:r>
      <w:r>
        <w:rPr>
          <w:rFonts w:ascii="Times New Roman" w:hAnsi="Times New Roman"/>
          <w:i/>
          <w:color w:val="000000"/>
          <w:sz w:val="24"/>
        </w:rPr>
        <w:t>Health Care Compliance Program”</w:t>
      </w:r>
      <w:r>
        <w:rPr>
          <w:rFonts w:ascii="Times New Roman" w:hAnsi="Times New Roman"/>
          <w:color w:val="000000"/>
          <w:sz w:val="24"/>
        </w:rPr>
        <w:t>). No Obligor or Subsidiary thereof is aware of any complaints from any employees, independent contractors, vendors, physicians, customers, patients or other persons that would reasonably be considered to indicate a violation of Healthcare Laws.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7.08. Taxes.</w:t>
      </w:r>
      <w:r>
        <w:rPr>
          <w:rFonts w:ascii="Times New Roman" w:hAnsi="Times New Roman"/>
          <w:color w:val="000000"/>
          <w:sz w:val="20"/>
        </w:rPr>
        <w:t xml:space="preserve"> </w:t>
      </w:r>
      <w:r>
        <w:rPr>
          <w:rFonts w:ascii="Times New Roman" w:hAnsi="Times New Roman"/>
          <w:color w:val="000000"/>
          <w:sz w:val="24"/>
        </w:rPr>
        <w:t>Each Obligor has timely filed or caused to be filed all federal income and other material Tax returns and reports required to have been filed and has paid or caused to be paid all federal income and other material Taxes required to have been paid by it, except Taxes that are being contested in good faith by appropriate proceedings and for which such Obligor has set aside on its books adequate reserves with respect thereto substantially in accordance with GAAP.</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7.09. Full Disclosure. </w:t>
      </w:r>
      <w:r>
        <w:rPr>
          <w:rFonts w:ascii="Times New Roman" w:hAnsi="Times New Roman"/>
          <w:color w:val="000000"/>
          <w:sz w:val="24"/>
        </w:rPr>
        <w:t>The Borrower has disclosed to the Lenders all Material Agreements to which any Obligor is party, and all other matters to its knowledge, that, individually</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63</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or in the aggregate, would reasonably be expected to result in a Material Adverse Effect. None of the reports, financial statements, certificates or other written information furnished by or on behalf of the Obligors to the Lenders in connection with the negotiation of this Agreement and the other Loan Documents or delivered hereunder or thereunder (as modified or supplemented by other information so furnished), taken as whole, contains any material misstatement of material fact or omits to state any material fact necessary to make the statements therein, in the light of the circumstances under which they were made, not misleading;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with respect to the Projections, the Borrower represents only that such information was prepared in good faith based upon assumptions believed to be reasonable at the time.</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7.10. Regulation</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Investment Company Act.</w:t>
      </w:r>
      <w:r>
        <w:rPr>
          <w:color w:val="000000"/>
        </w:rPr>
        <w:t xml:space="preserve"> </w:t>
      </w:r>
      <w:r>
        <w:rPr>
          <w:rFonts w:ascii="Times New Roman" w:hAnsi="Times New Roman"/>
          <w:color w:val="000000"/>
          <w:sz w:val="24"/>
        </w:rPr>
        <w:t>No Obligor is an “investment company” as defined in, or subject to regulation under, the Investment Company Act of 1940.</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Margin Stock.</w:t>
      </w:r>
      <w:r>
        <w:rPr>
          <w:color w:val="000000"/>
        </w:rPr>
        <w:t xml:space="preserve"> </w:t>
      </w:r>
      <w:r>
        <w:rPr>
          <w:rFonts w:ascii="Times New Roman" w:hAnsi="Times New Roman"/>
          <w:color w:val="000000"/>
          <w:sz w:val="24"/>
        </w:rPr>
        <w:t>No Obligor is engaged principally, or as one of its important activities, in the business of extending credit for the purpose, whether immediate, incidental or ultimate, of buying or carrying Margin Stock and no part of the proceeds of the Term Loans will be used to buy or carry any Margin Stock in violation of Regulation T, U or X.</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7.11. Solvency.</w:t>
      </w:r>
      <w:r>
        <w:rPr>
          <w:rFonts w:ascii="Times New Roman" w:hAnsi="Times New Roman"/>
          <w:color w:val="000000"/>
          <w:sz w:val="20"/>
        </w:rPr>
        <w:t xml:space="preserve"> </w:t>
      </w:r>
      <w:r>
        <w:rPr>
          <w:rFonts w:ascii="Times New Roman" w:hAnsi="Times New Roman"/>
          <w:color w:val="000000"/>
          <w:sz w:val="24"/>
        </w:rPr>
        <w:t>The Obligors, on a consolidated basis, are, and, immediately after giving effect to the Borrowings, the use of proceeds thereof, and the consummation of the Transactions, will be, Solvent.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7.12. Subsidiaries.</w:t>
      </w:r>
      <w:r>
        <w:rPr>
          <w:rFonts w:ascii="Times New Roman" w:hAnsi="Times New Roman"/>
          <w:color w:val="000000"/>
          <w:sz w:val="20"/>
        </w:rPr>
        <w:t xml:space="preserve"> </w:t>
      </w:r>
      <w:r>
        <w:rPr>
          <w:rFonts w:ascii="Times New Roman" w:hAnsi="Times New Roman"/>
          <w:color w:val="000000"/>
          <w:sz w:val="24"/>
        </w:rPr>
        <w:t>Except as set forth on Schedule 7.12 (as such Schedule may be updated by Borrower from time to time), Borrower has no direct or indirect Subsidiaries. For the avoidance of doubt, the Borrower does not have any direct or indirect Subsidiaries as of the Closing Date and the Funding Date.</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7.13. Indebtedness and Liens.</w:t>
      </w:r>
      <w:r>
        <w:rPr>
          <w:rFonts w:ascii="Times New Roman" w:hAnsi="Times New Roman"/>
          <w:color w:val="000000"/>
          <w:sz w:val="20"/>
        </w:rPr>
        <w:t xml:space="preserve"> </w:t>
      </w:r>
      <w:r>
        <w:rPr>
          <w:rFonts w:ascii="Times New Roman" w:hAnsi="Times New Roman"/>
          <w:color w:val="000000"/>
          <w:sz w:val="24"/>
        </w:rPr>
        <w:t>Set forth on Schedule 7.13A is a complete and correct list of all Indebtedness of each Obligor that exceeds $50,000 as of the Closing Date (other than Permitted Indebtedness and Indebtedness evidenced by the Existing Credit Agreements). Set forth on Schedule 7.13B is a complete and correct list of all Liens described in Section 9.02(b) granted by an Obligor with respect to its respective Property and outstanding as of the Closing Date (other than liens incurred in connection with the Existing Credit Agreements).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7.14. Material Agreements.</w:t>
      </w:r>
      <w:r>
        <w:rPr>
          <w:rFonts w:ascii="Times New Roman" w:hAnsi="Times New Roman"/>
          <w:color w:val="000000"/>
          <w:sz w:val="20"/>
        </w:rPr>
        <w:t xml:space="preserve"> </w:t>
      </w:r>
      <w:r>
        <w:rPr>
          <w:rFonts w:ascii="Times New Roman" w:hAnsi="Times New Roman"/>
          <w:color w:val="000000"/>
          <w:sz w:val="24"/>
        </w:rPr>
        <w:t>Set forth on Schedule 7.14 (as such Schedule may be updated by the Borrower from time to time) is a complete and correct list of (a) each Material Agreement and (b) each Contract creating or evidencing any Material Indebtedness. Accurate and complete copies of each such Contract listed on such schedule have been made available to the Administrative Agent. No Obligor is in default in any respect under any such Material Agreement or such Contract, in each case, other than bona fide disputes and defaults which would not, individually or in the aggregate, be reasonably expected to have a Material Adverse Effect creating or evidencing any Material Indebtedness listed on such schedule, and no Obligor has knowledge of any default in any material respect by any counterparty to such Material Agreement or such Contract. Except as otherwise disclosed on Schedule 7.14 (as such Schedule may be updated by</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64</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Borrower from time to time), all material vendor purchase agreements and provider Contracts of the Obligors, and all Material Agreements including a grant of rights under any Intellectual Property to an Obligor, are in full force and effect without material modification from the form in which the same were disclosed to the Lenders.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7.15. Restrictive Agreements.</w:t>
      </w:r>
      <w:r>
        <w:rPr>
          <w:rFonts w:ascii="Times New Roman" w:hAnsi="Times New Roman"/>
          <w:color w:val="000000"/>
          <w:sz w:val="20"/>
        </w:rPr>
        <w:t xml:space="preserve"> </w:t>
      </w:r>
      <w:r>
        <w:rPr>
          <w:rFonts w:ascii="Times New Roman" w:hAnsi="Times New Roman"/>
          <w:color w:val="000000"/>
          <w:sz w:val="24"/>
        </w:rPr>
        <w:t>None of the Obligors is party to any Restrictive Agreement, except (a) those listed on Schedule 7.15 or otherwise permitted under Section 9.11, (b) restrictions and conditions imposed by Law or by the Loan Documents, (c) any stockholder agreement, investor rights agreement, charter, bylaws or other Organizational Documents of an Obligor, and (d) limitations associated with Permitted Liens.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7.16. Real Property.</w:t>
      </w:r>
      <w:r>
        <w:rPr>
          <w:rFonts w:ascii="Times New Roman" w:hAnsi="Times New Roman"/>
          <w:color w:val="000000"/>
          <w:sz w:val="20"/>
        </w:rPr>
        <w:t xml:space="preserve"> </w:t>
      </w:r>
      <w:r>
        <w:rPr>
          <w:rFonts w:ascii="Times New Roman" w:hAnsi="Times New Roman"/>
          <w:color w:val="000000"/>
          <w:sz w:val="24"/>
        </w:rPr>
        <w:t>No Obligor or any of its Subsidiaries owns or leases (as tenant thereof) any real Property on the date hereof, except as described on Schedule 7.16.</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7.17. Pension and Other Benefit Plans</w:t>
      </w:r>
      <w:r>
        <w:rPr>
          <w:rFonts w:ascii="Times New Roman" w:hAnsi="Times New Roman"/>
          <w:color w:val="000000"/>
          <w:sz w:val="24"/>
        </w:rPr>
        <w:t>. Schedule 7.17 sets forth, as of the date hereof, a complete and correct list of, and that separately identifies, (a) all Title IV Plans, and (b) all Multiemployer Plans. Except as would not, in the aggregate, have a Material Adverse Effect, (i) each Benefit Plan is in compliance with applicable provisions of ERISA, the Code and other Requirements of Law, (ii) there are no existing or pending (or to the knowledge of any Obligor or Subsidiary thereof, threatened) Claims (other than routine Claims for benefits in the normal course), sanctions, actions, lawsuits or other proceedings or investigations involving any Benefit Plan, and (iii) no ERISA Event has occurred or is reasonably expected to occur.</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7.18. Collateral; Security Interest.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Security Document is effective to create in favor of the Administrative Agent for the benefit of the Lenders a legal, valid and enforceable security interest in the Collateral subject thereto and each such security interest is perfected to the extent required by (and has the priority required by) the applicable Security Document, subject to Permitted Liens. The Security Documents collectively are effective to create in favor of the Administrative Agent for the benefit of the Lenders a legal, valid and enforceable security interest in the Collateral, which upon the filing of financing statements and other similar statements filed in the appropriate offices, such security interests are perfected security interests (subject only to Permitted Liens) to the extent that such perfection may be obtained by such filing.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the case of any location as to which (i) Collateral with a value in excess of $500,000 is located or (ii) an Obligor maintains its chief executive office, the Obligors will use commercially reasonable efforts to provide the Administrative Agent with a Collateral Access Agreement from the applicable landlord, bailee or similar Person within sixty (60) days after the Funding Date or sixty (60) days after the date such Collateral is so located.</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7.19. Regulatory Approvals</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Except as set forth on Schedule 7.19(a), each Obligor and each of its Subsidiaries holds either directly or through licensees and agents, all Regulatory Approvals </w:t>
      </w:r>
    </w:p>
    <w:p>
      <w:pPr>
        <w:pStyle w:val="TextBody"/>
        <w:bidi w:val="0"/>
        <w:jc w:val="center"/>
        <w:rPr/>
      </w:pPr>
      <w:r>
        <w:rPr>
          <w:color w:val="000000"/>
        </w:rPr>
        <w:noBreakHyphen/>
      </w:r>
      <w:r>
        <w:rPr>
          <w:rFonts w:ascii="Times New Roman" w:hAnsi="Times New Roman"/>
          <w:color w:val="000000"/>
          <w:sz w:val="24"/>
        </w:rPr>
        <w:t>65</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and Permits necessary or required for each Obligor and its Subsidiaries to conduct all material Product Development and Commercialization Activities conducted by such Obligor and its respective Subsidiaries with respect to the Products.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Set forth on Schedule 7.19(b) is a complete and accurate list as of the date hereof of all Regulatory Approvals referred to in clause (a) above, if any, setting forth (on a per Product basis) the Obligor that holds such Regulatory Approval and identifying the Product related to such Regulatory Approval. All such Regulatory Approvals are (i) legally and beneficially owned exclusively by the Obligor identified on Schedule 7.19(b), free and clear of all Liens other than Permitted Liens, (ii) validly registered and on file with the applicable Regulatory Authority, in material compliance with all registration, filing and maintenance requirements (including any fee requirements) thereof, and (iii) in good standing, valid and enforceable with the applicable Regulatory Authority. All required and material notices, registrations and listings, supplemental applications or notifications, reports (including annual reports, field alerts, Device reports or other reports of adverse experiences) and all other required and material filings with respect to the Products or any related Product Development and Commercialization Activities by such Obligor have been filed with the FDA and all other applicable Governmental Authorities.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All material regulatory filings required by any Regulatory Authority or in respect of any Regulatory Approval or Product Authorization with respect to any Product or any Product Development and Commercialization Activities by such Obligor have been made, and all such filings are complete and correct in all material respects and have complied in all material respects with all applicable Requirements of Law, (ii) all clinical and pre</w:t>
        <w:noBreakHyphen/>
        <w:t>clinical trials, if any, of investigational Products have been and are being conducted by each Obligor according to all applicable Requirements of Law in all material respects along with appropriate monitoring of clinical investigator trial sites for their compliance, and (iii) each Obligor has disclosed to the Lenders all such material regulatory filings and, to the extent reasonably requested by the Administrative Agent, any written material communications between representatives of each Obligor and any Regulatory Authority.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Obligor and, to each Obligor’s knowledge, each of its agents are in compliance in all material respects with all applicable statutes, rules and regulations (including all Regulatory Approvals and Product Authorizations) of all applicable Governmental Authorities, including the FDA and all other Regulatory Authorities, with respect to each Product and all Product Development and Commercialization Activities by such Obligor related thereto. Each Obligor has and maintains in full force and effect all the necessary and requisite Regulatory Approvals and Product Authorizations for its Products. Each Obligor is in compliance in all material respects with all applicable registration and listing requirements set forth in all applicable FDA Laws or equivalent regulation of each other Governmental Authority having jurisdiction over such Person. Each Obligor adheres in all material respects to all applicable regulations of all Regulatory Authorities with respect to the Products and all Product Development and Commercialization Activities by such Obligor related thereto.</w:t>
      </w:r>
    </w:p>
    <w:p>
      <w:pPr>
        <w:pStyle w:val="TextBody"/>
        <w:bidi w:val="0"/>
        <w:jc w:val="center"/>
        <w:rPr/>
      </w:pPr>
      <w:r>
        <w:rPr>
          <w:color w:val="000000"/>
        </w:rPr>
        <w:noBreakHyphen/>
      </w:r>
      <w:r>
        <w:rPr>
          <w:rFonts w:ascii="Times New Roman" w:hAnsi="Times New Roman"/>
          <w:color w:val="000000"/>
          <w:sz w:val="24"/>
        </w:rPr>
        <w:t>66</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Except as set forth on Schedule 7.19(e), (i) no Obligor has received from any Regulatory Authority any notice of adverse findings with respect to any Product or any Product Development and Commercialization Activities by such Obligor related thereto, including any FDA Form 483 inspectional observations, notices of violations, warning letters, criminal proceeding notices under Section 305 of the FD&amp;C Act, or any other similar communication from any Regulatory Authority, (ii) there have been no seizures conducted or, to each Obligor’s knowledge, threatened by any Regulatory Authority with respect to any Product, and no recalls, market withdrawals, field notifications, notifications of misbranding or adulteration or safety alerts conducted, requested or, to any Obligor’s knowledge, threatened by any Regulatory Authority with respect to any Product, and no recalls, market withdrawals, field notifications, notifications of misbranding or adulteration or safety alerts have been conducted, requested or, to each Obligor’s knowledge, threatened by any Regulatory Authority relating to any Product, and (iii) no Obligor has received any written notification that remains unresolved from the FDA or any other Regulatory Authority indicating any breach or violation of any applicable Product Authorization or Regulatory Approval, including that any Product is misbranded or adulterated as defined in the FD&amp;C Act or the rules and regulations promulgated thereunder, in each case of (i), (ii) and (iii) that has had, or would reasonably be expected to have, a Material Adverse Effect.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Neither any Obligor nor, to any Obligor’s knowledge, any officer, employee or agent thereof, has made an untrue statement of a material fact or fraudulent statements to the FDA or any other Regulatory Authority, failed to disclose a material fact required to be disclosed to the FDA or any other Regulatory Authority, or committed an act, made a statement, or failed to make a statement that, at the time such disclosure was made (or was not made), would reasonably be expected to provide a basis for the FDA or any other Regulatory Authority to invoke its policy respecting Fraud, Untrue Statements of Material Facts, Bribery and Illegal Gratuities, set forth in 56 Fed. Reg. 46191 (September 10, 1991) or any similar policy.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 Obligor has received any written notice that the FDA or any other applicable Regulatory Authority has commenced or initiated, or, to the knowledge of any such Obligor, threatened to commence or initiate, any action to withdraw any Regulatory Approval or Product Authorization or requested the recall of any Products or commenced or initiated or, to the knowledge of such Obligor, threatened to commence or initiate, any action to enjoin any Product Development and Commercialization Activities of such Obligor.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The clinical, preclinical, safety and other studies and tests conducted by or on behalf of or sponsored by each Obligor, or in respect of which any Products or Product candidates under development have participated, were (and if still pending, are) being conducted materially in accordance with standard medical and scientific research procedures and all applicable Product Authorizations. Each Obligor has operated within, and currently is in compliance in all material respects with, all applicable Laws, Product Authorizations and Regulatory Approvals, as well as the rules and regulations of the FDA and each other Regulatory Authority. No Obligor has received any notices or other </w:t>
      </w:r>
    </w:p>
    <w:p>
      <w:pPr>
        <w:pStyle w:val="TextBody"/>
        <w:bidi w:val="0"/>
        <w:jc w:val="center"/>
        <w:rPr/>
      </w:pPr>
      <w:r>
        <w:rPr>
          <w:color w:val="000000"/>
        </w:rPr>
        <w:noBreakHyphen/>
      </w:r>
      <w:r>
        <w:rPr>
          <w:rFonts w:ascii="Times New Roman" w:hAnsi="Times New Roman"/>
          <w:color w:val="000000"/>
          <w:sz w:val="24"/>
        </w:rPr>
        <w:t>67</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correspondence from the FDA or any other Regulatory Authority requiring the termination or suspension of any clinical, preclinical, safety or other studies or tests used to support regulatory clearance of, or any Product Authorization or Regulatory Approval for, any Product.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 material debarment or exclusionary Claims, actions, proceedings or investigations in respect of any Obligor’s business is pending, or to such Obligor’s knowledge, threatened in writing against such Obligor or its officers, employees or agents. No Obligor or, to such Obligor’s knowledge, any officer, employee or agent of such Obligor, has been convicted of any crime or engaged in any conduct that would reasonably be expected to result in a debarment or exclusion pursuant to (i) Section 335a of the FD&amp;C Act or (ii) any similar applicable Law.</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7.20. Capitalization.</w:t>
      </w:r>
      <w:r>
        <w:rPr>
          <w:rFonts w:ascii="Times New Roman" w:hAnsi="Times New Roman"/>
          <w:color w:val="000000"/>
          <w:sz w:val="20"/>
        </w:rPr>
        <w:t xml:space="preserve"> </w:t>
      </w:r>
      <w:r>
        <w:rPr>
          <w:rFonts w:ascii="Times New Roman" w:hAnsi="Times New Roman"/>
          <w:color w:val="000000"/>
          <w:sz w:val="24"/>
        </w:rPr>
        <w:t>All of the issued and outstanding securities of each Obligor have been duly authorized, are validly issued, fully paid, and non</w:t>
        <w:noBreakHyphen/>
        <w:t>assessable. As of the Funding Date and except as set forth on Schedule 7.20, there are no outstanding or authorized options, warrants (other than the Warrant Certificate (Funding Date)), purchase rights, subscription rights, conversion rights, exchange rights, or other Contracts or commitments that would require the Obligors to issue, sell, or otherwise cause to become outstanding any of their ownership interests. There are no outstanding or authorized stock appreciation, phantom stock, profit participation, or similar rights with respect to the Obligors. None of the Equity Interests in any Obligor has been mortgaged, assigned or pledged in favor of any Person, other than pursuant to the Security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7.21. Insurance.</w:t>
      </w:r>
      <w:r>
        <w:rPr>
          <w:rFonts w:ascii="Times New Roman" w:hAnsi="Times New Roman"/>
          <w:color w:val="000000"/>
          <w:sz w:val="20"/>
        </w:rPr>
        <w:t xml:space="preserve"> </w:t>
      </w:r>
      <w:r>
        <w:rPr>
          <w:rFonts w:ascii="Times New Roman" w:hAnsi="Times New Roman"/>
          <w:color w:val="000000"/>
          <w:sz w:val="24"/>
        </w:rPr>
        <w:t>Each Obligor has obtained (and is maintaining), insurance for its assets (including the Collateral) and business as required under the Loan Documents.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7.22. Certain Fees.</w:t>
      </w:r>
      <w:r>
        <w:rPr>
          <w:rFonts w:ascii="Times New Roman" w:hAnsi="Times New Roman"/>
          <w:color w:val="000000"/>
          <w:sz w:val="20"/>
        </w:rPr>
        <w:t xml:space="preserve"> </w:t>
      </w:r>
      <w:r>
        <w:rPr>
          <w:rFonts w:ascii="Times New Roman" w:hAnsi="Times New Roman"/>
          <w:color w:val="000000"/>
          <w:sz w:val="24"/>
        </w:rPr>
        <w:t>Except as described on Schedule 7.22, no broker’s or finder’s fee will be payable in connection with the execution and delivery of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7.23. Economic Sanctions Laws.</w:t>
      </w:r>
      <w:r>
        <w:rPr>
          <w:rFonts w:ascii="Times New Roman" w:hAnsi="Times New Roman"/>
          <w:color w:val="000000"/>
          <w:sz w:val="20"/>
        </w:rPr>
        <w:t xml:space="preserve"> </w:t>
      </w:r>
      <w:r>
        <w:rPr>
          <w:rFonts w:ascii="Times New Roman" w:hAnsi="Times New Roman"/>
          <w:color w:val="000000"/>
          <w:sz w:val="24"/>
        </w:rPr>
        <w:t>Obligors and, to the knowledge of the Obligors, any director, officer or employee of an Obligor acting on behalf of the Obligors, are in compliance with Economic Sanctions Laws.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7.24. Anti</w:t>
        <w:noBreakHyphen/>
        <w:t>Corruption Laws.</w:t>
      </w:r>
      <w:r>
        <w:rPr>
          <w:rFonts w:ascii="Times New Roman" w:hAnsi="Times New Roman"/>
          <w:color w:val="000000"/>
          <w:sz w:val="20"/>
        </w:rPr>
        <w:t xml:space="preserve"> </w:t>
      </w:r>
      <w:r>
        <w:rPr>
          <w:rFonts w:ascii="Times New Roman" w:hAnsi="Times New Roman"/>
          <w:color w:val="000000"/>
          <w:sz w:val="24"/>
        </w:rPr>
        <w:t>No Obligor nor any of its Subsidiaries has, nor, to the knowledge of any Responsible Officer of any Obligor, has any director, officer, agent or employee of any Obligor acting on behalf of such Obligor (a) taken any action, directly or indirectly, that would result in a violation by such Persons of the Anti</w:t>
        <w:noBreakHyphen/>
        <w:t>Corruption Laws, (b) made, offered to make, promised to make or authorized the payment or giving of, directly or indirectly, any Prohibited Payment or (c) been subject to any investigation by any Governmental Authority with regard to any actual or alleged Prohibited Payment.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7.25. Anti</w:t>
        <w:noBreakHyphen/>
        <w:t>Terrorism Laws.</w:t>
      </w:r>
      <w:r>
        <w:rPr>
          <w:rFonts w:ascii="Times New Roman" w:hAnsi="Times New Roman"/>
          <w:color w:val="000000"/>
          <w:sz w:val="20"/>
        </w:rPr>
        <w:t xml:space="preserve"> </w:t>
      </w:r>
      <w:r>
        <w:rPr>
          <w:rFonts w:ascii="Times New Roman" w:hAnsi="Times New Roman"/>
          <w:color w:val="000000"/>
          <w:sz w:val="24"/>
        </w:rPr>
        <w:t>The Obligors (a) have taken reasonable measures to ensure compliance with applicable Economic Sanctions Laws and Anti</w:t>
        <w:noBreakHyphen/>
        <w:t>Terrorism Laws, (b) are not Designated Persons and (c) have not used any part of the proceeds from any advance on behalf of any Designated Person or has not used, directly by it or indirectly through any Subsidiary, such</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68</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proceeds in connection with any investment in, or any transactions or dealings with, any Designated Person.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7.26. Royalty and Other Payments</w:t>
      </w:r>
      <w:r>
        <w:rPr>
          <w:rFonts w:ascii="Times New Roman" w:hAnsi="Times New Roman"/>
          <w:color w:val="000000"/>
          <w:sz w:val="24"/>
        </w:rPr>
        <w:t>. Except as set forth on Schedule 7.26, no Obligor, nor any of its Subsidiaries, is obligated to pay any royalty, milestone payment, deferred payment or any other contingent payment in respect of any Product, in an amount in excess of $1,500,000 in the aggregate.</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 xml:space="preserve">Article 8 </w:t>
        <w:br/>
        <w:br/>
        <w:t>Affirmative Covenants and Financial Covenants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Obligor covenants and agrees with the Lenders that, commencing with the Funding Date and until the Commitments have expired or been terminated and all Obligations (other than the Warrant Obligations and contingent and unmatured indemnity and expense reimbursement obligations) have been paid in full in cash:</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8.01. Financial Statements and Other Information</w:t>
      </w:r>
      <w:r>
        <w:rPr>
          <w:rFonts w:ascii="Times New Roman" w:hAnsi="Times New Roman"/>
          <w:color w:val="000000"/>
          <w:sz w:val="24"/>
        </w:rPr>
        <w:t>. It will furnish to the Administrative Agent for distribution to the Lenders: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color w:val="000000"/>
          <w:sz w:val="24"/>
        </w:rPr>
        <w:t>(i) as soon as available and in any event within five (5) Business Days following the date the Borrower is required to file its Form 10-Q with the SEC (commencing with the fiscal quarter ending March 31, 2023) (other than each fiscal quarter ended December 31st), the consolidated balance sheet of the Borrower and its Subsidiaries as at the end of such fiscal quarter and the related consolidated statement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a certificate of a Responsible Officer of the Borrower stating that such financial statements fairly present in all material respects the financial condition of the Borrower and its Subsidiaries as at such date and the results of operations of the Borrower and its Subsidiaries for the period ended on such date and have been prepared substantially in accordance with GAAP consistently applied, subject to changes resulting from normal quarterly or year</w:t>
        <w:noBreakHyphen/>
        <w:t>end adjustments and except for the absence of footnotes and (B) a management’s discussion and analysis of the financial condition and results of operations, including the Borrower and its Subsidiaries’ liquidity and capital resources;</w:t>
      </w:r>
      <w:r>
        <w:rPr>
          <w:color w:val="000000"/>
        </w:rPr>
        <w:t xml:space="preserve"> </w:t>
      </w:r>
      <w:r>
        <w:rPr>
          <w:rFonts w:ascii="Times New Roman" w:hAnsi="Times New Roman"/>
          <w:i/>
          <w:color w:val="000000"/>
          <w:sz w:val="24"/>
        </w:rPr>
        <w:t xml:space="preserve">provided </w:t>
      </w:r>
      <w:r>
        <w:rPr>
          <w:rFonts w:ascii="Times New Roman" w:hAnsi="Times New Roman"/>
          <w:color w:val="000000"/>
          <w:sz w:val="24"/>
        </w:rPr>
        <w:t>that documents required to be furnished pursuant to this Section 8.01(a)(i) shall be deemed furnished on the date that such documents are publicly available on “EDGAR” so long as such filings include quarterly income statements, balance sheets and cash flow statements and (ii) as soon as available and in any event within forty-five (45) days after the end of each fiscal quarter ending December 31st, the unaudited consolidated balance sheet of the Borrower and its Subsidiaries as at the end of such fiscal quarter and the related consolidated statement of income, stockholders’ equity and cash flows of the Borrower and its Subsidiaries for such fiscal quarter, setting forth in comparative form the corresponding figures for the fiscal quarter ending December 31</w:t>
      </w:r>
      <w:r>
        <w:rPr>
          <w:rFonts w:ascii="Times New Roman" w:hAnsi="Times New Roman"/>
          <w:color w:val="000000"/>
          <w:sz w:val="16"/>
        </w:rPr>
        <w:t>st</w:t>
      </w:r>
      <w:r>
        <w:rPr>
          <w:color w:val="000000"/>
        </w:rPr>
        <w:t xml:space="preserve"> </w:t>
      </w:r>
      <w:r>
        <w:rPr>
          <w:rFonts w:ascii="Times New Roman" w:hAnsi="Times New Roman"/>
          <w:color w:val="000000"/>
          <w:sz w:val="24"/>
        </w:rPr>
        <w:t xml:space="preserve">of the previous fiscal year, all in </w:t>
      </w:r>
    </w:p>
    <w:p>
      <w:pPr>
        <w:pStyle w:val="TextBody"/>
        <w:bidi w:val="0"/>
        <w:jc w:val="center"/>
        <w:rPr/>
      </w:pPr>
      <w:r>
        <w:rPr>
          <w:color w:val="000000"/>
        </w:rPr>
        <w:noBreakHyphen/>
      </w:r>
      <w:r>
        <w:rPr>
          <w:rFonts w:ascii="Times New Roman" w:hAnsi="Times New Roman"/>
          <w:color w:val="000000"/>
          <w:sz w:val="24"/>
        </w:rPr>
        <w:t>69</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rFonts w:ascii="Times New Roman" w:hAnsi="Times New Roman"/>
          <w:color w:val="000000"/>
          <w:sz w:val="24"/>
        </w:rPr>
        <w:t>reasonable detail and prepared substantially in accordance with GAAP consistently applied, subject to changes resulting from normal quarterly or year</w:t>
        <w:noBreakHyphen/>
        <w:t>end adjustments and except for the absence of footnotes;</w:t>
      </w:r>
      <w:r>
        <w:rPr>
          <w:color w:val="00000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color w:val="000000"/>
          <w:sz w:val="24"/>
        </w:rPr>
        <w:t xml:space="preserve">as soon as available and in any event within five (5) Business Days following the date Borrower is required to file its Form 10-K with the SEC (commencing with the fiscal year ending December 31, 2022), the consolidated balance sheet of the Borrower and its Subsidiaries as of the end of such fiscal year, and the related consolidated statement of income, shareholders’ equity and cash flows of the Borrower and its Subsidiaries for such fiscal year, setting forth in each case in comparative form the corresponding figures for the previous fiscal year, prepared substantially in accordance with GAAP consistently applied, all in reasonable detail accompanied by (i) a report and opinion thereon of KPMG LLP or another firm of independent certified public accountants of recognized national standing which report and opinion shall be prepared in accordance with generally accepted auditing standards and, commencing with the fiscal year ending December 31, 2023, shall not be subject to any “going concern” or like qualification or exception audit (other than (A) with respect to, or resulting solely from the upcoming Stated Maturity Date occurring within one year from the time such report is delivered or (B) with respect to the extent the components of such consolidated financial statements relating to a prior fiscal period are separately audited by different independent public accounting firms, the audit report of any such accounting firm may contain a qualification or exception as to scope of such consolidated financial statements as they relate to such components) or any qualification or exception as to the scope of such audit or related to the maturity of the Term Loans and (ii) a management’s discussion and analysis of the financial condition and results of operations, including the Obligors’ liquidity and capital resources; </w:t>
      </w:r>
      <w:r>
        <w:rPr>
          <w:rFonts w:ascii="Times New Roman" w:hAnsi="Times New Roman"/>
          <w:i/>
          <w:color w:val="000000"/>
          <w:sz w:val="24"/>
        </w:rPr>
        <w:t>provided</w:t>
      </w:r>
      <w:r>
        <w:rPr>
          <w:color w:val="000000"/>
        </w:rPr>
        <w:t xml:space="preserve"> </w:t>
      </w:r>
      <w:r>
        <w:rPr>
          <w:rFonts w:ascii="Times New Roman" w:hAnsi="Times New Roman"/>
          <w:color w:val="000000"/>
          <w:sz w:val="24"/>
        </w:rPr>
        <w:t>that, so long as the Borrower is a Publicly Reporting Company, the Borrower’s filing of an annual report with the SEC shall be deemed to satisfy the requirements of this Section 8.01(b) on the date on which such report is first available via the SEC’s EDGAR system or a successor system related thereto;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color w:val="000000"/>
          <w:sz w:val="24"/>
        </w:rPr>
        <w:t xml:space="preserve">concurrently with the notification that the reports described in Section 8.01(a) and 8.01(b) are available, a compliance certificate of a Responsible Officer of the Borrower as of the end of the applicable accounting period (which delivery may, unless a Lender requests executed originals, be by electronic communication including email and shall be deemed to be an original authentic counterpart thereof for all purposes) in the form of Exhibit E (a </w:t>
      </w:r>
      <w:r>
        <w:rPr>
          <w:color w:val="000000"/>
        </w:rPr>
        <w:t>“</w:t>
      </w:r>
      <w:r>
        <w:rPr>
          <w:rFonts w:ascii="Times New Roman" w:hAnsi="Times New Roman"/>
          <w:i/>
          <w:color w:val="000000"/>
          <w:sz w:val="24"/>
        </w:rPr>
        <w:t>Compliance Certificate”</w:t>
      </w:r>
      <w:r>
        <w:rPr>
          <w:rFonts w:ascii="Times New Roman" w:hAnsi="Times New Roman"/>
          <w:color w:val="000000"/>
          <w:sz w:val="24"/>
        </w:rPr>
        <w:t xml:space="preserve">) which, for purposes of clarification, shall (i) confirm the Obligors’ compliance with Section 8.11 and Section 8.15, (ii) state the representations and warranties made by the Obligors in Article 7 are true and correct in all material respects on and as of the date thereof;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to the extent that such representations and warranties specifically refer to an earlier date, they shall be true and correct in all material respects as of such earlier date; </w:t>
      </w:r>
      <w:r>
        <w:rPr>
          <w:rFonts w:ascii="Times New Roman" w:hAnsi="Times New Roman"/>
          <w:i/>
          <w:color w:val="000000"/>
          <w:sz w:val="24"/>
        </w:rPr>
        <w:t>provided, further</w:t>
      </w:r>
      <w:r>
        <w:rPr>
          <w:color w:val="000000"/>
        </w:rPr>
        <w:t xml:space="preserve"> </w:t>
      </w:r>
      <w:r>
        <w:rPr>
          <w:rFonts w:ascii="Times New Roman" w:hAnsi="Times New Roman"/>
          <w:color w:val="000000"/>
          <w:sz w:val="24"/>
        </w:rPr>
        <w:t xml:space="preserve">that any representation and warranty that is qualified as to “materiality”, “Material Adverse Effect” or similar language shall be true and correct (after giving effect to any qualification therein) in all respects (and if a representation and warranty is untrue or incorrect, state the proposed actions that the Obligors intend to take in connection with such untrue or incorrect representation and warranty), (iii) confirm that no Default or Event of Default is continuing </w:t>
      </w:r>
    </w:p>
    <w:p>
      <w:pPr>
        <w:pStyle w:val="TextBody"/>
        <w:bidi w:val="0"/>
        <w:jc w:val="center"/>
        <w:rPr/>
      </w:pPr>
      <w:r>
        <w:rPr>
          <w:color w:val="000000"/>
        </w:rPr>
        <w:noBreakHyphen/>
      </w:r>
      <w:r>
        <w:rPr>
          <w:rFonts w:ascii="Times New Roman" w:hAnsi="Times New Roman"/>
          <w:color w:val="000000"/>
          <w:sz w:val="24"/>
        </w:rPr>
        <w:t>70</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rFonts w:ascii="Times New Roman" w:hAnsi="Times New Roman"/>
          <w:color w:val="000000"/>
          <w:sz w:val="24"/>
        </w:rPr>
        <w:t xml:space="preserve">(and if a Default or Event of Default has occurred and is continuing state the proposed actions that the Obligors intend to take in connection with such Default or Event of Default), (iv) for Compliance Certificates delivered at the end of any fiscal year, attach updated Schedules (if any) to this Agreement and (v) provide a copy of any new Material Agreement;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the Borrower’s filing of any such material with the SEC shall be deemed to satisfy the requirements of this Section 8.01(c)(v) on the date on which such report is first available via the SEC’s EDGAR system or a successor system related thereto; </w:t>
      </w:r>
      <w:r>
        <w:rPr>
          <w:rFonts w:ascii="Times New Roman" w:hAnsi="Times New Roman"/>
          <w:i/>
          <w:color w:val="000000"/>
          <w:sz w:val="24"/>
        </w:rPr>
        <w:t>provided further</w:t>
      </w:r>
      <w:r>
        <w:rPr>
          <w:rFonts w:ascii="Times New Roman" w:hAnsi="Times New Roman"/>
          <w:color w:val="000000"/>
          <w:sz w:val="24"/>
        </w:rPr>
        <w:t>, notwithstanding the foregoing, Compliance Certificates delivered in connection with Section 8.01(a)(ii) shall only be required to confirm the Obligor’s compliance with Section 8.11 and Section 8.15;</w:t>
      </w:r>
      <w:r>
        <w:rPr>
          <w:color w:val="00000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promptly, and in any event within five (5) Business Days after receipt thereof by an Obligor thereof, copies of each notice or other correspondence received from any securities regulator or exchange to the authority of which an Obligor is subject concerning any investigation or possible investigation or other inquiry by such agency regarding financial or other operational results of such Obligor;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information regarding insurance maintained by Obligors as and when required under Section 8.05;</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promptly following the Lenders’ written request at any time, proof of the Obligors’ compliance with Section 8.15(a), which may include statements showing the current balance of each account of the Obligors holding Unrestricted Cash necessary to establish compliance with Section 8.15(a);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pPr>
      <w:r>
        <w:rPr>
          <w:rFonts w:ascii="Times New Roman" w:hAnsi="Times New Roman"/>
          <w:color w:val="000000"/>
          <w:sz w:val="24"/>
        </w:rPr>
        <w:t xml:space="preserve">within ten (10) days of delivery, copies of all periodic reports distributed by the Borrower to its shareholders generally; </w:t>
      </w:r>
      <w:r>
        <w:rPr>
          <w:rFonts w:ascii="Times New Roman" w:hAnsi="Times New Roman"/>
          <w:i/>
          <w:color w:val="000000"/>
          <w:sz w:val="24"/>
        </w:rPr>
        <w:t>provided</w:t>
      </w:r>
      <w:r>
        <w:rPr>
          <w:color w:val="000000"/>
        </w:rPr>
        <w:t xml:space="preserve"> </w:t>
      </w:r>
      <w:r>
        <w:rPr>
          <w:rFonts w:ascii="Times New Roman" w:hAnsi="Times New Roman"/>
          <w:color w:val="000000"/>
          <w:sz w:val="24"/>
        </w:rPr>
        <w:t>that (i) any such material may be redacted by the Borrower to exclude information relating to the Loan Documents or the Lenders and (ii) the Lenders shall not be entitled to receive statements, reports and notices relating to topics that (A) are subject to attorney</w:t>
        <w:noBreakHyphen/>
        <w:t xml:space="preserve">client privilege or (B) present a conflict of interest for the Lenders; </w:t>
      </w:r>
      <w:r>
        <w:rPr>
          <w:rFonts w:ascii="Times New Roman" w:hAnsi="Times New Roman"/>
          <w:i/>
          <w:color w:val="000000"/>
          <w:sz w:val="24"/>
        </w:rPr>
        <w:t>provided</w:t>
      </w:r>
      <w:r>
        <w:rPr>
          <w:color w:val="000000"/>
        </w:rPr>
        <w:t xml:space="preserve"> </w:t>
      </w:r>
      <w:r>
        <w:rPr>
          <w:rFonts w:ascii="Times New Roman" w:hAnsi="Times New Roman"/>
          <w:color w:val="000000"/>
          <w:sz w:val="24"/>
        </w:rPr>
        <w:t>that, so long as the Borrower is a Publicly Reporting Company, the Borrower’s filing of any such material with the SEC shall be deemed to satisfy the requirements of this Section 8.01(g) on the date on which such report is first available via the SEC’s EDGAR system or a successor system related thereto;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pPr>
      <w:r>
        <w:rPr>
          <w:rFonts w:ascii="Times New Roman" w:hAnsi="Times New Roman"/>
          <w:color w:val="000000"/>
          <w:sz w:val="24"/>
        </w:rPr>
        <w:t>a financial forecast for the Borrower and its Subsidiaries for each fiscal year, including forecasted balance sheets, statements of income and cash flows of the Borrower and its Subsidiaries (the “</w:t>
      </w:r>
      <w:r>
        <w:rPr>
          <w:rFonts w:ascii="Times New Roman" w:hAnsi="Times New Roman"/>
          <w:i/>
          <w:color w:val="000000"/>
          <w:sz w:val="24"/>
        </w:rPr>
        <w:t>Financial Plan</w:t>
      </w:r>
      <w:r>
        <w:rPr>
          <w:color w:val="000000"/>
        </w:rPr>
        <w:t>”</w:t>
      </w:r>
      <w:r>
        <w:rPr>
          <w:rFonts w:ascii="Times New Roman" w:hAnsi="Times New Roman"/>
          <w:color w:val="000000"/>
          <w:sz w:val="24"/>
        </w:rPr>
        <w:t>), all of which shall be prepared on a consolidated basis and delivered not later than February 28 of such fiscal year;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pPr>
      <w:r>
        <w:rPr>
          <w:rFonts w:ascii="Times New Roman" w:hAnsi="Times New Roman"/>
          <w:color w:val="000000"/>
          <w:sz w:val="24"/>
        </w:rPr>
        <w:t>within five (5) Business Days following any Lender’s written request, certification that such Obligor is not a passive foreign investment company (</w:t>
      </w:r>
      <w:r>
        <w:rPr>
          <w:color w:val="000000"/>
        </w:rPr>
        <w:t>“</w:t>
      </w:r>
      <w:r>
        <w:rPr>
          <w:rFonts w:ascii="Times New Roman" w:hAnsi="Times New Roman"/>
          <w:i/>
          <w:color w:val="000000"/>
          <w:sz w:val="24"/>
        </w:rPr>
        <w:t>PFIC”</w:t>
      </w:r>
      <w:r>
        <w:rPr>
          <w:rFonts w:ascii="Times New Roman" w:hAnsi="Times New Roman"/>
          <w:color w:val="000000"/>
          <w:sz w:val="24"/>
        </w:rPr>
        <w:t>) within the meaning of Sections 1291 through 1297 of the Code, or, if such Obligor determines that it is a PFIC, such information as would allow the Lender to make a qualified electing fund election with respect to the Equity Interest of the Obligor; and</w:t>
      </w:r>
    </w:p>
    <w:p>
      <w:pPr>
        <w:pStyle w:val="TextBody"/>
        <w:bidi w:val="0"/>
        <w:jc w:val="center"/>
        <w:rPr/>
      </w:pPr>
      <w:r>
        <w:rPr>
          <w:color w:val="000000"/>
        </w:rPr>
        <w:noBreakHyphen/>
      </w:r>
      <w:r>
        <w:rPr>
          <w:rFonts w:ascii="Times New Roman" w:hAnsi="Times New Roman"/>
          <w:color w:val="000000"/>
          <w:sz w:val="24"/>
        </w:rPr>
        <w:t>71</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so long as the Borrower is a Publicly Reporting Company, the Borrower shall within five (5) Business Days of the Borrower filing, provide access (via posting and/or links on the Borrower’s web site) to all reports on Form 10-K and Form 10-Q filed with the SEC, any Governmental Authority succeeding to any or all of the functions of the SEC or with any national securities exchange; and within five (5) Business Days of filing, provide notice and access (via posting and/or links on the Borrower’s web site) to all reports on Form 8-K filed with the SEC, and copies of (or access to, via posting and/or links on the Borrower’s web site) all other reports, proxy statements and other materials filed by the Borrower with the SEC, any Governmental Authority succeeding to any of the functions of the SEC or with any national securities exchange.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Notwithstanding anything to the contrary herein, neither the Borrower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Loan Party owes confidentiality obligations (to the extent not created in contemplation of such Loan Party’s Obligations under this Section 8.01) to any third party.</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8.02. Notices of Material Events. </w:t>
      </w:r>
      <w:r>
        <w:rPr>
          <w:rFonts w:ascii="Times New Roman" w:hAnsi="Times New Roman"/>
          <w:color w:val="000000"/>
          <w:sz w:val="24"/>
        </w:rPr>
        <w:t>It will furnish to the Administrative Agent for distribution to the Lenders written notice of the following promptly after a Responsible Officer of Borrower and its Subsidiaries first learns of the existence 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promptly after the occurrence of any Default or Event of Default;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three (3) Business Days after the occurrence of any Casualty Event with respect to any Obligor’s Property resulting in a Loss, to the extent not covered by insurance, aggregating $250,000 or more;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prior to the execution of a definitive agreement for any proposed Acquisition by any Obligor that would reasonably be expected to result in environmental liability under Environmental Laws in excess of $250,000, and (ii) in each case, to the extent that any of the following would reasonably be expected to result in liability in excess of $1,000,000: (A) spillage, leakage, discharge, disposal, leaching, migration or release of any Hazardous Material required to be reported to any Governmental Authority under applicable Environmental Laws, and (B) all actions, suits, Claims, notices of violation, hearings, investigations or proceedings pending, or threatened in writing against or affecting any Obligor or any of its Subsidiaries or with respect to the ownership, use, maintenance and operation of their respective businesses, operations or properties, relating to Environmental Laws or Hazardous Material;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within three (3) Business Days of obtaining written notice or knowledge thereof, the assertion of any environmental matter by any Person in writing against, or with respect to the activities of, any Obligor or any of its Subsidiaries and any alleged violation </w:t>
      </w:r>
    </w:p>
    <w:p>
      <w:pPr>
        <w:pStyle w:val="TextBody"/>
        <w:bidi w:val="0"/>
        <w:jc w:val="center"/>
        <w:rPr/>
      </w:pPr>
      <w:r>
        <w:rPr>
          <w:color w:val="000000"/>
        </w:rPr>
        <w:noBreakHyphen/>
      </w:r>
      <w:r>
        <w:rPr>
          <w:rFonts w:ascii="Times New Roman" w:hAnsi="Times New Roman"/>
          <w:color w:val="000000"/>
          <w:sz w:val="24"/>
        </w:rPr>
        <w:t>72</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of or non</w:t>
        <w:noBreakHyphen/>
        <w:t>compliance with any Environmental Laws or any Permits, licenses or authorizations, in each case, which would reasonably be expected to (either individually or in the aggregate)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three (3) Business Days of obtaining notice to an Obligor of the filing or commencement of any action, suit or proceeding by or before any arbitrator or Governmental Authority against or directly affecting any Obligor or any of its Subsidiaries, in each case, that would reasonably be expected to result in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within ten (10) days after receipt by any Obligor from the PBGC of a notice of intent to terminate any Title IV Plan or to have a trustee appointed to administer any Title IV Plan, a copy of such notice and (ii) promptly, and in any event within ten (10) days, after any Responsible Officer of any Obligor knows or has reason to know that a request for a minimum funding waiver under Section 412 of the Code has been filed with respect to any Title IV Plan or Multiemployer Plan, a notice (which may be made by telephone if promptly confirmed in writing) describing such waiver request, together with a copy of any notice filed with the PBGC or the IRS pertaining thereto;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pPr>
      <w:r>
        <w:rPr>
          <w:rFonts w:ascii="Times New Roman" w:hAnsi="Times New Roman"/>
          <w:color w:val="000000"/>
          <w:sz w:val="24"/>
        </w:rPr>
        <w:t xml:space="preserve">within ten (10) Business Days of obtaining written notice or knowledge thereof, (i) the termination of any Material Agreement (other than in the Ordinary Course of Business); (ii) the receipt by any Obligor or any of its Subsidiaries of a written notice under any Material Agreement (and a copy thereof) asserting a default by such Obligor or any of its Subsidiaries where such alleged default would permit such counterparty to terminate such Material Agreement; (iii) the entering into any new Material Agreement by an Obligor (and a copy thereof, solely to the extent such Material Agreement is not made publicly available on “EDGAR”); or (iv) any amendment to a Material Agreement that would be materially adverse to the Lenders (and a copy thereof) (which includes, but is not limited to, any amendments to provisions relating to pricing and term); </w:t>
      </w:r>
      <w:r>
        <w:rPr>
          <w:rFonts w:ascii="Times New Roman" w:hAnsi="Times New Roman"/>
          <w:i/>
          <w:color w:val="000000"/>
          <w:sz w:val="24"/>
        </w:rPr>
        <w:t>provided</w:t>
      </w:r>
      <w:r>
        <w:rPr>
          <w:color w:val="000000"/>
        </w:rPr>
        <w:t xml:space="preserve"> </w:t>
      </w:r>
      <w:r>
        <w:rPr>
          <w:rFonts w:ascii="Times New Roman" w:hAnsi="Times New Roman"/>
          <w:color w:val="000000"/>
          <w:sz w:val="24"/>
        </w:rPr>
        <w:t>that notices required under this subsection (g) may be delivered with the next Compliance Certificate unless any of the foregoing events would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three (3) Business Days of obtaining written notice or knowledge thereof, any product recalls, safety alerts, corrections, withdrawals, marketing suspensions, removals or the like conducted, to be undertaken or issued by any Obligor or any of its Subsidiaries, whether or not at the request, demand or order of any Governmental Authority or otherwise with respect to any Product;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five (5) Business Days of obtaining written notice or knowledge thereof, any infringement or other violation by any Person of any Obligor Intellectual Property that would reasonably be expected to result in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within five (5) Business Days of obtaining written notice or knowledge thereof, a material licensing agreement or arrangement entered into by any Obligor or any of its Subsidiaries in connection with any infringement or alleged infringement of the </w:t>
      </w:r>
    </w:p>
    <w:p>
      <w:pPr>
        <w:pStyle w:val="TextBody"/>
        <w:bidi w:val="0"/>
        <w:jc w:val="center"/>
        <w:rPr/>
      </w:pPr>
      <w:r>
        <w:rPr>
          <w:color w:val="000000"/>
        </w:rPr>
        <w:noBreakHyphen/>
      </w:r>
      <w:r>
        <w:rPr>
          <w:rFonts w:ascii="Times New Roman" w:hAnsi="Times New Roman"/>
          <w:color w:val="000000"/>
          <w:sz w:val="24"/>
        </w:rPr>
        <w:t>73</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Intellectual Property of another Person that would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five (5) Business Days of obtaining written notice or knowledge thereof, any written Claim by any Person that the conduct of any Obligor’s (or any Subsidiary thereof) business, including the development, manufacture, use, sale or other commercialization of any Product, infringes any Intellectual Property of such Person, except to the extent any such Claim would not reasonably be expected to result in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distribution of reports and notices as and when required by the Security Documents;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thirty (30) days of the date thereof, or, if earlier, on the date of delivery of any financial statements pursuant to Section 8.01, notice of any material change in accounting policies or financial reporting practices by the Obligors;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five (5) Business Days of the occurrence thereof, notice of any labor controversy resulting in or threatening to result in any strike, work stoppage, boycott, shutdown or other labor disruption against or involving an Obligor (or any Subsidiary thereof) that would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five (5) Business Days of any other failure to pay or any other development that results in, or would reasonably be expected to result in,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five (5) Business Days of the acceleration of the maturity of any Material Indebtedness owed by any Obligor or of any default by Obligors under any indenture, mortgage, agreement, contract or other instrument to which any of them is a party or by which any of them or any of their properties is bound, if such acceleration or default could, in the reasonable opinion of the Borrower, cause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five (5) Business Days of the failure to pay any Taxes or obligations that are not paid in accordance with Section 8.04;</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concurrently with the delivery of financial statements under Section 8.01, the creation or other acquisition of any Intellectual Property by any Obligor or any Subsidiary after the date hereof and during such prior fiscal year which is registered or becomes registered or the subject of an application for registration with the United States Copyright Office or the United States Patent and Trademark Office, as applicable, or with any other equivalent foreign Governmental Authority;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five (5) Business Days prior to any change to any Obligor’s ownership of Deposit Accounts, Securities Accounts and Commodity Accounts, by delivering to the Lenders an updated Schedule 7 to the Security Agreement setting forth a complete and correct list of all such accounts as of the date of such change.</w:t>
      </w:r>
    </w:p>
    <w:p>
      <w:pPr>
        <w:pStyle w:val="TextBody"/>
        <w:bidi w:val="0"/>
        <w:jc w:val="center"/>
        <w:rPr/>
      </w:pPr>
      <w:r>
        <w:rPr>
          <w:color w:val="000000"/>
        </w:rPr>
        <w:noBreakHyphen/>
      </w:r>
      <w:r>
        <w:rPr>
          <w:rFonts w:ascii="Times New Roman" w:hAnsi="Times New Roman"/>
          <w:color w:val="000000"/>
          <w:sz w:val="24"/>
        </w:rPr>
        <w:t>74</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specified time periods in this Section 8.02 shall begin accruing after a Responsible Officer of an Obligor first learns of the existence of a circumstance requiring notice.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Each notice delivered under this Section 8.02 shall be accompanied by a statement of a Responsible Officer of the Borrower setting forth in reasonable detail the event or development requiring such notice and any action taken or proposed to be taken with respect thereto; </w:t>
      </w:r>
      <w:r>
        <w:rPr>
          <w:rFonts w:ascii="Times New Roman" w:hAnsi="Times New Roman"/>
          <w:i/>
          <w:color w:val="000000"/>
          <w:sz w:val="24"/>
        </w:rPr>
        <w:t xml:space="preserve">provided </w:t>
      </w:r>
      <w:r>
        <w:rPr>
          <w:rFonts w:ascii="Times New Roman" w:hAnsi="Times New Roman"/>
          <w:color w:val="000000"/>
          <w:sz w:val="24"/>
        </w:rPr>
        <w:t>that, so long as the Borrower is a Publicly Reporting Company, the Borrower’s filing of notice of any such event with the SEC shall be deemed to satisfy the requirements of this Section 8.02 on the date on which such report is first available via the SEC’s EDGAR system or a successor system related thereto.</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Notwithstanding any contrary provision of this Agreement or any other Loan Document (including, without limitation, Sections 8.01 and 8.02), so long as the Borrower is a Publicly Reporting Company, in the event that the Administrative Agent provides notice to the Borrower that it no longer desires to receive any information that constitutes material non-public information, the Obligors shall not be required to provide any information pursuant to the terms hereof or thereof unless the Borrower is disclosing such information pursuant to a filing with the SEC; </w:t>
      </w:r>
      <w:r>
        <w:rPr>
          <w:rFonts w:ascii="Times New Roman" w:hAnsi="Times New Roman"/>
          <w:i/>
          <w:color w:val="000000"/>
          <w:sz w:val="24"/>
        </w:rPr>
        <w:t xml:space="preserve">provided </w:t>
      </w:r>
      <w:r>
        <w:rPr>
          <w:rFonts w:ascii="Times New Roman" w:hAnsi="Times New Roman"/>
          <w:color w:val="000000"/>
          <w:sz w:val="24"/>
        </w:rPr>
        <w:t>that notwithstanding the foregoing, the Obligors shall at all times comply with Section 8.01(c) and 8.02(a).</w:t>
      </w:r>
    </w:p>
    <w:p>
      <w:pPr>
        <w:pStyle w:val="TextBody"/>
        <w:bidi w:val="0"/>
        <w:spacing w:before="280" w:after="283"/>
        <w:jc w:val="both"/>
        <w:rPr>
          <w:rFonts w:ascii="Times New Roman" w:hAnsi="Times New Roman"/>
          <w:sz w:val="20"/>
        </w:rPr>
      </w:pPr>
      <w:r>
        <w:rPr>
          <w:rFonts w:ascii="Times New Roman" w:hAnsi="Times New Roman"/>
          <w:color w:val="000000"/>
          <w:sz w:val="24"/>
        </w:rPr>
        <w:t>Notwithstanding anything to the contrary herein, neither the Borrower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Loan Party owes confidentiality obligations (to the extent not created in contemplation of such Loan Party’s Obligations under this Section 8.02) to any third party.</w:t>
      </w:r>
      <w:r>
        <w:rPr>
          <w:rFonts w:ascii="Times New Roman" w:hAnsi="Times New Roman"/>
          <w:color w:val="000000"/>
          <w:sz w:val="20"/>
        </w:rPr>
        <w:t xml:space="preserve"> </w:t>
      </w:r>
    </w:p>
    <w:p>
      <w:pPr>
        <w:pStyle w:val="TextBody"/>
        <w:bidi w:val="0"/>
        <w:spacing w:before="280" w:after="283"/>
        <w:jc w:val="both"/>
        <w:rPr>
          <w:rFonts w:ascii="Times New Roman" w:hAnsi="Times New Roman"/>
          <w:i/>
          <w:color w:val="000000"/>
          <w:sz w:val="24"/>
        </w:rPr>
      </w:pPr>
      <w:r>
        <w:rPr>
          <w:rFonts w:ascii="Times New Roman" w:hAnsi="Times New Roman"/>
          <w:i/>
          <w:color w:val="000000"/>
          <w:sz w:val="24"/>
        </w:rPr>
        <w:t>Section 8.03. Existence; Maintenance of Properties.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color w:val="000000"/>
          <w:sz w:val="24"/>
        </w:rPr>
        <w:t xml:space="preserve">It will, and will cause each of its Subsidiaries to, do or cause to be done all things necessary to preserve, renew and keep in full force and effect its legal existence;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foregoing shall not prohibit any merger, amalgamation, plan of arrangement, consolidation, liquidation or dissolution permitted under Section 9.03.</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Each Obligor shall, and shall cause each of its Subsidiaries to, maintain and preserve all rights, licenses, Permits, privileges and franchises material to the conduct of its business, and maintain and preserve all of its assets and properties, including all Product Assets, necessary to the conduct of its business in good working order and condition, except for ordinary wear and tear and damage from casualty or condemnation and, with respect to Intellectual Property, abandonment, lapse or other disposition of Intellectual Property in the Ordinary Course of Business that is, in the reasonable good faith judgment of such Obligor, immaterial to the business of such Obligor, no longer economically practicable or commercially desirable to maintain or used or useful in the business of such Obligor, or the expiration of such Intellectual Property is in accordance with its statutory </w:t>
      </w:r>
    </w:p>
    <w:p>
      <w:pPr>
        <w:pStyle w:val="TextBody"/>
        <w:bidi w:val="0"/>
        <w:jc w:val="center"/>
        <w:rPr/>
      </w:pPr>
      <w:r>
        <w:rPr>
          <w:color w:val="000000"/>
        </w:rPr>
        <w:noBreakHyphen/>
      </w:r>
      <w:r>
        <w:rPr>
          <w:rFonts w:ascii="Times New Roman" w:hAnsi="Times New Roman"/>
          <w:color w:val="000000"/>
          <w:sz w:val="24"/>
        </w:rPr>
        <w:t>75</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term (provided that such term is not renewable), except to the extent the failure to do so would not reasonably be expected to result in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Obligor shall use commercially reasonable efforts to cause each new employee and each contractor with access to Material Intellectual Property to execute and deliver a customary confidentiality, non-disclosure and Intellectual Property assignment agreement that includes a waiver or moral rights to the extent permitted by Law and such agreements are customary in the applicable jurisdiction.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The Borrower shall maintain sufficient authorized but unissued share capital to satisfy in full, without the need for the passing of any further resolutions of its shareholders, the outstanding rights represented by the Warrant Certificates. </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8.04. Payment of Obligations.</w:t>
      </w:r>
      <w:r>
        <w:rPr>
          <w:rFonts w:ascii="Times New Roman" w:hAnsi="Times New Roman"/>
          <w:color w:val="000000"/>
          <w:sz w:val="20"/>
        </w:rPr>
        <w:t xml:space="preserve"> </w:t>
      </w:r>
      <w:r>
        <w:rPr>
          <w:rFonts w:ascii="Times New Roman" w:hAnsi="Times New Roman"/>
          <w:color w:val="000000"/>
          <w:sz w:val="24"/>
        </w:rPr>
        <w:t>It will, and will cause each of its Subsidiaries to, pay and discharge (a) all federal income and other material Taxes, fees, assessments and governmental charges or levies imposed upon it or upon its properties or assets prior to the date on which penalties attach thereto, and all lawful Claims for labor, materials and supplies which, if unpaid, might become a Lien (other than a Permitted Lien) upon any properties or assets of any Obligor, except to the extent such Taxes, fees, assessments or governmental charges or levies, or such Claims, are being contested in good faith by appropriate proceedings and are adequately reserved against substantially in accordance with GAAP, (b) all lawful Claims which, if unpaid, would by Law become a Lien upon its Property not constituting a Permitted Lien and (c) all other obligations if the failure to discharge such obligation would reasonably be expected to result in a Material Adverse Effect.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8.05. Insurance.</w:t>
      </w:r>
      <w:r>
        <w:rPr>
          <w:rFonts w:ascii="Times New Roman" w:hAnsi="Times New Roman"/>
          <w:color w:val="000000"/>
          <w:sz w:val="20"/>
        </w:rPr>
        <w:t xml:space="preserve"> </w:t>
      </w:r>
      <w:r>
        <w:rPr>
          <w:rFonts w:ascii="Times New Roman" w:hAnsi="Times New Roman"/>
          <w:color w:val="000000"/>
          <w:sz w:val="24"/>
        </w:rPr>
        <w:t>At its own cost and expense, it will, and will cause each of its Subsidiaries, to obtain and maintain, with financially sound and reputable insurers, insurance of the kinds, and in the amounts, as are consistent with customary practices and standards of its industry in the same or similar locations, it being understood and agreed that the insurance held by the Obligors on the Closing Date is deemed to fulfill this requirement on the date hereof. All of the insurance policies required pursuant to this Section 8.05 will name the Administrative Agent as a “lender’s loss payee,” “additional insured” or “mortgagee,” as applicable and as its interests may appear. The Borrower will use its commercially reasonable efforts to ensure, or to cause others to ensure, that all insurance policies required pursuant to this Section 8.05 shall provide that they shall not be terminated or cancelled nor shall any policy be materially changed in a manner adverse to the insured Person without at least thirty (30) days’ written notice (or ten (10) days’ written notice if termination is due to non-payment) to the insured Person and the Administrative Agent. Receipt of notice of termination or cancellation of any such insurance policies shall entitle the Administrative Agent to renew any such policies, all in accordance with the first sentence of this Section 8.05 or otherwise to obtain similar insurance in place of such policies, in each case at the expense of the Borrower (payable within three (3) Business Days of the Borrower’s receipt of written demand therefor) and, unless an Event of Default has occurred and is continuing, with the prior written consent of the Borrower (such consent not to be unreasonably withheld). The amount of any such expenses shall accrue interest at the Default Rate if not paid when due and shall constitute “Obligations.” All of the insurance policies required hereby will be evidenced by one or more certificates of insurance, together with appropriate lender’s loss payee or additional</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76</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insured clauses or endorsements in favor of the Administrative Agent as required by this Section 8.05, delivered to the Administrative Agent on or before the Closing Date (or, with respect to such endorsements, within the time period set forth in Section 8.18) and at such other times as the Administrative Agent may request from time to time.</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8.06. Books and Records; Inspection Rights.</w:t>
      </w:r>
      <w:r>
        <w:rPr>
          <w:rFonts w:ascii="Times New Roman" w:hAnsi="Times New Roman"/>
          <w:color w:val="000000"/>
          <w:sz w:val="20"/>
        </w:rPr>
        <w:t xml:space="preserve"> </w:t>
      </w:r>
      <w:r>
        <w:rPr>
          <w:rFonts w:ascii="Times New Roman" w:hAnsi="Times New Roman"/>
          <w:color w:val="000000"/>
          <w:sz w:val="24"/>
        </w:rPr>
        <w:t>It will, and will cause each of its Subsidiaries to, keep proper books of record and account in which full, true and correct entries are made of all dealings and transactions in relation to its business and activities. It will, and will cause each of its Subsidiaries to, permit any representatives designated by the Administrative Agent, upon reasonable prior notice and at reasonable times, to visit and inspect its properties, to examine and make extracts from its books and records, and to discuss its affairs, finances and condition with its officers and independent accountants, all at such reasonable times during normal business hours and with reasonable advance notice as the Administrative Agent may request. It will, and will cause each of its Subsidiaries to, pay all reasonable and documented out</w:t>
        <w:noBreakHyphen/>
        <w:t>of</w:t>
        <w:noBreakHyphen/>
        <w:t>pocket expenses incurred by the Administrative Agent (a) so long as no Default has occurred and is continuing, for no more than two (2) such inspections each calendar year and (b) during a continuing Default, all such inspections.</w:t>
      </w:r>
    </w:p>
    <w:p>
      <w:pPr>
        <w:pStyle w:val="TextBody"/>
        <w:bidi w:val="0"/>
        <w:spacing w:before="280" w:after="283"/>
        <w:jc w:val="both"/>
        <w:rPr>
          <w:rFonts w:ascii="Times New Roman" w:hAnsi="Times New Roman"/>
          <w:sz w:val="20"/>
        </w:rPr>
      </w:pPr>
      <w:r>
        <w:rPr>
          <w:rFonts w:ascii="Times New Roman" w:hAnsi="Times New Roman"/>
          <w:color w:val="000000"/>
          <w:sz w:val="24"/>
        </w:rPr>
        <w:t>During the course any inspections, audits and other visits and discussions permitted under this Section 8.06 or elsewhere under the Loan Documents, representatives of the Administrative Agent (or any Lender (or their respective representatives or contractors)) may encounter individually identifiable healthcare information as defined under HIPAA, or other confidential information relating to healthcare patients (collectively, the “</w:t>
      </w:r>
      <w:r>
        <w:rPr>
          <w:rFonts w:ascii="Times New Roman" w:hAnsi="Times New Roman"/>
          <w:i/>
          <w:color w:val="000000"/>
          <w:sz w:val="24"/>
        </w:rPr>
        <w:t>Confidential Healthcare Information</w:t>
      </w:r>
      <w:r>
        <w:rPr>
          <w:rFonts w:ascii="Times New Roman" w:hAnsi="Times New Roman"/>
          <w:color w:val="000000"/>
          <w:sz w:val="20"/>
        </w:rPr>
        <w:t>”</w:t>
      </w:r>
      <w:r>
        <w:rPr>
          <w:rFonts w:ascii="Times New Roman" w:hAnsi="Times New Roman"/>
          <w:color w:val="000000"/>
          <w:sz w:val="24"/>
        </w:rPr>
        <w:t>). Unless otherwise required by any applicable laws, the Administrative Agent, the Lenders and their representatives shall not require or perform any act that would cause the Borrower or any other Person to violate any Healthcare Laws, including HIPAA, including, without limitation, as a result of the disclosure of any Confidential Healthcare Information. In the event that the Administrative Agent (or any Lender (or their respective representatives or contractors)) proposes to undertake activities that the Borrower reasonably believes would constitute services of a “business associate” under HIPAA, including the disclosure of any protected Confidential Healthcare Information, the parties hereto agree to review the matter and, where appropriate, the Administrative Agent (or applicable Lender (or such respective representatives or contractors)) may take action to comply with HIPAA, and shall, upon the Borrower’s reasonable request and at the Borrower’s expense, execute a business associate agreement with the applicable Person.</w:t>
      </w:r>
    </w:p>
    <w:p>
      <w:pPr>
        <w:pStyle w:val="TextBody"/>
        <w:bidi w:val="0"/>
        <w:spacing w:before="280" w:after="283"/>
        <w:jc w:val="both"/>
        <w:rPr>
          <w:rFonts w:ascii="Times New Roman" w:hAnsi="Times New Roman"/>
          <w:sz w:val="20"/>
        </w:rPr>
      </w:pPr>
      <w:r>
        <w:rPr>
          <w:rFonts w:ascii="Times New Roman" w:hAnsi="Times New Roman"/>
          <w:color w:val="000000"/>
          <w:sz w:val="24"/>
        </w:rPr>
        <w:t>Notwithstanding anything to the contrary herein, neither the Borrower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Loan Party owes confidentiality obligations (to the extent not created in contemplation of such Loan Party’s Obligations under this Section 8.06) to any third party.</w:t>
      </w:r>
      <w:r>
        <w:rPr>
          <w:rFonts w:ascii="Times New Roman" w:hAnsi="Times New Roman"/>
          <w:color w:val="000000"/>
          <w:sz w:val="20"/>
        </w:rPr>
        <w:t xml:space="preserve"> </w:t>
      </w:r>
    </w:p>
    <w:p>
      <w:pPr>
        <w:pStyle w:val="TextBody"/>
        <w:bidi w:val="0"/>
        <w:spacing w:before="280" w:after="283"/>
        <w:jc w:val="both"/>
        <w:rPr/>
      </w:pPr>
      <w:r>
        <w:rPr/>
        <w:t> </w:t>
      </w:r>
    </w:p>
    <w:p>
      <w:pPr>
        <w:pStyle w:val="TextBody"/>
        <w:bidi w:val="0"/>
        <w:jc w:val="center"/>
        <w:rPr/>
      </w:pPr>
      <w:r>
        <w:rPr>
          <w:color w:val="000000"/>
        </w:rPr>
        <w:noBreakHyphen/>
      </w:r>
      <w:r>
        <w:rPr>
          <w:rFonts w:ascii="Times New Roman" w:hAnsi="Times New Roman"/>
          <w:color w:val="000000"/>
          <w:sz w:val="24"/>
        </w:rPr>
        <w:t>77</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8.07. Compliance with Laws.</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It will, and will cause each of its Subsidiaries to, (i) comply in all material respects with all Requirements of Law (including Healthcare Laws and Environmental Laws) and (ii) comply in all material respects with all terms of outstanding Indebtedness and all Material Agreements, except (other than with respect to Material Intellectual Property) where the failure to do so, individually or in the aggregate, would not reasonably be expected to result in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Obligor will maintain, and will cause each of its Subsidiaries to maintain, all records required to be maintained by a Governmental Authority or otherwise under any applicable Healthcare Law, except where failure to do so, individually or in the aggregate, would not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Obligor will maintain, and will cause each of its Subsidiaries to maintain, in all material respects, a Health Care Compliance Program, which will be reviewed and updated annually, as necessary.</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8.08. Licenses.</w:t>
      </w:r>
      <w:r>
        <w:rPr>
          <w:rFonts w:ascii="Times New Roman" w:hAnsi="Times New Roman"/>
          <w:color w:val="000000"/>
          <w:sz w:val="20"/>
        </w:rPr>
        <w:t xml:space="preserve"> </w:t>
      </w:r>
      <w:r>
        <w:rPr>
          <w:rFonts w:ascii="Times New Roman" w:hAnsi="Times New Roman"/>
          <w:color w:val="000000"/>
          <w:sz w:val="24"/>
        </w:rPr>
        <w:t>It will, and will cause each of its Subsidiaries to, obtain and maintain all licenses, authorizations, consents, filings, exemptions, registrations and other Governmental Approvals necessary in connection with the execution, delivery and performance of the Loan Documents, the consummation of the Transactions or the operation and conduct of its business and ownership of its properties, except where failure to do so would not reasonably be expected to have a Material Adverse Effect.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8.09. Action under Environmental Laws.</w:t>
      </w:r>
      <w:r>
        <w:rPr>
          <w:rFonts w:ascii="Times New Roman" w:hAnsi="Times New Roman"/>
          <w:color w:val="000000"/>
          <w:sz w:val="20"/>
        </w:rPr>
        <w:t xml:space="preserve"> </w:t>
      </w:r>
      <w:r>
        <w:rPr>
          <w:rFonts w:ascii="Times New Roman" w:hAnsi="Times New Roman"/>
          <w:color w:val="000000"/>
          <w:sz w:val="24"/>
        </w:rPr>
        <w:t xml:space="preserve">It will, and will cause each of its Subsidiaries to, upon a Responsible Officer becoming aware of the release of any Hazardous Materials in violation of any applicable Environmental Laws or the existence of any environmental liability under applicable Environmental Laws with respect to their respective businesses, operations or properties, take all actions, at their cost and expense, as shall be required by applicable Law to investigate and clean up the condition of their respective businesses, operations or properties, including all required removal, containment and remedial actions, and restore their respective businesses, operations or properties to a condition, except where failure to do so would not reasonably be expected to have a Material Adverse Effect; </w:t>
      </w:r>
      <w:r>
        <w:rPr>
          <w:rFonts w:ascii="Times New Roman" w:hAnsi="Times New Roman"/>
          <w:i/>
          <w:color w:val="000000"/>
          <w:sz w:val="24"/>
        </w:rPr>
        <w:t>provided, however</w:t>
      </w:r>
      <w:r>
        <w:rPr>
          <w:rFonts w:ascii="Times New Roman" w:hAnsi="Times New Roman"/>
          <w:color w:val="000000"/>
          <w:sz w:val="24"/>
        </w:rPr>
        <w:t>, that neither an Obligor nor any Subsidiary shall be required to undertake any such investigation, clean up, removal, containment, remediation or other corrective action required by Environmental Laws to the extent that its obligation to do so is being contested in good faith and by proper proceedings and appropriate reserves are being maintained with respect to such circumstances in accordance with GAAP.</w:t>
      </w:r>
    </w:p>
    <w:p>
      <w:pPr>
        <w:pStyle w:val="TextBody"/>
        <w:bidi w:val="0"/>
        <w:spacing w:before="280" w:after="283"/>
        <w:jc w:val="both"/>
        <w:rPr>
          <w:rFonts w:ascii="Times New Roman" w:hAnsi="Times New Roman"/>
          <w:sz w:val="20"/>
        </w:rPr>
      </w:pPr>
      <w:r>
        <w:rPr>
          <w:rFonts w:ascii="Times New Roman" w:hAnsi="Times New Roman"/>
          <w:i/>
          <w:color w:val="000000"/>
          <w:sz w:val="24"/>
        </w:rPr>
        <w:t>Section 8.10. Use of Proceeds.</w:t>
      </w:r>
      <w:r>
        <w:rPr>
          <w:rFonts w:ascii="Times New Roman" w:hAnsi="Times New Roman"/>
          <w:color w:val="000000"/>
          <w:sz w:val="20"/>
        </w:rPr>
        <w:t xml:space="preserve"> </w:t>
      </w:r>
      <w:r>
        <w:rPr>
          <w:rFonts w:ascii="Times New Roman" w:hAnsi="Times New Roman"/>
          <w:color w:val="000000"/>
          <w:sz w:val="24"/>
        </w:rPr>
        <w:t>The proceeds of the Term Loans will be used only as provided in Section 2.05. No part of the proceeds of the Term Loans will be used, whether directly or indirectly, for any purpose that violates any of the Regulations of the Board of Governors of the Federal Reserve System, including Regulations T, U and X.</w:t>
      </w:r>
    </w:p>
    <w:p>
      <w:pPr>
        <w:pStyle w:val="TextBody"/>
        <w:bidi w:val="0"/>
        <w:jc w:val="center"/>
        <w:rPr/>
      </w:pPr>
      <w:r>
        <w:rPr>
          <w:color w:val="000000"/>
        </w:rPr>
        <w:noBreakHyphen/>
      </w:r>
      <w:r>
        <w:rPr>
          <w:rFonts w:ascii="Times New Roman" w:hAnsi="Times New Roman"/>
          <w:color w:val="000000"/>
          <w:sz w:val="24"/>
        </w:rPr>
        <w:t>78</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8.11. Certain Obligations Respecting Subsidiaries; Further Assurances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Subsidiaries.</w:t>
      </w:r>
      <w:r>
        <w:rPr>
          <w:color w:val="000000"/>
        </w:rPr>
        <w:t xml:space="preserve"> </w:t>
      </w:r>
      <w:r>
        <w:rPr>
          <w:rFonts w:ascii="Times New Roman" w:hAnsi="Times New Roman"/>
          <w:color w:val="000000"/>
          <w:sz w:val="24"/>
        </w:rPr>
        <w:t>It will take such action, and will cause each of its Subsidiaries to take such action, from time to time as shall be necessary to ensure that all Subsidiaries are “Guarantors” hereunder. Without limiting the generality of the foregoing, in the event that any Obligor shall form or acquire any new Subsidiary, it and its Subsidiaries will promptly and in any event within thirty (30) days (or such longer time as consented to by the Administrative Agent in writing) of the formation or Acquisition of such Subsidiary: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cause such new Subsidiary to become a “Guarantor” hereunder, and a “Grantor” under the Security Documents, pursuant to a Guarantee Assumption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take such action or cause such Subsidiary to take such action (including delivering originals of any certificated Equity Interests of such Subsidiary, together with original, executed, undated transfer powers executed in blank and originals of any intercompany notes with undated endorsements executed in blank) as shall be necessary to create and perfect valid and enforceable first priority (subject to Permitted Liens) Liens on substantially all of the personal Property of such new Subsidiary as collateral security for the obligations of such new Subsidiary hereunder;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to the extent that the parent of such Subsidiary is not a party to the Security Documents or has not otherwise pledged Equity Interests in its Subsidiaries in accordance with the terms of the Security Documents and this Agreement, cause the parent of such Subsidiary to execute and deliver a pledge agreement in favor of the Lenders, in respect of all outstanding issued shares of such Subsidiary;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deliver such proof of corporate action, incumbency of officers, opinions of counsel and other documents as is consistent with those delivered by each Obligor pursuant to Section 6.01 or as the Majority Lenders shall have requested.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Further Assurances.</w:t>
      </w:r>
      <w:r>
        <w:rPr>
          <w:color w:val="000000"/>
        </w:rPr>
        <w:t xml:space="preserve"> </w:t>
      </w:r>
      <w:r>
        <w:rPr>
          <w:rFonts w:ascii="Times New Roman" w:hAnsi="Times New Roman"/>
          <w:color w:val="000000"/>
          <w:sz w:val="24"/>
        </w:rPr>
        <w:t xml:space="preserve">It will, and will cause each of its Subsidiaries to, take such action from time to time as shall reasonably be requested in writing by the Majority Lenders to effectuate the purposes and objectives of this Agreement. Without limiting the generality of the foregoing, it will, and will cause each Person that is required to be a Guarantor to, take such action from time to time (including executing and delivering such assignments, security agreements, control agreements and other instruments) as shall be reasonably requested in writing by the Majority Lenders to create, in favor of the Lenders, perfected security interests and Liens (subject to Permitted Liens) in substantially all of the personal Property of such Obligor as collateral security for the Obligations; </w:t>
      </w:r>
      <w:r>
        <w:rPr>
          <w:rFonts w:ascii="Times New Roman" w:hAnsi="Times New Roman"/>
          <w:i/>
          <w:color w:val="000000"/>
          <w:sz w:val="24"/>
        </w:rPr>
        <w:t>provided</w:t>
      </w:r>
      <w:r>
        <w:rPr>
          <w:color w:val="000000"/>
        </w:rPr>
        <w:t xml:space="preserve"> </w:t>
      </w:r>
      <w:r>
        <w:rPr>
          <w:rFonts w:ascii="Times New Roman" w:hAnsi="Times New Roman"/>
          <w:color w:val="000000"/>
          <w:sz w:val="24"/>
        </w:rPr>
        <w:t>that any such security interest or Lien shall be subject to the relevant requirements of the Security Documents.</w:t>
      </w:r>
    </w:p>
    <w:p>
      <w:pPr>
        <w:pStyle w:val="TextBody"/>
        <w:bidi w:val="0"/>
        <w:jc w:val="center"/>
        <w:rPr/>
      </w:pPr>
      <w:r>
        <w:rPr>
          <w:color w:val="000000"/>
        </w:rPr>
        <w:noBreakHyphen/>
      </w:r>
      <w:r>
        <w:rPr>
          <w:rFonts w:ascii="Times New Roman" w:hAnsi="Times New Roman"/>
          <w:color w:val="000000"/>
          <w:sz w:val="24"/>
        </w:rPr>
        <w:t>79</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olor w:val="000000"/>
          <w:sz w:val="24"/>
        </w:rPr>
        <w:t>Intellectual Property</w:t>
      </w:r>
      <w:r>
        <w:rPr>
          <w:rFonts w:ascii="Times New Roman" w:hAnsi="Times New Roman"/>
          <w:color w:val="000000"/>
          <w:sz w:val="24"/>
        </w:rPr>
        <w:t>. In the event that any Obligor creates, develops or acquires Obligor Intellectual Property during the term of this Agreement, then the provisions of this Agreement shall automatically apply thereto and any such Obligor Intellectual Property shall automatically constitute part of the Collateral under the Security Documents, without further action by any party, in each case from and after the date of such creation, development or acquisition (except that any representations or warranties of any Obligor shall apply to any such Obligor Intellectual Property only from and after the date, if any, subsequent to such acquisition that such representations and warranties are brought down or made anew as provided herein). In the event that any Obligor holds or acquires Obligor Intellectual Property during the term of this Agreement, then, upon the request of the Administrative Agent, such Obligor shall take any action as shall be reasonably necessary and reasonably requested by the Administrative Agent to ensure that the provisions of this Agreement and the Security Agreement shall apply thereto and any such Obligor Intellectual Property shall constitute part of the Collateral under the Security Documents.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8.12. Termination of Non</w:t>
        <w:noBreakHyphen/>
        <w:t>Permitted Liens.</w:t>
      </w:r>
      <w:r>
        <w:rPr>
          <w:rFonts w:ascii="Times New Roman" w:hAnsi="Times New Roman"/>
          <w:color w:val="000000"/>
          <w:sz w:val="20"/>
        </w:rPr>
        <w:t xml:space="preserve"> </w:t>
      </w:r>
      <w:r>
        <w:rPr>
          <w:rFonts w:ascii="Times New Roman" w:hAnsi="Times New Roman"/>
          <w:color w:val="000000"/>
          <w:sz w:val="24"/>
        </w:rPr>
        <w:t>In the event that any Responsible Officer of any Obligor shall become aware or be notified by the Lenders of the existence of any outstanding Lien against any Property of any Obligor or any of its Subsidiaries, which Lien is not a Permitted Lien, such Obligor shall use its best efforts to promptly terminate or cause the termination of such Lien.</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8.13. Non-Consolidation. </w:t>
      </w:r>
      <w:r>
        <w:rPr>
          <w:rFonts w:ascii="Times New Roman" w:hAnsi="Times New Roman"/>
          <w:color w:val="000000"/>
          <w:sz w:val="24"/>
        </w:rPr>
        <w:t>The Borrower will cause each of its Subsidiaries (other than an Obligor) to, (a) maintain entity records and books of account separate from those of any other entity which is an Affiliate of such entity and (b) not commingle its funds or assets with those of any other entity which is an Affiliate of such entity.</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8.14. Anti</w:t>
        <w:noBreakHyphen/>
        <w:t>Terrorism and Anti</w:t>
        <w:noBreakHyphen/>
        <w:t>Corruption Laws</w:t>
      </w:r>
      <w:r>
        <w:rPr>
          <w:rFonts w:ascii="Times New Roman" w:hAnsi="Times New Roman"/>
          <w:color w:val="000000"/>
          <w:sz w:val="24"/>
        </w:rPr>
        <w:t>. No Obligor shall engage in any transaction that violates any of the applicable prohibitions set forth in any Economic Sanctions Law, Anti</w:t>
        <w:noBreakHyphen/>
        <w:t>Terrorism Law, or any Anti-Corruption Law. None of the funds or assets of such Obligor or any Subsidiary that are used to repay the Term Loans shall constitute property of, or shall be beneficially owned by, any Designated Person or, to such Obligor’s knowledge, be the direct proceeds derived from any transactions that violate the prohibitions set forth in any applicable Economic Sanctions Law, and no Designated Person shall have any direct or indirect interest in such Obligor insofar as such interest would violate any Economic Sanctions Laws applicable to such Obligor.</w:t>
      </w:r>
    </w:p>
    <w:p>
      <w:pPr>
        <w:pStyle w:val="TextBody"/>
        <w:bidi w:val="0"/>
        <w:spacing w:before="280" w:after="283"/>
        <w:jc w:val="both"/>
        <w:rPr>
          <w:rFonts w:ascii="Times New Roman" w:hAnsi="Times New Roman"/>
          <w:sz w:val="20"/>
        </w:rPr>
      </w:pPr>
      <w:r>
        <w:rPr>
          <w:rFonts w:ascii="Times New Roman" w:hAnsi="Times New Roman"/>
          <w:i/>
          <w:color w:val="000000"/>
          <w:sz w:val="24"/>
        </w:rPr>
        <w:t>Section 8.15. Financial Covenants</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Minimum Liquidity.</w:t>
      </w:r>
      <w:r>
        <w:rPr>
          <w:color w:val="000000"/>
        </w:rPr>
        <w:t xml:space="preserve"> </w:t>
      </w:r>
      <w:r>
        <w:rPr>
          <w:rFonts w:ascii="Times New Roman" w:hAnsi="Times New Roman"/>
          <w:color w:val="000000"/>
          <w:sz w:val="24"/>
        </w:rPr>
        <w:t>The Borrower shall ensure that the Obligors shall have aggregate Unrestricted Cash of not less than $2,500,000 at all times.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Minimum Net Revenue</w:t>
      </w:r>
      <w:r>
        <w:rPr>
          <w:rFonts w:ascii="Times New Roman" w:hAnsi="Times New Roman"/>
          <w:color w:val="000000"/>
          <w:sz w:val="24"/>
        </w:rPr>
        <w:t>. As of the end of the fiscal quarter ended March 31, 2023, and each fiscal quarter thereafter, the Obligors shall maintain, on a consolidated basis, Net Revenue as agreed to in writing between the Borrower and the Administrative Agent from time to time.</w:t>
      </w:r>
    </w:p>
    <w:p>
      <w:pPr>
        <w:pStyle w:val="TextBody"/>
        <w:bidi w:val="0"/>
        <w:jc w:val="center"/>
        <w:rPr/>
      </w:pPr>
      <w:r>
        <w:rPr>
          <w:color w:val="000000"/>
        </w:rPr>
        <w:noBreakHyphen/>
      </w:r>
      <w:r>
        <w:rPr>
          <w:rFonts w:ascii="Times New Roman" w:hAnsi="Times New Roman"/>
          <w:color w:val="000000"/>
          <w:sz w:val="24"/>
        </w:rPr>
        <w:t>80</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8.16. Maintenance of Regulatory Approvals, Contracts and Intellectual Property. </w:t>
      </w:r>
      <w:r>
        <w:rPr>
          <w:rFonts w:ascii="Times New Roman" w:hAnsi="Times New Roman"/>
          <w:color w:val="000000"/>
          <w:sz w:val="24"/>
        </w:rPr>
        <w:t>Each Obligor will, and will cause each of its Subsidiaries (to the extent applicable) to:</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maintain in full force and effect all CLIA laboratory certifications or accreditations, Regulatory Approvals (including the Product Authorizations), Material Agreements, or other rights necessary for the current operations of such Obligor’s or such Subsidiary’s business, as the case may be, except where failure to do so, individually or in the aggregate, would not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maintain in full force and effect all Material Intellectual Property that is used in and necessary for current operations; and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use commercially reasonable efforts to pursue and maintain in full force and effect legal protection for all new, Material Intellectual Property that is used in and necessary in connection with any Product Development and Commercialization Activities by such Obligor relating to any such Product.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8.17. Cash Management</w:t>
      </w:r>
      <w:r>
        <w:rPr>
          <w:rFonts w:ascii="Times New Roman" w:hAnsi="Times New Roman"/>
          <w:color w:val="000000"/>
          <w:sz w:val="24"/>
        </w:rPr>
        <w:t>. It will, and will cause each of their Subsidiaries 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color w:val="000000"/>
          <w:sz w:val="24"/>
        </w:rPr>
        <w:t xml:space="preserve">subject to Section 8.18, maintain all Deposit Accounts, Securities Accounts, Commodity Accounts and lockboxes (other than Excluded Accounts) with a bank or financial institution that has executed and delivered to the Administrative Agent an account control agreement, in form and substance reasonably acceptable to the Administrative Agent (each such Deposit Account, Securities Account, Commodity Account and lockbox, a </w:t>
      </w:r>
      <w:r>
        <w:rPr>
          <w:color w:val="000000"/>
        </w:rPr>
        <w:t>“</w:t>
      </w:r>
      <w:r>
        <w:rPr>
          <w:rFonts w:ascii="Times New Roman" w:hAnsi="Times New Roman"/>
          <w:i/>
          <w:color w:val="000000"/>
          <w:sz w:val="24"/>
        </w:rPr>
        <w:t>Controlled Account”</w:t>
      </w:r>
      <w:r>
        <w:rPr>
          <w:rFonts w:ascii="Times New Roman" w:hAnsi="Times New Roman"/>
          <w:color w:val="000000"/>
          <w:sz w:val="24"/>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subject to Section 8.18, deposit promptly, and in any event no later than five (5) Business Days after the date of receipt thereof, all cash, checks, drafts or other similar items of payment relating to or constituting payments greater than $75,000 in the aggregate at any time made in respect of any and all accounts and other rights and interests into Controlled Accounts; and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 Obligor shall deposit any funds to a Segregated Health Care Account or direct or permit any other Person to deposit any funds to a Segregated Health Care Account, other than funds received from third-party payer payments pertaining to clinical diagnostic testing claims including those received from Federal Health Care Programs. Subject to Section 8.18, the Obligors shall cause all amounts deposited into the Segregated Health Care Accounts to be automatically swept on a daily basis to a Controlled Account pursuant to a Sweep Agreement. Any such Sweep Agreement will require such depository bank to waive all of its existing and future rights of recoupment and set-off and banker’s lien against any Segregated Health Care Accounts, but shall permit such depository bank to maintain its existing and future rights of recoupment and set-off and banker’s lien against any Controlled Account.</w:t>
      </w:r>
    </w:p>
    <w:p>
      <w:pPr>
        <w:pStyle w:val="TextBody"/>
        <w:bidi w:val="0"/>
        <w:jc w:val="center"/>
        <w:rPr/>
      </w:pPr>
      <w:r>
        <w:rPr>
          <w:color w:val="000000"/>
        </w:rPr>
        <w:noBreakHyphen/>
      </w:r>
      <w:r>
        <w:rPr>
          <w:rFonts w:ascii="Times New Roman" w:hAnsi="Times New Roman"/>
          <w:color w:val="000000"/>
          <w:sz w:val="24"/>
        </w:rPr>
        <w:t>81</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8.18. Post-Funding Obligations</w:t>
      </w:r>
      <w:r>
        <w:rPr>
          <w:rFonts w:ascii="Times New Roman" w:hAnsi="Times New Roman"/>
          <w:color w:val="000000"/>
          <w:sz w:val="24"/>
        </w:rPr>
        <w:t>. The Obligors will provide the items set forth in Schedule 8.18 within the time periods set forth therein.</w:t>
      </w:r>
      <w:r>
        <w:rPr>
          <w:rFonts w:ascii="Times New Roman" w:hAnsi="Times New Roman"/>
          <w:color w:val="000000"/>
          <w:sz w:val="20"/>
        </w:rPr>
        <w:t xml:space="preserve">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9</w:t>
        <w:br/>
        <w:br/>
        <w:t>Negative Covenants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Obligor covenants and agrees with the Administrative Agent and the Lenders that, commencing on the Funding Date and until the Commitments have expired or been terminated and all Obligations (other than the Warrant Obligations and contingent and unmatured indemnity and expense reimbursement obligations) have been paid in full in cash:</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9.01. Indebtedness.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create, incur, assume or permit to exist any Indebtedness, whether directly or indirectly, except: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Obligations;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Indebtedness existing on the date hereof and set forth in Schedule 7.13A;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accounts payable to trade creditors for goods and services and current operating liabilities (not the result of the borrowing of money) incurred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Indebtedness consisting of guarantees resulting from endorsement of negotiable instruments for collection by an Obligor or any of its Subsidiaries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pPr>
      <w:r>
        <w:rPr>
          <w:rFonts w:ascii="Times New Roman" w:hAnsi="Times New Roman"/>
          <w:color w:val="000000"/>
          <w:sz w:val="24"/>
        </w:rPr>
        <w:t xml:space="preserve">unsecured Indebtedness of an Obligor to any other Obligor; </w:t>
      </w:r>
      <w:r>
        <w:rPr>
          <w:rFonts w:ascii="Times New Roman" w:hAnsi="Times New Roman"/>
          <w:i/>
          <w:color w:val="000000"/>
          <w:sz w:val="24"/>
        </w:rPr>
        <w:t>provided</w:t>
      </w:r>
      <w:r>
        <w:rPr>
          <w:color w:val="000000"/>
        </w:rPr>
        <w:t xml:space="preserve"> </w:t>
      </w:r>
      <w:r>
        <w:rPr>
          <w:rFonts w:ascii="Times New Roman" w:hAnsi="Times New Roman"/>
          <w:color w:val="000000"/>
          <w:sz w:val="24"/>
        </w:rPr>
        <w:t>such Indebtedness is pledged to the Administrative Agent for the benefit of the Lenders under the Security Agreement and otherwise subordinate in right of payment to the Obligations on terms reasonably satisfactory to the Administrative Agent in its reasonable discretion;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Guarantees by any Obligor of Indebtedness of any other Obligor;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pPr>
      <w:r>
        <w:rPr>
          <w:rFonts w:ascii="Times New Roman" w:hAnsi="Times New Roman"/>
          <w:color w:val="000000"/>
          <w:sz w:val="24"/>
        </w:rPr>
        <w:t xml:space="preserve">purchase money Indebtedness and Capital Lease Obligations; </w:t>
      </w:r>
      <w:r>
        <w:rPr>
          <w:rFonts w:ascii="Times New Roman" w:hAnsi="Times New Roman"/>
          <w:i/>
          <w:color w:val="000000"/>
          <w:sz w:val="24"/>
        </w:rPr>
        <w:t>provided</w:t>
      </w:r>
      <w:r>
        <w:rPr>
          <w:color w:val="000000"/>
        </w:rPr>
        <w:t xml:space="preserve"> </w:t>
      </w:r>
      <w:r>
        <w:rPr>
          <w:rFonts w:ascii="Times New Roman" w:hAnsi="Times New Roman"/>
          <w:color w:val="000000"/>
          <w:sz w:val="24"/>
        </w:rPr>
        <w:t>that (i) if secured, the collateral therefor consists solely of the assets being financed, the products and proceeds thereof and books and records related thereto, (ii) in the case of purchase money Indebtedness, such Indebtedness shall not constitute less than 75% of the aggregate consideration paid with respect to such asset and (iii) the aggregate outstanding principal amount of such Indebtedness does not exceed $3,000,000 at any time;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unsecured (other than any non-consensual Liens) workers’ compensation Claims, payment obligations in connection with health, disability or other types of social security or other employee related benefits, unemployment or other insurance obligations (including premiums related thereto), reclamation and statutory obligations, in each case incurred in the Ordinary Course of Business;</w:t>
      </w:r>
    </w:p>
    <w:p>
      <w:pPr>
        <w:pStyle w:val="TextBody"/>
        <w:bidi w:val="0"/>
        <w:jc w:val="center"/>
        <w:rPr/>
      </w:pPr>
      <w:r>
        <w:rPr>
          <w:color w:val="000000"/>
        </w:rPr>
        <w:noBreakHyphen/>
      </w:r>
      <w:r>
        <w:rPr>
          <w:rFonts w:ascii="Times New Roman" w:hAnsi="Times New Roman"/>
          <w:color w:val="000000"/>
          <w:sz w:val="24"/>
        </w:rPr>
        <w:t>82</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unfunded pension fund and other employee benefit plan obligations and liabilities incurred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Indebtedness under Hedging Agreements permitted pursuant to Section 9.05(f);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Indebtedness approved in advance in writing by the Majority Lenders;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Indebtedness of the Borrower and its Subsidiaries with respect to overdrafts or corporate credit cards not to exceed $250,000 at any time outstanding;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the Milestone Payments together with any interest accruing with respect thereto;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so long as no Default shall have occurred and is continuing at the time of such Indebtedness is incurred, or after giving effect thereto, other unsecured Indebtedness in an aggregate principal amount not to exceed $1,000,000 at any time outstanding;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Indebtedness of Borrower and/or any Subsidiary (i) pursuant to tenders, statutory obligations (including health, safety and environmental obligations), bids, leases, governmental contracts, trade contracts, surety, indemnity, stay, customs, judgment, appeal, performance, completion and/or return of money bonds or guaranties, contract manufacturer obligations or other similar obligations incurred in the Ordinary Course of Business, and (ii) in respect of letters of credit, bank guaranties, surety bonds, performance bonds or similar instruments to support any of the foregoing items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Indebtedness in respect of any agreement providing for treasury, depositary or cash management services, including in connection with any automated clearing house transfers of funds or any similar transfers, netting services, overdraft protections and other cash management and similar arrangements, in each case,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customer deposits and advance payments received in the Ordinary Course of Business from customers for goods and services purchased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Indebtedness consisting of the deferred obligations to pay insurance premiums in respect of insurance policies pursuant to Section 8.05 insuring assets or businesses of an Obligor written or arranged in such Obligor’s Ordinary Course of Business and which are payable within one (1) year;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Indebtedness incurred in connection with letters of credit that are secured solely by cash or Permitted Cash Equivalent Investments and issued on behalf of the Borrower in the Ordinary Course of Business in an aggregate amount outstanding not to exceed $1,000,000 at any time; </w:t>
      </w:r>
    </w:p>
    <w:p>
      <w:pPr>
        <w:pStyle w:val="TextBody"/>
        <w:bidi w:val="0"/>
        <w:jc w:val="center"/>
        <w:rPr/>
      </w:pPr>
      <w:r>
        <w:rPr>
          <w:color w:val="000000"/>
        </w:rPr>
        <w:noBreakHyphen/>
      </w:r>
      <w:r>
        <w:rPr>
          <w:rFonts w:ascii="Times New Roman" w:hAnsi="Times New Roman"/>
          <w:color w:val="000000"/>
          <w:sz w:val="24"/>
        </w:rPr>
        <w:t>83</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Indebtedness constituting of deposits or prepayments received from customers in the Ordinary Course of Business;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Permitted Refinancings of any of the foregoing clauses (b) through (t).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9.02. Liens.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create, incur, assume or permit to exist any Lien on any Property now owned by it, except: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Liens securing the Obligations;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color w:val="000000"/>
          <w:sz w:val="24"/>
        </w:rPr>
        <w:t xml:space="preserve">any Lien on any Property of any Obligor existing on the date hereof and set forth in Schedule 7.13B; </w:t>
      </w:r>
      <w:r>
        <w:rPr>
          <w:rFonts w:ascii="Times New Roman" w:hAnsi="Times New Roman"/>
          <w:i/>
          <w:color w:val="000000"/>
          <w:sz w:val="24"/>
        </w:rPr>
        <w:t>provided</w:t>
      </w:r>
      <w:r>
        <w:rPr>
          <w:color w:val="000000"/>
        </w:rPr>
        <w:t xml:space="preserve"> </w:t>
      </w:r>
      <w:r>
        <w:rPr>
          <w:rFonts w:ascii="Times New Roman" w:hAnsi="Times New Roman"/>
          <w:color w:val="000000"/>
          <w:sz w:val="24"/>
        </w:rPr>
        <w:t>that (i) no such Lien shall extend to any other Property of such Obligor and (ii) any such Lien shall secure only those obligations which it secures on the date hereof and extensions, renewals and replacements thereof that do not increase the outstanding principal amount thereof;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color w:val="000000"/>
          <w:sz w:val="24"/>
        </w:rPr>
        <w:t xml:space="preserve">Liens securing Indebtedness permitted under Section 9.01(g); </w:t>
      </w:r>
      <w:r>
        <w:rPr>
          <w:rFonts w:ascii="Times New Roman" w:hAnsi="Times New Roman"/>
          <w:i/>
          <w:color w:val="000000"/>
          <w:sz w:val="24"/>
        </w:rPr>
        <w:t>provided</w:t>
      </w:r>
      <w:r>
        <w:rPr>
          <w:color w:val="000000"/>
        </w:rPr>
        <w:t xml:space="preserve"> </w:t>
      </w:r>
      <w:r>
        <w:rPr>
          <w:rFonts w:ascii="Times New Roman" w:hAnsi="Times New Roman"/>
          <w:color w:val="000000"/>
          <w:sz w:val="24"/>
        </w:rPr>
        <w:t>that such Liens are restricted solely to the collateral described in Section 9.01(g);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Liens imposed by Law which were incurred in the Ordinary Course of Business, including (but not limited to) carriers’, warehousemen’s, landlords’ and mechanics’ Liens, Liens relating to leasehold improvements and other similar liens arising in the Ordinary Course of Business and which (i) do not in the aggregate materially detract from the value of the Property subject thereto or materially impair the use thereof in the operations of the business of such Person or (ii) are being contested in good faith by appropriate proceedings, which proceedings have the effect of preventing the forfeiture or sale of the Property subject to such Liens and for which adequate reserves have been made if required substantially in accordance with GAAP;</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Liens, pledges or deposits made in the Ordinary Course of Business in connection with bids, grant applications, Contracts, leases, surety, performance and appeal bonds, workers’ compensation, unemployment insurance or other similar social security or employment Laws;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materially interfere with the ordinary conduct of the business of any of the Obligors;</w:t>
      </w:r>
    </w:p>
    <w:p>
      <w:pPr>
        <w:pStyle w:val="TextBody"/>
        <w:bidi w:val="0"/>
        <w:jc w:val="center"/>
        <w:rPr/>
      </w:pPr>
      <w:r>
        <w:rPr>
          <w:color w:val="000000"/>
        </w:rPr>
        <w:noBreakHyphen/>
      </w:r>
      <w:r>
        <w:rPr>
          <w:rFonts w:ascii="Times New Roman" w:hAnsi="Times New Roman"/>
          <w:color w:val="000000"/>
          <w:sz w:val="24"/>
        </w:rPr>
        <w:t>84</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bankers’ Liens, rights of setoff and similar Liens incurred on deposits in the Ordinary Course of Business or otherwise arising in connection with the Obligors’ Deposit Accounts or Securities Accounts or credit card programs held at financial institutions to secure payment of fees and similar costs and expenses of such financial institutions with respect to such accounts or programs;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Liens in connection with transfers permitted under Section 9.09;</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judgment Lien or Lien arising from decrees or attachments not constituting an Event of Default;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leases or subleases of real property granted in the Ordinary Course of Business, and leases, subleases, nonexclusive licenses or sublicenses of personal property (other than Intellectual Property) granted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Liens in favor of customs and revenue authorities arising as a matter of law to secure the payment of custom duties in connection with the importation of goods, not securing an amount in the aggregate in excess of $500,000 at any given time;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Liens on a Deposit Account of the Obligors and the cash and Permitted Cash Equivalent Investments therein, in each case, securing Indebtedness described in Section 9.01(l);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Liens on cash collateral securing reimbursement obligations in respect of Indebtedness permitted under Section 9.01(s);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Liens on insurance policies and the proceeds thereof securing the financing of the premiums with respect thereto;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other Liens securing other obligations to the extent permitted hereby not to exceed $500,000 in an aggregate principal amount at any time outstanding;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Permitted Licenses;</w:t>
      </w:r>
    </w:p>
    <w:p>
      <w:pPr>
        <w:pStyle w:val="TextBody"/>
        <w:bidi w:val="0"/>
        <w:spacing w:before="280" w:after="283"/>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 Lien otherwise permitted under any of the foregoing Sections 9.02 (excluding Sections 9.02(a), 9.02(b) and 9.02(q)) shall apply to any Material Intellectual Property.</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9.03. Fundamental Changes and Acquisitions.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enter into or consummate any transaction of merger, amalgamation, plan of arrangement or consolidation, including without limitation, a reverse</w:t>
        <w:noBreakHyphen/>
        <w:t>triangular merger, or other similar transaction or series of related transactions;</w:t>
      </w:r>
    </w:p>
    <w:p>
      <w:pPr>
        <w:pStyle w:val="TextBody"/>
        <w:bidi w:val="0"/>
        <w:jc w:val="center"/>
        <w:rPr/>
      </w:pPr>
      <w:r>
        <w:rPr>
          <w:color w:val="000000"/>
        </w:rPr>
        <w:noBreakHyphen/>
      </w:r>
      <w:r>
        <w:rPr>
          <w:rFonts w:ascii="Times New Roman" w:hAnsi="Times New Roman"/>
          <w:color w:val="000000"/>
          <w:sz w:val="24"/>
        </w:rPr>
        <w:t>85</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liquidate, wind up or dissolve itself (or suffer any liquidation, wind up or dissolution) (including in connection with any division or plan of division under Delaware law or any comparable event under a different jurisdiction’s laws); or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make or consummate any Acquisition or sell or issue any Disqualified Equity Interests, except, in each case: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Investments permitted under Section 9.05;</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Permitted Acquisitions for (A) aggregate cash consideration not to exceed $2,000,000 and total consideration not to exceed $5,000,000, in each case, for the duration of this Agreement or (B) such greater amount as agreed to from time to time by the Administrative Agent in its reasonable discretion;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pPr>
      <w:r>
        <w:rPr>
          <w:rFonts w:ascii="Times New Roman" w:hAnsi="Times New Roman"/>
          <w:color w:val="000000"/>
          <w:sz w:val="24"/>
        </w:rPr>
        <w:t xml:space="preserve">the merger, amalgamation or consolidation of any Obligor with or into any other Obligor, </w:t>
      </w:r>
      <w:r>
        <w:rPr>
          <w:rFonts w:ascii="Times New Roman" w:hAnsi="Times New Roman"/>
          <w:i/>
          <w:color w:val="000000"/>
          <w:sz w:val="24"/>
        </w:rPr>
        <w:t>provided</w:t>
      </w:r>
      <w:r>
        <w:rPr>
          <w:color w:val="000000"/>
        </w:rPr>
        <w:t xml:space="preserve"> </w:t>
      </w:r>
      <w:r>
        <w:rPr>
          <w:rFonts w:ascii="Times New Roman" w:hAnsi="Times New Roman"/>
          <w:color w:val="000000"/>
          <w:sz w:val="24"/>
        </w:rPr>
        <w:t>that if the Borrower is a party to such merger, amalgamation or consolidation, the Borrower shall be the surviving entity;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sale, transfer or other disposition by any Obligor of any or all of its property to any other Obligor;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sales and other transfers permitted under Section 9.09.</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9.04. Lines of Business.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engage to any material extent in any business other than the business engaged in on the date hereof by such Obligor, or a business reasonably related, incidental or complementary thereto or reasonable extensions thereof.</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9.05. Investments.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make, directly or indirectly, or permit to remain outstanding any Investments except: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Investments outstanding on the date hereof and identified in Schedule 9.05 and any modification, replacement, renewal or extension thereof to the extent not involving new or additional Investments;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operating Deposit Accounts, Securities Accounts or Commodity Accounts with banks or other financial institutions;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extensions of credit in the nature of accounts receivable, notes receivable of, or prepaid royalties and other credit extensions to, customers and suppliers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cash and Permitted Cash Equivalent Investments;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(i) Investments consisting of 100% of the ownership of the Equity Interests of its Subsidiaries, (ii) intercompany Investments by Borrower or a Subsidiary in </w:t>
      </w:r>
    </w:p>
    <w:p>
      <w:pPr>
        <w:pStyle w:val="TextBody"/>
        <w:bidi w:val="0"/>
        <w:jc w:val="center"/>
        <w:rPr/>
      </w:pPr>
      <w:r>
        <w:rPr>
          <w:color w:val="000000"/>
        </w:rPr>
        <w:noBreakHyphen/>
      </w:r>
      <w:r>
        <w:rPr>
          <w:rFonts w:ascii="Times New Roman" w:hAnsi="Times New Roman"/>
          <w:color w:val="000000"/>
          <w:sz w:val="24"/>
        </w:rPr>
        <w:t>86</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Guarantor or (iii) Investments by Borrower or any Subsidiary acquired in connection with a Permitted Acquisition;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Hedging Agreements (i) entered into in the ordinary course of any Obligor’s financial planning solely to hedge interest rate risks or foreign currency exchange risks (and not, in either case, for speculative purposes) and in an aggregate net exposure amount for all such Hedging Agreements not in excess of $500,000 or (ii) entered into to hedge interest rate risks in respect of the Obligations hereunder;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Investments consisting of prepaid expenses, negotiable instruments held for collection or deposit, security deposits with utilities, landlords and other like Persons, and deposits in connection with workers’ compensation and similar deposits, in each case made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Investments received in connection with any Insolvency Proceedings in respect of any customers, suppliers or clients and in settlement of delinquent obligations of, and other disputes with, customers, suppliers or clients;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Investments permitted under Section 9.01(e) and Section 9.03;</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Investments consisting of notes receivable of, or prepaid royalties and other credit extensions, to customers and suppliers who are not Affiliates,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Investments consisting of (i) travel advances and employee relocation loans and other employee loans and advances in the Ordinary Course of Business, and (ii) loans to employees, officers or directors relating to the purchase of equity securities of the Borrower or its Subsidiaries pursuant to employee stock purchase plans or agreements approved by the Borrower’s Board in an aggregate amount not to exceed $100,000 for subclauses (i) and (ii) in any fiscal year;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so long as no Default or Event of Default shall have occurred and is continuing at the time of such Investment, or after giving effect thereto, Investments not to exceed $1,000,000 at any time outstanding in joint ventures and counterparties to collaboration and license agreements;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so long as no Default or Event of Default shall have occurred and is continuing at the time of such Investment, or after giving effect thereto, other Investments in an amount not to exceed $1,000,000 in any fiscal year.</w:t>
      </w:r>
    </w:p>
    <w:p>
      <w:pPr>
        <w:pStyle w:val="TextBody"/>
        <w:bidi w:val="0"/>
        <w:jc w:val="center"/>
        <w:rPr/>
      </w:pPr>
      <w:r>
        <w:rPr>
          <w:color w:val="000000"/>
        </w:rPr>
        <w:noBreakHyphen/>
      </w:r>
      <w:r>
        <w:rPr>
          <w:rFonts w:ascii="Times New Roman" w:hAnsi="Times New Roman"/>
          <w:color w:val="000000"/>
          <w:sz w:val="24"/>
        </w:rPr>
        <w:t>87</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9.06. Restricted Payments.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declare or make, or agree to pay or make, directly or indirectly, any Restricted Payment, other than: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dividends, stock splits or distributions with respect to any Equity Interests of the Borrower or any of its Subsidiaries payable solely in additional units or shares of its Qualified Equity Interests;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Restricted Payment by an Obligor or a Subsidiary of an Obligor to an Obligor;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purchase, redemption, retirement, or other Acquisition by the Borrower or any of its Subsidiaries of shares of its capital stock or other Equity Interests with the proceeds received from a substantially concurrent issue of new shares of its capital stock or other Equity Interests;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Dividends paid by any Obligor to any other Obligor;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cashless exercises of options and warrants;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repurchases pursuant to the terms of employee stock purchase plans, employee restricted stock agreements, stockholder rights plans, director or consultant stock option plans, or similar plans in an aggregate amount not to exceed $100,000 in any fiscal year;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making of cash payments in lieu of the issuance of fractional shares upon the conversion of convertible securities (or in connection with the exercise of warrants or similar securities) not to exceed $25,000 in any fiscal year;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issuance of the Warrant Certificates and cash payments made to redeem, purchase, repurchase or retire the Warrant Obligations in accordance with the terms of the Warrant Certificates.</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9.07. Payments of Indebtedness and Milestone Payments.</w:t>
      </w:r>
      <w:r>
        <w:rPr>
          <w:rFonts w:ascii="Times New Roman" w:hAnsi="Times New Roman"/>
          <w:color w:val="000000"/>
          <w:sz w:val="20"/>
        </w:rPr>
        <w:t xml:space="preserve"> </w:t>
      </w:r>
      <w:r>
        <w:rPr>
          <w:rFonts w:ascii="Times New Roman" w:hAnsi="Times New Roman"/>
          <w:color w:val="000000"/>
          <w:sz w:val="24"/>
        </w:rPr>
        <w:t>(a) It will not, and will not permit any of its Subsidiaries to, make any payments in respect of any Material Indebtedness (other than the Milestone Payments) except (i) payments of the Obligations and (ii) so long as no Default has occurred and is continuing or would result therefrom, scheduled payments of Permitted Indebtedness and repayment of intercompany Indebtedness permitted in reliance upon Section 9.01(e) (subject in each case to any subordination agreement entered into in connection therewith).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It will not, and will not permit any of its Subsidiaries to, make any Milestone Payments except (i) prior to December 31, 2023, so long as no Default has occurred and is continuing or would result therefrom, scheduled Milestone Payments and accrued interest payable with respect thereto and (ii) commencing January 1, 2024 and thereafter, so long as (A) no Default has occurred and is continuing or would result therefrom and (B) </w:t>
      </w:r>
    </w:p>
    <w:p>
      <w:pPr>
        <w:pStyle w:val="TextBody"/>
        <w:bidi w:val="0"/>
        <w:jc w:val="center"/>
        <w:rPr/>
      </w:pPr>
      <w:r>
        <w:rPr>
          <w:color w:val="000000"/>
        </w:rPr>
        <w:noBreakHyphen/>
      </w:r>
      <w:r>
        <w:rPr>
          <w:rFonts w:ascii="Times New Roman" w:hAnsi="Times New Roman"/>
          <w:color w:val="000000"/>
          <w:sz w:val="24"/>
        </w:rPr>
        <w:t>88</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rFonts w:ascii="Times New Roman" w:hAnsi="Times New Roman"/>
          <w:color w:val="000000"/>
          <w:sz w:val="24"/>
        </w:rPr>
        <w:t>consented to by the Administrative Agent, scheduled Milestone Payments and accrued interest payable with respect thereto.</w:t>
      </w:r>
      <w:r>
        <w:rPr>
          <w:color w:val="00000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9.08. Change in Fiscal Year.</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change the last day of its fiscal year from that in effect on the date hereof, without prior written notice to the Administrative Agent, except to change the fiscal year of a Subsidiary acquired in connection with a Permitted Acquisition to conform its fiscal year to that of the Borrower.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9.09. Sales of Assets.</w:t>
      </w:r>
      <w:r>
        <w:rPr>
          <w:rFonts w:ascii="Times New Roman" w:hAnsi="Times New Roman"/>
          <w:color w:val="000000"/>
          <w:sz w:val="20"/>
        </w:rPr>
        <w:t xml:space="preserve"> </w:t>
      </w:r>
      <w:r>
        <w:rPr>
          <w:rFonts w:ascii="Times New Roman" w:hAnsi="Times New Roman"/>
          <w:color w:val="000000"/>
          <w:sz w:val="24"/>
        </w:rPr>
        <w:t xml:space="preserve">It will not, and will not permit any of its Subsidiaries to, sell, lease, exclusively license (in terms of geography or field of use) as a licensor, transfer (including in connection with any division or plan of division under Delaware law or any comparable event under a different jurisdiction’s laws) or otherwise dispose of any of its Property (including accounts receivable and Equity Interests of Subsidiaries), or forgive, release or compromise any amount owed to an Obligor or any of its Subsidiaries, in each case, in one transaction or series of transactions (any thereof, an </w:t>
      </w:r>
      <w:r>
        <w:rPr>
          <w:rFonts w:ascii="Times New Roman" w:hAnsi="Times New Roman"/>
          <w:color w:val="000000"/>
          <w:sz w:val="20"/>
        </w:rPr>
        <w:t>“</w:t>
      </w:r>
      <w:r>
        <w:rPr>
          <w:rFonts w:ascii="Times New Roman" w:hAnsi="Times New Roman"/>
          <w:i/>
          <w:color w:val="000000"/>
          <w:sz w:val="24"/>
        </w:rPr>
        <w:t>Asset Sale”</w:t>
      </w:r>
      <w:r>
        <w:rPr>
          <w:rFonts w:ascii="Times New Roman" w:hAnsi="Times New Roman"/>
          <w:color w:val="000000"/>
          <w:sz w:val="24"/>
        </w:rPr>
        <w:t>), except: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transfers of cash or Permitted Cash Equivalent Investments in the Ordinary Course of Business in a manner not prohibited by the terms of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sales or leases of inventory, products or services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forgiveness, release or compromise of any amount owed to any Obligor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entering into, or becoming bound, by a Permitted License to the extent not otherwise prohibited by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pPr>
      <w:r>
        <w:rPr>
          <w:rFonts w:ascii="Times New Roman" w:hAnsi="Times New Roman"/>
          <w:color w:val="000000"/>
          <w:sz w:val="24"/>
        </w:rPr>
        <w:t xml:space="preserve">development and other collaborative arrangements where such arrangements provide for the license or disclosure of Patents, Trademarks, Copyrights or other Intellectual Property rights of any Obligor or any of its Subsidiaries in the Ordinary Course of Business and consistent with general market practices; </w:t>
      </w:r>
      <w:r>
        <w:rPr>
          <w:rFonts w:ascii="Times New Roman" w:hAnsi="Times New Roman"/>
          <w:i/>
          <w:color w:val="000000"/>
          <w:sz w:val="24"/>
        </w:rPr>
        <w:t>provided</w:t>
      </w:r>
      <w:r>
        <w:rPr>
          <w:color w:val="000000"/>
        </w:rPr>
        <w:t xml:space="preserve"> </w:t>
      </w:r>
      <w:r>
        <w:rPr>
          <w:rFonts w:ascii="Times New Roman" w:hAnsi="Times New Roman"/>
          <w:color w:val="000000"/>
          <w:sz w:val="24"/>
        </w:rPr>
        <w:t>that such licenses must be true licenses that do not result in a legal transfer of title of the licensed Property or otherwise constitute sales transactions in substance;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sale, lease, exclusive license, transfer or other disposition (including by way of abandonment, cancellation or trade-in) of any Property that is obsolete, worn out, surplus or no longer used or useful in connection with the business of the Obligors or with respect to which a newer and improved version is available, and with respect to Intellectual Property, the conveyance, sale, lease, license, abandonment, lapse or other disposition in the Ordinary Course of Business that is, in the reasonable good faith judgment of such Obligor, immaterial to the business of such Obligor, no longer economically practicable or commercially desirable to maintain or used or useful in the business of such Obligor, or the expiration of such Intellectual Property is in accordance with its statutory term (provided that such term is not renewable);</w:t>
      </w:r>
    </w:p>
    <w:p>
      <w:pPr>
        <w:pStyle w:val="TextBody"/>
        <w:bidi w:val="0"/>
        <w:jc w:val="center"/>
        <w:rPr/>
      </w:pPr>
      <w:r>
        <w:rPr>
          <w:color w:val="000000"/>
        </w:rPr>
        <w:noBreakHyphen/>
      </w:r>
      <w:r>
        <w:rPr>
          <w:rFonts w:ascii="Times New Roman" w:hAnsi="Times New Roman"/>
          <w:color w:val="000000"/>
          <w:sz w:val="24"/>
        </w:rPr>
        <w:t>89</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dispositions resulting from Casualty Events;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any transaction permitted under Section 9.02, 9.03, 9.05, 9.06, 9.15 and 9.20;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so long as no Default or Event of Default shall have occurred and is continuing at the time of such Asset Sale, or after giving effect thereto, Asset Sales of other property not to exceed $1,000,000 in the aggregate per fiscal year;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transfers to customers of Equipment located at a customer’s site for research and collaboration;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sale or issuance of any Equity Interests of the Borrower permitted under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transfers of assets or property by any Obligor to any other Obligor;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transfers of non-exclusive licenses or sublicenses of Intellectual Property or software (including the rights to royalty payments and the provision of software under an open source license) in the Ordinary Course of Business;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abandonments, cancellations or lapses of Intellectual Property rights or issuances or registrations, or applications for issuances or registrations, of Intellectual Property rights in the Ordinary Course of Business, which, in the good faith determination of Borrower, are not material to the conduct of the business of Borrower or its Subsidiaries;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the leasing or subleasing of real property in the Ordinary Course of Business;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transfers and/or terminations of, or constituting, leases, subleases, licenses, sublicenses or cross-licenses (including the provision of software under any open source license and any related transfer of improvements made to leased real property resulting therefrom), the transfers or terminations of which (i) do not materially interfere with the business of the Borrower and its Subsidiaries or (ii) relate to closed facilities or the discontinuation of any product line, and in each case are made in the Ordinary Course of Business;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any surrender or waiver of contractual rights or the settlement, release or surrender of contractual rights or litigation claims (including in tort) in the Ordinary Course of Business;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non-exclusive licenses for the use of the Borrower’s or any Subsidiary’s Intellectual Property entered into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exclusive licenses for the use of non-material and non-core Intellectual Property owned or co-owned by the Borrower or any Subsidiary, which in the </w:t>
      </w:r>
    </w:p>
    <w:p>
      <w:pPr>
        <w:pStyle w:val="TextBody"/>
        <w:bidi w:val="0"/>
        <w:jc w:val="center"/>
        <w:rPr/>
      </w:pPr>
      <w:r>
        <w:rPr>
          <w:color w:val="000000"/>
        </w:rPr>
        <w:noBreakHyphen/>
      </w:r>
      <w:r>
        <w:rPr>
          <w:rFonts w:ascii="Times New Roman" w:hAnsi="Times New Roman"/>
          <w:color w:val="000000"/>
          <w:sz w:val="24"/>
        </w:rPr>
        <w:t>90</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rFonts w:ascii="Times New Roman" w:hAnsi="Times New Roman"/>
          <w:color w:val="000000"/>
          <w:sz w:val="24"/>
        </w:rPr>
        <w:t xml:space="preserve">good faith business judgment of the Borrower is expected to remain non-material and non-core to the Borrower in perpetuity, entered into in the Ordinary Course of Business; </w:t>
      </w:r>
      <w:r>
        <w:rPr>
          <w:rFonts w:ascii="Times New Roman" w:hAnsi="Times New Roman"/>
          <w:i/>
          <w:color w:val="000000"/>
          <w:sz w:val="24"/>
        </w:rPr>
        <w:t>provided</w:t>
      </w:r>
      <w:r>
        <w:rPr>
          <w:color w:val="000000"/>
        </w:rPr>
        <w:t xml:space="preserve"> </w:t>
      </w:r>
      <w:r>
        <w:rPr>
          <w:rFonts w:ascii="Times New Roman" w:hAnsi="Times New Roman"/>
          <w:color w:val="000000"/>
          <w:sz w:val="24"/>
        </w:rPr>
        <w:t>that (i) the Borrower must deliver ten (10) days’ prior written notice and a brief summary of the terms of the proposed license to the Administrative Agent and deliver to the Administrative Agent copies of the final executed licensing documents in connection with the exclusive license promptly upon consummation thereof, and (ii) any such license could not result in a legal transfer of title of the licensed property but may be exclusive in respects other than territory and may be exclusive as to territory only as to discrete geographical areas outside of the United States;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w:t>
      </w:r>
    </w:p>
    <w:p>
      <w:pPr>
        <w:pStyle w:val="TextBody"/>
        <w:bidi w:val="0"/>
        <w:spacing w:before="280" w:after="283"/>
        <w:jc w:val="both"/>
        <w:rPr/>
      </w:pPr>
      <w:r>
        <w:rPr>
          <w:rFonts w:ascii="Times New Roman" w:hAnsi="Times New Roman"/>
          <w:color w:val="000000"/>
          <w:sz w:val="24"/>
        </w:rPr>
        <w:t xml:space="preserve">transfers or sales of licenses or Intellectual Property and other related assets or rights to a third party, or solely to the extent formed in connection with such transaction, a wholly owned Subsidiary of the Borrower, so long as such Subsidiary is thereafter sold, merged with or acquired by such third party within thirty (30) days of formation; </w:t>
      </w:r>
      <w:r>
        <w:rPr>
          <w:rFonts w:ascii="Times New Roman" w:hAnsi="Times New Roman"/>
          <w:i/>
          <w:color w:val="000000"/>
          <w:sz w:val="24"/>
        </w:rPr>
        <w:t>provided</w:t>
      </w:r>
      <w:r>
        <w:rPr>
          <w:rFonts w:ascii="Times New Roman" w:hAnsi="Times New Roman"/>
          <w:color w:val="000000"/>
          <w:sz w:val="24"/>
        </w:rPr>
        <w:t>, (i) the aggregate amount of all such transfers, sales or licenses during the term of this Agreement shall not to exceed $2,500,000 (or such greater amount that may be consented to by the Administrative Agent) and (ii) any royalty payments or other such payments owing to the Borrower pursuant to such sale shall be Collateral in which the Administrative Agent for the benefit of the Lenders has been granted a security interest under the Security Documents.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9.10. Transactions with Affiliates.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sell, lease, license or otherwise transfer any assets to, or purchase, lease, license or otherwise acquire any assets from, or otherwise engage in any other transactions with, any of its Affiliates, except: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transactions between or among the Obligors;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transaction permitted under Section 9.01, 9.03, 9.05, 9.06 or 9.09;</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customary compensation and indemnification of, and other employment arrangements with, directors, officers and employees of any Obligor in the Ordinary Course of Business;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other transaction is (i) on fair, reasonable and arm’s-length terms that are no less favorable (including with respect to the amount of cash or other consideration receivable or payable in connection therewith) to such Obligor or any such Subsidiary than it could obtain in a transaction with a Person that is not an Affiliate of such Obligor or any such Subsidiary, as applicable, and (ii) of the kind which would be entered into by a prudent Person in the position of such Obligor or any such Subsidiary with another Person that is not an Affiliate of such Obligor or any such Subsidiary, as applicable;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transactions upon fair and reasonable terms that are no less favorable to any Obligor than would be obtained in a comparable arm’s</w:t>
        <w:noBreakHyphen/>
        <w:t>length transaction with a Person not an Affiliate; and</w:t>
      </w:r>
    </w:p>
    <w:p>
      <w:pPr>
        <w:pStyle w:val="TextBody"/>
        <w:bidi w:val="0"/>
        <w:jc w:val="center"/>
        <w:rPr/>
      </w:pPr>
      <w:r>
        <w:rPr>
          <w:color w:val="000000"/>
        </w:rPr>
        <w:noBreakHyphen/>
      </w:r>
      <w:r>
        <w:rPr>
          <w:rFonts w:ascii="Times New Roman" w:hAnsi="Times New Roman"/>
          <w:color w:val="000000"/>
          <w:sz w:val="24"/>
        </w:rPr>
        <w:t>91</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transactions set forth on Schedule 9.10.</w:t>
      </w:r>
    </w:p>
    <w:p>
      <w:pPr>
        <w:pStyle w:val="TextBody"/>
        <w:bidi w:val="0"/>
        <w:spacing w:before="280" w:after="283"/>
        <w:jc w:val="both"/>
        <w:rPr>
          <w:rFonts w:ascii="Times New Roman" w:hAnsi="Times New Roman"/>
          <w:sz w:val="20"/>
        </w:rPr>
      </w:pPr>
      <w:r>
        <w:rPr>
          <w:rFonts w:ascii="Times New Roman" w:hAnsi="Times New Roman"/>
          <w:i/>
          <w:color w:val="000000"/>
          <w:sz w:val="24"/>
        </w:rPr>
        <w:t>Section 9.11. Restrictive Agreements.</w:t>
      </w:r>
      <w:r>
        <w:rPr>
          <w:rFonts w:ascii="Times New Roman" w:hAnsi="Times New Roman"/>
          <w:color w:val="000000"/>
          <w:sz w:val="20"/>
        </w:rPr>
        <w:t xml:space="preserve"> </w:t>
      </w:r>
      <w:r>
        <w:rPr>
          <w:rFonts w:ascii="Times New Roman" w:hAnsi="Times New Roman"/>
          <w:color w:val="000000"/>
          <w:sz w:val="24"/>
        </w:rPr>
        <w:t xml:space="preserve">It will not, and will not permit any of its Subsidiaries to, directly or indirectly, enter into, incur or permit to exist any Restrictive Agreement other than (a) restrictions and conditions imposed by Law or by the Loan Documents, (b) Restrictive Agreements listed on Schedule 7.15, (c) any stockholder agreement, investor rights agreement, charter, bylaws or other Organizational Documents of an Obligor as in effect on the date hereof, (d) limitations associated with Permitted Liens or with any transaction permitted under Section 9.01, 9.03, 9.05, 9.06 or 9.09, (e) restrictions on cash (or Permitted Cash Equivalent Investments) or other deposits imposed by agreements entered into with customers in the Ordinary Course of Business (or other restrictions on cash or deposits constituting Permitted Liens), (f) customary provisions in leases and other agreements restricting the assignment thereof, (g) any restrictions and conditions imposed by any agreement relating to Indebtedness of any Subsidiary in existence at the time such Subsidiary became a Subsidiary (and any extension, renewal, amendment, modification or replacement thereof, expect to the extent any such amendment, modification or replacement materially expands the scope of any such restriction or condition), (h) in the case of any Subsidiary that is not a wholly-owned Subsidiary, restrictions and conditions imposed by its organizational documents or any related joint venture or similar agreements;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such restrictions and conditions apply only to such Subsidiary and to the Equity Interests of such Subsidiary, (i) restrictions and conditions imposed by any agreement relating to secured Indebtedness permitted by Section 9.01(g) if such restrictions and conditions apply only to the assets securing such Indebtedness and (j) customary restrictions and conditions (and any extension, renewal, amendment, modification or replacement thereof, except to the extent any such amendment, modification or replacement expands the scope of any such restriction or condition) contained in agreements relating to the sale of a Subsidiary or any assets of the Borrower or any Subsidiary, in each case pending such sale;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restrictions and conditions apply only to such Subsidiary or the assets that are to be sole and, in each case, such sale is permitted hereunder.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9.12. Organizational Documents, Material Agreements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It will not, and will not permit any of its Subsidiaries to, enter into any amendment to or modification of any Organizational Document that would be reasonably expected to adversely affect the Lenders in any material respect, without the prior written consent of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It will not, and will not permit any of its Subsidiaries to (i) enter into any material waiver, amendment or modification of any Material Agreement (including, but not limited to, any amendments to provisions relating to pricing and term) that would be reasonably expected to materially and adversely affect the Lenders in any material respect or (ii) take or omit to take any action that results in the termination of, or permits any other Person to terminate, any Material Agreement or Material Intellectual Property that would be reasonably expected to have a Material Adverse Effect, without, in each case, the prior written consent of the Administrative Agent. For the avoidance of doubt, with respect to the Indi Purchase Agreement, (A) increasing interest rates payable by the Obligors, (B) increasing or adding fees or charges payable by the Obligors and (C) </w:t>
      </w:r>
    </w:p>
    <w:p>
      <w:pPr>
        <w:pStyle w:val="TextBody"/>
        <w:bidi w:val="0"/>
        <w:jc w:val="center"/>
        <w:rPr/>
      </w:pPr>
      <w:r>
        <w:rPr>
          <w:color w:val="000000"/>
        </w:rPr>
        <w:noBreakHyphen/>
      </w:r>
      <w:r>
        <w:rPr>
          <w:rFonts w:ascii="Times New Roman" w:hAnsi="Times New Roman"/>
          <w:color w:val="000000"/>
          <w:sz w:val="24"/>
        </w:rPr>
        <w:t>92</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rFonts w:ascii="Times New Roman" w:hAnsi="Times New Roman"/>
          <w:color w:val="000000"/>
          <w:sz w:val="24"/>
        </w:rPr>
        <w:t>changing (to earlier dates) any dates upon which payments by the Obligors are due shall be deemed to adversely affect the Lenders in a material respect.</w:t>
      </w:r>
      <w:r>
        <w:rPr>
          <w:color w:val="00000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9.13. [Reserved]</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i/>
          <w:color w:val="000000"/>
          <w:sz w:val="24"/>
        </w:rPr>
        <w:t>Section 9.14. Sales and Leasebacks.</w:t>
      </w:r>
      <w:r>
        <w:rPr>
          <w:rFonts w:ascii="Times New Roman" w:hAnsi="Times New Roman"/>
          <w:color w:val="000000"/>
          <w:sz w:val="20"/>
        </w:rPr>
        <w:t xml:space="preserve"> </w:t>
      </w:r>
      <w:r>
        <w:rPr>
          <w:rFonts w:ascii="Times New Roman" w:hAnsi="Times New Roman"/>
          <w:color w:val="000000"/>
          <w:sz w:val="24"/>
        </w:rPr>
        <w:t>Except as permitted by Section 9.01(g), it will not, and will not permit any of its Subsidiaries to, become liable, directly or indirectly, with respect to any lease, whether an operating lease or a Capital Lease Obligation, of any Property (whether real, personal, or mixed), whether now owned or hereafter acquired, which (a) any Obligor has sold or transferred or is to sell or transfer to any other Person and (b) any Obligor intends to use for substantially the same purposes as Property which has been or is to be sold or transferred.</w:t>
      </w:r>
    </w:p>
    <w:p>
      <w:pPr>
        <w:pStyle w:val="TextBody"/>
        <w:bidi w:val="0"/>
        <w:spacing w:before="280" w:after="283"/>
        <w:jc w:val="both"/>
        <w:rPr>
          <w:rFonts w:ascii="Times New Roman" w:hAnsi="Times New Roman"/>
          <w:sz w:val="20"/>
        </w:rPr>
      </w:pPr>
      <w:r>
        <w:rPr>
          <w:rFonts w:ascii="Times New Roman" w:hAnsi="Times New Roman"/>
          <w:i/>
          <w:color w:val="000000"/>
          <w:sz w:val="24"/>
        </w:rPr>
        <w:t>Section 9.15. Hazardous Material.</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use, generate, manufacture, install, treat, release, store or dispose of any Hazardous Material, except in compliance with all applicable Environmental Laws or where the failure to comply would not reasonably be expected to result in a Material Adverse Change.</w:t>
      </w:r>
    </w:p>
    <w:p>
      <w:pPr>
        <w:pStyle w:val="TextBody"/>
        <w:bidi w:val="0"/>
        <w:spacing w:before="280" w:after="283"/>
        <w:jc w:val="both"/>
        <w:rPr>
          <w:rFonts w:ascii="Times New Roman" w:hAnsi="Times New Roman"/>
          <w:sz w:val="20"/>
        </w:rPr>
      </w:pPr>
      <w:r>
        <w:rPr>
          <w:rFonts w:ascii="Times New Roman" w:hAnsi="Times New Roman"/>
          <w:i/>
          <w:color w:val="000000"/>
          <w:sz w:val="24"/>
        </w:rPr>
        <w:t>Section 9.16. Accounting Changes.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make any significant change in accounting treatment, except as required or permitted by GAAP, without the consent of the Lenders, such consent not to be unreasonably withheld or delayed.</w:t>
      </w:r>
    </w:p>
    <w:p>
      <w:pPr>
        <w:pStyle w:val="TextBody"/>
        <w:bidi w:val="0"/>
        <w:spacing w:before="280" w:after="283"/>
        <w:jc w:val="both"/>
        <w:rPr>
          <w:rFonts w:ascii="Times New Roman" w:hAnsi="Times New Roman"/>
          <w:sz w:val="20"/>
        </w:rPr>
      </w:pPr>
      <w:r>
        <w:rPr>
          <w:rFonts w:ascii="Times New Roman" w:hAnsi="Times New Roman"/>
          <w:i/>
          <w:color w:val="000000"/>
          <w:sz w:val="24"/>
        </w:rPr>
        <w:t>Section 9.17. Compliance with ERISA.</w:t>
      </w:r>
      <w:r>
        <w:rPr>
          <w:rFonts w:ascii="Times New Roman" w:hAnsi="Times New Roman"/>
          <w:color w:val="000000"/>
          <w:sz w:val="20"/>
        </w:rPr>
        <w:t xml:space="preserve"> </w:t>
      </w:r>
      <w:r>
        <w:rPr>
          <w:rFonts w:ascii="Times New Roman" w:hAnsi="Times New Roman"/>
          <w:color w:val="000000"/>
          <w:sz w:val="24"/>
        </w:rPr>
        <w:t>No Obligor or ERISA Affiliate shall cause or suffer to exist (a) any event that would result in the imposition of a Lien with respect to any Title IV Plan or Multiemployer Plan or (b) any other ERISA Event, in the case of (a) and (b), that would, in the aggregate, have a Material Adverse Effect.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9.18. Deposit Accounts.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establish or maintain any bank account that is not a Controlled Account (other than an Excluded Account) and will not, and will not permit any of its Subsidiaries to, deposit proceeds in a bank account that is not a Controlled Account.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9.19. Outbound Licenses.</w:t>
      </w:r>
      <w:r>
        <w:rPr>
          <w:rFonts w:ascii="Times New Roman" w:hAnsi="Times New Roman"/>
          <w:color w:val="000000"/>
          <w:sz w:val="20"/>
        </w:rPr>
        <w:t xml:space="preserve"> </w:t>
      </w:r>
      <w:r>
        <w:rPr>
          <w:rFonts w:ascii="Times New Roman" w:hAnsi="Times New Roman"/>
          <w:color w:val="000000"/>
          <w:sz w:val="24"/>
        </w:rPr>
        <w:t>It will not, and will not permit any of its Subsidiaries to, enter into or become bound by any outbound license or agreement unless such outbound license or agreement is a Permitted License.</w:t>
      </w:r>
    </w:p>
    <w:p>
      <w:pPr>
        <w:pStyle w:val="TextBody"/>
        <w:bidi w:val="0"/>
        <w:spacing w:before="280" w:after="283"/>
        <w:jc w:val="both"/>
        <w:rPr>
          <w:rFonts w:ascii="Times New Roman" w:hAnsi="Times New Roman"/>
          <w:sz w:val="20"/>
        </w:rPr>
      </w:pPr>
      <w:r>
        <w:rPr>
          <w:rFonts w:ascii="Times New Roman" w:hAnsi="Times New Roman"/>
          <w:i/>
          <w:color w:val="000000"/>
          <w:sz w:val="24"/>
        </w:rPr>
        <w:t>Section 9.20. Inbound Licenses.</w:t>
      </w:r>
      <w:r>
        <w:rPr>
          <w:rFonts w:ascii="Times New Roman" w:hAnsi="Times New Roman"/>
          <w:color w:val="000000"/>
          <w:sz w:val="20"/>
        </w:rPr>
        <w:t xml:space="preserve"> </w:t>
      </w:r>
      <w:r>
        <w:rPr>
          <w:rFonts w:ascii="Times New Roman" w:hAnsi="Times New Roman"/>
          <w:color w:val="000000"/>
          <w:sz w:val="24"/>
        </w:rPr>
        <w:t xml:space="preserve">It will not, and will not permit any of its Subsidiaries to, enter into or become bound by any inbound license or agreement (other than Permitted Licenses) unless (a) no Default has occurred and is continuing, (b) such Obligor has provided written notice to the Administrative Agent of the material terms of such license or agreement with a description of its anticipated and projected impact on such Obligor’s business or financial condition and (c) such Obligor has taken such commercially reasonable actions as the Administrative Agent may reasonably request to obtain the consent of, or waiver by, any Person whose consent or waiver is necessary for the Administrative Agent to be granted a valid and perfected security interest in such license or agreement and to allow the Administrative Agent to fully exercise its rights under any of the Loan Documents in the event of a disposition or liquidation of the rights, assets or property that is the subject of such license or agreement;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aggregate amounts to be paid</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93</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under all such inbound licenses pursuant to this Section 9.20 shall not exceed an amount equal to $2,000,000 per fiscal year.</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 xml:space="preserve">Article 10 </w:t>
        <w:br/>
        <w:br/>
        <w:t>Events of Default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10.01. Events of Default.</w:t>
      </w:r>
      <w:r>
        <w:rPr>
          <w:rFonts w:ascii="Times New Roman" w:hAnsi="Times New Roman"/>
          <w:color w:val="000000"/>
          <w:sz w:val="20"/>
        </w:rPr>
        <w:t xml:space="preserve"> </w:t>
      </w:r>
      <w:r>
        <w:rPr>
          <w:rFonts w:ascii="Times New Roman" w:hAnsi="Times New Roman"/>
          <w:color w:val="000000"/>
          <w:sz w:val="24"/>
        </w:rPr>
        <w:t xml:space="preserve">Each of the following events shall constitute an </w:t>
      </w:r>
      <w:r>
        <w:rPr>
          <w:rFonts w:ascii="Times New Roman" w:hAnsi="Times New Roman"/>
          <w:color w:val="000000"/>
          <w:sz w:val="20"/>
        </w:rPr>
        <w:t>“</w:t>
      </w:r>
      <w:r>
        <w:rPr>
          <w:rFonts w:ascii="Times New Roman" w:hAnsi="Times New Roman"/>
          <w:i/>
          <w:color w:val="000000"/>
          <w:sz w:val="24"/>
        </w:rPr>
        <w:t>Event of Default”</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Borrower shall fail to pay any principal on the Term Loans when and as the same shall become due and payable at the due date thereof;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Obligor shall fail to pay any Obligation (other than an amount referred to in Section 10.01(a)) when and as the same shall become due and payable, and such failure shall continue unremedied for a period of three (3) Business Days;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representation or warranty made in writing by or on behalf of an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Obligor shall fail to observe or perform any covenant, condition or agreement contained in Sections 8.01(a)-(d), 8.02(a), 8.02(b), 8.03(a) (with respect to such Obligor’s existence), 8.10, 8.11, 8.15, 8.18 or Article 9;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any Obligor shall fail to observe or perform any covenant, condition or agreement contained in Section 8.01 (other than in clauses (a)-(d) and 8.02 (other than in clauses (a) and (b)), and in the case of any failure that is capable of cure, such failure shall continue unremedied for a period of five (5) or more days; or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Obligor shall fail to observe or perform any covenant, condition or agreement contained in this Agreement (other than those specified in Section 10.01(a), (b), (d) or (e)) or any other Loan Document, and, in the case of any failure that is capable of cure, such failure shall continue unremedied for a period of thirty (30) or more days, after actual knowledge by a Responsible Office or receipt of notice from the Administrative Agent;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any Obligor shall fail to make any payment (whether of principal or interest and regardless of amount) in respect of any Material Indebtedness, when and as the </w:t>
      </w:r>
    </w:p>
    <w:p>
      <w:pPr>
        <w:pStyle w:val="TextBody"/>
        <w:bidi w:val="0"/>
        <w:jc w:val="center"/>
        <w:rPr/>
      </w:pPr>
      <w:r>
        <w:rPr>
          <w:color w:val="000000"/>
        </w:rPr>
        <w:noBreakHyphen/>
      </w:r>
      <w:r>
        <w:rPr>
          <w:rFonts w:ascii="Times New Roman" w:hAnsi="Times New Roman"/>
          <w:color w:val="000000"/>
          <w:sz w:val="24"/>
        </w:rPr>
        <w:t>94</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same shall become due and payable after giving effect to any applicable grace or cure period as originally provided by the terms of such Indebtedness;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pPr>
      <w:r>
        <w:rPr>
          <w:rFonts w:ascii="Times New Roman" w:hAnsi="Times New Roman"/>
          <w:color w:val="000000"/>
          <w:sz w:val="24"/>
        </w:rPr>
        <w:t xml:space="preserve">(i) any material breach of, or “event of default” or similar event under, the Contract governing any Material Indebtedness shall occur and such breach or “event of default” or similar event shall continue unremedied, uncured or unwaived after a period of five (5) Business Days after the expiration of any cure period thereunder, or (ii) any event or condition occurs (A) that results in any Material Indebtedness becoming due prior to its scheduled maturity or (B)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this Section 10.01(h) shall not apply to secured Indebtedness that becomes due as a result of the voluntary sale or transfer of the Property securing such Material Indebtedness;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Obligor or any of its Subsidiaries: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ceases to be 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shall (A) voluntarily commence any proceeding or file any petition seeking liquidation, reorganization or other relief under any Federal, state or foreign bankruptcy, insolvency, receivership or similar law now or hereafter in effect, (B) consent to the institution of, or fail to contest in a timely and appropriate manner, any proceeding or petition described in Section 10.01(j), (C) apply for or consent to the appointment of a receiver, trustee, custodian, sequestrator, conservator or similar official for an Obligor or for a substantial part of its assets, (D) file an answer admitting the material allegations of a petition filed against it in any such proceeding, (E) make a general assignment for the benefit of creditors or (F) take any action for the purpose of effecting any of the foregoing;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 involuntary proceeding shall be commenced or an involuntary petition shall be filed seeking (i) liquidation, reorganization or other relief in respect of an Obligor or any Subsidiary of an Obligor or its debts, or of a substantial part of its assets, under any Federal, state or foreign bankruptcy, insolvency, receivership or similar law now or hereafter in effect or (ii) the appointment of a receiver, trustee, custodian, sequestrator, conservator or similar official for an Obligor or any Subsidiary of an Obligor or for a substantial part of its assets, and, in any such case, such proceeding or petition shall continue undismissed for sixty (60) days or an order or decree approving or ordering any of the foregoing shall be entered; or</w:t>
      </w:r>
    </w:p>
    <w:p>
      <w:pPr>
        <w:pStyle w:val="TextBody"/>
        <w:bidi w:val="0"/>
        <w:jc w:val="center"/>
        <w:rPr/>
      </w:pPr>
      <w:r>
        <w:rPr>
          <w:color w:val="000000"/>
        </w:rPr>
        <w:noBreakHyphen/>
      </w:r>
      <w:r>
        <w:rPr>
          <w:rFonts w:ascii="Times New Roman" w:hAnsi="Times New Roman"/>
          <w:color w:val="000000"/>
          <w:sz w:val="24"/>
        </w:rPr>
        <w:t>95</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one or more judgments for the payment of money in an aggregate amount in excess of $500,000 (excluding any amounts covered by insurance as to which the applicable carrier has not denied coverage) shall be rendered against any Obligor or any combination thereof and the same shall remain undischarged for a period of forty-five (45) consecutive days during which execution shall not be effectively stayed, or any action shall be legally taken by a judgment creditor to attach or levy upon any assets of any Obligor to enforce any such judgment;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 ERISA Event shall have occurred that, in the reasonable opinion of the Lenders, when taken together with all other ERISA Events that have occurred, would reasonably be expected to have a Material Adverse Effect;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Change of Control shall have occurred;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[reserved];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Material Adverse Change shall have occurred;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any Lien created by any of the Security Documents shall at any time not constitute a valid and perfected Lien in favor of the Administrative Agent on Collateral with an aggregate value in excess of $250,000, free and clear of all other Liens (other than Permitted Liens) except due to the action or inaction of the Administrative Agent or any Lender(s), (ii) except for expiration in accordance with its terms and except due to the action or inaction of the Administrative Agent or any Lender(s), any material provision of the Security Documents or any Guarantee of any of the Obligations shall for whatever reason cease to be in full force and effect, or (iii) any of the Security Documents or any Guarantee of any of the Obligations, or the enforceability thereof, shall be repudiated or contested by any Obligor;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injunction, whether temporary or permanent, shall be rendered against any Obligor that prevents the Obligors from selling or manufacturing any Product that has a Material Adverse Effect;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(i) the FDA or any other Governmental Authority (A) issues a letter or other communication asserting that any Product lacks a required Product Authorization (other than the revocation of any emergency use authorization issued pursuant to Section 564 of the FD&amp;C Act), including in respect of CE marks or 510(k)s or (B) initiates enforcement action against, or issues a warning letter with respect to, any Obligor, or any of their Products or the manufacturing facilities therefor, that causes any Obligor thereof to discontinue marketing or withdraw any of its Products, or causes a delay in the manufacture of any of its Products, which discontinuance, withdrawal or delay would reasonably be expected to last for more than ninety (90) days, (ii) any material Permit (including all Product Authorizations or clinical laboratory Permits), or any of the Obligors’ material rights or interests thereunder, is terminated, adversely amended or otherwise determined to be ineffective in any manner materially adverse to any of the Obligors, in each case, for more than ninety (90) days, (iii) there is a recall of any Product </w:t>
      </w:r>
    </w:p>
    <w:p>
      <w:pPr>
        <w:pStyle w:val="TextBody"/>
        <w:bidi w:val="0"/>
        <w:jc w:val="center"/>
        <w:rPr/>
      </w:pPr>
      <w:r>
        <w:rPr>
          <w:color w:val="000000"/>
        </w:rPr>
        <w:noBreakHyphen/>
      </w:r>
      <w:r>
        <w:rPr>
          <w:rFonts w:ascii="Times New Roman" w:hAnsi="Times New Roman"/>
          <w:color w:val="000000"/>
          <w:sz w:val="24"/>
        </w:rPr>
        <w:t>96</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any territory in the case of (i) or (ii) that would reasonably be expected to result in a loss of revenue equal to at least $3,000,000 over the twelve (12) month period following such event or (iv) any Obligor is required to pay a fine, penalty, settlement amount or other payment to any Governmental Authority which individually or in the aggregate is in excess of $1,500,000 (except to the extent covered by insurance as to which the insurer does not dispute coverage) for any violation or alleged violation of any Healthcare Law.</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10.02. Remedies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Upon the occurrence of any Event of Default, then, and in every such event (other than an Event of Default described in Section 10.01(i) or (j)), and at any time thereafter during the continuance of such event, the Majority Lenders may, by notice to the Borrower, take either or both of the following actions, at the same or different times: (i) terminate the Commitments, and thereupon the Commitments shall terminate immediately, and (ii)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and other Obligations, shall become due and payable immediately (in the case of the Term Loans, at the Redemption Price therefor), without presentment, demand, protest or other notice of any kind, all of which are hereby waived by each Obligor.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Upon the occurrence of any Event of Default described in Section 10.01(i) or (j), the Commitments shall automatically terminate and the principal amount of the Term Loans then outstanding, together with accrued interest thereon and all fees and other Obligations, shall automatically become due and payable immediately (in the case of the Term Loan, at the Redemption Price therefor), without presentment, demand, protest or other notice of any kind, all of which are hereby waived by each Obligor.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If any Lender collects any money or property pursuant to this Article 10, they shall pay out the money or property in the order set forth in Section 4.01(b).</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10.03. Prepayment Premium and Redemption Price.</w:t>
      </w:r>
      <w:r>
        <w:rPr>
          <w:rFonts w:ascii="Times New Roman" w:hAnsi="Times New Roman"/>
          <w:color w:val="000000"/>
          <w:sz w:val="20"/>
        </w:rPr>
        <w:t xml:space="preserve"> </w:t>
      </w:r>
      <w:r>
        <w:rPr>
          <w:rFonts w:ascii="Times New Roman" w:hAnsi="Times New Roman"/>
          <w:color w:val="000000"/>
          <w:sz w:val="24"/>
        </w:rPr>
        <w:t>For the avoidance of doubt, if any Prepayment Premium (as a component of the Redemption Price) shall be due and payable at any time the Term Loans become due and payable prior to the Stated Maturity Date for any reason, whether due to acceleration pursuant to the terms of this Agreement (in which case it shall be due immediately, upon the giving of notice to Borrower in accordance with Section 10.02(a), or automatically, in accordance with Section 10.02(b)),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any Prepayment Premium shall be due and payable upon such date. Each Obligor hereby waives any defense to payment, whether such defense may be based in public policy, ambiguity, or otherwise. The Obligors and the Lenders acknowledge and agree that any Prepayment Premium due and payable in accordance with this Agreement shall not constitute unmatured interest, whether under</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97</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Section 502(b)(3) of the Bankruptcy Code or otherwise. Each Obligor further acknowledges and agrees, and waives any argument to the contrary, that payment of such amount does not constitute a penalty or an otherwise unenforceable or invalid obligation.</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 xml:space="preserve">Article 11 </w:t>
        <w:br/>
        <w:br/>
        <w:t>Guarantee</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11.01. The Guarantee.</w:t>
      </w:r>
      <w:r>
        <w:rPr>
          <w:rFonts w:ascii="Times New Roman" w:hAnsi="Times New Roman"/>
          <w:color w:val="000000"/>
          <w:sz w:val="20"/>
        </w:rPr>
        <w:t xml:space="preserve"> </w:t>
      </w:r>
      <w:r>
        <w:rPr>
          <w:rFonts w:ascii="Times New Roman" w:hAnsi="Times New Roman"/>
          <w:color w:val="000000"/>
          <w:sz w:val="24"/>
        </w:rPr>
        <w:t xml:space="preserve">The Guarantors hereby jointly and severally guarantee to the Administrative Agent and each Lender, and its successors and assigns, the prompt payment in full when due (whether at stated maturity, by acceleration or otherwise) of the principal of and interest on the Term Loans, all fees and other amounts and Obligations from time to time owing to the Administrative Agent and any Lender by the Borrower under this Agreement or under any other Loan Document and by any other Obligor under any of the Loan Documents, in each case strictly in accordance with the terms thereof (such obligations being herein collectively called the </w:t>
      </w:r>
      <w:r>
        <w:rPr>
          <w:rFonts w:ascii="Times New Roman" w:hAnsi="Times New Roman"/>
          <w:color w:val="000000"/>
          <w:sz w:val="20"/>
        </w:rPr>
        <w:t>“</w:t>
      </w:r>
      <w:r>
        <w:rPr>
          <w:rFonts w:ascii="Times New Roman" w:hAnsi="Times New Roman"/>
          <w:i/>
          <w:color w:val="000000"/>
          <w:sz w:val="24"/>
        </w:rPr>
        <w:t>Guaranteed Obligations”</w:t>
      </w:r>
      <w:r>
        <w:rPr>
          <w:rFonts w:ascii="Times New Roman" w:hAnsi="Times New Roman"/>
          <w:color w:val="000000"/>
          <w:sz w:val="24"/>
        </w:rPr>
        <w:t>). The Guarantors hereby further jointly and severally agree that if the Borrower shall fail to pay in full when due (whether at stated maturity, by acceleration or otherwise) any of the Guaranteed Obligations, the Guarantors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11.02. Obligations Unconditional.</w:t>
      </w:r>
      <w:r>
        <w:rPr>
          <w:rFonts w:ascii="Times New Roman" w:hAnsi="Times New Roman"/>
          <w:color w:val="000000"/>
          <w:sz w:val="20"/>
        </w:rPr>
        <w:t xml:space="preserve"> </w:t>
      </w:r>
      <w:r>
        <w:rPr>
          <w:rFonts w:ascii="Times New Roman" w:hAnsi="Times New Roman"/>
          <w:color w:val="000000"/>
          <w:sz w:val="24"/>
        </w:rPr>
        <w:t>The Obligations of the Guarantors under Section 11.01 are irrevocable, continuing, absolute and unconditional, joint and several, irrespective of the value, genuineness, validity, regularity or enforceability of the obligations of the Borrower under this Agreement or any other agreement or instrument referred to 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it being the intent of this Section 11.02 that the Obligations of the Guarantors hereunder shall be absolute and unconditional, joint and several, under any and all circumstances. Without limiting the generality of the foregoing, other than the defense of the payment in full of the Obligations, it is agreed that the occurrence of any one or more of the following shall not alter or impair the liability of the Guarantors hereunder, which shall remain absolute and unconditional as described above: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at any time or from time to time, without notice to the Guarantors, the time for any performance of or compliance with any of the Guaranteed Obligations shall be extended, or such performance or compliance shall be waived;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of the acts mentioned in any of the provisions of this Agreement or any other agreement or instrument referred to herein shall be done or omitted;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the maturity of any of the Guaranteed Obligations shall be accelerated, or any of the Guaranteed Obligations shall be modified, supplemented or </w:t>
      </w:r>
    </w:p>
    <w:p>
      <w:pPr>
        <w:pStyle w:val="TextBody"/>
        <w:bidi w:val="0"/>
        <w:jc w:val="center"/>
        <w:rPr/>
      </w:pPr>
      <w:r>
        <w:rPr>
          <w:color w:val="000000"/>
        </w:rPr>
        <w:noBreakHyphen/>
      </w:r>
      <w:r>
        <w:rPr>
          <w:rFonts w:ascii="Times New Roman" w:hAnsi="Times New Roman"/>
          <w:color w:val="000000"/>
          <w:sz w:val="24"/>
        </w:rPr>
        <w:t>98</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rFonts w:ascii="Times New Roman" w:hAnsi="Times New Roman"/>
          <w:color w:val="000000"/>
          <w:sz w:val="24"/>
        </w:rPr>
        <w:t>amended in any respect (including, without limitation, any modification, supplement, or amendment that results in any increase in the Guaranteed Obligations, any change in the interest or fees payable, any renewal, extension, amendment, rescission, waiver, release, discharge, indulgence, compromise, arrangement, or any other variation in connection with the Guaranteed Obligations, any Loan Document, or any other agreement), or any right under this Agreement or any other agreement or instrument referred to herein shall be waived or any other Guarantee of any of the Guaranteed Obligations or any security therefor shall be released or exchanged in whole or in part or otherwise dealt with;</w:t>
      </w:r>
      <w:r>
        <w:rPr>
          <w:color w:val="00000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any Lien or security interest granted to, or in favor of, any Lender as security for any of the Guaranteed Obligations shall fail to be perfected or otherwise be taken, exchanged, substituted, varied, released, impaired, or subordinated;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Guarantee of the Guaranteed Obligations shall be taken, released, impaired, amended, waived or otherwise modified;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of the Guaranteed Obligations, any Loan Document, or any related agreement, security, or instrument shall be illegal, invalid or unenforceable for any reason whatsoever;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Collateral or other assets shall be sold or disposed, and/or the proceeds of such sale or disposition applied, to satisfy all or part of the Guaranteed Obligations;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any of the security or Collateral held for the Guaranteed Obligations shall lose or diminish in value, whether such loss or diminution arises from any act or omission of the Administrative Agent or any Lender;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there shall be any Default, failure, or delay, willful or otherwise, in the payment and/or performance of the Guaranteed Obligations;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there shall be any change, restructuring or termination of the corporate structure, ownership or existence of any Obligor or any of its Subsidiaries or any insolvency, bankruptcy, reorganization or other similar proceeding affecting any Obligor or its assets or any resulting restructuring, compromise, release or discharge of any Guaranteed Obligations;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there shall be any failure of any of the Administrative Agent or any Lender to disclose to any Obligor any information relating to the business, condition (financial or otherwise), operations, performance, properties or prospects of any other Obligor, or any other information now or hereafter known to the Administrative Agent or such Lender;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person shall fail to execute or deliver this Agreement (including the Guarantee in this Article 11) or any other Guarantee or agreement or the release or reduction of liability of any Obligor or surety with respect to the Guaranteed Obligations;</w:t>
      </w:r>
    </w:p>
    <w:p>
      <w:pPr>
        <w:pStyle w:val="TextBody"/>
        <w:bidi w:val="0"/>
        <w:jc w:val="center"/>
        <w:rPr/>
      </w:pPr>
      <w:r>
        <w:rPr>
          <w:color w:val="000000"/>
        </w:rPr>
        <w:noBreakHyphen/>
      </w:r>
      <w:r>
        <w:rPr>
          <w:rFonts w:ascii="Times New Roman" w:hAnsi="Times New Roman"/>
          <w:color w:val="000000"/>
          <w:sz w:val="24"/>
        </w:rPr>
        <w:t>99</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of the Administrative Agent or any Lender shall fail to assert any claim or demand or to exercise or enforce any right or remedy under the provisions of any Loan Document or otherwise;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any Obligor shall assert any defense, set-off or counterclaim (other than a defense of payment or performance) that may at any time be available to, or be asserted by, such against any of the Administrative Agent or any Lender; or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other circumstance (including, without limitation, any statute of limitations) or manner of administering the Guaranteed Obligations shall exist or occur, or any of the Administrative Agent or any Lender shall rely on any representation, in each case, that might vary the risk of any Obligor or otherwise operate as a defense available to, or a legal or equitable discharge of, any Obligor or surety.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Guarantors hereby expressly waive diligence, presentment, demand of payment, protest and all notices whatsoever, and any requirement that the Administrative Agent or any Lender exhaust any right, power or remedy or proceed against the Borrower under this Agreement or any other agreement or instrument referred to herein, or against any other Person under any other Guarantee of, or security for, any of the Guaranteed Obligations.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11.03. Reinstatement.</w:t>
      </w:r>
      <w:r>
        <w:rPr>
          <w:rFonts w:ascii="Times New Roman" w:hAnsi="Times New Roman"/>
          <w:color w:val="000000"/>
          <w:sz w:val="20"/>
        </w:rPr>
        <w:t xml:space="preserve"> </w:t>
      </w:r>
      <w:r>
        <w:rPr>
          <w:rFonts w:ascii="Times New Roman" w:hAnsi="Times New Roman"/>
          <w:color w:val="000000"/>
          <w:sz w:val="24"/>
        </w:rPr>
        <w:t>The obligations of the Guarantors under this Article 11 shall be automatically reinstated if and to the extent that for any reason any payment by or on behalf of the Borrower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the Administrative Agent and each Lender on demand for all reasonable costs and expenses (including reasonable and documented out-of-pocket fees of counsel) incurred by such Persons in connection with such rescission or restoration, including any such reasonable costs and expenses incurred in defending against any Claim alleging that such payment constituted a preference, fraudulent transfer or similar payment under any bankruptcy, insolvency or similar Law.</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11.04. Subrogation.</w:t>
      </w:r>
      <w:r>
        <w:rPr>
          <w:rFonts w:ascii="Times New Roman" w:hAnsi="Times New Roman"/>
          <w:color w:val="000000"/>
          <w:sz w:val="20"/>
        </w:rPr>
        <w:t xml:space="preserve"> </w:t>
      </w:r>
      <w:r>
        <w:rPr>
          <w:rFonts w:ascii="Times New Roman" w:hAnsi="Times New Roman"/>
          <w:color w:val="000000"/>
          <w:sz w:val="24"/>
        </w:rPr>
        <w:t>The Guarantors hereby jointly and severally agree that, until the payment and satisfaction in full of all Guaranteed Obligations (other than the Warrant Obligations and contingent and unmatured indemnity and expense reimbursement obligations) and the expiration and termination of the Commitments and the repayment, satisfaction or discharge of all Obligations under any Loan Document, they shall not exercise any right or remedy arising by reason of any performance by them of their Guarantee in Section 11.01, whether by subrogation or otherwise, against the Borrower or any other guarantor of any of the Guaranteed Obligations or any security for any of the Guaranteed Obligations.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11.05. Remedies.</w:t>
      </w:r>
      <w:r>
        <w:rPr>
          <w:rFonts w:ascii="Times New Roman" w:hAnsi="Times New Roman"/>
          <w:color w:val="000000"/>
          <w:sz w:val="20"/>
        </w:rPr>
        <w:t xml:space="preserve"> </w:t>
      </w:r>
      <w:r>
        <w:rPr>
          <w:rFonts w:ascii="Times New Roman" w:hAnsi="Times New Roman"/>
          <w:color w:val="000000"/>
          <w:sz w:val="24"/>
        </w:rPr>
        <w:t>The Guarantors jointly and severally agree that, as between the Guarantors, on one hand, and the Lenders, on the other hand, the obligations of the Borrower under this Agreement and under the other Loan Documents may be declared to be forthwith due and payable as provided in Article 10 (and shall be deemed to have become automatically due and payable in the circumstances provided in Article 10) for purposes of Section 11.01 notwithstanding</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100</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11.06. Instrument for the Payment of Money.</w:t>
      </w:r>
      <w:r>
        <w:rPr>
          <w:rFonts w:ascii="Times New Roman" w:hAnsi="Times New Roman"/>
          <w:color w:val="000000"/>
          <w:sz w:val="20"/>
        </w:rPr>
        <w:t xml:space="preserve"> </w:t>
      </w:r>
      <w:r>
        <w:rPr>
          <w:rFonts w:ascii="Times New Roman" w:hAnsi="Times New Roman"/>
          <w:color w:val="000000"/>
          <w:sz w:val="24"/>
        </w:rPr>
        <w:t>Each Guarantor hereby acknowledges that the Guarantee in this Article 11 constitutes an instrument for the payment of money, and consents and agrees that each Lender, at its sole option, in the event of a dispute by such Guarantor in the payment of any moneys due hereunder, shall have the right to proceed by motion for summary judgment in lieu of complaint pursuant to N.Y. Civ. Prac. L&amp;R § 3213.</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11.07. Continuing Guarantee.</w:t>
      </w:r>
      <w:r>
        <w:rPr>
          <w:rFonts w:ascii="Times New Roman" w:hAnsi="Times New Roman"/>
          <w:color w:val="000000"/>
          <w:sz w:val="20"/>
        </w:rPr>
        <w:t xml:space="preserve"> </w:t>
      </w:r>
      <w:r>
        <w:rPr>
          <w:rFonts w:ascii="Times New Roman" w:hAnsi="Times New Roman"/>
          <w:color w:val="000000"/>
          <w:sz w:val="24"/>
        </w:rPr>
        <w:t>The Guarantee in this Article 11 is a continuing guarantee, and shall apply to all Guaranteed Obligations whenever arising. Without limiting the generality of the foregoing, the Guarantors hereby unconditionally and irrevocably waive any right to revoke this Guarantee in this Article 11 and acknowledge that the Guarantee in this Article 11 is continuing in nature, shall guarantee any ultimate balance owing to any of the Administrative Agent or any Lender, and applies to all presently existing and future Guaranteed Obligations, until the complete, irrevocable and indefeasible payment and satisfaction in full of the Guaranteed Obligations.</w:t>
      </w:r>
      <w:r>
        <w:rPr>
          <w:rFonts w:ascii="Times New Roman" w:hAnsi="Times New Roman"/>
          <w:color w:val="3D3D3D"/>
          <w:sz w:val="20"/>
        </w:rPr>
        <w:t xml:space="preserve"> </w:t>
      </w:r>
      <w:r>
        <w:rPr>
          <w:rFonts w:ascii="Times New Roman" w:hAnsi="Times New Roman"/>
          <w:color w:val="000000"/>
          <w:sz w:val="24"/>
        </w:rPr>
        <w:t>The Guarantee in this Article 11 shall continue to apply to all Guaranteed Obligations owing to the Administrative Agent and the Lenders by any entity resulting from any Obligor merging, amalgamating, or otherwise entering into any other business combination transaction with one or more other entities.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11.08. Rights of Contribution.</w:t>
      </w:r>
      <w:r>
        <w:rPr>
          <w:rFonts w:ascii="Times New Roman" w:hAnsi="Times New Roman"/>
          <w:color w:val="000000"/>
          <w:sz w:val="20"/>
        </w:rPr>
        <w:t xml:space="preserve"> </w:t>
      </w:r>
      <w:r>
        <w:rPr>
          <w:rFonts w:ascii="Times New Roman" w:hAnsi="Times New Roman"/>
          <w:color w:val="000000"/>
          <w:sz w:val="24"/>
        </w:rPr>
        <w:t>The Guarantors hereby agree, as between themselves, that if any Guarantor shall become an Excess Funding Guarantor (as defined below) by reason of the payment by such Guarantor of any Guaranteed Obligations, each other Guarantor shall, on demand of such Excess Funding Guarantor (but subject to the next sentence), pay to such Excess Funding Guarantor an amount equal to such Guarantor’s Pro Rata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Section 11.08 shall be subordinate and subject in right of payment to the prior payment in full of the obligations of such Guarantor under the other provisions of this Article 11 and such Excess Funding Guarantor shall not exercise any right or remedy with respect to such excess until payment and satisfaction in full of all of such obligations.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For purposes of this Section 11.08, (a) </w:t>
      </w:r>
      <w:r>
        <w:rPr>
          <w:rFonts w:ascii="Times New Roman" w:hAnsi="Times New Roman"/>
          <w:color w:val="000000"/>
          <w:sz w:val="20"/>
        </w:rPr>
        <w:t>“</w:t>
      </w:r>
      <w:r>
        <w:rPr>
          <w:rFonts w:ascii="Times New Roman" w:hAnsi="Times New Roman"/>
          <w:i/>
          <w:color w:val="000000"/>
          <w:sz w:val="24"/>
        </w:rPr>
        <w:t>Excess Funding Guarantor”</w:t>
      </w:r>
      <w:r>
        <w:rPr>
          <w:rFonts w:ascii="Times New Roman" w:hAnsi="Times New Roman"/>
          <w:color w:val="000000"/>
          <w:sz w:val="20"/>
        </w:rPr>
        <w:t xml:space="preserve"> </w:t>
      </w:r>
      <w:r>
        <w:rPr>
          <w:rFonts w:ascii="Times New Roman" w:hAnsi="Times New Roman"/>
          <w:color w:val="000000"/>
          <w:sz w:val="24"/>
        </w:rPr>
        <w:t xml:space="preserve">means, in respect of any Guaranteed Obligations, a Guarantor that has paid an amount in excess of its Pro Rata Share of such Guaranteed Obligations, (b) </w:t>
      </w:r>
      <w:r>
        <w:rPr>
          <w:rFonts w:ascii="Times New Roman" w:hAnsi="Times New Roman"/>
          <w:color w:val="000000"/>
          <w:sz w:val="20"/>
        </w:rPr>
        <w:t>“</w:t>
      </w:r>
      <w:r>
        <w:rPr>
          <w:rFonts w:ascii="Times New Roman" w:hAnsi="Times New Roman"/>
          <w:i/>
          <w:color w:val="000000"/>
          <w:sz w:val="24"/>
        </w:rPr>
        <w:t>Excess Payment”</w:t>
      </w:r>
      <w:r>
        <w:rPr>
          <w:rFonts w:ascii="Times New Roman" w:hAnsi="Times New Roman"/>
          <w:color w:val="000000"/>
          <w:sz w:val="20"/>
        </w:rPr>
        <w:t xml:space="preserve"> </w:t>
      </w:r>
      <w:r>
        <w:rPr>
          <w:rFonts w:ascii="Times New Roman" w:hAnsi="Times New Roman"/>
          <w:color w:val="000000"/>
          <w:sz w:val="24"/>
        </w:rPr>
        <w:t xml:space="preserve">means, in respect of any Guaranteed Obligations, the amount paid by an Excess Funding Guarantor in excess of its Pro Rata Share of such Guaranteed Obligations and (c) </w:t>
      </w:r>
      <w:r>
        <w:rPr>
          <w:rFonts w:ascii="Times New Roman" w:hAnsi="Times New Roman"/>
          <w:color w:val="000000"/>
          <w:sz w:val="20"/>
        </w:rPr>
        <w:t>“</w:t>
      </w:r>
      <w:r>
        <w:rPr>
          <w:rFonts w:ascii="Times New Roman" w:hAnsi="Times New Roman"/>
          <w:i/>
          <w:color w:val="000000"/>
          <w:sz w:val="24"/>
        </w:rPr>
        <w:t>Pro Rata Share”</w:t>
      </w:r>
      <w:r>
        <w:rPr>
          <w:rFonts w:ascii="Times New Roman" w:hAnsi="Times New Roman"/>
          <w:color w:val="000000"/>
          <w:sz w:val="20"/>
        </w:rPr>
        <w:t xml:space="preserve"> </w:t>
      </w:r>
      <w:r>
        <w:rPr>
          <w:rFonts w:ascii="Times New Roman" w:hAnsi="Times New Roman"/>
          <w:color w:val="000000"/>
          <w:sz w:val="24"/>
        </w:rPr>
        <w:t>means, as of the date of determination, for any Guarantor, the ratio (expressed as a percentage) of (i) 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101</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obligations of such Guarantor hereunder and any obligations of any other Guarantor that have been guaranteed by such Guarantor) to (ii) the amount by which the aggregate fair saleable value of all properties of all of the Guarantors exceeds the amount of all the debts and liabilities (including contingent, subordinated, unmatured and unliquidated liabilities, but excluding the obligations of the Borrower and the Guarantors hereunder and under the other Loan Documents) of all of the Guarantors, determined (A) with respect to any Guarantor that is a party hereto on the Closing Date, as of such date, and (B) with respect to any other Guarantor, as of the date such Guarantor becomes a Guarantor hereunder.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11.09. General Limitation on Guarantee Obligations.</w:t>
      </w:r>
      <w:r>
        <w:rPr>
          <w:rFonts w:ascii="Times New Roman" w:hAnsi="Times New Roman"/>
          <w:color w:val="000000"/>
          <w:sz w:val="20"/>
        </w:rPr>
        <w:t xml:space="preserve"> </w:t>
      </w:r>
      <w:r>
        <w:rPr>
          <w:rFonts w:ascii="Times New Roman" w:hAnsi="Times New Roman"/>
          <w:color w:val="000000"/>
          <w:sz w:val="24"/>
        </w:rPr>
        <w:t>In any action or proceeding involving any provincial, territorial or state corporate Law, or any state, federal, provincial, territorial or foreign bankruptcy, insolvency, reorganization or other Law affecting the rights of creditors generally, if the obligations of any Guarantor under Section 11.01 would otherwise, taking into account the provisions of Section 11.08, be held or determined to be void, invalid or unenforceable, or subordinated to the Claims of any other creditors, on account of the amount of its liability under Section 11.01, then, notwithstanding any other provision hereof to the contrary, the amount of such liability shall, without any further action by such Guarantor, the Administrative Agent, the Lenders or any other Person, be automatically limited and reduced to the highest amount that is valid and enforceable and not subordinated to the Claims of other creditors as determined in such action or proceeding.</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12</w:t>
        <w:br/>
        <w:br/>
        <w:t>Administrative Agent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12.01. Appointment</w:t>
      </w:r>
      <w:r>
        <w:rPr>
          <w:rFonts w:ascii="Times New Roman" w:hAnsi="Times New Roman"/>
          <w:color w:val="000000"/>
          <w:sz w:val="24"/>
        </w:rPr>
        <w:t>. Each of the Lenders hereby irrevocably appoints Perceptive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12 (other than as set forth in Section 12.06) are solely for the benefit of the Administrative Agent and the Lenders, and neither the Borrower nor any other Obligor will have rights as a third</w:t>
        <w:noBreakHyphen/>
        <w:t>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12.02. Rights as a Lender</w:t>
      </w:r>
      <w:r>
        <w:rPr>
          <w:rFonts w:ascii="Times New Roman" w:hAnsi="Times New Roman"/>
          <w:color w:val="000000"/>
          <w:sz w:val="24"/>
        </w:rPr>
        <w:t>. The Person serving as the Administrative Agent hereunder will have the same rights and powers in its capacity as a Lender as any other Lender and may exercise the same as though it were not the Administrative Agent, and the term “Lender” or “Lenders” will, unless otherwise expressly indicated or unless the context otherwise requires, include the Person serving as the Administrative Agent hereunder in its individual capacity to the extent such Person is a Lender. The Lenders acknowledge and agree that such Person and its Affiliates may accept deposits from, lend money to, own securities of, act as the financial advisor</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102</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or in any other advisory capacity for, and generally engage in any kind of business with, the Borrower, the other Obligors or any other Subsidiaries or Affiliates of the Obligors as if such Person were not the Administrative Agent hereunder and without any duty to account therefor to the Lenders.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12.03. Exculpatory Provisions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Administrative Agent will not have any duties or obligations except those expressly set forth herein and in the other Loan Documents, and its duties hereunder are administrative in nature. Without limiting the generality of the foregoing,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will not be subject to any fiduciary or other implied duties, regardless of whether a Default has occurred and is continuing;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pPr>
      <w:r>
        <w:rPr>
          <w:rFonts w:ascii="Times New Roman" w:hAnsi="Times New Roman"/>
          <w:color w:val="000000"/>
          <w:sz w:val="24"/>
        </w:rPr>
        <w:t xml:space="preserve">will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Lenders (or such other number or percentage of the Lenders as will be expressly provided for herein or in the other Loan Documents);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Administrative Agent will not be required to take any action that, in its opinion or the opinion of its counsel, may expose the Administrative Agent to liability or that is contrary to any Loan Document or applicable Law, including any action that may be in violation of the automatic stay under any Insolvency Proceeding;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will not, except as expressly set forth herein and in the other Loan Documents, have any duty to disclose, and will not be liable for the failure to disclose, any information relating to the Obligors or any of its Subsidiaries or Affiliates that is communicated to or obtained by the Person serving as the Administrative Agent or any of its Affiliates in any capacity.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Administrative Agent will not be liable for any action taken or not taken by it (i) with the consent or at the request of the Majority Lenders (or such other number or percentage of the Lenders as will be necessary, or as the Administrative Agent believes in good faith will be necessary, under the circumstances), or (ii) in the absence of its own gross negligence or willful misconduct as determined by a court of competent jurisdiction by final and non</w:t>
        <w:noBreakHyphen/>
        <w:t>appealable judgment. The Administrative Agent will be deemed not to have knowledge of any Default unless and until notice describing such Default is given to the Administrative Agent in writing by the Borrower or a Lender.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The Administrative Agent will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w:t>
      </w:r>
    </w:p>
    <w:p>
      <w:pPr>
        <w:pStyle w:val="TextBody"/>
        <w:bidi w:val="0"/>
        <w:jc w:val="center"/>
        <w:rPr/>
      </w:pPr>
      <w:r>
        <w:rPr>
          <w:color w:val="000000"/>
        </w:rPr>
        <w:noBreakHyphen/>
      </w:r>
      <w:r>
        <w:rPr>
          <w:rFonts w:ascii="Times New Roman" w:hAnsi="Times New Roman"/>
          <w:color w:val="000000"/>
          <w:sz w:val="24"/>
        </w:rPr>
        <w:t>103</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6 or elsewhere herein, other than to confirm receipt of items expressly required to be delivered to the Administrative Agent.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12.04. Reliance by Administrative Agent</w:t>
      </w:r>
      <w:r>
        <w:rPr>
          <w:rFonts w:ascii="Times New Roman" w:hAnsi="Times New Roman"/>
          <w:color w:val="000000"/>
          <w:sz w:val="24"/>
        </w:rPr>
        <w:t>. The Administrative Agent will be entitled to rely upon, and will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will not incur any liability for relying thereon. In determining compliance with any condition hereunder to the making of the Term Loans that by its terms must be fulfilled to the satisfaction of a Lender, the Administrative Agent may presume that such condition is satisfactory to such Lender unless the Administrative Agent has received notice to the contrary from such Lender prior to the making of the Term Loans. The Administrative Agent may consult with legal counsel (who may be counsel for the Borrower), independent accountants and other experts selected by it, and will not be liable for any action taken or not taken by it in accordance with the advice of any such counsel, accountants or experts.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12.05. Delegation of Duties</w:t>
      </w:r>
      <w:r>
        <w:rPr>
          <w:rFonts w:ascii="Times New Roman" w:hAnsi="Times New Roman"/>
          <w:color w:val="000000"/>
          <w:sz w:val="24"/>
        </w:rPr>
        <w:t>. The Administrative Agent may perform any and all of its duties and exercise its rights and powers hereunder or under any other Loan Document by or through any one or more sub</w:t>
        <w:noBreakHyphen/>
        <w:t>agents appointed by the Administrative Agent. The Administrative Agent and any such sub</w:t>
        <w:noBreakHyphen/>
        <w:t>agent may perform any and all of its duties and exercise its rights and powers by or through their respective Affiliates. The exculpatory provisions of this Article 12 will apply to any such sub</w:t>
        <w:noBreakHyphen/>
        <w:t>agent and to the Affiliates of the Administrative Agent and any such sub</w:t>
        <w:noBreakHyphen/>
        <w:t>agent, and will apply to their respective activities in connection with the syndication of the facility as well as activities as Administrative Agent. The Administrative Agent will not be responsible for the negligence or misconduct of any sub</w:t>
        <w:noBreakHyphen/>
        <w:t>agents except to the extent that a court of competent jurisdiction determines in a final and non</w:t>
        <w:noBreakHyphen/>
        <w:t>appealable judgment that the Administrative Agent acted with gross negligence or willful misconduct in the selection of such sub</w:t>
        <w:noBreakHyphen/>
        <w:t>agents.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12.06. Resignation of Agent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color w:val="000000"/>
          <w:sz w:val="24"/>
        </w:rPr>
        <w:t xml:space="preserve">The Administrative Agent may at any time give notice of its resignation to the Lenders and the Borrower, which notice shall set forth the effective date of such resignation (the </w:t>
      </w:r>
      <w:r>
        <w:rPr>
          <w:color w:val="000000"/>
        </w:rPr>
        <w:t>“</w:t>
      </w:r>
      <w:r>
        <w:rPr>
          <w:rFonts w:ascii="Times New Roman" w:hAnsi="Times New Roman"/>
          <w:i/>
          <w:color w:val="000000"/>
          <w:sz w:val="24"/>
        </w:rPr>
        <w:t>Resignation Effective Date”</w:t>
      </w:r>
      <w:r>
        <w:rPr>
          <w:rFonts w:ascii="Times New Roman" w:hAnsi="Times New Roman"/>
          <w:color w:val="000000"/>
          <w:sz w:val="24"/>
        </w:rPr>
        <w:t>), such date not to be earlier than the thirtieth (30</w:t>
      </w:r>
      <w:r>
        <w:rPr>
          <w:rFonts w:ascii="Times New Roman" w:hAnsi="Times New Roman"/>
          <w:color w:val="000000"/>
          <w:sz w:val="16"/>
        </w:rPr>
        <w:t>th</w:t>
      </w:r>
      <w:r>
        <w:rPr>
          <w:rFonts w:ascii="Times New Roman" w:hAnsi="Times New Roman"/>
          <w:color w:val="000000"/>
          <w:sz w:val="24"/>
        </w:rPr>
        <w:t>) day following the date of such notice. The Majority Lenders and the Borrower shall mutually agree upon a successor to the Administrative Agent. If the Majority Lenders and the Borrower are unable to so mutually agree and no successor shall have been appointed within twenty</w:t>
        <w:noBreakHyphen/>
        <w:t xml:space="preserve">five (25) days after the retiring Administrative Agent gives notice of its resignation, then the retiring Administrative Agent may (but will not be obligated to), on behalf of the Lenders, appoint a successor Administrative Agent it shall designate (in its reasonable discretion after consultation with the Borrower and the </w:t>
      </w:r>
    </w:p>
    <w:p>
      <w:pPr>
        <w:pStyle w:val="TextBody"/>
        <w:bidi w:val="0"/>
        <w:jc w:val="center"/>
        <w:rPr/>
      </w:pPr>
      <w:r>
        <w:rPr>
          <w:color w:val="000000"/>
        </w:rPr>
        <w:noBreakHyphen/>
      </w:r>
      <w:r>
        <w:rPr>
          <w:rFonts w:ascii="Times New Roman" w:hAnsi="Times New Roman"/>
          <w:color w:val="000000"/>
          <w:sz w:val="24"/>
        </w:rPr>
        <w:t>104</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Majority Lenders). Whether or not a successor has been appointed, such resignation will become effective in accordance with such notice on the Resignation Effective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 effect from the Resignation Effective Date (i) the retiring Administrative Agent will be discharged from its duties and obligations hereunder and under the other Loan Documents (except that in the case of any Collateral held by the Administrative Agent on behalf of the Lenders under any of the Loan Documents, the retiring Administrative Agent will continue to hold such Collateral until such time as a successor Administrative Agent is appointed) and (ii) except for any indemnity payments owed to the retiring Administrative Agent, all payments, communications and determinations provided to be made by, to or through the Administrative Agent will instead be made by or to each Lender directly, until such time, if any, as the Majority Lenders appoint a successor Administrative Agent as provided for above. Upon the acceptance of a successor’s appointment as Administrative Agent hereunder, such successor will succeed to and become vested with all of the rights, powers, privileges and duties of the retiring Administrative Agent (other than any rights to indemnity payments owed to the retiring Administrative Agent), and the retiring Administrative Agent will be discharged from all of its duties and obligations hereunder or under the other Loan Documents. The fees payable by the Borrower to a successor Administrative Agent will be the same as those payable to its predecessor unless otherwise agreed between the Borrower and such successor. After the retiring Administrative Agent’s resignation hereunder and under the other Loan Documents, the provisions of this Article 12 and Sections 13.03 and 13.06 will continue in effect for the benefit of such retiring Administrative Agent, its sub</w:t>
        <w:noBreakHyphen/>
        <w:t xml:space="preserve">agents and their respective Affiliates in respect of any actions taken or omitted to be taken by any of them while the retiring Administrative Agent was acting as Administrative Agent.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12.07. Non</w:t>
        <w:noBreakHyphen/>
        <w:t>Reliance on Administrative Agent and Other Lenders</w:t>
      </w:r>
      <w:r>
        <w:rPr>
          <w:rFonts w:ascii="Times New Roman" w:hAnsi="Times New Roman"/>
          <w:color w:val="000000"/>
          <w:sz w:val="24"/>
        </w:rPr>
        <w:t>. Each Lender acknowledges that it has, 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will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12.08. Administrative Agent May File Proofs of Claim</w:t>
      </w:r>
      <w:r>
        <w:rPr>
          <w:rFonts w:ascii="Times New Roman" w:hAnsi="Times New Roman"/>
          <w:color w:val="000000"/>
          <w:sz w:val="24"/>
        </w:rPr>
        <w:t>. In case of the pendency of any Insolvency Proceeding or any other judicial proceeding relative to the Borrower, the Administrative Agent (irrespective of whether the principal of the Term Loans will then be due and payable as herein expressed or by declaration or otherwise and irrespective of whether the Administrative Agent has made any demand on the Borrower) will be entitled and empowered (but not obligated), by intervention in such proceeding or otherwise:</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to file and prove a Claim for the whole amount of the principal and interest owing and unpaid in respect of the Term Loans and all other Obligations that are owing and unpaid hereunder or under any other Loan Document and to file such other </w:t>
      </w:r>
    </w:p>
    <w:p>
      <w:pPr>
        <w:pStyle w:val="TextBody"/>
        <w:bidi w:val="0"/>
        <w:jc w:val="center"/>
        <w:rPr/>
      </w:pPr>
      <w:r>
        <w:rPr>
          <w:color w:val="000000"/>
        </w:rPr>
        <w:noBreakHyphen/>
      </w:r>
      <w:r>
        <w:rPr>
          <w:rFonts w:ascii="Times New Roman" w:hAnsi="Times New Roman"/>
          <w:color w:val="000000"/>
          <w:sz w:val="24"/>
        </w:rPr>
        <w:t>105</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or any other Loan Document) allowed in such judicial proceeding;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to collect and receive any monies or other property payable or deliverable on any such Claims and to distribute the same.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custodian, receiver, assignee, trustee, liquidator, sequestrator or other similar official in any such judicial proceeding is hereby authorized by each Lender to make any payments of the type described above in this Section 12.08 to the Administrative Agent and, in the event that the Administrative Agent consents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 or any other Loan Document.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12.09. Collateral and Guaranty Matters; Appointment of Collateral Agent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Without limiting the provisions of Section 12.08, the Lenders irrevocably agree as follows: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Administrative Agent is authorized, at its option and in its discretion, to release any Lien on any property granted to or held by the Administrative Agent under any Loan Document (A) on the date when all Obligations have been satisfied in full in cash (other than Warrant Obligations and contingent obligations as to which no Claims have been asserted), (B) that is sold or otherwise disposed of or to be sold or otherwise disposed of as part of or in connection with any sale or other disposition permitted under the Loan Documents, or (C) subject to Sections 13.01 and 13.04, if approved, authorized or ratified in writing by the Majority Lenders;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Administrative Agent is authorized, at its option and discretion, to release any Guarantor from its obligations hereunder if such Person ceases to be a Subsidiary as a result of a transaction permitted under the Loan Documents.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Upon request by the Administrative Agent at any time, each Lender will confirm in writing the Administrative Agent’s authority to release or subordinate its interest in particular types or items of Collateral, or to release any Guarantor from its obligations under its guaranty pursuant to this Section 12.09.</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The Administrative Agent will not be responsible for or have a duty to ascertain or inquire into any representation or warranty regarding the existence, value or collectability of the Collateral, the existence, priority or perfection of the Administrative </w:t>
      </w:r>
    </w:p>
    <w:p>
      <w:pPr>
        <w:pStyle w:val="TextBody"/>
        <w:bidi w:val="0"/>
        <w:jc w:val="center"/>
        <w:rPr/>
      </w:pPr>
      <w:r>
        <w:rPr>
          <w:color w:val="000000"/>
        </w:rPr>
        <w:noBreakHyphen/>
      </w:r>
      <w:r>
        <w:rPr>
          <w:rFonts w:ascii="Times New Roman" w:hAnsi="Times New Roman"/>
          <w:color w:val="000000"/>
          <w:sz w:val="24"/>
        </w:rPr>
        <w:t>106</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Agent’s Lien thereon, or any certificate prepared by any Obligor in connection therewith, nor will the Administrative Agent be responsible or liable to the Lenders for any failure to monitor or maintain any portion of the Collateral.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Lender hereby appoints the Administrative Agent as its collateral agent under each of the Security Documents and agrees that, in so acting, the Administrative Agent will have all of the rights, protections, exculpations, indemnities and other benefits provided to the Administrative Agent under this Agreement, and hereby authorizes and directs the Administrative Agent, on behalf of such Lender and all Lenders, without the necessity of any notice to or further consent from any of the Lenders, from time to time to (i) take any action with respect to any Collateral or any Security Document which may be necessary to perfect and maintain perfected the Liens on the Collateral granted pursuant to any such Security Document or protect and preserve the Administrative Agent’s ability to enforce the Liens or realize upon the Collateral, (ii) act as collateral agent for each Lender for purposes of acquiring, holding, enforcing and perfecting all Liens created by the Loan Documents and all other purposes stated therein, (iii) enter into intercreditor or subordination agreements, as the case may be, in connection with Indebtedness permitted pursuant to Sections 9.01(e), (iv) enter into non</w:t>
        <w:noBreakHyphen/>
        <w:t>disturbance or similar agreements in connection with licensing agreements and arrangements permitted by this Agreement and the other Loan Documents and (v) otherwise to take or refrain from taking any and all action that the Administrative Agent shall deem necessary or advisable in fulfilling its role as collateral agent under any of the Security Documents.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 xml:space="preserve">Article 13 </w:t>
        <w:br/>
        <w:br/>
        <w:t>Miscellaneous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13.01. No Waiver.</w:t>
      </w:r>
      <w:r>
        <w:rPr>
          <w:rFonts w:ascii="Times New Roman" w:hAnsi="Times New Roman"/>
          <w:color w:val="000000"/>
          <w:sz w:val="20"/>
        </w:rPr>
        <w:t xml:space="preserve"> </w:t>
      </w:r>
      <w:r>
        <w:rPr>
          <w:rFonts w:ascii="Times New Roman" w:hAnsi="Times New Roman"/>
          <w:color w:val="000000"/>
          <w:sz w:val="24"/>
        </w:rPr>
        <w:t>No failure on the part of the Administrative Agent or the Lenders to exercise and no delay in 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13.02. Notices.</w:t>
      </w:r>
      <w:r>
        <w:rPr>
          <w:rFonts w:ascii="Times New Roman" w:hAnsi="Times New Roman"/>
          <w:color w:val="000000"/>
          <w:sz w:val="20"/>
        </w:rPr>
        <w:t xml:space="preserve"> </w:t>
      </w:r>
      <w:r>
        <w:rPr>
          <w:rFonts w:ascii="Times New Roman" w:hAnsi="Times New Roman"/>
          <w:color w:val="000000"/>
          <w:sz w:val="24"/>
        </w:rPr>
        <w:t>All notices, requests, instructions, directions and other communications provided for herein (including any modifications of, or waivers, requests or consents under, the Loan Documents) shall be given or made in writing (including by telecopy or electronic mail) delivered, if to the Borrower, another Obligor, the Administrative Agent or the Lenders, to its address specified on Schedule 2 hereto or its Guarantee Assumption Agreement, as the case may be, or at such other address as shall be designated by such party in a written notice to the other parties. Except as otherwise provided in this Agreement, all such communications shall be deemed to have been duly given upon receipt of a legible copy thereof, in each case given or addressed as aforesaid.</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107</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i/>
          <w:color w:val="000000"/>
          <w:sz w:val="24"/>
        </w:rPr>
      </w:pPr>
      <w:r>
        <w:rPr>
          <w:rFonts w:ascii="Times New Roman" w:hAnsi="Times New Roman"/>
          <w:i/>
          <w:color w:val="000000"/>
          <w:sz w:val="24"/>
        </w:rPr>
        <w:t>Section 13.03. Expenses and Indemnification.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 xml:space="preserve">Expenses. </w:t>
      </w:r>
      <w:r>
        <w:rPr>
          <w:rFonts w:ascii="Times New Roman" w:hAnsi="Times New Roman"/>
          <w:color w:val="000000"/>
          <w:sz w:val="24"/>
        </w:rPr>
        <w:t>The Borrower agrees to pay or reimburse (i) the Administrative Agent and the Lenders for all of their reasonable and documented out of pocket costs and expenses (including the reasonable and documented fees and expenses of Chapman and Cutler LLP, counsel to the Administrative Agent) in connection with (A) the negotiation, preparation, execution and delivery of this Agreement and the other Loan Documents and the making of the Term Loans (exclusive of post</w:t>
        <w:noBreakHyphen/>
        <w:t xml:space="preserve">funding costs); </w:t>
      </w:r>
      <w:r>
        <w:rPr>
          <w:rFonts w:ascii="Times New Roman" w:hAnsi="Times New Roman"/>
          <w:i/>
          <w:color w:val="000000"/>
          <w:sz w:val="24"/>
        </w:rPr>
        <w:t>provided</w:t>
      </w:r>
      <w:r>
        <w:rPr>
          <w:color w:val="000000"/>
        </w:rPr>
        <w:t xml:space="preserve"> </w:t>
      </w:r>
      <w:r>
        <w:rPr>
          <w:rFonts w:ascii="Times New Roman" w:hAnsi="Times New Roman"/>
          <w:color w:val="000000"/>
          <w:sz w:val="24"/>
        </w:rPr>
        <w:t>that, so long as the Borrowing of the Tranche A Loan is made, such fees shall be credited against the Expense Deposit paid by the Borrower, (B) post</w:t>
        <w:noBreakHyphen/>
        <w:t>funding costs and (C) the negotiation or preparation of any amendment, modification, supplement or waiver of any of the terms of this Agreement or any of the other Loan Documents (whether or not consummated) and (ii) the Administrative Agent and the Lenders for all of their reasonable and documented out of pocket costs and expenses (including the reasonable and documented out of pocket fees and expenses of legal counsel) in connection with any enforcement or collection proceedings resulting from the occurrence and continuance of an Event of Default.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 xml:space="preserve">Indemnification. </w:t>
      </w:r>
      <w:r>
        <w:rPr>
          <w:rFonts w:ascii="Times New Roman" w:hAnsi="Times New Roman"/>
          <w:color w:val="000000"/>
          <w:sz w:val="24"/>
        </w:rPr>
        <w:t xml:space="preserve">Each Obligor hereby indemnifies the Administrative Agent, the Lenders, their respective Affiliates, and their respective directors, officers, employees, attorneys, agents and advisors (each, an </w:t>
      </w:r>
      <w:r>
        <w:rPr>
          <w:color w:val="000000"/>
        </w:rPr>
        <w:t>“</w:t>
      </w:r>
      <w:r>
        <w:rPr>
          <w:rFonts w:ascii="Times New Roman" w:hAnsi="Times New Roman"/>
          <w:i/>
          <w:color w:val="000000"/>
          <w:sz w:val="24"/>
        </w:rPr>
        <w:t>Indemnified Party”</w:t>
      </w:r>
      <w:r>
        <w:rPr>
          <w:rFonts w:ascii="Times New Roman" w:hAnsi="Times New Roman"/>
          <w:color w:val="000000"/>
          <w:sz w:val="24"/>
        </w:rPr>
        <w:t>) from and against, and agrees to hold them harmless against, any and all Claims and Losses of any kind (including reasonable and documented out of pocket fees and disbursements of counsel), joint or several, that is incurred by or asserted or awarded against any Indemnified Party, in each case arising out of or in connection with or relating to any investigation, litigation or proceeding or the preparation of any defense with respect thereto arising out of or in connection with or relating to this Agreement or any of the other Loan Documents or the Transactions or any use made or proposed to be made with the proceeds of the Term Loans, whether or not such investigation, litigation or proceeding is brought by an Obligor, any of its shareholders or creditors, an Indemnified Party or any other Person, or an Indemnified Party is otherwise a party thereto, and whether or not any of the conditions precedent set forth in Article 6 are satisfied or the other Transactions contemplated by this Agreement are consummated, except to the extent such Claim or Loss (x) is found in a final, non</w:t>
        <w:noBreakHyphen/>
        <w:t xml:space="preserve">appealable judgment by a court of competent jurisdiction to have resulted from any Indemnified Party’s gross negligence, willful misconduct, (y) results from a Claim brought by an Obligor against an Indemnified Party for breach of such Indemnified Party’s obligations hereunder or under any other Loan Document, if such Obligor has obtained a final and non-appealable judgment in its favor on such Claim as determined by a court of competent jurisdiction or (z) results from a Claim not involving an act or omission of an Obligor and that is brought by an Indemnified Party against another Indemnified Party (other than against the Administrative Agent in its capacity as such).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Term Loans. This Section 13.03(b) shall not </w:t>
      </w:r>
    </w:p>
    <w:p>
      <w:pPr>
        <w:pStyle w:val="TextBody"/>
        <w:bidi w:val="0"/>
        <w:jc w:val="center"/>
        <w:rPr/>
      </w:pPr>
      <w:r>
        <w:rPr>
          <w:color w:val="000000"/>
        </w:rPr>
        <w:noBreakHyphen/>
      </w:r>
      <w:r>
        <w:rPr>
          <w:rFonts w:ascii="Times New Roman" w:hAnsi="Times New Roman"/>
          <w:color w:val="000000"/>
          <w:sz w:val="24"/>
        </w:rPr>
        <w:t>108</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apply to Taxes other than Taxes relating to a non</w:t>
        <w:noBreakHyphen/>
        <w:t>Tax Claim or Loss governed by this Section 13.03(b).</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13.04. Amendments.</w:t>
      </w:r>
      <w:r>
        <w:rPr>
          <w:rFonts w:ascii="Times New Roman" w:hAnsi="Times New Roman"/>
          <w:color w:val="000000"/>
          <w:sz w:val="20"/>
        </w:rPr>
        <w:t xml:space="preserve"> </w:t>
      </w:r>
      <w:r>
        <w:rPr>
          <w:rFonts w:ascii="Times New Roman" w:hAnsi="Times New Roman"/>
          <w:color w:val="000000"/>
          <w:sz w:val="24"/>
        </w:rPr>
        <w:t xml:space="preserve">Except as otherwise expressly provided in this Agreement, any provision of this Agreement or any other Loan Document (except for the Warrant Certificates, which may be amended, modified, waived or supplemented in accordance with the terms thereof) may be amended, modified, waived or supplemented only by an instrument in writing signed by the Borrower, the Administrative Agent and the Majority Lenders;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 amendment, waiver or consent shall, unless in writing and signed by all of the Lenders and the Borrower, do any of the following at any time: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pPr>
      <w:r>
        <w:rPr>
          <w:rFonts w:ascii="Times New Roman" w:hAnsi="Times New Roman"/>
          <w:color w:val="000000"/>
          <w:sz w:val="24"/>
        </w:rPr>
        <w:t xml:space="preserve">change the number of Lenders or the percentage of (A) the Commitments or (B) the aggregate unpaid principal amount of the Term Loans that, in each case, shall be required for the Lenders or any of them to take any action hereunder (including pursuant to any change to the definition of </w:t>
      </w:r>
      <w:r>
        <w:rPr>
          <w:color w:val="000000"/>
        </w:rPr>
        <w:t>“</w:t>
      </w:r>
      <w:r>
        <w:rPr>
          <w:rFonts w:ascii="Times New Roman" w:hAnsi="Times New Roman"/>
          <w:i/>
          <w:color w:val="000000"/>
          <w:sz w:val="24"/>
        </w:rPr>
        <w:t>Majority Lenders”</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release one or more Guarantors (or otherwise limit such Guarantors’ liability with respect to the Obligations owing to the Lenders under the Guarantees) if such release or limitation is in respect of all or substantially all of the value represented by the Guarantees to the Lenders;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release, or subordinate the Lenders’ Liens in, all or substantially all of the Collateral in any transaction or series of related transactions (other than in connection with any sale of Collateral permitted herein);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amend any provision of this Section 13.04;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amend the terms of the Fee Letter.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 amendment, waiver or consent shall, unless in writing and signed by the Borrower and each Lender specified below for such amendment, waiver or consent: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increase the Commitments of a Lender without the consent of such Lender;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reduce the principal of, or stated rate of interest on, or any Prepayment Premium payable on, the Term Loans owed to a Lender or any fees or other amounts stated to be payable hereunder or under the other Loan Documents to such Lender without the consent of such Lender;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postpone any date scheduled for any payment of principal of, or interest on, the Term Loans, any date scheduled for payment or for any date fixed for any payment of fees hereunder (excluding the due date of any mandatory </w:t>
      </w:r>
    </w:p>
    <w:p>
      <w:pPr>
        <w:pStyle w:val="TextBody"/>
        <w:bidi w:val="0"/>
        <w:jc w:val="center"/>
        <w:rPr/>
      </w:pPr>
      <w:r>
        <w:rPr>
          <w:color w:val="000000"/>
        </w:rPr>
        <w:noBreakHyphen/>
      </w:r>
      <w:r>
        <w:rPr>
          <w:rFonts w:ascii="Times New Roman" w:hAnsi="Times New Roman"/>
          <w:color w:val="000000"/>
          <w:sz w:val="24"/>
        </w:rPr>
        <w:t>109</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prepayment of a Term Loan), in each case payable to a Lender without the consent of such Lender;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change the order of application of prepayment of the Term Loans from the application thereof set forth in the applicable provisions of Section 4.01(b) in any manner that adversely affects the Lenders without the consent of holders of a majority of the Commitments or Term Loans outstanding or otherwise change any provision requiring the pro rata distributions hereunder among the Lenders without all Lenders’ consent;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modify Section 2.02 without the consent of each Lender directly and adversely affected thereby.</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13.05. Successors and Assigns</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olor w:val="000000"/>
          <w:sz w:val="24"/>
        </w:rPr>
        <w:t>General.</w:t>
      </w:r>
      <w:r>
        <w:rPr>
          <w:color w:val="000000"/>
        </w:rPr>
        <w:t xml:space="preserve"> </w:t>
      </w:r>
      <w:r>
        <w:rPr>
          <w:rFonts w:ascii="Times New Roman" w:hAnsi="Times New Roman"/>
          <w:color w:val="000000"/>
          <w:sz w:val="24"/>
        </w:rPr>
        <w:t>The provisions of this Agreement shall be binding upon and inure to the benefit of the parties hereto and their respective successors and assigns permitted hereby, except that (i) no Obligor may assign or otherwise transfer any of its rights or obligations hereunder without the prior written consent of the Administrative Agent and each Lender (and any attempted assignment or transfer by such Obligor without such consent shall be null and void) and (ii) no Lender may assign or otherwise transfer its rights or obligations hereunder except in accordance with this Section 13.05. Nothing in this Agreement, expressed or implied, shall be construed to confer upon any Person (other than the parties hereto, their respective successors and assigns permitted hereby, Participants (to the extent provided in paragraph (e) of this Section 13.05) and, to the extent expressly contemplated hereby, the Indemnified Parties of the Lenders) any legal or equitable right, remedy or Claim under or by reason of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Amendments to Loan Documents.</w:t>
      </w:r>
      <w:r>
        <w:rPr>
          <w:color w:val="000000"/>
        </w:rPr>
        <w:t xml:space="preserve"> </w:t>
      </w:r>
      <w:r>
        <w:rPr>
          <w:rFonts w:ascii="Times New Roman" w:hAnsi="Times New Roman"/>
          <w:color w:val="000000"/>
          <w:sz w:val="24"/>
        </w:rPr>
        <w:t>Each of the Lenders and the Obligors agrees to enter into such amendments to the Loan Documents, and such additional Security Documents and other instruments and agreements, in each case in form and substance reasonably acceptable to the Lenders and the Obligors, as shall reasonably be necessary to implement and give effect to any assignment made by any Lender (or any direct or indirect assignee thereof) from time to time under this Section 13.05.</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olor w:val="000000"/>
          <w:sz w:val="24"/>
        </w:rPr>
        <w:t>Assignments by Lenders</w:t>
      </w:r>
      <w:r>
        <w:rPr>
          <w:rFonts w:ascii="Times New Roman" w:hAnsi="Times New Roman"/>
          <w:color w:val="000000"/>
          <w:sz w:val="24"/>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Subject to the conditions set forth in paragraph (c)(ii) below, any Lender may assign to one or more Persons (other than an Ineligible Assignee) all or a portion of its rights and obligations under the Loan Documents (including all or a portion of its Commitment and the Term Loans at the time owing to it) with the prior written consent (such consent not to be unreasonably withheld) of the Administrative Agent, provided that no consent of the Administrative Agent shall be required for an assignment of any Commitment or of all or any portion of a Term Loan to a Lender, an Affiliate of a Lender or an Approved Fund.</w:t>
      </w:r>
    </w:p>
    <w:p>
      <w:pPr>
        <w:pStyle w:val="TextBody"/>
        <w:bidi w:val="0"/>
        <w:jc w:val="center"/>
        <w:rPr/>
      </w:pPr>
      <w:r>
        <w:rPr>
          <w:color w:val="000000"/>
        </w:rPr>
        <w:noBreakHyphen/>
      </w:r>
      <w:r>
        <w:rPr>
          <w:rFonts w:ascii="Times New Roman" w:hAnsi="Times New Roman"/>
          <w:color w:val="000000"/>
          <w:sz w:val="24"/>
        </w:rPr>
        <w:t>110</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Assignments shall be subject to the following additional conditions:</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 xml:space="preserve">except in the case of an assignment to a Lender or an Affiliate of a Lender or an assignment of the entire remaining amount of the assigning Lender’s Commitment or Term Loans, the amount of the Commitment or Term Loans of the assigning Lender subject to each such assignment (determined as of the date the Assignment Agreement with respect to such assignment is delivered to the Administrative Agent) shall not be less than $500,000, unless the Administrative Agent otherwise consents; </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each partial assignment shall be made as an assignment of a proportionate part of all the assigning Lender’s rights and obligations under this Agreement and the other Loan Documents; and</w:t>
      </w:r>
    </w:p>
    <w:p>
      <w:pPr>
        <w:pStyle w:val="TextBody"/>
        <w:bidi w:val="0"/>
        <w:spacing w:before="32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320" w:after="283"/>
        <w:jc w:val="both"/>
        <w:rPr/>
      </w:pPr>
      <w:r>
        <w:rPr>
          <w:rFonts w:ascii="Times New Roman" w:hAnsi="Times New Roman"/>
          <w:color w:val="000000"/>
          <w:sz w:val="24"/>
        </w:rPr>
        <w:t xml:space="preserve">the parties to each assignment shall execute and deliver to the Administrative Agent (with a copy to the Borrower,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failure to give such copy to the Borrower shall not affect the validity of such Assignment Agreement) an Assignment Agreement in form and substance reasonably satisfactory to the Administrative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Subject to acceptance and recording thereof pursuant to paragraph (d) of this Section 13.05, from and after the effective date specified in each Assignment Agreement, the assignee thereunder shall be a party hereto and, to the extent of the interest assigned by such Assignment Agreement, have the rights and obligations of a Lender under the Loan Documents, and the assigning Lender thereunder shall, to the extent of the interest assigned by such Assignment Agreement, be released from its obligations under the Loan Documents (and, in the case of an Assignment Agreement covering all of the assigning Lender’s rights and obligations under the Loan Documents, such Lender shall cease to be a party hereto). Any assignment or transfer by a Lender of rights or obligations under the Loan Documents that does not comply with this Section 13.05 shall be treated for purposes of the Loan Documents as a sale by such Lender of a participation in such rights and obligations in accordance with paragraph (e) of this Section 13.05.</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80" w:after="283"/>
        <w:jc w:val="both"/>
        <w:rPr/>
      </w:pPr>
      <w:r>
        <w:rPr>
          <w:rFonts w:ascii="Times New Roman" w:hAnsi="Times New Roman"/>
          <w:i/>
          <w:color w:val="000000"/>
          <w:sz w:val="24"/>
        </w:rPr>
        <w:t>Register.</w:t>
      </w:r>
      <w:r>
        <w:rPr>
          <w:color w:val="000000"/>
        </w:rPr>
        <w:t xml:space="preserve"> </w:t>
      </w:r>
      <w:r>
        <w:rPr>
          <w:rFonts w:ascii="Times New Roman" w:hAnsi="Times New Roman"/>
          <w:color w:val="000000"/>
          <w:sz w:val="24"/>
        </w:rPr>
        <w:t>The Administrative Agent, acting for this purpose as a non</w:t>
        <w:noBreakHyphen/>
        <w:t>fiduciary agent of the Borrower, shall maintain at one of its offices a copy of each Assignment Agreement delivered to it and a register for the recordation of the names and addresses of the Lenders, and the Commitment of, and principal amount (and stated interest) of the Term Loans owing to, each Lender pursuant to the terms hereof from time to time (the “</w:t>
      </w:r>
      <w:r>
        <w:rPr>
          <w:rFonts w:ascii="Times New Roman" w:hAnsi="Times New Roman"/>
          <w:i/>
          <w:color w:val="000000"/>
          <w:sz w:val="24"/>
        </w:rPr>
        <w:t>Register</w:t>
      </w:r>
      <w:r>
        <w:rPr>
          <w:color w:val="000000"/>
        </w:rPr>
        <w:t>”</w:t>
      </w:r>
      <w:r>
        <w:rPr>
          <w:rFonts w:ascii="Times New Roman" w:hAnsi="Times New Roman"/>
          <w:color w:val="000000"/>
          <w:sz w:val="24"/>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w:t>
      </w:r>
    </w:p>
    <w:p>
      <w:pPr>
        <w:pStyle w:val="TextBody"/>
        <w:bidi w:val="0"/>
        <w:jc w:val="center"/>
        <w:rPr/>
      </w:pPr>
      <w:r>
        <w:rPr>
          <w:color w:val="000000"/>
        </w:rPr>
        <w:noBreakHyphen/>
      </w:r>
      <w:r>
        <w:rPr>
          <w:rFonts w:ascii="Times New Roman" w:hAnsi="Times New Roman"/>
          <w:color w:val="000000"/>
          <w:sz w:val="24"/>
        </w:rPr>
        <w:t>111</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shall be available for inspection by the Borrower and any Lender, at any reasonable time and from time to time upon reasonable prior notice. No assignment shall be effective for purposes of this Agreement unless (i) it has been recorded in the Register as provided in this paragraph and (ii) any written consent to such assignment required by paragraph (a) of this Section 13.05 has been obtained.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80" w:after="283"/>
        <w:jc w:val="both"/>
        <w:rPr/>
      </w:pPr>
      <w:r>
        <w:rPr>
          <w:rFonts w:ascii="Times New Roman" w:hAnsi="Times New Roman"/>
          <w:i/>
          <w:color w:val="000000"/>
          <w:sz w:val="24"/>
        </w:rPr>
        <w:t>Participations.</w:t>
      </w:r>
      <w:r>
        <w:rPr>
          <w:color w:val="000000"/>
        </w:rPr>
        <w:t xml:space="preserve"> </w:t>
      </w:r>
      <w:r>
        <w:rPr>
          <w:rFonts w:ascii="Times New Roman" w:hAnsi="Times New Roman"/>
          <w:color w:val="000000"/>
          <w:sz w:val="24"/>
        </w:rPr>
        <w:t>Any Lender may at any time, without the consent of, or notice to, the Borrower, sell participations to any Person (a “</w:t>
      </w:r>
      <w:r>
        <w:rPr>
          <w:rFonts w:ascii="Times New Roman" w:hAnsi="Times New Roman"/>
          <w:i/>
          <w:color w:val="000000"/>
          <w:sz w:val="24"/>
        </w:rPr>
        <w:t>Participant</w:t>
      </w:r>
      <w:r>
        <w:rPr>
          <w:color w:val="000000"/>
        </w:rPr>
        <w:t>”</w:t>
      </w:r>
      <w:r>
        <w:rPr>
          <w:rFonts w:ascii="Times New Roman" w:hAnsi="Times New Roman"/>
          <w:color w:val="000000"/>
          <w:sz w:val="24"/>
        </w:rPr>
        <w:t xml:space="preserve">), other than an Ineligible Assignee, in all or a portion of such Lender’s rights and obligations under the Loan Documents (including all or a portion of its Commitment and the Term Loans owing to it); </w:t>
      </w:r>
      <w:r>
        <w:rPr>
          <w:rFonts w:ascii="Times New Roman" w:hAnsi="Times New Roman"/>
          <w:i/>
          <w:color w:val="000000"/>
          <w:sz w:val="24"/>
        </w:rPr>
        <w:t>provided</w:t>
      </w:r>
      <w:r>
        <w:rPr>
          <w:color w:val="000000"/>
        </w:rPr>
        <w:t xml:space="preserve"> </w:t>
      </w:r>
      <w:r>
        <w:rPr>
          <w:rFonts w:ascii="Times New Roman" w:hAnsi="Times New Roman"/>
          <w:color w:val="000000"/>
          <w:sz w:val="24"/>
        </w:rPr>
        <w:t>that (i) such Lender’s obligations under the Loan Documents shall remain unchanged, (ii) such Lender shall remain solely responsible to the other parties hereto for the performance of such obligations and (iii) the Borrower shall continue to deal solely and directly with such Lender in connection therewith.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80" w:after="283"/>
        <w:jc w:val="both"/>
        <w:rPr/>
      </w:pPr>
      <w:r>
        <w:rPr>
          <w:rFonts w:ascii="Times New Roman" w:hAnsi="Times New Roman"/>
          <w:color w:val="000000"/>
          <w:sz w:val="24"/>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Term Loans or any portion of any fee hereunder payable to the Participant, (iii) reduce the amount of any such payment of principal, or (iv) reduce the rate at which interest is payable thereon to a level below the rate at which the Participant is entitled to receive such interest. The Borrower agrees that each Participant shall be entitled to the benefits of Section 5.03 (subject to the requirements and limitations therein, including the requirements under Section 5.03(f) (it being understood that the documentation required under Section 5.03(f) shall be delivered to the Borrower and the participating Lender)) to the same extent as if it were a Lender and had acquired its interest by assignment pursuant to Section 13.05(a), </w:t>
      </w:r>
      <w:r>
        <w:rPr>
          <w:rFonts w:ascii="Times New Roman" w:hAnsi="Times New Roman"/>
          <w:i/>
          <w:color w:val="000000"/>
          <w:sz w:val="24"/>
        </w:rPr>
        <w:t>provided</w:t>
      </w:r>
      <w:r>
        <w:rPr>
          <w:color w:val="000000"/>
        </w:rPr>
        <w:t xml:space="preserve"> </w:t>
      </w:r>
      <w:r>
        <w:rPr>
          <w:rFonts w:ascii="Times New Roman" w:hAnsi="Times New Roman"/>
          <w:color w:val="000000"/>
          <w:sz w:val="24"/>
        </w:rPr>
        <w:t>that such Participant (A) agrees to be subject to the provisions of Section 5.03(h) as if it were an assignee under Section 13.05(a); and (B) shall not be entitled to receive any greater payment under Section 5.03, with respect to any participation, than its participating Lender would have been entitled to receive, unless the sale of the participation to such Participant is made with the Borrower’s prior written consent. To the extent permitted by Law, each Participant also shall be entitled to the benefits of Section 4.04(a) as though it were a Lender. Each Lender that sells a participation shall, acting solely for this purpose as a non</w:t>
        <w:noBreakHyphen/>
        <w:t xml:space="preserve">fiduciary agent of the Borrower, maintain a register on which it enters the name and address of each Participant and the principal amounts (and stated interest) of each Participant’s interest in the Term Loans or other obligations under the Loan Documents (the </w:t>
      </w:r>
      <w:r>
        <w:rPr>
          <w:color w:val="000000"/>
        </w:rPr>
        <w:t>“</w:t>
      </w:r>
      <w:r>
        <w:rPr>
          <w:rFonts w:ascii="Times New Roman" w:hAnsi="Times New Roman"/>
          <w:i/>
          <w:color w:val="000000"/>
          <w:sz w:val="24"/>
        </w:rPr>
        <w:t>Participant Register”</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color w:val="000000"/>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w:t>
        <w:noBreakHyphen/>
        <w:t xml:space="preserve">1(c) of the United States </w:t>
      </w:r>
    </w:p>
    <w:p>
      <w:pPr>
        <w:pStyle w:val="TextBody"/>
        <w:bidi w:val="0"/>
        <w:jc w:val="center"/>
        <w:rPr/>
      </w:pPr>
      <w:r>
        <w:rPr>
          <w:color w:val="000000"/>
        </w:rPr>
        <w:noBreakHyphen/>
      </w:r>
      <w:r>
        <w:rPr>
          <w:rFonts w:ascii="Times New Roman" w:hAnsi="Times New Roman"/>
          <w:color w:val="000000"/>
          <w:sz w:val="24"/>
        </w:rPr>
        <w:t>112</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80" w:after="283"/>
        <w:jc w:val="both"/>
        <w:rPr/>
      </w:pPr>
      <w:r>
        <w:rPr>
          <w:rFonts w:ascii="Times New Roman" w:hAnsi="Times New Roman"/>
          <w:i/>
          <w:color w:val="000000"/>
          <w:sz w:val="24"/>
        </w:rPr>
        <w:t>Certain Pledges.</w:t>
      </w:r>
      <w:r>
        <w:rPr>
          <w:color w:val="000000"/>
        </w:rPr>
        <w:t xml:space="preserve"> </w:t>
      </w:r>
      <w:r>
        <w:rPr>
          <w:rFonts w:ascii="Times New Roman" w:hAnsi="Times New Roman"/>
          <w:color w:val="000000"/>
          <w:sz w:val="24"/>
        </w:rPr>
        <w:t xml:space="preserve">Subject to Section 13.05(d), the Lenders may at any time pledge or assign a security interest in all or any portion of its rights under this Agreement and any other Loan Document to secure obligations of the Lenders, including any pledge or assignment to secure obligations to a Federal Reserve Bank or another central bank; </w:t>
      </w:r>
      <w:r>
        <w:rPr>
          <w:rFonts w:ascii="Times New Roman" w:hAnsi="Times New Roman"/>
          <w:i/>
          <w:color w:val="000000"/>
          <w:sz w:val="24"/>
        </w:rPr>
        <w:t>provided</w:t>
      </w:r>
      <w:r>
        <w:rPr>
          <w:color w:val="000000"/>
        </w:rPr>
        <w:t xml:space="preserve"> </w:t>
      </w:r>
      <w:r>
        <w:rPr>
          <w:rFonts w:ascii="Times New Roman" w:hAnsi="Times New Roman"/>
          <w:color w:val="000000"/>
          <w:sz w:val="24"/>
        </w:rPr>
        <w:t>that no such pledge or assignment shall release the Lenders from any of their obligations hereunder or substitute any such pledgee or assignee for the Lenders as a party hereto.</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13.06. Survival.</w:t>
      </w:r>
      <w:r>
        <w:rPr>
          <w:rFonts w:ascii="Times New Roman" w:hAnsi="Times New Roman"/>
          <w:color w:val="000000"/>
          <w:sz w:val="20"/>
        </w:rPr>
        <w:t xml:space="preserve"> </w:t>
      </w:r>
      <w:r>
        <w:rPr>
          <w:rFonts w:ascii="Times New Roman" w:hAnsi="Times New Roman"/>
          <w:color w:val="000000"/>
          <w:sz w:val="24"/>
        </w:rPr>
        <w:t>The obligations of the Borrower under Sections 5.01, 5.02, 5.03, 13.03, 13.05, 13.09, 13.10, 13.11, 13.12, 13.13, 13.14 and Article 11 (solely to the extent guaranteeing any of the obligations under the foregoing Sections) shall survive the repayment of the Obligations and the termination of the Commitments and, in the case of any Lender’s assignment of any interest in the Commitments or the Term Loans hereunder, shall survive, in the case of any event or circumstance that occurred prior to the effective date of such assignment, the making of such assignment, notwithstanding that such Lenders may cease to be a “Lender” hereunder. In addition, each representation and warranty made, or deemed to be made by a notice of the Term Loans, herein or pursuant hereto shall survive the making of such representation and warranty.</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13.07. Captions.</w:t>
      </w:r>
      <w:r>
        <w:rPr>
          <w:rFonts w:ascii="Times New Roman" w:hAnsi="Times New Roman"/>
          <w:color w:val="000000"/>
          <w:sz w:val="20"/>
        </w:rPr>
        <w:t xml:space="preserve"> </w:t>
      </w:r>
      <w:r>
        <w:rPr>
          <w:rFonts w:ascii="Times New Roman" w:hAnsi="Times New Roman"/>
          <w:color w:val="000000"/>
          <w:sz w:val="24"/>
        </w:rPr>
        <w:t>The table of contents and captions and section headings appearing herein are included solely for convenience of reference and are not intended to affect the interpretation of any provision of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13.08. Counterparts.</w:t>
      </w:r>
      <w:r>
        <w:rPr>
          <w:rFonts w:ascii="Times New Roman" w:hAnsi="Times New Roman"/>
          <w:color w:val="000000"/>
          <w:sz w:val="20"/>
        </w:rPr>
        <w:t xml:space="preserve"> </w:t>
      </w:r>
      <w:r>
        <w:rPr>
          <w:rFonts w:ascii="Times New Roman" w:hAnsi="Times New Roman"/>
          <w:color w:val="000000"/>
          <w:sz w:val="24"/>
        </w:rPr>
        <w:t>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13.09. GOVERNING LAW</w:t>
      </w:r>
      <w:r>
        <w:rPr>
          <w:rFonts w:ascii="Times New Roman" w:hAnsi="Times New Roman"/>
          <w:color w:val="000000"/>
          <w:sz w:val="20"/>
        </w:rPr>
        <w:t xml:space="preserve"> </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THIS AGREEMENT AND THE OTHER LOAN DOCUMENTS, THE RIGHTS AND OBLIGATIONS OF THE PARTIES HEREUNDER AND THEREUNDER, AND ALL CLAIMS, DISPUTES AND MATTERS ARISING HEREUNDER OR THEREUNDER OR RELATED HERETO OR THERETO, SHALL BE GOVERNED BY, AND CONSTRUED IN ACCORDANCE WITH, THE LAWS OF THE STATE OF NEW YORK</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113</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APPLICABLE TO CONTRACTS EXECUTED IN AND TO BE PERFORMED ENTIRELY WITHIN THAT STATE, WITHOUT REFERENCE TO CONFLICTS OF LAWS PROVISIONS (OTHER THAN SECTION 5-1401 OF THE NEW YORK GENERAL OBLIGATIONS LAW).</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13.10. Jurisdiction, Service of Process and Venue</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pPr>
      <w:r>
        <w:rPr>
          <w:rFonts w:ascii="Times New Roman" w:hAnsi="Times New Roman"/>
          <w:i/>
          <w:caps/>
          <w:color w:val="000000"/>
          <w:sz w:val="24"/>
        </w:rPr>
        <w:t>Submission to Jurisdiction.</w:t>
      </w:r>
      <w:r>
        <w:rPr>
          <w:caps/>
          <w:color w:val="000000"/>
        </w:rPr>
        <w:t xml:space="preserve"> </w:t>
      </w:r>
      <w:r>
        <w:rPr>
          <w:rFonts w:ascii="Times New Roman" w:hAnsi="Times New Roman"/>
          <w:caps/>
          <w:color w:val="000000"/>
          <w:sz w:val="24"/>
        </w:rPr>
        <w:t>Each Obligor agrees that any suit, action or proceeding with respect to this Agreement or any other Loan Document to which it is a party or any judgment entered by any court in respect thereof SHALL be brought in the Supreme Court of the State of New York sitting in New York County or in the United States District Court for the Southern District of New York and irrevocably submits to the exclusive jurisdiction of each such court for the purpose of any such suit, action, proceeding or judgment.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pPr>
      <w:r>
        <w:rPr>
          <w:rFonts w:ascii="Times New Roman" w:hAnsi="Times New Roman"/>
          <w:i/>
          <w:color w:val="000000"/>
          <w:sz w:val="24"/>
        </w:rPr>
        <w:t>Alternative Process.</w:t>
      </w:r>
      <w:r>
        <w:rPr>
          <w:color w:val="000000"/>
        </w:rPr>
        <w:t xml:space="preserve"> </w:t>
      </w:r>
      <w:r>
        <w:rPr>
          <w:rFonts w:ascii="Times New Roman" w:hAnsi="Times New Roman"/>
          <w:color w:val="000000"/>
          <w:sz w:val="24"/>
        </w:rPr>
        <w:t>Nothing herein shall in any way be deemed to limit the ability of the Lenders to serve any such process or summonses in any other manner permitted by applicable Law.</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80" w:after="283"/>
        <w:jc w:val="both"/>
        <w:rPr/>
      </w:pPr>
      <w:r>
        <w:rPr>
          <w:rFonts w:ascii="Times New Roman" w:hAnsi="Times New Roman"/>
          <w:i/>
          <w:caps/>
          <w:color w:val="000000"/>
          <w:sz w:val="24"/>
        </w:rPr>
        <w:t>Waiver of Venue.</w:t>
      </w:r>
      <w:r>
        <w:rPr>
          <w:caps/>
          <w:color w:val="000000"/>
        </w:rPr>
        <w:t xml:space="preserve"> </w:t>
      </w:r>
      <w:r>
        <w:rPr>
          <w:rFonts w:ascii="Times New Roman" w:hAnsi="Times New Roman"/>
          <w:caps/>
          <w:color w:val="000000"/>
          <w:sz w:val="24"/>
        </w:rPr>
        <w:t>Each Obligor irrevocably waives to the fullest 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Obligor is or may be subject, by suit upon judgment.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13.11. WAIVER OF JURY TRIAL</w:t>
      </w:r>
      <w:r>
        <w:rPr>
          <w:rFonts w:ascii="Times New Roman" w:hAnsi="Times New Roman"/>
          <w:color w:val="000000"/>
          <w:sz w:val="24"/>
        </w:rPr>
        <w:t>. EACH PARTY HERETO HEREBY IRREVOCABLY WAIVES, TO THE FULLEST EXTENT PERMITTED BY APPLICABLE LAW, ANY AND ALL RIGHT TO TRIAL BY JURY IN ANY SUIT, ACTION OR PROCEEDING ARISING OUT OF OR RELATING TO THIS AGREEMENT, THE OTHER LOAN DOCUMENTS OR THE TRANSACTIONS CONTEMPLATED HEREBY OR THEREBY.</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13.12. </w:t>
      </w:r>
      <w:r>
        <w:rPr>
          <w:rFonts w:ascii="Times New Roman" w:hAnsi="Times New Roman"/>
          <w:i/>
          <w:smallCaps/>
          <w:color w:val="000000"/>
          <w:sz w:val="24"/>
        </w:rPr>
        <w:t>WAIVER OF IMMUNITY</w:t>
      </w:r>
      <w:r>
        <w:rPr>
          <w:rFonts w:ascii="Times New Roman" w:hAnsi="Times New Roman"/>
          <w:color w:val="000000"/>
          <w:sz w:val="24"/>
        </w:rPr>
        <w:t>. TO THE EXTENT THAT ANY OBLIGOR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114</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BE ATTRIBUTED SUCH AN IMMUNITY (WHETHER OR NOT CLAIMED), SUCH OBLIGOR HEREBY IRREVOCABLY AGREES NOT TO CLAIM AND HEREBY IRREVOCABLY WAIVES SUCH IMMUNITY WITH RESPECT TO ITS OBLIGATIONS UNDER THIS AGREEMENT AND THE OTHER LOAN DOCUMENTS.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13.13. Entire Agreement.</w:t>
      </w:r>
      <w:r>
        <w:rPr>
          <w:rFonts w:ascii="Times New Roman" w:hAnsi="Times New Roman"/>
          <w:color w:val="000000"/>
          <w:sz w:val="20"/>
        </w:rPr>
        <w:t xml:space="preserve"> </w:t>
      </w:r>
      <w:r>
        <w:rPr>
          <w:rFonts w:ascii="Times New Roman" w:hAnsi="Times New Roman"/>
          <w:color w:val="000000"/>
          <w:sz w:val="24"/>
        </w:rPr>
        <w:t>This Agreement and the other Loan Documents constitute the entire agreement among the parties with respect to the subject matter hereof and thereof and supersede any and all previous agreements and understandings, oral or written, relating to the subject matter hereof.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the Lenders other than those expressly set forth in this Agreement and the other Loan Documents.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13.14. Severability.</w:t>
      </w:r>
      <w:r>
        <w:rPr>
          <w:rFonts w:ascii="Times New Roman" w:hAnsi="Times New Roman"/>
          <w:color w:val="000000"/>
          <w:sz w:val="20"/>
        </w:rPr>
        <w:t xml:space="preserve"> </w:t>
      </w:r>
      <w:r>
        <w:rPr>
          <w:rFonts w:ascii="Times New Roman" w:hAnsi="Times New Roman"/>
          <w:color w:val="000000"/>
          <w:sz w:val="24"/>
        </w:rPr>
        <w:t>If any provision hereof is found by a court to be invalid or unenforceable, to the fullest extent permitted by applicable Law the parties agree that such invalidity or unenforceability shall not impair the validity or enforceability of any other provision hereof.</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13.15. No Fiduciary Relationship. </w:t>
      </w:r>
      <w:r>
        <w:rPr>
          <w:rFonts w:ascii="Times New Roman" w:hAnsi="Times New Roman"/>
          <w:color w:val="000000"/>
          <w:sz w:val="24"/>
        </w:rPr>
        <w:t xml:space="preserve">The Administrative Agent, each Lender and their Affiliates (collectively, solely for purposes of this paragraph, the </w:t>
      </w:r>
      <w:r>
        <w:rPr>
          <w:rFonts w:ascii="Times New Roman" w:hAnsi="Times New Roman"/>
          <w:color w:val="000000"/>
          <w:sz w:val="20"/>
        </w:rPr>
        <w:t>“</w:t>
      </w:r>
      <w:r>
        <w:rPr>
          <w:rFonts w:ascii="Times New Roman" w:hAnsi="Times New Roman"/>
          <w:i/>
          <w:color w:val="000000"/>
          <w:sz w:val="24"/>
        </w:rPr>
        <w:t>Lenders”</w:t>
      </w:r>
      <w:r>
        <w:rPr>
          <w:rFonts w:ascii="Times New Roman" w:hAnsi="Times New Roman"/>
          <w:color w:val="000000"/>
          <w:sz w:val="24"/>
        </w:rPr>
        <w:t xml:space="preserve">), may have economic interests that conflict with those of the Obligors, their stockholders or equity holders and/or their Affiliates (collectively, solely for purposes of this paragraph, the </w:t>
      </w:r>
      <w:r>
        <w:rPr>
          <w:rFonts w:ascii="Times New Roman" w:hAnsi="Times New Roman"/>
          <w:color w:val="000000"/>
          <w:sz w:val="20"/>
        </w:rPr>
        <w:t>“</w:t>
      </w:r>
      <w:r>
        <w:rPr>
          <w:rFonts w:ascii="Times New Roman" w:hAnsi="Times New Roman"/>
          <w:i/>
          <w:color w:val="000000"/>
          <w:sz w:val="24"/>
        </w:rPr>
        <w:t>Obligors”</w:t>
      </w:r>
      <w:r>
        <w:rPr>
          <w:rFonts w:ascii="Times New Roman" w:hAnsi="Times New Roman"/>
          <w:color w:val="000000"/>
          <w:sz w:val="24"/>
        </w:rPr>
        <w:t>). The Obligors acknowledge that the Lenders have no fiduciary relationship with, or fiduciary duty to, any Obligor arising out of or in connection with this Agreement or the other Loan Documents, and the relationship between each Lender and each Obligor are solely that of creditors and debtors. This Agreement and the other Loan Documents do not create a joint venture among the parties.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13.16. USA Patriot Act</w:t>
      </w:r>
      <w:r>
        <w:rPr>
          <w:rFonts w:ascii="Times New Roman" w:hAnsi="Times New Roman"/>
          <w:color w:val="000000"/>
          <w:sz w:val="24"/>
        </w:rPr>
        <w:t>. The Administrative Agent and the Lenders hereby notify the Obligors that pursuant to the requirements of the Patriot Act and 31 C.F.R. § 1010.230 (the “</w:t>
      </w:r>
      <w:r>
        <w:rPr>
          <w:rFonts w:ascii="Times New Roman" w:hAnsi="Times New Roman"/>
          <w:i/>
          <w:color w:val="000000"/>
          <w:sz w:val="24"/>
        </w:rPr>
        <w:t>Beneficial Ownership Regulation</w:t>
      </w:r>
      <w:r>
        <w:rPr>
          <w:rFonts w:ascii="Times New Roman" w:hAnsi="Times New Roman"/>
          <w:color w:val="000000"/>
          <w:sz w:val="20"/>
        </w:rPr>
        <w:t>”</w:t>
      </w:r>
      <w:r>
        <w:rPr>
          <w:rFonts w:ascii="Times New Roman" w:hAnsi="Times New Roman"/>
          <w:color w:val="000000"/>
          <w:sz w:val="24"/>
        </w:rPr>
        <w:t>), they are required to obtain, verify and record information that identifies the Obligors, which information includes the name and address of each Obligor and other information that will allow the Administrative Agent and such Lender to identify each Obligor in accordance with the Patriot Act and Beneficial Ownership Regulation, including a beneficial ownership certification in form and substance acceptable to the Administrative Agent.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13.17. Treatment of Certain Information; Confidentiality.</w:t>
      </w:r>
      <w:r>
        <w:rPr>
          <w:rFonts w:ascii="Times New Roman" w:hAnsi="Times New Roman"/>
          <w:color w:val="000000"/>
          <w:sz w:val="20"/>
        </w:rPr>
        <w:t xml:space="preserve"> </w:t>
      </w:r>
      <w:r>
        <w:rPr>
          <w:rFonts w:ascii="Times New Roman" w:hAnsi="Times New Roman"/>
          <w:color w:val="000000"/>
          <w:sz w:val="24"/>
        </w:rPr>
        <w:t xml:space="preserve">The Lenders agree to maintain the confidentiality of the Information (as defined below), except that Information may be disclosed to (a) its Affiliates and to its and its Affiliates’ respective partners, directors, officers, employees, agents, trustees, advisors and representatives (collectively, </w:t>
      </w:r>
      <w:r>
        <w:rPr>
          <w:rFonts w:ascii="Times New Roman" w:hAnsi="Times New Roman"/>
          <w:color w:val="000000"/>
          <w:sz w:val="20"/>
        </w:rPr>
        <w:t>“</w:t>
      </w:r>
      <w:r>
        <w:rPr>
          <w:rFonts w:ascii="Times New Roman" w:hAnsi="Times New Roman"/>
          <w:i/>
          <w:color w:val="000000"/>
          <w:sz w:val="24"/>
        </w:rPr>
        <w:t>Representatives”</w:t>
      </w:r>
      <w:r>
        <w:rPr>
          <w:rFonts w:ascii="Times New Roman" w:hAnsi="Times New Roman"/>
          <w:color w:val="000000"/>
          <w:sz w:val="24"/>
        </w:rPr>
        <w:t>)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w:t>
        <w:noBreakHyphen/>
        <w:t>regulatory authority, such as FINRA or the National Association of Insurance Commissioners) or any exchange, (c) to the extent required by the applicable Laws or by any subpoena or similar legal process, (d) to any other party hereto, (e) in connection with the exercise</w:t>
      </w:r>
      <w:r>
        <w:rPr>
          <w:rFonts w:ascii="Times New Roman" w:hAnsi="Times New Roman"/>
          <w:color w:val="000000"/>
          <w:sz w:val="20"/>
        </w:rPr>
        <w:t xml:space="preserve"> </w:t>
      </w:r>
    </w:p>
    <w:p>
      <w:pPr>
        <w:pStyle w:val="TextBody"/>
        <w:bidi w:val="0"/>
        <w:jc w:val="center"/>
        <w:rPr/>
      </w:pPr>
      <w:r>
        <w:rPr>
          <w:color w:val="000000"/>
        </w:rPr>
        <w:noBreakHyphen/>
      </w:r>
      <w:r>
        <w:rPr>
          <w:rFonts w:ascii="Times New Roman" w:hAnsi="Times New Roman"/>
          <w:color w:val="000000"/>
          <w:sz w:val="24"/>
        </w:rPr>
        <w:t>115</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of any remedies hereunder or under any other Loan Document or any action or proceeding relating to this Agreement or any other Loan Document or the enforcement of rights hereunder or thereunder, (f) subject to an agreement containing provisions substantially the same as those in this Section 13.17, to (i) any assignee of or Participant in, or any prospective assignee of or Participant in, any of its rights or obligations under this Agreement or (ii) any actual or prospective counterparty (or its advisors) to any swap or derivative transaction relating to Borrower or any Guarantor and its obligation, (g) with the consent of Borrower or (h) to the extent such Information (i) becomes publicly available other than as a result of a breach of this Section 13.17 or (ii) becomes available to the Lender, or any of its respective Representatives on a nonconfidential basis from a source other than Borrower or any other Obligor. For purposes of this Section 13.17, </w:t>
      </w:r>
      <w:r>
        <w:rPr>
          <w:rFonts w:ascii="Times New Roman" w:hAnsi="Times New Roman"/>
          <w:color w:val="000000"/>
          <w:sz w:val="20"/>
        </w:rPr>
        <w:t>“</w:t>
      </w:r>
      <w:r>
        <w:rPr>
          <w:rFonts w:ascii="Times New Roman" w:hAnsi="Times New Roman"/>
          <w:i/>
          <w:color w:val="000000"/>
          <w:sz w:val="24"/>
        </w:rPr>
        <w:t>Information”</w:t>
      </w:r>
      <w:r>
        <w:rPr>
          <w:rFonts w:ascii="Times New Roman" w:hAnsi="Times New Roman"/>
          <w:color w:val="000000"/>
          <w:sz w:val="20"/>
        </w:rPr>
        <w:t xml:space="preserve"> </w:t>
      </w:r>
      <w:r>
        <w:rPr>
          <w:rFonts w:ascii="Times New Roman" w:hAnsi="Times New Roman"/>
          <w:color w:val="000000"/>
          <w:sz w:val="24"/>
        </w:rPr>
        <w:t>means all information received from an Obligor relating to such Obligor or its Subsidiary or any of their respective businesses, except that the term “Information” shall not include, and the Lenders shall not be subject to any confidentiality obligation with respect to any information that (A) is or becomes available to the Lender or any of its Representatives on a nonconfidential basis prior to disclosure by an Obligor, (B) becomes available to a Lender or any of its Representatives after disclosure by an Obligor or its Subsidiary from a source that, to the knowledge of such Lender, is not subject to a confidentiality obligation to such Obligor, (C) is or becomes publicly available other than as a result of a breach by such Lender, or (D) is developed by a Lender or any of its Representatives. Any Person required to maintain the confidentiality of Information as provided in this Section 13.17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the case of any Lender that has elected to receive material non</w:t>
        <w:noBreakHyphen/>
        <w:t>public information pursuant to Section 8.02, such Lender acknowledges that (a) the Information may include material non</w:t>
        <w:noBreakHyphen/>
        <w:t>public information concerning an Obligor or its Subsidiary, as the case may be, (b) it has developed compliance procedures regarding the use of material non</w:t>
        <w:noBreakHyphen/>
        <w:t>public information and (c) it will handle such material non</w:t>
        <w:noBreakHyphen/>
        <w:t>public information in accordance with applicable Law, including United States federal and state securities Laws.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13.18. Releases of Guarantees and Liens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Notwithstanding anything to the contrary contained herein or in any other Loan Document, each Lender agrees, and the Administrative Agent is hereby irrevocably authorized by each Lender and given a limited power of attorney by each Lender to perform the actions described hereafter in this Section 13.18 (without requirement of notice to or consent of any Lender except as expressly required by Section 13.04) to take any action reasonably requested by the Borrower having the effect of releasing any Collateral or Obligations (i) to the extent necessary to permit consummation of any transaction not prohibited by any Loan Document or that has been consented to by the Lenders or (ii) under the circumstances described in paragraph (b) below.</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At such time as the Term Loans and the other Obligations (other than the Warrant Obligations and contingent and unmatured indemnity and expense reimbursement obligations) under the Loan Documents shall have been paid in full in cash </w:t>
      </w:r>
    </w:p>
    <w:p>
      <w:pPr>
        <w:pStyle w:val="TextBody"/>
        <w:bidi w:val="0"/>
        <w:jc w:val="center"/>
        <w:rPr/>
      </w:pPr>
      <w:r>
        <w:rPr>
          <w:color w:val="000000"/>
        </w:rPr>
        <w:noBreakHyphen/>
      </w:r>
      <w:r>
        <w:rPr>
          <w:rFonts w:ascii="Times New Roman" w:hAnsi="Times New Roman"/>
          <w:color w:val="000000"/>
          <w:sz w:val="24"/>
        </w:rPr>
        <w:t>116</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and the Commitments have been terminated, the Collateral shall be released from the Liens created by the Security Documents, and the Security Documents and all obligations (other than those expressly stated to survive such termination) of the Administrative Agent and each Obligor under the Security Documents shall terminate, all without delivery of any instrument or performance of any act by any Person.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13.19. Acknowledgement and Consent to Bail</w:t>
        <w:noBreakHyphen/>
        <w:t>In of Affected Financial Institutions</w:t>
      </w:r>
      <w:r>
        <w:rPr>
          <w:rFonts w:ascii="Times New Roman" w:hAnsi="Times New Roman"/>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w:t>
        <w:noBreakHyphen/>
        <w:t>Down and Conversion Powers of the applicable Resolution Authority and agrees and consents to, and acknowledges and agrees to be bound by: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application of any Write</w:t>
        <w:noBreakHyphen/>
        <w:t>Down and Conversion Powers by the applicable Resolution Authority to any such liabilities arising hereunder which may be payable to it by any party hereto that is an Affected Financial Institution;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effects of any Bail</w:t>
        <w:noBreakHyphen/>
        <w:t>In Action on any such liability, including, if applicable: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reduction in full or in part or cancellation of any such liability;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variation of the terms of such liability in connection with the exercise of the Write</w:t>
        <w:noBreakHyphen/>
        <w:t>Down and Conversion Powers of the applicable Resolution Authority.</w:t>
      </w:r>
    </w:p>
    <w:p>
      <w:pPr>
        <w:pStyle w:val="TextBody"/>
        <w:bidi w:val="0"/>
        <w:spacing w:before="280" w:after="283"/>
        <w:jc w:val="center"/>
        <w:rPr>
          <w:rFonts w:ascii="Times New Roman" w:hAnsi="Times New Roman"/>
          <w:i/>
          <w:color w:val="000000"/>
          <w:sz w:val="24"/>
        </w:rPr>
      </w:pPr>
      <w:r>
        <w:rPr>
          <w:rFonts w:ascii="Times New Roman" w:hAnsi="Times New Roman"/>
          <w:i/>
          <w:color w:val="000000"/>
          <w:sz w:val="24"/>
        </w:rPr>
        <w:t>[Remainder of the Page Intentionally Left Blank; Signature Pages on File with Administrative Agent]</w:t>
      </w:r>
    </w:p>
    <w:p>
      <w:pPr>
        <w:pStyle w:val="TextBody"/>
        <w:bidi w:val="0"/>
        <w:jc w:val="left"/>
        <w:rPr/>
      </w:pPr>
      <w:r>
        <w:rPr/>
        <w:t> </w:t>
      </w:r>
    </w:p>
    <w:p>
      <w:pPr>
        <w:pStyle w:val="TextBody"/>
        <w:bidi w:val="0"/>
        <w:jc w:val="center"/>
        <w:rPr/>
      </w:pPr>
      <w:r>
        <w:rPr>
          <w:color w:val="000000"/>
        </w:rPr>
        <w:noBreakHyphen/>
      </w:r>
      <w:r>
        <w:rPr>
          <w:rFonts w:ascii="Times New Roman" w:hAnsi="Times New Roman"/>
          <w:color w:val="000000"/>
          <w:sz w:val="24"/>
        </w:rPr>
        <w:t>117</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ANNEX C</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1 to Credit Agreement</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See attached.</w:t>
      </w:r>
    </w:p>
    <w:p>
      <w:pPr>
        <w:pStyle w:val="TextBody"/>
        <w:bidi w:val="0"/>
        <w:jc w:val="center"/>
        <w:rPr/>
      </w:pPr>
      <w:r>
        <w:rPr/>
        <w:t> </w:t>
      </w:r>
    </w:p>
    <w:p>
      <w:pPr>
        <w:pStyle w:val="TextBody"/>
        <w:bidi w:val="0"/>
        <w:jc w:val="center"/>
        <w:rPr/>
      </w:pPr>
      <w:r>
        <w:rPr>
          <w:color w:val="000000"/>
        </w:rPr>
        <w:noBreakHyphen/>
      </w:r>
      <w:r>
        <w:rPr>
          <w:rFonts w:ascii="Times New Roman" w:hAnsi="Times New Roman"/>
          <w:color w:val="000000"/>
          <w:sz w:val="24"/>
        </w:rPr>
        <w:t>1</w:t>
      </w:r>
      <w:r>
        <w:rPr>
          <w:rFonts w:ascii="Times New Roman" w:hAnsi="Times New Roman"/>
          <w:color w:val="000000"/>
          <w:sz w:val="20"/>
        </w:rPr>
        <w:noBreakHyphen/>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center"/>
        <w:rPr>
          <w:rFonts w:ascii="Times New Roman" w:hAnsi="Times New Roman"/>
          <w:b/>
          <w:smallCaps/>
          <w:color w:val="000000"/>
          <w:sz w:val="24"/>
        </w:rPr>
      </w:pPr>
      <w:r>
        <w:rPr>
          <w:rFonts w:ascii="Times New Roman" w:hAnsi="Times New Roman"/>
          <w:b/>
          <w:smallCaps/>
          <w:color w:val="000000"/>
          <w:sz w:val="24"/>
        </w:rPr>
        <w:t>Schedule 1</w:t>
      </w:r>
    </w:p>
    <w:p>
      <w:pPr>
        <w:pStyle w:val="TextBody"/>
        <w:bidi w:val="0"/>
        <w:spacing w:before="49" w:after="283"/>
        <w:jc w:val="center"/>
        <w:rPr>
          <w:rFonts w:ascii="Times New Roman" w:hAnsi="Times New Roman"/>
          <w:b/>
          <w:color w:val="000000"/>
          <w:sz w:val="19"/>
        </w:rPr>
      </w:pPr>
      <w:r>
        <w:rPr>
          <w:rFonts w:ascii="Times New Roman" w:hAnsi="Times New Roman"/>
          <w:b/>
          <w:color w:val="000000"/>
          <w:sz w:val="19"/>
        </w:rPr>
        <w:t>TO</w:t>
      </w:r>
    </w:p>
    <w:p>
      <w:pPr>
        <w:pStyle w:val="TextBody"/>
        <w:bidi w:val="0"/>
        <w:spacing w:before="14" w:after="283"/>
        <w:jc w:val="center"/>
        <w:rPr>
          <w:rFonts w:ascii="Times New Roman" w:hAnsi="Times New Roman"/>
          <w:b/>
          <w:smallCaps/>
          <w:color w:val="000000"/>
          <w:sz w:val="24"/>
        </w:rPr>
      </w:pPr>
      <w:r>
        <w:rPr>
          <w:rFonts w:ascii="Times New Roman" w:hAnsi="Times New Roman"/>
          <w:b/>
          <w:smallCaps/>
          <w:color w:val="000000"/>
          <w:sz w:val="24"/>
        </w:rPr>
        <w:t>Credit Agreement</w:t>
      </w:r>
    </w:p>
    <w:p>
      <w:pPr>
        <w:pStyle w:val="TextBody"/>
        <w:bidi w:val="0"/>
        <w:jc w:val="left"/>
        <w:rPr/>
      </w:pPr>
      <w:r>
        <w:rPr/>
        <w:t> </w:t>
      </w:r>
    </w:p>
    <w:p>
      <w:pPr>
        <w:pStyle w:val="TextBody"/>
        <w:bidi w:val="0"/>
        <w:spacing w:before="21"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INITIAL WARRANT SHARES</w:t>
      </w:r>
    </w:p>
    <w:p>
      <w:pPr>
        <w:pStyle w:val="TextBody"/>
        <w:bidi w:val="0"/>
        <w:spacing w:before="5" w:after="283"/>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Lender Number of Warrant Shares</w:t>
      </w:r>
    </w:p>
    <w:p>
      <w:pPr>
        <w:pStyle w:val="TextBody"/>
        <w:bidi w:val="0"/>
        <w:spacing w:before="185" w:after="283"/>
        <w:jc w:val="left"/>
        <w:rPr>
          <w:rFonts w:ascii="Times New Roman" w:hAnsi="Times New Roman"/>
          <w:color w:val="000000"/>
          <w:sz w:val="24"/>
        </w:rPr>
      </w:pPr>
      <w:r>
        <w:rPr>
          <w:rFonts w:ascii="Times New Roman" w:hAnsi="Times New Roman"/>
          <w:color w:val="000000"/>
          <w:sz w:val="24"/>
        </w:rPr>
        <w:t>Perceptive Credit Holdings IV, LP 3,000,000</w:t>
      </w:r>
    </w:p>
    <w:p>
      <w:pPr>
        <w:pStyle w:val="TextBody"/>
        <w:bidi w:val="0"/>
        <w:jc w:val="left"/>
        <w:rPr>
          <w:rFonts w:ascii="Times New Roman" w:hAnsi="Times New Roman"/>
          <w:sz w:val="20"/>
        </w:rPr>
      </w:pPr>
      <w:r>
        <w:rPr>
          <w:rFonts w:ascii="Times New Roman" w:hAnsi="Times New Roman"/>
          <w:color w:val="000000"/>
          <w:sz w:val="24"/>
        </w:rPr>
        <w:t>T</w:t>
      </w:r>
      <w:r>
        <w:rPr>
          <w:rFonts w:ascii="Times New Roman" w:hAnsi="Times New Roman"/>
          <w:color w:val="000000"/>
          <w:sz w:val="19"/>
        </w:rPr>
        <w:t xml:space="preserve">OTAL </w:t>
      </w:r>
      <w:r>
        <w:rPr>
          <w:rFonts w:ascii="Times New Roman" w:hAnsi="Times New Roman"/>
          <w:color w:val="000000"/>
          <w:sz w:val="24"/>
        </w:rPr>
        <w:t>3,000,000</w:t>
      </w:r>
    </w:p>
    <w:p>
      <w:pPr>
        <w:pStyle w:val="TextBody"/>
        <w:bidi w:val="0"/>
        <w:spacing w:before="187"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SECOND TRANCHE WARRANT SHARES*</w:t>
      </w:r>
    </w:p>
    <w:p>
      <w:pPr>
        <w:pStyle w:val="TextBody"/>
        <w:bidi w:val="0"/>
        <w:spacing w:before="66" w:after="283"/>
        <w:jc w:val="left"/>
        <w:rPr/>
      </w:pPr>
      <w:r>
        <w:rPr/>
        <w:t> </w:t>
      </w:r>
    </w:p>
    <w:tbl>
      <w:tblPr>
        <w:tblW w:w="8063" w:type="dxa"/>
        <w:jc w:val="left"/>
        <w:tblInd w:w="0" w:type="dxa"/>
        <w:tblLayout w:type="fixed"/>
        <w:tblCellMar>
          <w:top w:w="28" w:type="dxa"/>
          <w:left w:w="28" w:type="dxa"/>
          <w:bottom w:w="28" w:type="dxa"/>
          <w:right w:w="28" w:type="dxa"/>
        </w:tblCellMar>
      </w:tblPr>
      <w:tblGrid>
        <w:gridCol w:w="3586"/>
        <w:gridCol w:w="1068"/>
        <w:gridCol w:w="3409"/>
      </w:tblGrid>
      <w:tr>
        <w:trPr/>
        <w:tc>
          <w:tcPr>
            <w:tcW w:w="358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409" w:type="dxa"/>
            <w:tcBorders/>
            <w:vAlign w:val="center"/>
          </w:tcPr>
          <w:p>
            <w:pPr>
              <w:pStyle w:val="TableContents"/>
              <w:bidi w:val="0"/>
              <w:spacing w:before="0" w:after="283"/>
              <w:ind w:left="0" w:right="0" w:firstLine="2104"/>
              <w:jc w:val="left"/>
              <w:rPr>
                <w:sz w:val="4"/>
                <w:szCs w:val="4"/>
              </w:rPr>
            </w:pPr>
            <w:r>
              <w:rPr>
                <w:sz w:val="4"/>
                <w:szCs w:val="4"/>
              </w:rPr>
            </w:r>
          </w:p>
        </w:tc>
      </w:tr>
      <w:tr>
        <w:trPr/>
        <w:tc>
          <w:tcPr>
            <w:tcW w:w="3586" w:type="dxa"/>
            <w:tcBorders/>
            <w:tcMar>
              <w:top w:w="0" w:type="dxa"/>
              <w:left w:w="0" w:type="dxa"/>
              <w:bottom w:w="0" w:type="dxa"/>
              <w:right w:w="0" w:type="dxa"/>
            </w:tcMar>
            <w:vAlign w:val="center"/>
          </w:tcPr>
          <w:p>
            <w:pPr>
              <w:pStyle w:val="TableContents"/>
              <w:bidi w:val="0"/>
              <w:spacing w:before="0" w:after="283"/>
              <w:ind w:left="0" w:right="0" w:firstLine="2104"/>
              <w:jc w:val="left"/>
              <w:rPr>
                <w:rFonts w:ascii="Times New Roman" w:hAnsi="Times New Roman"/>
                <w:smallCaps/>
                <w:color w:val="000000"/>
                <w:sz w:val="24"/>
              </w:rPr>
            </w:pPr>
            <w:r>
              <w:rPr>
                <w:rFonts w:ascii="Times New Roman" w:hAnsi="Times New Roman"/>
                <w:smallCaps/>
                <w:color w:val="000000"/>
                <w:sz w:val="24"/>
              </w:rPr>
              <w:t>Lender</w:t>
            </w:r>
          </w:p>
        </w:tc>
        <w:tc>
          <w:tcPr>
            <w:tcW w:w="1068" w:type="dxa"/>
            <w:tcBorders/>
            <w:tcMar>
              <w:top w:w="0" w:type="dxa"/>
              <w:left w:w="0" w:type="dxa"/>
              <w:bottom w:w="0" w:type="dxa"/>
              <w:right w:w="0" w:type="dxa"/>
            </w:tcMar>
            <w:vAlign w:val="center"/>
          </w:tcPr>
          <w:p>
            <w:pPr>
              <w:pStyle w:val="TableContents"/>
              <w:bidi w:val="0"/>
              <w:spacing w:before="0" w:after="283"/>
              <w:ind w:left="0" w:right="0" w:firstLine="431"/>
              <w:jc w:val="left"/>
              <w:rPr/>
            </w:pPr>
            <w:r>
              <w:rPr/>
              <w:t> </w:t>
            </w:r>
          </w:p>
        </w:tc>
        <w:tc>
          <w:tcPr>
            <w:tcW w:w="3409"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smallCaps/>
                <w:color w:val="000000"/>
                <w:sz w:val="24"/>
              </w:rPr>
            </w:pPr>
            <w:r>
              <w:rPr>
                <w:rFonts w:ascii="Times New Roman" w:hAnsi="Times New Roman"/>
                <w:smallCaps/>
                <w:color w:val="000000"/>
                <w:sz w:val="24"/>
              </w:rPr>
              <w:t>Number of Warrant Shares</w:t>
            </w:r>
          </w:p>
        </w:tc>
      </w:tr>
      <w:tr>
        <w:trPr/>
        <w:tc>
          <w:tcPr>
            <w:tcW w:w="3586" w:type="dxa"/>
            <w:tcBorders/>
            <w:tcMar>
              <w:top w:w="0" w:type="dxa"/>
              <w:left w:w="0" w:type="dxa"/>
              <w:bottom w:w="0" w:type="dxa"/>
              <w:right w:w="0" w:type="dxa"/>
            </w:tcMar>
            <w:vAlign w:val="center"/>
          </w:tcPr>
          <w:p>
            <w:pPr>
              <w:pStyle w:val="TableContents"/>
              <w:bidi w:val="0"/>
              <w:spacing w:before="87" w:after="283"/>
              <w:ind w:left="0" w:right="0" w:firstLine="168"/>
              <w:jc w:val="left"/>
              <w:rPr>
                <w:rFonts w:ascii="Times New Roman" w:hAnsi="Times New Roman"/>
                <w:color w:val="000000"/>
                <w:sz w:val="24"/>
              </w:rPr>
            </w:pPr>
            <w:r>
              <w:rPr>
                <w:rFonts w:ascii="Times New Roman" w:hAnsi="Times New Roman"/>
                <w:color w:val="000000"/>
                <w:sz w:val="24"/>
              </w:rPr>
              <w:t>Perceptive Credit Holdings IV, LP</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3409" w:type="dxa"/>
            <w:tcBorders/>
            <w:tcMar>
              <w:top w:w="0" w:type="dxa"/>
              <w:left w:w="0" w:type="dxa"/>
              <w:bottom w:w="0" w:type="dxa"/>
              <w:right w:w="0" w:type="dxa"/>
            </w:tcMar>
            <w:vAlign w:val="center"/>
          </w:tcPr>
          <w:p>
            <w:pPr>
              <w:pStyle w:val="TableContents"/>
              <w:bidi w:val="0"/>
              <w:spacing w:before="87" w:after="283"/>
              <w:jc w:val="right"/>
              <w:rPr>
                <w:rFonts w:ascii="Times New Roman" w:hAnsi="Times New Roman"/>
                <w:color w:val="000000"/>
                <w:sz w:val="24"/>
              </w:rPr>
            </w:pPr>
            <w:r>
              <w:rPr>
                <w:rFonts w:ascii="Times New Roman" w:hAnsi="Times New Roman"/>
                <w:color w:val="000000"/>
                <w:sz w:val="24"/>
              </w:rPr>
              <w:t>1,000,000</w:t>
            </w:r>
          </w:p>
        </w:tc>
      </w:tr>
      <w:tr>
        <w:trPr/>
        <w:tc>
          <w:tcPr>
            <w:tcW w:w="3586" w:type="dxa"/>
            <w:tcBorders/>
            <w:tcMar>
              <w:top w:w="0" w:type="dxa"/>
              <w:left w:w="0" w:type="dxa"/>
              <w:bottom w:w="0" w:type="dxa"/>
              <w:right w:w="0" w:type="dxa"/>
            </w:tcMar>
            <w:vAlign w:val="center"/>
          </w:tcPr>
          <w:p>
            <w:pPr>
              <w:pStyle w:val="TableContents"/>
              <w:bidi w:val="0"/>
              <w:spacing w:before="0" w:after="283"/>
              <w:ind w:left="0" w:right="0" w:firstLine="302"/>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ind w:left="0" w:right="0" w:firstLine="302"/>
              <w:jc w:val="left"/>
              <w:rPr>
                <w:rFonts w:ascii="Times New Roman" w:hAnsi="Times New Roman"/>
                <w:smallCaps/>
                <w:color w:val="000000"/>
                <w:sz w:val="24"/>
              </w:rPr>
            </w:pPr>
            <w:r>
              <w:rPr>
                <w:rFonts w:ascii="Times New Roman" w:hAnsi="Times New Roman"/>
                <w:smallCaps/>
                <w:color w:val="000000"/>
                <w:sz w:val="24"/>
              </w:rPr>
              <w:t>Total</w:t>
            </w:r>
          </w:p>
        </w:tc>
        <w:tc>
          <w:tcPr>
            <w:tcW w:w="34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1,000,000</w:t>
            </w:r>
          </w:p>
        </w:tc>
      </w:tr>
      <w:tr>
        <w:trPr/>
        <w:tc>
          <w:tcPr>
            <w:tcW w:w="3586" w:type="dxa"/>
            <w:tcBorders/>
            <w:tcMar>
              <w:top w:w="0" w:type="dxa"/>
              <w:left w:w="0" w:type="dxa"/>
              <w:bottom w:w="0" w:type="dxa"/>
              <w:right w:w="0" w:type="dxa"/>
            </w:tcMar>
            <w:vAlign w:val="center"/>
          </w:tcPr>
          <w:p>
            <w:pPr>
              <w:pStyle w:val="TableContents"/>
              <w:bidi w:val="0"/>
              <w:spacing w:before="97" w:after="283"/>
              <w:jc w:val="left"/>
              <w:rPr/>
            </w:pPr>
            <w:r>
              <w:rPr/>
              <w:t> </w:t>
            </w:r>
          </w:p>
          <w:p>
            <w:pPr>
              <w:pStyle w:val="TableContents"/>
              <w:bidi w:val="0"/>
              <w:spacing w:before="1" w:after="283"/>
              <w:jc w:val="left"/>
              <w:rPr>
                <w:rFonts w:ascii="Times New Roman" w:hAnsi="Times New Roman"/>
                <w:color w:val="000000"/>
                <w:sz w:val="18"/>
              </w:rPr>
            </w:pPr>
            <w:r>
              <w:rPr>
                <w:rFonts w:ascii="Times New Roman" w:hAnsi="Times New Roman"/>
                <w:color w:val="000000"/>
                <w:sz w:val="18"/>
              </w:rPr>
              <w:t>* Issued on the Tranche B Loan Borrowing Date</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340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3" w:after="283"/>
        <w:jc w:val="left"/>
        <w:rPr/>
      </w:pPr>
      <w:r>
        <w:rPr/>
        <w:t> </w:t>
      </w:r>
    </w:p>
    <w:p>
      <w:pPr>
        <w:pStyle w:val="TextBody"/>
        <w:bidi w:val="0"/>
        <w:spacing w:before="1" w:after="283"/>
        <w:jc w:val="center"/>
        <w:rPr>
          <w:rFonts w:ascii="Times New Roman" w:hAnsi="Times New Roman"/>
          <w:b/>
          <w:color w:val="000000"/>
          <w:sz w:val="24"/>
        </w:rPr>
      </w:pPr>
      <w:r>
        <w:rPr>
          <w:rFonts w:ascii="Times New Roman" w:hAnsi="Times New Roman"/>
          <w:b/>
          <w:color w:val="000000"/>
          <w:sz w:val="24"/>
        </w:rPr>
        <w:t>THIRD TRANCHE WARRANT SHARES**</w:t>
      </w:r>
    </w:p>
    <w:p>
      <w:pPr>
        <w:pStyle w:val="TextBody"/>
        <w:bidi w:val="0"/>
        <w:spacing w:before="4" w:after="283"/>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Lender Number of Warrant Shares</w:t>
      </w:r>
    </w:p>
    <w:p>
      <w:pPr>
        <w:pStyle w:val="TextBody"/>
        <w:bidi w:val="0"/>
        <w:spacing w:before="185" w:after="283"/>
        <w:jc w:val="left"/>
        <w:rPr>
          <w:rFonts w:ascii="Times New Roman" w:hAnsi="Times New Roman"/>
          <w:color w:val="000000"/>
          <w:sz w:val="24"/>
        </w:rPr>
      </w:pPr>
      <w:r>
        <w:rPr>
          <w:rFonts w:ascii="Times New Roman" w:hAnsi="Times New Roman"/>
          <w:color w:val="000000"/>
          <w:sz w:val="24"/>
        </w:rPr>
        <w:t>Perceptive Credit Holdings IV, LP 1,000,000</w:t>
      </w:r>
    </w:p>
    <w:p>
      <w:pPr>
        <w:pStyle w:val="TextBody"/>
        <w:bidi w:val="0"/>
        <w:jc w:val="left"/>
        <w:rPr>
          <w:rFonts w:ascii="Times New Roman" w:hAnsi="Times New Roman"/>
          <w:sz w:val="20"/>
        </w:rPr>
      </w:pPr>
      <w:r>
        <w:rPr>
          <w:rFonts w:ascii="Times New Roman" w:hAnsi="Times New Roman"/>
          <w:color w:val="000000"/>
          <w:sz w:val="24"/>
        </w:rPr>
        <w:t>T</w:t>
      </w:r>
      <w:r>
        <w:rPr>
          <w:rFonts w:ascii="Times New Roman" w:hAnsi="Times New Roman"/>
          <w:color w:val="000000"/>
          <w:sz w:val="19"/>
        </w:rPr>
        <w:t xml:space="preserve">OTAL </w:t>
      </w:r>
      <w:r>
        <w:rPr>
          <w:rFonts w:ascii="Times New Roman" w:hAnsi="Times New Roman"/>
          <w:color w:val="000000"/>
          <w:sz w:val="24"/>
        </w:rPr>
        <w:t>1,000,000</w:t>
      </w:r>
    </w:p>
    <w:p>
      <w:pPr>
        <w:pStyle w:val="TextBody"/>
        <w:bidi w:val="0"/>
        <w:jc w:val="left"/>
        <w:rPr/>
      </w:pPr>
      <w:r>
        <w:rPr/>
        <w:t> </w:t>
      </w:r>
    </w:p>
    <w:p>
      <w:pPr>
        <w:pStyle w:val="TextBody"/>
        <w:bidi w:val="0"/>
        <w:spacing w:before="20"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Issued on the Tranche C Loan Borrowing Date, if it occurs</w:t>
      </w:r>
    </w:p>
    <w:p>
      <w:pPr>
        <w:pStyle w:val="TextBody"/>
        <w:bidi w:val="0"/>
        <w:jc w:val="left"/>
        <w:rPr/>
      </w:pPr>
      <w:r>
        <w:rPr/>
        <w:t> </w:t>
      </w:r>
    </w:p>
    <w:p>
      <w:pPr>
        <w:pStyle w:val="TextBody"/>
        <w:bidi w:val="0"/>
        <w:spacing w:before="62" w:after="283"/>
        <w:jc w:val="left"/>
        <w:rPr/>
      </w:pPr>
      <w:r>
        <w:rPr/>
        <w:t> </w:t>
      </w:r>
    </w:p>
    <w:p>
      <w:pPr>
        <w:pStyle w:val="TextBody"/>
        <w:bidi w:val="0"/>
        <w:spacing w:before="1" w:after="283"/>
        <w:jc w:val="center"/>
        <w:rPr>
          <w:rFonts w:ascii="Times New Roman" w:hAnsi="Times New Roman"/>
          <w:b/>
          <w:color w:val="000000"/>
          <w:sz w:val="24"/>
        </w:rPr>
      </w:pPr>
      <w:r>
        <w:rPr>
          <w:rFonts w:ascii="Times New Roman" w:hAnsi="Times New Roman"/>
          <w:b/>
          <w:color w:val="000000"/>
          <w:sz w:val="24"/>
        </w:rPr>
        <w:t>FIRST AMENDMENT WARRANT SHARES</w:t>
      </w:r>
    </w:p>
    <w:p>
      <w:pPr>
        <w:pStyle w:val="TextBody"/>
        <w:bidi w:val="0"/>
        <w:spacing w:before="4" w:after="283"/>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Lender Number of Warrant Shares</w:t>
      </w:r>
    </w:p>
    <w:p>
      <w:pPr>
        <w:pStyle w:val="TextBody"/>
        <w:bidi w:val="0"/>
        <w:spacing w:before="185" w:after="283"/>
        <w:jc w:val="left"/>
        <w:rPr>
          <w:rFonts w:ascii="Times New Roman" w:hAnsi="Times New Roman"/>
          <w:color w:val="000000"/>
          <w:sz w:val="24"/>
        </w:rPr>
      </w:pPr>
      <w:r>
        <w:rPr>
          <w:rFonts w:ascii="Times New Roman" w:hAnsi="Times New Roman"/>
          <w:color w:val="000000"/>
          <w:sz w:val="24"/>
        </w:rPr>
        <w:t>Perceptive Credit Holdings IV, LP 500,000</w:t>
      </w:r>
    </w:p>
    <w:p>
      <w:pPr>
        <w:pStyle w:val="TextBody"/>
        <w:bidi w:val="0"/>
        <w:jc w:val="left"/>
        <w:rPr>
          <w:rFonts w:ascii="Times New Roman" w:hAnsi="Times New Roman"/>
          <w:sz w:val="20"/>
        </w:rPr>
      </w:pPr>
      <w:r>
        <w:rPr>
          <w:rFonts w:ascii="Times New Roman" w:hAnsi="Times New Roman"/>
          <w:color w:val="000000"/>
          <w:sz w:val="24"/>
        </w:rPr>
        <w:t>T</w:t>
      </w:r>
      <w:r>
        <w:rPr>
          <w:rFonts w:ascii="Times New Roman" w:hAnsi="Times New Roman"/>
          <w:color w:val="000000"/>
          <w:sz w:val="19"/>
        </w:rPr>
        <w:t xml:space="preserve">OTAL </w:t>
      </w:r>
      <w:r>
        <w:rPr>
          <w:rFonts w:ascii="Times New Roman" w:hAnsi="Times New Roman"/>
          <w:color w:val="000000"/>
          <w:sz w:val="24"/>
        </w:rPr>
        <w:t>500,000</w:t>
      </w:r>
    </w:p>
    <w:p>
      <w:pPr>
        <w:pStyle w:val="TextBody"/>
        <w:bidi w:val="0"/>
        <w:jc w:val="left"/>
        <w:rPr/>
      </w:pPr>
      <w:r>
        <w:rPr/>
        <w:t> </w:t>
      </w:r>
    </w:p>
    <w:p>
      <w:pPr>
        <w:pStyle w:val="TextBody"/>
        <w:bidi w:val="0"/>
        <w:spacing w:before="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SIXTH AMENDMENT WARRANT SHARES</w:t>
      </w:r>
    </w:p>
    <w:p>
      <w:pPr>
        <w:pStyle w:val="TextBody"/>
        <w:bidi w:val="0"/>
        <w:spacing w:before="10" w:after="283"/>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Lender Number of Warrant Shares</w:t>
      </w:r>
    </w:p>
    <w:p>
      <w:pPr>
        <w:pStyle w:val="TextBody"/>
        <w:bidi w:val="0"/>
        <w:spacing w:before="185" w:after="283"/>
        <w:jc w:val="left"/>
        <w:rPr>
          <w:rFonts w:ascii="Times New Roman" w:hAnsi="Times New Roman"/>
          <w:color w:val="000000"/>
          <w:sz w:val="24"/>
        </w:rPr>
      </w:pPr>
      <w:r>
        <w:rPr>
          <w:rFonts w:ascii="Times New Roman" w:hAnsi="Times New Roman"/>
          <w:color w:val="000000"/>
          <w:sz w:val="24"/>
        </w:rPr>
        <w:t>Perceptive Credit Holdings IV, LP 100,000</w:t>
      </w:r>
    </w:p>
    <w:p>
      <w:pPr>
        <w:pStyle w:val="TextBody"/>
        <w:bidi w:val="0"/>
        <w:jc w:val="left"/>
        <w:rPr>
          <w:rFonts w:ascii="Times New Roman" w:hAnsi="Times New Roman"/>
          <w:sz w:val="20"/>
        </w:rPr>
      </w:pPr>
      <w:r>
        <w:rPr>
          <w:rFonts w:ascii="Times New Roman" w:hAnsi="Times New Roman"/>
          <w:color w:val="000000"/>
          <w:sz w:val="24"/>
        </w:rPr>
        <w:t>T</w:t>
      </w:r>
      <w:r>
        <w:rPr>
          <w:rFonts w:ascii="Times New Roman" w:hAnsi="Times New Roman"/>
          <w:color w:val="000000"/>
          <w:sz w:val="19"/>
        </w:rPr>
        <w:t xml:space="preserve">OTAL </w:t>
      </w:r>
      <w:r>
        <w:rPr>
          <w:rFonts w:ascii="Times New Roman" w:hAnsi="Times New Roman"/>
          <w:color w:val="000000"/>
          <w:sz w:val="24"/>
        </w:rPr>
        <w:t>100,000</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i/>
          <w:color w:val="000000"/>
          <w:sz w:val="18"/>
        </w:rPr>
        <w:t>Signature Page to Credit Agreement and Guaranty</w:t>
      </w:r>
      <w:r>
        <w:rPr>
          <w:rFonts w:ascii="Times New Roman" w:hAnsi="Times New Roman"/>
          <w:color w:val="000000"/>
          <w:sz w:val="18"/>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right"/>
        <w:rPr>
          <w:rFonts w:ascii="Times New Roman" w:hAnsi="Times New Roman"/>
          <w:b/>
          <w:color w:val="000000"/>
          <w:sz w:val="22"/>
        </w:rPr>
      </w:pPr>
      <w:bookmarkStart w:id="43" w:name="bdsx-ex23_1.htm"/>
      <w:bookmarkStart w:id="44" w:name="ksbdsxex23_1"/>
      <w:bookmarkEnd w:id="43"/>
      <w:bookmarkEnd w:id="44"/>
      <w:r>
        <w:rPr>
          <w:rFonts w:ascii="Times New Roman" w:hAnsi="Times New Roman"/>
          <w:b/>
          <w:color w:val="000000"/>
          <w:sz w:val="22"/>
        </w:rPr>
        <w:t>Exhibit 23.1</w:t>
      </w:r>
      <w:r>
        <w:br w:type="page"/>
      </w:r>
    </w:p>
    <w:p>
      <w:pPr>
        <w:pStyle w:val="TextBody"/>
        <w:bidi w:val="0"/>
        <w:jc w:val="left"/>
        <w:rPr/>
      </w:pPr>
      <w:r>
        <w:rPr/>
        <w:t> </w:t>
      </w:r>
    </w:p>
    <w:p>
      <w:pPr>
        <w:pStyle w:val="TextBody"/>
        <w:bidi w:val="0"/>
        <w:spacing w:before="0" w:after="40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(Nos. 333-293265, 333-287678, 333-284767, 333-265445, 333-269536, 333-249805, and 333-276842) on Form S-8, (Nos. 333-282939, 333-282938, and 333-265448) on Form S-3 and (No. 333-278881) on Form S-1 of our report dated February 26, 2026, with respect to the financial statements of Biodesix, Inc.</w:t>
      </w:r>
    </w:p>
    <w:p>
      <w:pPr>
        <w:pStyle w:val="TextBody"/>
        <w:bidi w:val="0"/>
        <w:spacing w:before="240" w:after="200"/>
        <w:jc w:val="center"/>
        <w:rPr>
          <w:rFonts w:ascii="Times New Roman" w:hAnsi="Times New Roman"/>
          <w:color w:val="000000"/>
          <w:sz w:val="20"/>
        </w:rPr>
      </w:pPr>
      <w:r>
        <w:rPr>
          <w:rFonts w:ascii="Times New Roman" w:hAnsi="Times New Roman"/>
          <w:color w:val="000000"/>
          <w:sz w:val="20"/>
        </w:rPr>
        <w:t>/s/ KPMG LLP</w:t>
      </w:r>
    </w:p>
    <w:p>
      <w:pPr>
        <w:pStyle w:val="TextBody"/>
        <w:bidi w:val="0"/>
        <w:jc w:val="left"/>
        <w:rPr>
          <w:rFonts w:ascii="Times New Roman" w:hAnsi="Times New Roman"/>
          <w:color w:val="000000"/>
          <w:sz w:val="20"/>
        </w:rPr>
      </w:pPr>
      <w:r>
        <w:rPr>
          <w:rFonts w:ascii="Times New Roman" w:hAnsi="Times New Roman"/>
          <w:color w:val="000000"/>
          <w:sz w:val="20"/>
        </w:rPr>
        <w:t>Denver, Colorado</w:t>
        <w:br/>
        <w:t>February 26,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right"/>
        <w:rPr>
          <w:rFonts w:ascii="Times New Roman" w:hAnsi="Times New Roman"/>
          <w:b/>
          <w:color w:val="000000"/>
          <w:sz w:val="22"/>
        </w:rPr>
      </w:pPr>
      <w:bookmarkStart w:id="45" w:name="bdsx-ex31_1.htm"/>
      <w:bookmarkStart w:id="46" w:name="ksbdsxex31_1"/>
      <w:bookmarkEnd w:id="45"/>
      <w:bookmarkEnd w:id="46"/>
      <w:r>
        <w:rPr>
          <w:rFonts w:ascii="Times New Roman" w:hAnsi="Times New Roman"/>
          <w:b/>
          <w:color w:val="000000"/>
          <w:sz w:val="22"/>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Scott Hutton,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Annual Report on Form 10-K of Biodesix,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709" w:type="dxa"/>
        <w:jc w:val="left"/>
        <w:tblInd w:w="0" w:type="dxa"/>
        <w:tblLayout w:type="fixed"/>
        <w:tblCellMar>
          <w:top w:w="28" w:type="dxa"/>
          <w:left w:w="28" w:type="dxa"/>
          <w:bottom w:w="28" w:type="dxa"/>
          <w:right w:w="28" w:type="dxa"/>
        </w:tblCellMar>
      </w:tblPr>
      <w:tblGrid>
        <w:gridCol w:w="2086"/>
        <w:gridCol w:w="146"/>
        <w:gridCol w:w="406"/>
        <w:gridCol w:w="207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right"/>
        <w:rPr>
          <w:rFonts w:ascii="Times New Roman" w:hAnsi="Times New Roman"/>
          <w:b/>
          <w:color w:val="000000"/>
          <w:sz w:val="22"/>
        </w:rPr>
      </w:pPr>
      <w:bookmarkStart w:id="47" w:name="bdsx-ex31_2.htm"/>
      <w:bookmarkStart w:id="48" w:name="ksbdsxex31_2"/>
      <w:bookmarkEnd w:id="47"/>
      <w:bookmarkEnd w:id="48"/>
      <w:r>
        <w:rPr>
          <w:rFonts w:ascii="Times New Roman" w:hAnsi="Times New Roman"/>
          <w:b/>
          <w:color w:val="000000"/>
          <w:sz w:val="22"/>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Robin Harper Cowie,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Annual Report on Form 10-K of Biodesix,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114" w:type="dxa"/>
        <w:jc w:val="left"/>
        <w:tblInd w:w="0" w:type="dxa"/>
        <w:tblLayout w:type="fixed"/>
        <w:tblCellMar>
          <w:top w:w="28" w:type="dxa"/>
          <w:left w:w="28" w:type="dxa"/>
          <w:bottom w:w="28" w:type="dxa"/>
          <w:right w:w="28" w:type="dxa"/>
        </w:tblCellMar>
      </w:tblPr>
      <w:tblGrid>
        <w:gridCol w:w="2086"/>
        <w:gridCol w:w="146"/>
        <w:gridCol w:w="406"/>
        <w:gridCol w:w="247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right"/>
        <w:rPr>
          <w:rFonts w:ascii="Times New Roman" w:hAnsi="Times New Roman"/>
          <w:b/>
          <w:color w:val="000000"/>
          <w:sz w:val="22"/>
        </w:rPr>
      </w:pPr>
      <w:bookmarkStart w:id="49" w:name="bdsx-ex32_1.htm"/>
      <w:bookmarkStart w:id="50" w:name="ksbdsxex32_1"/>
      <w:bookmarkEnd w:id="49"/>
      <w:bookmarkEnd w:id="50"/>
      <w:r>
        <w:rPr>
          <w:rFonts w:ascii="Times New Roman" w:hAnsi="Times New Roman"/>
          <w:b/>
          <w:color w:val="000000"/>
          <w:sz w:val="22"/>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of Biodesix, Inc. (the “Company”) on Form 10-K for the year ending December 31, 2025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tbl>
      <w:tblPr>
        <w:tblW w:w="4709" w:type="dxa"/>
        <w:jc w:val="left"/>
        <w:tblInd w:w="0" w:type="dxa"/>
        <w:tblLayout w:type="fixed"/>
        <w:tblCellMar>
          <w:top w:w="28" w:type="dxa"/>
          <w:left w:w="28" w:type="dxa"/>
          <w:bottom w:w="28" w:type="dxa"/>
          <w:right w:w="28" w:type="dxa"/>
        </w:tblCellMar>
      </w:tblPr>
      <w:tblGrid>
        <w:gridCol w:w="2086"/>
        <w:gridCol w:w="146"/>
        <w:gridCol w:w="406"/>
        <w:gridCol w:w="207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right"/>
        <w:rPr>
          <w:rFonts w:ascii="Times New Roman" w:hAnsi="Times New Roman"/>
          <w:b/>
          <w:color w:val="000000"/>
          <w:sz w:val="22"/>
        </w:rPr>
      </w:pPr>
      <w:bookmarkStart w:id="51" w:name="bdsx-ex32_2.htm"/>
      <w:bookmarkStart w:id="52" w:name="ksbdsxex32_2"/>
      <w:bookmarkEnd w:id="51"/>
      <w:bookmarkEnd w:id="52"/>
      <w:r>
        <w:rPr>
          <w:rFonts w:ascii="Times New Roman" w:hAnsi="Times New Roman"/>
          <w:b/>
          <w:color w:val="000000"/>
          <w:sz w:val="22"/>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of Biodesix, Inc. (the “Company”) on Form 10-K for the year ending December 31, 2025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tbl>
      <w:tblPr>
        <w:tblW w:w="5114" w:type="dxa"/>
        <w:jc w:val="left"/>
        <w:tblInd w:w="0" w:type="dxa"/>
        <w:tblLayout w:type="fixed"/>
        <w:tblCellMar>
          <w:top w:w="28" w:type="dxa"/>
          <w:left w:w="28" w:type="dxa"/>
          <w:bottom w:w="28" w:type="dxa"/>
          <w:right w:w="28" w:type="dxa"/>
        </w:tblCellMar>
      </w:tblPr>
      <w:tblGrid>
        <w:gridCol w:w="2086"/>
        <w:gridCol w:w="146"/>
        <w:gridCol w:w="406"/>
        <w:gridCol w:w="247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2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39725/000156459020056735/bdsx-ex31_716.htm" TargetMode="External"/><Relationship Id="rId4" Type="http://schemas.openxmlformats.org/officeDocument/2006/relationships/hyperlink" Target="https://www.sec.gov/Archives/edgar/data/1439725/000156459020056735/bdsx-ex32_717.htm" TargetMode="External"/><Relationship Id="rId5" Type="http://schemas.openxmlformats.org/officeDocument/2006/relationships/hyperlink" Target="https://www.sec.gov/Archives/edgar/data/1439725/000119312525203746/d14130dex31.htm" TargetMode="External"/><Relationship Id="rId6" Type="http://schemas.openxmlformats.org/officeDocument/2006/relationships/hyperlink" Target="https://www.sec.gov/Archives/edgar/data/1439725/000119312525203746/d14130dex32.htm" TargetMode="External"/><Relationship Id="rId7" Type="http://schemas.openxmlformats.org/officeDocument/2006/relationships/hyperlink" Target="https://www.sec.gov/Archives/edgar/data/1439725/000119312520273369/d937421dex41.htm" TargetMode="External"/><Relationship Id="rId8" Type="http://schemas.openxmlformats.org/officeDocument/2006/relationships/hyperlink" Target="https://www.sec.gov/Archives/edgar/data/1439725/000119312520262422/d937421dex42.htm" TargetMode="External"/><Relationship Id="rId9" Type="http://schemas.openxmlformats.org/officeDocument/2006/relationships/hyperlink" Target="https://www.sec.gov/Archives/edgar/data/1439725/000119312520262422/d937421dex43.htm" TargetMode="External"/><Relationship Id="rId10" Type="http://schemas.openxmlformats.org/officeDocument/2006/relationships/hyperlink" Target="https://www.sec.gov/Archives/edgar/data/1439725/000156459021013512/bdsx-ex45_270.htm" TargetMode="External"/><Relationship Id="rId11" Type="http://schemas.openxmlformats.org/officeDocument/2006/relationships/hyperlink" Target="https://www.sec.gov/Archives/edgar/data/1439725/000095017022025530/bdsx-ex10_1.htm" TargetMode="External"/><Relationship Id="rId12" Type="http://schemas.openxmlformats.org/officeDocument/2006/relationships/hyperlink" Target="https://www.sec.gov/Archives/edgar/data/1439725/000095017022025530/bdsx-ex4_2.htm" TargetMode="External"/><Relationship Id="rId13" Type="http://schemas.openxmlformats.org/officeDocument/2006/relationships/hyperlink" Target="https://www.sec.gov/Archives/edgar/data/1439725/000095017023021238/bdsx-ex4_1.htm" TargetMode="External"/><Relationship Id="rId14" Type="http://schemas.openxmlformats.org/officeDocument/2006/relationships/hyperlink" Target="https://www.sec.gov/Archives/edgar/data/1439725/000095017025030835/bdsx-ex4_8.htm" TargetMode="External"/><Relationship Id="rId15" Type="http://schemas.openxmlformats.org/officeDocument/2006/relationships/hyperlink" Target="https://www.sec.gov/Archives/edgar/data/1439725/000095017025070339/bdsx-ex4_1.htm" TargetMode="External"/><Relationship Id="rId16" Type="http://schemas.openxmlformats.org/officeDocument/2006/relationships/hyperlink" Target="https://www.sec.gov/Archives/edgar/data/1439725/000095017025070339/bdsx-ex4_2.htm" TargetMode="External"/><Relationship Id="rId17" Type="http://schemas.openxmlformats.org/officeDocument/2006/relationships/hyperlink" Target="https://www.sec.gov/Archives/edgar/data/1439725/000119312520266992/d937421dex101.htm" TargetMode="External"/><Relationship Id="rId18" Type="http://schemas.openxmlformats.org/officeDocument/2006/relationships/hyperlink" Target="https://www.sec.gov/Archives/edgar/data/1439725/000119312520266992/d937421dex1021.htm" TargetMode="External"/><Relationship Id="rId19" Type="http://schemas.openxmlformats.org/officeDocument/2006/relationships/hyperlink" Target="https://www.sec.gov/Archives/edgar/data/1439725/000119312520266992/d937421dex1022.htm" TargetMode="External"/><Relationship Id="rId20" Type="http://schemas.openxmlformats.org/officeDocument/2006/relationships/hyperlink" Target="https://www.sec.gov/Archives/edgar/data/1439725/000119312520266992/d937421dex1023.htm" TargetMode="External"/><Relationship Id="rId21" Type="http://schemas.openxmlformats.org/officeDocument/2006/relationships/hyperlink" Target="https://www.sec.gov/Archives/edgar/data/1439725/000119312520262422/d937421dex103.htm" TargetMode="External"/><Relationship Id="rId22" Type="http://schemas.openxmlformats.org/officeDocument/2006/relationships/hyperlink" Target="https://www.sec.gov/Archives/edgar/data/1439725/000119312520266992/d937421dex1041.htm" TargetMode="External"/><Relationship Id="rId23" Type="http://schemas.openxmlformats.org/officeDocument/2006/relationships/hyperlink" Target="https://www.sec.gov/Archives/edgar/data/1439725/000119312520266992/d937421dex1042.htm" TargetMode="External"/><Relationship Id="rId24" Type="http://schemas.openxmlformats.org/officeDocument/2006/relationships/hyperlink" Target="https://www.sec.gov/Archives/edgar/data/1439725/000119312520266992/d937421dex1043.htm" TargetMode="External"/><Relationship Id="rId25" Type="http://schemas.openxmlformats.org/officeDocument/2006/relationships/hyperlink" Target="https://www.sec.gov/Archives/edgar/data/1439725/000119312520275630/d937421dex105.htm" TargetMode="External"/><Relationship Id="rId26" Type="http://schemas.openxmlformats.org/officeDocument/2006/relationships/hyperlink" Target="https://www.sec.gov/Archives/edgar/data/1439725/000156459021013512/bdsx-ex1051_388.htm" TargetMode="External"/><Relationship Id="rId27" Type="http://schemas.openxmlformats.org/officeDocument/2006/relationships/hyperlink" Target="https://www.sec.gov/Archives/edgar/data/1439725/000156459021043081/bdsx-ex1052_236.htm" TargetMode="External"/><Relationship Id="rId28" Type="http://schemas.openxmlformats.org/officeDocument/2006/relationships/hyperlink" Target="https://www.sec.gov/Archives/edgar/data/1439725/000119312520275630/d937421dex106.htm" TargetMode="External"/><Relationship Id="rId29" Type="http://schemas.openxmlformats.org/officeDocument/2006/relationships/hyperlink" Target="https://www.sec.gov/Archives/edgar/data/1439725/000119312520262422/d937421dex1053.htm" TargetMode="External"/><Relationship Id="rId30" Type="http://schemas.openxmlformats.org/officeDocument/2006/relationships/hyperlink" Target="https://www.sec.gov/Archives/edgar/data/1439725/000095017022014433/bdsx-ex10_1.htm" TargetMode="External"/><Relationship Id="rId31" Type="http://schemas.openxmlformats.org/officeDocument/2006/relationships/hyperlink" Target="https://www.sec.gov/Archives/edgar/data/1439725/000095017022014433/bdsx-ex10_2.htm" TargetMode="External"/><Relationship Id="rId32" Type="http://schemas.openxmlformats.org/officeDocument/2006/relationships/hyperlink" Target="https://www.sec.gov/Archives/edgar/data/1439725/000095017023006092/bdsx-ex10_83.htm" TargetMode="External"/><Relationship Id="rId33" Type="http://schemas.openxmlformats.org/officeDocument/2006/relationships/hyperlink" Target="https://www.sec.gov/Archives/edgar/data/1439725/000119312520266992/d937421dex1061.htm" TargetMode="External"/><Relationship Id="rId34" Type="http://schemas.openxmlformats.org/officeDocument/2006/relationships/hyperlink" Target="https://www.sec.gov/Archives/edgar/data/1439725/000119312520266992/d937421dex1062.htm" TargetMode="External"/><Relationship Id="rId35" Type="http://schemas.openxmlformats.org/officeDocument/2006/relationships/hyperlink" Target="https://www.sec.gov/Archives/edgar/data/1439725/000119312520268763/d937421dex107.htm" TargetMode="External"/><Relationship Id="rId36" Type="http://schemas.openxmlformats.org/officeDocument/2006/relationships/hyperlink" Target="https://www.sec.gov/Archives/edgar/data/1439725/000119312524107051/d827839dex1042.htm" TargetMode="External"/><Relationship Id="rId37" Type="http://schemas.openxmlformats.org/officeDocument/2006/relationships/hyperlink" Target="https://www.sec.gov/Archives/edgar/data/1439725/000119312520262422/d937421dex1013.htm" TargetMode="External"/><Relationship Id="rId38" Type="http://schemas.openxmlformats.org/officeDocument/2006/relationships/hyperlink" Target="https://www.sec.gov/Archives/edgar/data/1439725/000095017023021238/bdsx-ex10_2.htm" TargetMode="External"/><Relationship Id="rId39" Type="http://schemas.openxmlformats.org/officeDocument/2006/relationships/hyperlink" Target="https://www.sec.gov/Archives/edgar/data/1439725/000119312525262532/bdsx-ex10_1.htm" TargetMode="External"/><Relationship Id="rId40" Type="http://schemas.openxmlformats.org/officeDocument/2006/relationships/hyperlink" Target="https://www.sec.gov/Archives/edgar/data/1439725/000095017022009126/bdsx-ex10_1.htm" TargetMode="External"/><Relationship Id="rId41" Type="http://schemas.openxmlformats.org/officeDocument/2006/relationships/hyperlink" Target="https://www.sec.gov/Archives/edgar/data/1439725/000095017022009126/bdsx-ex10_1.htm" TargetMode="External"/><Relationship Id="rId42" Type="http://schemas.openxmlformats.org/officeDocument/2006/relationships/hyperlink" Target="https://www.sec.gov/Archives/edgar/data/1439725/000095017022009126/bdsx-ex10_2.htm" TargetMode="External"/><Relationship Id="rId43" Type="http://schemas.openxmlformats.org/officeDocument/2006/relationships/hyperlink" Target="https://www.sec.gov/Archives/edgar/data/1439725/000119312520262422/d937421dex1015.htm" TargetMode="External"/><Relationship Id="rId44" Type="http://schemas.openxmlformats.org/officeDocument/2006/relationships/hyperlink" Target="https://www.sec.gov/Archives/edgar/data/1439725/000119312520266992/d937421dex1015.htm" TargetMode="External"/><Relationship Id="rId45" Type="http://schemas.openxmlformats.org/officeDocument/2006/relationships/hyperlink" Target="https://www.sec.gov/Archives/edgar/data/1439725/000119312520266992/d937421dex1016.htm" TargetMode="External"/><Relationship Id="rId46" Type="http://schemas.openxmlformats.org/officeDocument/2006/relationships/hyperlink" Target="https://www.sec.gov/Archives/edgar/data/1439725/000119312520266992/d937421dex1017.htm" TargetMode="External"/><Relationship Id="rId47" Type="http://schemas.openxmlformats.org/officeDocument/2006/relationships/hyperlink" Target="https://www.sec.gov/Archives/edgar/data/1439725/000119312520266992/d937421dex1018.htm" TargetMode="External"/><Relationship Id="rId48" Type="http://schemas.openxmlformats.org/officeDocument/2006/relationships/hyperlink" Target="https://www.sec.gov/Archives/edgar/data/1439725/000119312520266992/d937421dex1019.htm" TargetMode="External"/><Relationship Id="rId49" Type="http://schemas.openxmlformats.org/officeDocument/2006/relationships/hyperlink" Target="https://www.sec.gov/Archives/edgar/data/1439725/000119312520266992/d937421dex1020.htm" TargetMode="External"/><Relationship Id="rId50" Type="http://schemas.openxmlformats.org/officeDocument/2006/relationships/hyperlink" Target="https://www.sec.gov/Archives/edgar/data/1439725/000119312520262422/d937421dex1023.htm" TargetMode="External"/><Relationship Id="rId51" Type="http://schemas.openxmlformats.org/officeDocument/2006/relationships/hyperlink" Target="https://www.sec.gov/Archives/edgar/data/1439725/000156459021043081/bdsx-ex1038_489.htm" TargetMode="External"/><Relationship Id="rId52" Type="http://schemas.openxmlformats.org/officeDocument/2006/relationships/hyperlink" Target="https://www.sec.gov/Archives/edgar/data/1439725/000095017022009126/bdsx-ex10_6.htm" TargetMode="External"/><Relationship Id="rId53" Type="http://schemas.openxmlformats.org/officeDocument/2006/relationships/hyperlink" Target="https://www.sec.gov/Archives/edgar/data/1439725/000119312520262422/d937421dex1024.htm" TargetMode="External"/><Relationship Id="rId54" Type="http://schemas.openxmlformats.org/officeDocument/2006/relationships/hyperlink" Target="https://www.sec.gov/Archives/edgar/data/1439725/000156459021043081/bdsx-ex1037_47.htm" TargetMode="External"/><Relationship Id="rId55" Type="http://schemas.openxmlformats.org/officeDocument/2006/relationships/hyperlink" Target="https://www.sec.gov/Archives/edgar/data/1439725/000095017024092773/bdsx-ex10_1.htm" TargetMode="External"/><Relationship Id="rId56" Type="http://schemas.openxmlformats.org/officeDocument/2006/relationships/hyperlink" Target="https://www.sec.gov/Archives/edgar/data/1439725/000095017022005536/bdsx-ex10_1.htm" TargetMode="External"/><Relationship Id="rId57" Type="http://schemas.openxmlformats.org/officeDocument/2006/relationships/hyperlink" Target="https://www.sec.gov/Archives/edgar/data/1439725/000095017022025530/bdsx-ex10_1.htm" TargetMode="External"/><Relationship Id="rId58" Type="http://schemas.openxmlformats.org/officeDocument/2006/relationships/hyperlink" Target="https://www.sec.gov/Archives/edgar/data/1439725/000095017023021238/bdsx-ex10_3.htm" TargetMode="External"/><Relationship Id="rId59" Type="http://schemas.openxmlformats.org/officeDocument/2006/relationships/hyperlink" Target="https://www.sec.gov/Archives/edgar/data/1439725/000095017023039073/bdsx-ex10_2.htm" TargetMode="External"/><Relationship Id="rId60" Type="http://schemas.openxmlformats.org/officeDocument/2006/relationships/hyperlink" Target="https://www.sec.gov/Archives/edgar/data/1439725/000095017024023513/bdsx-ex10_34.htm" TargetMode="External"/><Relationship Id="rId61" Type="http://schemas.openxmlformats.org/officeDocument/2006/relationships/hyperlink" Target="https://www.sec.gov/Archives/edgar/data/1439725/000095017024023513/bdsx-ex10_35.htm" TargetMode="External"/><Relationship Id="rId62" Type="http://schemas.openxmlformats.org/officeDocument/2006/relationships/hyperlink" Target="https://www.sec.gov/Archives/edgar/data/1439725/000095017024119792/bdsx-ex10_1.htm" TargetMode="External"/><Relationship Id="rId63" Type="http://schemas.openxmlformats.org/officeDocument/2006/relationships/hyperlink" Target="https://www.sec.gov/Archives/edgar/data/1439725/000095017025030835/bdsx-ex10_36.htm" TargetMode="External"/><Relationship Id="rId64" Type="http://schemas.openxmlformats.org/officeDocument/2006/relationships/hyperlink" Target="https://www.sec.gov/Archives/edgar/data/1439725/000095017022025530/bdsx-ex10_2.htm" TargetMode="External"/><Relationship Id="rId65" Type="http://schemas.openxmlformats.org/officeDocument/2006/relationships/hyperlink" Target="https://www.sec.gov/Archives/edgar/data/1439725/000119312524090787/d779805dex103.htm" TargetMode="External"/><Relationship Id="rId66" Type="http://schemas.openxmlformats.org/officeDocument/2006/relationships/hyperlink" Target="https://www.sec.gov/Archives/edgar/data/1439725/000095017025030835/bdsx-ex19_1.htm" TargetMode="External"/><Relationship Id="rId67" Type="http://schemas.openxmlformats.org/officeDocument/2006/relationships/hyperlink" Target="https://www.sec.gov/Archives/edgar/data/1439725/000095017024023513/bdsx-ex97_1.htm" TargetMode="External"/><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163621</Words>
  <Characters>896887</Characters>
  <CharactersWithSpaces>1058327</CharactersWithSpaces>
  <Paragraphs>8749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