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23, 2020.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333-249260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4</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jc w:val="center"/>
        <w:spacing w:after="0" w:line="221" w:lineRule="auto"/>
        <w:rPr>
          <w:sz w:val="20"/>
          <w:szCs w:val="20"/>
          <w:color w:val="auto"/>
        </w:rPr>
      </w:pPr>
      <w:r>
        <w:rPr>
          <w:rFonts w:ascii="Arial" w:cs="Arial" w:eastAsia="Arial" w:hAnsi="Arial"/>
          <w:sz w:val="14"/>
          <w:szCs w:val="14"/>
          <w:color w:val="auto"/>
        </w:rPr>
        <w:t>REGISTRATION STATEMENT</w:t>
      </w:r>
    </w:p>
    <w:p>
      <w:pPr>
        <w:jc w:val="center"/>
        <w:spacing w:after="0" w:line="221" w:lineRule="auto"/>
        <w:rPr>
          <w:sz w:val="20"/>
          <w:szCs w:val="20"/>
          <w:color w:val="auto"/>
        </w:rPr>
      </w:pPr>
      <w:r>
        <w:rPr>
          <w:rFonts w:ascii="Arial" w:cs="Arial" w:eastAsia="Arial" w:hAnsi="Arial"/>
          <w:sz w:val="14"/>
          <w:szCs w:val="14"/>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w:t>
      </w:r>
      <w:r>
        <w:rPr>
          <w:rFonts w:ascii="Arial" w:cs="Arial" w:eastAsia="Arial" w:hAnsi="Arial"/>
          <w:sz w:val="26"/>
          <w:szCs w:val="26"/>
          <w:b w:val="1"/>
          <w:bCs w:val="1"/>
          <w:color w:val="auto"/>
        </w:rPr>
        <w:t>IODESIX</w:t>
      </w:r>
      <w:r>
        <w:rPr>
          <w:rFonts w:ascii="Arial" w:cs="Arial" w:eastAsia="Arial" w:hAnsi="Arial"/>
          <w:sz w:val="32"/>
          <w:szCs w:val="32"/>
          <w:b w:val="1"/>
          <w:bCs w:val="1"/>
          <w:color w:val="auto"/>
        </w:rPr>
        <w:t>, I</w:t>
      </w:r>
      <w:r>
        <w:rPr>
          <w:rFonts w:ascii="Arial" w:cs="Arial" w:eastAsia="Arial" w:hAnsi="Arial"/>
          <w:sz w:val="26"/>
          <w:szCs w:val="26"/>
          <w:b w:val="1"/>
          <w:bCs w:val="1"/>
          <w:color w:val="auto"/>
        </w:rPr>
        <w:t>NC</w:t>
      </w:r>
      <w:r>
        <w:rPr>
          <w:rFonts w:ascii="Arial" w:cs="Arial" w:eastAsia="Arial" w:hAnsi="Arial"/>
          <w:sz w:val="32"/>
          <w:szCs w:val="32"/>
          <w:b w:val="1"/>
          <w:bCs w:val="1"/>
          <w:color w:val="auto"/>
        </w:rPr>
        <w: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0"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840" w:type="dxa"/>
            <w:vAlign w:val="bottom"/>
          </w:tcPr>
          <w:p>
            <w:pPr>
              <w:jc w:val="center"/>
              <w:ind w:right="1028"/>
              <w:spacing w:after="0"/>
              <w:rPr>
                <w:sz w:val="20"/>
                <w:szCs w:val="20"/>
                <w:color w:val="auto"/>
              </w:rPr>
            </w:pPr>
            <w:r>
              <w:rPr>
                <w:rFonts w:ascii="Arial" w:cs="Arial" w:eastAsia="Arial" w:hAnsi="Arial"/>
                <w:sz w:val="14"/>
                <w:szCs w:val="14"/>
                <w:b w:val="1"/>
                <w:bCs w:val="1"/>
                <w:color w:val="auto"/>
                <w:w w:val="94"/>
              </w:rPr>
              <w:t>Delaware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6"/>
              </w:rPr>
              <w:t>8071</w:t>
            </w:r>
          </w:p>
        </w:tc>
        <w:tc>
          <w:tcPr>
            <w:tcW w:w="2400" w:type="dxa"/>
            <w:vAlign w:val="bottom"/>
          </w:tcPr>
          <w:p>
            <w:pPr>
              <w:jc w:val="center"/>
              <w:ind w:left="988"/>
              <w:spacing w:after="0"/>
              <w:rPr>
                <w:sz w:val="20"/>
                <w:szCs w:val="20"/>
                <w:color w:val="auto"/>
              </w:rPr>
            </w:pPr>
            <w:r>
              <w:rPr>
                <w:rFonts w:ascii="Arial" w:cs="Arial" w:eastAsia="Arial" w:hAnsi="Arial"/>
                <w:sz w:val="14"/>
                <w:szCs w:val="14"/>
                <w:b w:val="1"/>
                <w:bCs w:val="1"/>
                <w:color w:val="auto"/>
                <w:w w:val="93"/>
              </w:rPr>
              <w:t>20-3986492</w:t>
            </w:r>
          </w:p>
        </w:tc>
      </w:tr>
      <w:tr>
        <w:trPr>
          <w:trHeight w:val="149"/>
        </w:trPr>
        <w:tc>
          <w:tcPr>
            <w:tcW w:w="2840" w:type="dxa"/>
            <w:vAlign w:val="bottom"/>
          </w:tcPr>
          <w:p>
            <w:pPr>
              <w:jc w:val="center"/>
              <w:ind w:right="100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40" w:type="dxa"/>
            <w:vAlign w:val="bottom"/>
          </w:tcPr>
          <w:p>
            <w:pPr>
              <w:jc w:val="center"/>
              <w:spacing w:after="0" w:line="149" w:lineRule="exact"/>
              <w:rPr>
                <w:sz w:val="20"/>
                <w:szCs w:val="20"/>
                <w:color w:val="auto"/>
              </w:rPr>
            </w:pPr>
            <w:r>
              <w:rPr>
                <w:rFonts w:ascii="Arial" w:cs="Arial" w:eastAsia="Arial" w:hAnsi="Arial"/>
                <w:sz w:val="14"/>
                <w:szCs w:val="14"/>
                <w:color w:val="auto"/>
                <w:w w:val="95"/>
              </w:rPr>
              <w:t>(Primary Standard Industrial</w:t>
            </w:r>
          </w:p>
        </w:tc>
        <w:tc>
          <w:tcPr>
            <w:tcW w:w="2400" w:type="dxa"/>
            <w:vAlign w:val="bottom"/>
          </w:tcPr>
          <w:p>
            <w:pPr>
              <w:jc w:val="center"/>
              <w:ind w:left="9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40" w:type="dxa"/>
            <w:vAlign w:val="bottom"/>
          </w:tcPr>
          <w:p>
            <w:pPr>
              <w:jc w:val="center"/>
              <w:ind w:right="1008"/>
              <w:spacing w:after="0"/>
              <w:rPr>
                <w:sz w:val="20"/>
                <w:szCs w:val="20"/>
                <w:color w:val="auto"/>
              </w:rPr>
            </w:pPr>
            <w:r>
              <w:rPr>
                <w:rFonts w:ascii="Arial" w:cs="Arial" w:eastAsia="Arial" w:hAnsi="Arial"/>
                <w:sz w:val="14"/>
                <w:szCs w:val="14"/>
                <w:color w:val="auto"/>
                <w:w w:val="94"/>
              </w:rPr>
              <w:t>Incorporation or Organization)</w:t>
            </w:r>
          </w:p>
        </w:tc>
        <w:tc>
          <w:tcPr>
            <w:tcW w:w="3840" w:type="dxa"/>
            <w:vAlign w:val="bottom"/>
          </w:tcPr>
          <w:p>
            <w:pPr>
              <w:jc w:val="center"/>
              <w:spacing w:after="0"/>
              <w:rPr>
                <w:sz w:val="20"/>
                <w:szCs w:val="20"/>
                <w:color w:val="auto"/>
              </w:rPr>
            </w:pPr>
            <w:r>
              <w:rPr>
                <w:rFonts w:ascii="Arial" w:cs="Arial" w:eastAsia="Arial" w:hAnsi="Arial"/>
                <w:sz w:val="14"/>
                <w:szCs w:val="14"/>
                <w:color w:val="auto"/>
                <w:w w:val="95"/>
              </w:rPr>
              <w:t>Classification Code Number)</w:t>
            </w:r>
          </w:p>
        </w:tc>
        <w:tc>
          <w:tcPr>
            <w:tcW w:w="2400" w:type="dxa"/>
            <w:vAlign w:val="bottom"/>
          </w:tcPr>
          <w:p>
            <w:pPr>
              <w:jc w:val="center"/>
              <w:ind w:left="988"/>
              <w:spacing w:after="0"/>
              <w:rPr>
                <w:sz w:val="20"/>
                <w:szCs w:val="20"/>
                <w:color w:val="auto"/>
              </w:rPr>
            </w:pPr>
            <w:r>
              <w:rPr>
                <w:rFonts w:ascii="Arial" w:cs="Arial" w:eastAsia="Arial" w:hAnsi="Arial"/>
                <w:sz w:val="14"/>
                <w:szCs w:val="14"/>
                <w:color w:val="auto"/>
                <w:w w:val="97"/>
              </w:rPr>
              <w:t>Identification Number)</w:t>
            </w: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Biodesix, Inc.</w:t>
      </w:r>
    </w:p>
    <w:p>
      <w:pPr>
        <w:jc w:val="center"/>
        <w:spacing w:after="0" w:line="226" w:lineRule="auto"/>
        <w:rPr>
          <w:sz w:val="20"/>
          <w:szCs w:val="20"/>
          <w:color w:val="auto"/>
        </w:rPr>
      </w:pPr>
      <w:r>
        <w:rPr>
          <w:rFonts w:ascii="Arial" w:cs="Arial" w:eastAsia="Arial" w:hAnsi="Arial"/>
          <w:sz w:val="14"/>
          <w:szCs w:val="14"/>
          <w:b w:val="1"/>
          <w:bCs w:val="1"/>
          <w:color w:val="auto"/>
        </w:rPr>
        <w:t>2970 Wilderness Place, Suite 100</w:t>
      </w:r>
    </w:p>
    <w:p>
      <w:pPr>
        <w:jc w:val="center"/>
        <w:spacing w:after="0" w:line="221" w:lineRule="auto"/>
        <w:rPr>
          <w:sz w:val="20"/>
          <w:szCs w:val="20"/>
          <w:color w:val="auto"/>
        </w:rPr>
      </w:pPr>
      <w:r>
        <w:rPr>
          <w:rFonts w:ascii="Arial" w:cs="Arial" w:eastAsia="Arial" w:hAnsi="Arial"/>
          <w:sz w:val="14"/>
          <w:szCs w:val="14"/>
          <w:b w:val="1"/>
          <w:bCs w:val="1"/>
          <w:color w:val="auto"/>
        </w:rPr>
        <w:t>Boulder, Colorado 80301</w:t>
      </w:r>
    </w:p>
    <w:p>
      <w:pPr>
        <w:jc w:val="center"/>
        <w:spacing w:after="0" w:line="222" w:lineRule="auto"/>
        <w:rPr>
          <w:sz w:val="20"/>
          <w:szCs w:val="20"/>
          <w:color w:val="auto"/>
        </w:rPr>
      </w:pPr>
      <w:r>
        <w:rPr>
          <w:rFonts w:ascii="Arial" w:cs="Arial" w:eastAsia="Arial" w:hAnsi="Arial"/>
          <w:sz w:val="14"/>
          <w:szCs w:val="14"/>
          <w:b w:val="1"/>
          <w:bCs w:val="1"/>
          <w:color w:val="auto"/>
        </w:rPr>
        <w:t>(303) 417-0500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Scott Hutton</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Biodesix, Inc.</w:t>
      </w:r>
    </w:p>
    <w:p>
      <w:pPr>
        <w:jc w:val="center"/>
        <w:spacing w:after="0" w:line="222" w:lineRule="auto"/>
        <w:rPr>
          <w:sz w:val="20"/>
          <w:szCs w:val="20"/>
          <w:color w:val="auto"/>
        </w:rPr>
      </w:pPr>
      <w:r>
        <w:rPr>
          <w:rFonts w:ascii="Arial" w:cs="Arial" w:eastAsia="Arial" w:hAnsi="Arial"/>
          <w:sz w:val="14"/>
          <w:szCs w:val="14"/>
          <w:b w:val="1"/>
          <w:bCs w:val="1"/>
          <w:color w:val="auto"/>
        </w:rPr>
        <w:t>2970 Wilderness Place, Suite 100</w:t>
      </w:r>
    </w:p>
    <w:p>
      <w:pPr>
        <w:jc w:val="center"/>
        <w:spacing w:after="0" w:line="221" w:lineRule="auto"/>
        <w:rPr>
          <w:sz w:val="20"/>
          <w:szCs w:val="20"/>
          <w:color w:val="auto"/>
        </w:rPr>
      </w:pPr>
      <w:r>
        <w:rPr>
          <w:rFonts w:ascii="Arial" w:cs="Arial" w:eastAsia="Arial" w:hAnsi="Arial"/>
          <w:sz w:val="14"/>
          <w:szCs w:val="14"/>
          <w:b w:val="1"/>
          <w:bCs w:val="1"/>
          <w:color w:val="auto"/>
        </w:rPr>
        <w:t>Boulder, Colorado 80301</w:t>
      </w:r>
    </w:p>
    <w:p>
      <w:pPr>
        <w:jc w:val="center"/>
        <w:spacing w:after="0" w:line="222" w:lineRule="auto"/>
        <w:rPr>
          <w:sz w:val="20"/>
          <w:szCs w:val="20"/>
          <w:color w:val="auto"/>
        </w:rPr>
      </w:pPr>
      <w:r>
        <w:rPr>
          <w:rFonts w:ascii="Arial" w:cs="Arial" w:eastAsia="Arial" w:hAnsi="Arial"/>
          <w:sz w:val="14"/>
          <w:szCs w:val="14"/>
          <w:b w:val="1"/>
          <w:bCs w:val="1"/>
          <w:color w:val="auto"/>
        </w:rPr>
        <w:t>(303) 417-0500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9" w:lineRule="exact"/>
        <w:rPr>
          <w:sz w:val="24"/>
          <w:szCs w:val="24"/>
          <w:color w:val="auto"/>
        </w:rPr>
      </w:pPr>
    </w:p>
    <w:tbl>
      <w:tblPr>
        <w:tblLayout w:type="fixed"/>
        <w:tblInd w:w="1840" w:type="dxa"/>
        <w:tblCellMar>
          <w:top w:w="0" w:type="dxa"/>
          <w:left w:w="0" w:type="dxa"/>
          <w:bottom w:w="0" w:type="dxa"/>
          <w:right w:w="0" w:type="dxa"/>
        </w:tblCellMar>
      </w:tblPr>
      <w:tr>
        <w:trPr>
          <w:trHeight w:val="182"/>
        </w:trPr>
        <w:tc>
          <w:tcPr>
            <w:tcW w:w="2740" w:type="dxa"/>
            <w:vAlign w:val="bottom"/>
          </w:tcPr>
          <w:p>
            <w:pPr>
              <w:spacing w:after="0"/>
              <w:rPr>
                <w:sz w:val="15"/>
                <w:szCs w:val="15"/>
                <w:color w:val="auto"/>
              </w:rPr>
            </w:pPr>
          </w:p>
        </w:tc>
        <w:tc>
          <w:tcPr>
            <w:tcW w:w="4860" w:type="dxa"/>
            <w:vAlign w:val="bottom"/>
          </w:tcPr>
          <w:p>
            <w:pPr>
              <w:ind w:left="74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740" w:type="dxa"/>
            <w:vAlign w:val="bottom"/>
          </w:tcPr>
          <w:p>
            <w:pPr>
              <w:jc w:val="center"/>
              <w:ind w:right="668"/>
              <w:spacing w:after="0"/>
              <w:rPr>
                <w:sz w:val="20"/>
                <w:szCs w:val="20"/>
                <w:color w:val="auto"/>
              </w:rPr>
            </w:pPr>
            <w:r>
              <w:rPr>
                <w:rFonts w:ascii="Arial" w:cs="Arial" w:eastAsia="Arial" w:hAnsi="Arial"/>
                <w:sz w:val="14"/>
                <w:szCs w:val="14"/>
                <w:b w:val="1"/>
                <w:bCs w:val="1"/>
                <w:color w:val="auto"/>
                <w:w w:val="95"/>
              </w:rPr>
              <w:t>Frank F. Rahmani, Esq.</w:t>
            </w:r>
          </w:p>
        </w:tc>
        <w:tc>
          <w:tcPr>
            <w:tcW w:w="4860" w:type="dxa"/>
            <w:vAlign w:val="bottom"/>
          </w:tcPr>
          <w:p>
            <w:pPr>
              <w:jc w:val="center"/>
              <w:ind w:left="2928"/>
              <w:spacing w:after="0"/>
              <w:rPr>
                <w:sz w:val="20"/>
                <w:szCs w:val="20"/>
                <w:color w:val="auto"/>
              </w:rPr>
            </w:pPr>
            <w:r>
              <w:rPr>
                <w:rFonts w:ascii="Arial" w:cs="Arial" w:eastAsia="Arial" w:hAnsi="Arial"/>
                <w:sz w:val="14"/>
                <w:szCs w:val="14"/>
                <w:b w:val="1"/>
                <w:bCs w:val="1"/>
                <w:color w:val="auto"/>
                <w:w w:val="93"/>
              </w:rPr>
              <w:t>Richard D. Truesdell, Jr., Esq.</w:t>
            </w:r>
          </w:p>
        </w:tc>
      </w:tr>
      <w:tr>
        <w:trPr>
          <w:trHeight w:val="149"/>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5"/>
              </w:rPr>
              <w:t>Samir A. Gandhi, Esq.</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1"/>
              </w:rPr>
              <w:t>Yasin Keshvargar, Esq.</w:t>
            </w:r>
          </w:p>
        </w:tc>
      </w:tr>
      <w:tr>
        <w:trPr>
          <w:trHeight w:val="148"/>
        </w:trPr>
        <w:tc>
          <w:tcPr>
            <w:tcW w:w="274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95"/>
              </w:rPr>
              <w:t>Sidley Austin LLP</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8"/>
              </w:rPr>
              <w:t>Davis Polk &amp; Wardwell LLP</w:t>
            </w:r>
          </w:p>
        </w:tc>
      </w:tr>
      <w:tr>
        <w:trPr>
          <w:trHeight w:val="148"/>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4"/>
              </w:rPr>
              <w:t>555 California Street, Suite 2000</w:t>
            </w:r>
          </w:p>
        </w:tc>
        <w:tc>
          <w:tcPr>
            <w:tcW w:w="486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9"/>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2"/>
              </w:rPr>
              <w:t>San Francisco, California 94104</w:t>
            </w:r>
          </w:p>
        </w:tc>
        <w:tc>
          <w:tcPr>
            <w:tcW w:w="486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4"/>
              </w:rPr>
              <w:t>New York, New York 10017</w:t>
            </w:r>
          </w:p>
        </w:tc>
      </w:tr>
      <w:tr>
        <w:trPr>
          <w:trHeight w:val="148"/>
        </w:trPr>
        <w:tc>
          <w:tcPr>
            <w:tcW w:w="2740" w:type="dxa"/>
            <w:vAlign w:val="bottom"/>
          </w:tcPr>
          <w:p>
            <w:pPr>
              <w:jc w:val="center"/>
              <w:ind w:right="668"/>
              <w:spacing w:after="0" w:line="149" w:lineRule="exact"/>
              <w:rPr>
                <w:sz w:val="20"/>
                <w:szCs w:val="20"/>
                <w:color w:val="auto"/>
              </w:rPr>
            </w:pPr>
            <w:r>
              <w:rPr>
                <w:rFonts w:ascii="Arial" w:cs="Arial" w:eastAsia="Arial" w:hAnsi="Arial"/>
                <w:sz w:val="14"/>
                <w:szCs w:val="14"/>
                <w:b w:val="1"/>
                <w:bCs w:val="1"/>
                <w:color w:val="auto"/>
                <w:w w:val="91"/>
              </w:rPr>
              <w:t>Telephone: (415) 772-1200</w:t>
            </w:r>
          </w:p>
        </w:tc>
        <w:tc>
          <w:tcPr>
            <w:tcW w:w="4860" w:type="dxa"/>
            <w:vAlign w:val="bottom"/>
          </w:tcPr>
          <w:p>
            <w:pPr>
              <w:jc w:val="center"/>
              <w:ind w:left="2928"/>
              <w:spacing w:after="0" w:line="149" w:lineRule="exact"/>
              <w:rPr>
                <w:sz w:val="20"/>
                <w:szCs w:val="20"/>
                <w:color w:val="auto"/>
              </w:rPr>
            </w:pPr>
            <w:r>
              <w:rPr>
                <w:rFonts w:ascii="Arial" w:cs="Arial" w:eastAsia="Arial" w:hAnsi="Arial"/>
                <w:sz w:val="14"/>
                <w:szCs w:val="14"/>
                <w:b w:val="1"/>
                <w:bCs w:val="1"/>
                <w:color w:val="auto"/>
                <w:w w:val="92"/>
              </w:rPr>
              <w:t>Telephone: (212) 450-4000</w:t>
            </w:r>
          </w:p>
        </w:tc>
      </w:tr>
      <w:tr>
        <w:trPr>
          <w:trHeight w:val="186"/>
        </w:trPr>
        <w:tc>
          <w:tcPr>
            <w:tcW w:w="2740" w:type="dxa"/>
            <w:vAlign w:val="bottom"/>
          </w:tcPr>
          <w:p>
            <w:pPr>
              <w:jc w:val="center"/>
              <w:ind w:right="668"/>
              <w:spacing w:after="0"/>
              <w:rPr>
                <w:sz w:val="20"/>
                <w:szCs w:val="20"/>
                <w:color w:val="auto"/>
              </w:rPr>
            </w:pPr>
            <w:r>
              <w:rPr>
                <w:rFonts w:ascii="Arial" w:cs="Arial" w:eastAsia="Arial" w:hAnsi="Arial"/>
                <w:sz w:val="14"/>
                <w:szCs w:val="14"/>
                <w:b w:val="1"/>
                <w:bCs w:val="1"/>
                <w:color w:val="auto"/>
                <w:w w:val="92"/>
              </w:rPr>
              <w:t>Facsimile: (415) 772-7400</w:t>
            </w:r>
          </w:p>
        </w:tc>
        <w:tc>
          <w:tcPr>
            <w:tcW w:w="4860" w:type="dxa"/>
            <w:vAlign w:val="bottom"/>
          </w:tcPr>
          <w:p>
            <w:pPr>
              <w:jc w:val="center"/>
              <w:ind w:left="2948"/>
              <w:spacing w:after="0"/>
              <w:rPr>
                <w:sz w:val="20"/>
                <w:szCs w:val="20"/>
                <w:color w:val="auto"/>
              </w:rPr>
            </w:pPr>
            <w:r>
              <w:rPr>
                <w:rFonts w:ascii="Arial" w:cs="Arial" w:eastAsia="Arial" w:hAnsi="Arial"/>
                <w:sz w:val="14"/>
                <w:szCs w:val="14"/>
                <w:b w:val="1"/>
                <w:bCs w:val="1"/>
                <w:color w:val="auto"/>
                <w:w w:val="92"/>
              </w:rPr>
              <w:t>Facsimile: (212) 701-5800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110490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6"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20" w:firstLine="44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380" w:type="dxa"/>
            <w:vAlign w:val="bottom"/>
          </w:tcPr>
          <w:p>
            <w:pPr>
              <w:ind w:left="352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143510</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8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384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jc w:val="center"/>
              <w:ind w:left="9"/>
              <w:spacing w:after="0" w:line="116" w:lineRule="exact"/>
              <w:rPr>
                <w:sz w:val="20"/>
                <w:szCs w:val="20"/>
                <w:color w:val="auto"/>
              </w:rPr>
            </w:pPr>
            <w:r>
              <w:rPr>
                <w:rFonts w:ascii="Arial" w:cs="Arial" w:eastAsia="Arial" w:hAnsi="Arial"/>
                <w:sz w:val="13"/>
                <w:szCs w:val="13"/>
                <w:b w:val="1"/>
                <w:bCs w:val="1"/>
                <w:color w:val="auto"/>
                <w:w w:val="96"/>
              </w:rPr>
              <w:t>Proposed</w:t>
            </w:r>
          </w:p>
        </w:tc>
        <w:tc>
          <w:tcPr>
            <w:tcW w:w="212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70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b w:val="1"/>
                <w:bCs w:val="1"/>
                <w:color w:val="auto"/>
              </w:rPr>
              <w:t>Shares to be</w:t>
            </w:r>
          </w:p>
        </w:tc>
        <w:tc>
          <w:tcPr>
            <w:tcW w:w="170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99"/>
              </w:rPr>
              <w:t>Maximum</w:t>
            </w:r>
          </w:p>
        </w:tc>
        <w:tc>
          <w:tcPr>
            <w:tcW w:w="212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9"/>
              </w:rPr>
              <w:t>Maximum</w:t>
            </w:r>
          </w:p>
        </w:tc>
        <w:tc>
          <w:tcPr>
            <w:tcW w:w="18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8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ind w:left="29"/>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2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70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Registered(1)</w:t>
            </w:r>
          </w:p>
        </w:tc>
        <w:tc>
          <w:tcPr>
            <w:tcW w:w="170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4"/>
              </w:rPr>
              <w:t>Per Share(2)</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Price(1)(2)</w:t>
            </w:r>
          </w:p>
        </w:tc>
        <w:tc>
          <w:tcPr>
            <w:tcW w:w="18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700" w:type="dxa"/>
            <w:vAlign w:val="bottom"/>
            <w:tcBorders>
              <w:bottom w:val="single" w:sz="8" w:color="auto"/>
              <w:right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4,791,667</w:t>
            </w:r>
          </w:p>
        </w:tc>
        <w:tc>
          <w:tcPr>
            <w:tcW w:w="1700" w:type="dxa"/>
            <w:vAlign w:val="bottom"/>
            <w:tcBorders>
              <w:bottom w:val="single" w:sz="8" w:color="auto"/>
              <w:right w:val="single" w:sz="8" w:color="auto"/>
            </w:tcBorders>
          </w:tcPr>
          <w:p>
            <w:pPr>
              <w:jc w:val="center"/>
              <w:ind w:left="29"/>
              <w:spacing w:after="0" w:line="142" w:lineRule="exact"/>
              <w:rPr>
                <w:sz w:val="20"/>
                <w:szCs w:val="20"/>
                <w:color w:val="auto"/>
              </w:rPr>
            </w:pPr>
            <w:r>
              <w:rPr>
                <w:rFonts w:ascii="Arial" w:cs="Arial" w:eastAsia="Arial" w:hAnsi="Arial"/>
                <w:sz w:val="14"/>
                <w:szCs w:val="14"/>
                <w:color w:val="auto"/>
                <w:w w:val="93"/>
              </w:rPr>
              <w:t>$19.00</w:t>
            </w:r>
          </w:p>
        </w:tc>
        <w:tc>
          <w:tcPr>
            <w:tcW w:w="2120" w:type="dxa"/>
            <w:vAlign w:val="bottom"/>
            <w:tcBorders>
              <w:bottom w:val="single" w:sz="8" w:color="auto"/>
              <w:right w:val="single" w:sz="8" w:color="auto"/>
            </w:tcBorders>
          </w:tcPr>
          <w:p>
            <w:pPr>
              <w:jc w:val="center"/>
              <w:ind w:left="9"/>
              <w:spacing w:after="0" w:line="142" w:lineRule="exact"/>
              <w:rPr>
                <w:sz w:val="20"/>
                <w:szCs w:val="20"/>
                <w:color w:val="auto"/>
              </w:rPr>
            </w:pPr>
            <w:r>
              <w:rPr>
                <w:rFonts w:ascii="Arial" w:cs="Arial" w:eastAsia="Arial" w:hAnsi="Arial"/>
                <w:sz w:val="14"/>
                <w:szCs w:val="14"/>
                <w:color w:val="auto"/>
                <w:w w:val="92"/>
              </w:rPr>
              <w:t>$91,041,673</w:t>
            </w:r>
          </w:p>
        </w:tc>
        <w:tc>
          <w:tcPr>
            <w:tcW w:w="188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3"/>
              </w:rPr>
              <w:t>$9,932.65</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3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an additional 625,000 shares of our common stock that the underwriters have an option to purchase. See “Underwriters.”</w:t>
      </w:r>
    </w:p>
    <w:p>
      <w:pPr>
        <w:ind w:left="460" w:hanging="452"/>
        <w:spacing w:after="0" w:line="22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$8,182.50 of this amount in connection with a prior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5" w:lineRule="exact"/>
        <w:rPr>
          <w:sz w:val="24"/>
          <w:szCs w:val="24"/>
          <w:color w:val="auto"/>
        </w:rPr>
      </w:pPr>
    </w:p>
    <w:p>
      <w:pPr>
        <w:ind w:right="280" w:firstLine="449"/>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PRELIMINARY PROSPECTUS (Subject to Completion)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Issued October 23, 2020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32"/>
          <w:szCs w:val="32"/>
          <w:i w:val="1"/>
          <w:iCs w:val="1"/>
          <w:color w:val="auto"/>
        </w:rPr>
        <w:t>4,166,667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173355</wp:posOffset>
            </wp:positionV>
            <wp:extent cx="199707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70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238760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Biodesix, Inc. is offering 4,166,667 shares of its common stock. This is our initial public offering and no public market currently exists for our shares of common stock. We anticipate that the initial public offering price will be between $17.00 and $19.00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applied for listing of our common stock on The Nasdaq Global Market under the symbol “BDSX.”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237490</wp:posOffset>
            </wp:positionV>
            <wp:extent cx="149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16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common stock involves risks. See “</w:t>
      </w:r>
      <w:hyperlink w:anchor="page19">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40" w:type="dxa"/>
            <w:vAlign w:val="bottom"/>
          </w:tcPr>
          <w:p>
            <w:pPr>
              <w:spacing w:after="0"/>
              <w:rPr>
                <w:sz w:val="23"/>
                <w:szCs w:val="23"/>
                <w:color w:val="auto"/>
              </w:rPr>
            </w:pPr>
          </w:p>
        </w:tc>
        <w:tc>
          <w:tcPr>
            <w:tcW w:w="1160" w:type="dxa"/>
            <w:vAlign w:val="bottom"/>
          </w:tcPr>
          <w:p>
            <w:pPr>
              <w:ind w:left="200"/>
              <w:spacing w:after="0"/>
              <w:rPr>
                <w:sz w:val="20"/>
                <w:szCs w:val="20"/>
                <w:color w:val="auto"/>
              </w:rPr>
            </w:pPr>
            <w:r>
              <w:rPr>
                <w:rFonts w:ascii="Arial" w:cs="Arial" w:eastAsia="Arial" w:hAnsi="Arial"/>
                <w:sz w:val="18"/>
                <w:szCs w:val="18"/>
                <w:i w:val="1"/>
                <w:iCs w:val="1"/>
                <w:color w:val="auto"/>
              </w:rPr>
              <w:t xml:space="preserve">PRICE </w:t>
            </w:r>
            <w:r>
              <w:rPr>
                <w:rFonts w:ascii="Arial" w:cs="Arial" w:eastAsia="Arial" w:hAnsi="Arial"/>
                <w:sz w:val="21"/>
                <w:szCs w:val="21"/>
                <w:i w:val="1"/>
                <w:iCs w:val="1"/>
                <w:color w:val="auto"/>
              </w:rPr>
              <w:t>$</w:t>
            </w:r>
          </w:p>
        </w:tc>
        <w:tc>
          <w:tcPr>
            <w:tcW w:w="1960" w:type="dxa"/>
            <w:vAlign w:val="bottom"/>
            <w:gridSpan w:val="3"/>
          </w:tcPr>
          <w:p>
            <w:pPr>
              <w:jc w:val="right"/>
              <w:ind w:right="882"/>
              <w:spacing w:after="0"/>
              <w:rPr>
                <w:sz w:val="20"/>
                <w:szCs w:val="20"/>
                <w:color w:val="auto"/>
              </w:rPr>
            </w:pPr>
            <w:r>
              <w:rPr>
                <w:rFonts w:ascii="Arial" w:cs="Arial" w:eastAsia="Arial" w:hAnsi="Arial"/>
                <w:sz w:val="18"/>
                <w:szCs w:val="18"/>
                <w:i w:val="1"/>
                <w:iCs w:val="1"/>
                <w:color w:val="auto"/>
              </w:rPr>
              <w:t>A SHARE</w:t>
            </w: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4"/>
        </w:trPr>
        <w:tc>
          <w:tcPr>
            <w:tcW w:w="44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Discounts</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10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9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67"/>
        </w:trPr>
        <w:tc>
          <w:tcPr>
            <w:tcW w:w="5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Per share</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Public</w:t>
            </w:r>
          </w:p>
        </w:tc>
        <w:tc>
          <w:tcPr>
            <w:tcW w:w="10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9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Biodesix</w:t>
            </w:r>
          </w:p>
        </w:tc>
        <w:tc>
          <w:tcPr>
            <w:tcW w:w="0" w:type="dxa"/>
            <w:vAlign w:val="bottom"/>
          </w:tcPr>
          <w:p>
            <w:pPr>
              <w:spacing w:after="0"/>
              <w:rPr>
                <w:sz w:val="1"/>
                <w:szCs w:val="1"/>
                <w:color w:val="auto"/>
              </w:rPr>
            </w:pPr>
          </w:p>
        </w:tc>
      </w:tr>
      <w:tr>
        <w:trPr>
          <w:trHeight w:val="195"/>
        </w:trPr>
        <w:tc>
          <w:tcPr>
            <w:tcW w:w="5600" w:type="dxa"/>
            <w:vAlign w:val="bottom"/>
            <w:gridSpan w:val="2"/>
            <w:vMerge w:val="continue"/>
          </w:tcPr>
          <w:p>
            <w:pPr>
              <w:spacing w:after="0"/>
              <w:rPr>
                <w:sz w:val="16"/>
                <w:szCs w:val="16"/>
                <w:color w:val="auto"/>
              </w:rPr>
            </w:pPr>
          </w:p>
        </w:tc>
        <w:tc>
          <w:tcPr>
            <w:tcW w:w="1500" w:type="dxa"/>
            <w:vAlign w:val="bottom"/>
            <w:gridSpan w:val="2"/>
          </w:tcPr>
          <w:p>
            <w:pPr>
              <w:spacing w:after="0"/>
              <w:rPr>
                <w:sz w:val="16"/>
                <w:szCs w:val="16"/>
                <w:color w:val="auto"/>
              </w:rPr>
            </w:pPr>
          </w:p>
        </w:tc>
        <w:tc>
          <w:tcPr>
            <w:tcW w:w="460" w:type="dxa"/>
            <w:vAlign w:val="bottom"/>
          </w:tcPr>
          <w:p>
            <w:pPr>
              <w:jc w:val="right"/>
              <w:ind w:right="142"/>
              <w:spacing w:after="0" w:line="195" w:lineRule="exact"/>
              <w:rPr>
                <w:sz w:val="20"/>
                <w:szCs w:val="20"/>
                <w:color w:val="auto"/>
              </w:rPr>
            </w:pPr>
            <w:r>
              <w:rPr>
                <w:rFonts w:ascii="Arial" w:cs="Arial" w:eastAsia="Arial" w:hAnsi="Arial"/>
                <w:sz w:val="18"/>
                <w:szCs w:val="18"/>
                <w:i w:val="1"/>
                <w:iCs w:val="1"/>
                <w:color w:val="auto"/>
              </w:rPr>
              <w:t>$</w:t>
            </w:r>
          </w:p>
        </w:tc>
        <w:tc>
          <w:tcPr>
            <w:tcW w:w="1020" w:type="dxa"/>
            <w:vAlign w:val="bottom"/>
          </w:tcPr>
          <w:p>
            <w:pPr>
              <w:spacing w:after="0"/>
              <w:rPr>
                <w:sz w:val="16"/>
                <w:szCs w:val="16"/>
                <w:color w:val="auto"/>
              </w:rPr>
            </w:pPr>
          </w:p>
        </w:tc>
        <w:tc>
          <w:tcPr>
            <w:tcW w:w="940" w:type="dxa"/>
            <w:vAlign w:val="bottom"/>
          </w:tcPr>
          <w:p>
            <w:pPr>
              <w:jc w:val="right"/>
              <w:ind w:right="244"/>
              <w:spacing w:after="0" w:line="195" w:lineRule="exact"/>
              <w:rPr>
                <w:sz w:val="20"/>
                <w:szCs w:val="20"/>
                <w:color w:val="auto"/>
              </w:rPr>
            </w:pPr>
            <w:r>
              <w:rPr>
                <w:rFonts w:ascii="Arial" w:cs="Arial" w:eastAsia="Arial" w:hAnsi="Arial"/>
                <w:sz w:val="18"/>
                <w:szCs w:val="18"/>
                <w:i w:val="1"/>
                <w:iCs w:val="1"/>
                <w:color w:val="auto"/>
              </w:rPr>
              <w:t>$</w:t>
            </w:r>
          </w:p>
        </w:tc>
        <w:tc>
          <w:tcPr>
            <w:tcW w:w="920" w:type="dxa"/>
            <w:vAlign w:val="bottom"/>
          </w:tcPr>
          <w:p>
            <w:pPr>
              <w:spacing w:after="0"/>
              <w:rPr>
                <w:sz w:val="16"/>
                <w:szCs w:val="16"/>
                <w:color w:val="auto"/>
              </w:rPr>
            </w:pPr>
          </w:p>
        </w:tc>
        <w:tc>
          <w:tcPr>
            <w:tcW w:w="70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Total</w:t>
            </w:r>
          </w:p>
        </w:tc>
        <w:tc>
          <w:tcPr>
            <w:tcW w:w="1960" w:type="dxa"/>
            <w:vAlign w:val="bottom"/>
            <w:gridSpan w:val="3"/>
          </w:tcPr>
          <w:p>
            <w:pPr>
              <w:jc w:val="right"/>
              <w:ind w:right="322"/>
              <w:spacing w:after="0"/>
              <w:rPr>
                <w:sz w:val="20"/>
                <w:szCs w:val="20"/>
                <w:color w:val="auto"/>
              </w:rPr>
            </w:pPr>
            <w:r>
              <w:rPr>
                <w:rFonts w:ascii="Arial" w:cs="Arial" w:eastAsia="Arial" w:hAnsi="Arial"/>
                <w:sz w:val="18"/>
                <w:szCs w:val="18"/>
                <w:i w:val="1"/>
                <w:iCs w:val="1"/>
                <w:color w:val="auto"/>
              </w:rPr>
              <w:t>$</w:t>
            </w:r>
          </w:p>
        </w:tc>
        <w:tc>
          <w:tcPr>
            <w:tcW w:w="1960" w:type="dxa"/>
            <w:vAlign w:val="bottom"/>
            <w:gridSpan w:val="2"/>
          </w:tcPr>
          <w:p>
            <w:pPr>
              <w:jc w:val="right"/>
              <w:ind w:right="424"/>
              <w:spacing w:after="0"/>
              <w:rPr>
                <w:sz w:val="20"/>
                <w:szCs w:val="20"/>
                <w:color w:val="auto"/>
              </w:rPr>
            </w:pPr>
            <w:r>
              <w:rPr>
                <w:rFonts w:ascii="Arial" w:cs="Arial" w:eastAsia="Arial" w:hAnsi="Arial"/>
                <w:sz w:val="18"/>
                <w:szCs w:val="18"/>
                <w:i w:val="1"/>
                <w:iCs w:val="1"/>
                <w:color w:val="auto"/>
              </w:rPr>
              <w:t>$</w:t>
            </w:r>
          </w:p>
        </w:tc>
        <w:tc>
          <w:tcPr>
            <w:tcW w:w="1620" w:type="dxa"/>
            <w:vAlign w:val="bottom"/>
            <w:gridSpan w:val="2"/>
          </w:tcPr>
          <w:p>
            <w:pPr>
              <w:jc w:val="right"/>
              <w:ind w:right="42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980" w:hanging="452"/>
        <w:spacing w:after="0" w:line="277"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have agreed to reimburse the underwriters for certain FINRA-related expenses. See “Underwriters” for a detailed description of the compensation payable to the underwriters.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have granted the underwriters an option to purchase up to an additional 625,000 shares of common stock to cover over-allotments at the initial public offering price less underwriting discounts and commissions.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i w:val="1"/>
                <w:iCs w:val="1"/>
                <w:color w:val="auto"/>
                <w:w w:val="95"/>
              </w:rPr>
              <w:t>The underwriters expect to deliver the shares of common stock to purchasers on</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20"/>
        <w:spacing w:after="0"/>
        <w:rPr>
          <w:sz w:val="20"/>
          <w:szCs w:val="20"/>
          <w:color w:val="auto"/>
        </w:rPr>
      </w:pPr>
      <w:r>
        <w:rPr>
          <w:rFonts w:ascii="Arial" w:cs="Arial" w:eastAsia="Arial" w:hAnsi="Arial"/>
          <w:sz w:val="29"/>
          <w:szCs w:val="29"/>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31"/>
          <w:szCs w:val="31"/>
          <w:i w:val="1"/>
          <w:iCs w:val="1"/>
          <w:color w:val="auto"/>
        </w:rPr>
        <w:t>WILLIAM BLAIR</w:t>
      </w:r>
    </w:p>
    <w:p>
      <w:pPr>
        <w:spacing w:after="0" w:line="200" w:lineRule="exact"/>
        <w:rPr>
          <w:sz w:val="20"/>
          <w:szCs w:val="20"/>
          <w:color w:val="auto"/>
        </w:rPr>
      </w:pPr>
    </w:p>
    <w:p>
      <w:pPr>
        <w:sectPr>
          <w:pgSz w:w="11900" w:h="16838" w:orient="portrait"/>
          <w:cols w:equalWidth="0" w:num="2">
            <w:col w:w="6740" w:space="720"/>
            <w:col w:w="3780"/>
          </w:cols>
          <w:pgMar w:left="320" w:top="459" w:right="339" w:bottom="1440" w:gutter="0" w:footer="0" w:header="0"/>
          <w:type w:val="continuous"/>
        </w:sectPr>
      </w:pPr>
    </w:p>
    <w:p>
      <w:pPr>
        <w:spacing w:after="0" w:line="33" w:lineRule="exact"/>
        <w:rPr>
          <w:sz w:val="20"/>
          <w:szCs w:val="20"/>
          <w:color w:val="auto"/>
        </w:rPr>
      </w:pPr>
    </w:p>
    <w:p>
      <w:pPr>
        <w:ind w:left="1380"/>
        <w:spacing w:after="0"/>
        <w:rPr>
          <w:sz w:val="20"/>
          <w:szCs w:val="20"/>
          <w:color w:val="auto"/>
        </w:rPr>
      </w:pPr>
      <w:r>
        <w:rPr>
          <w:rFonts w:ascii="Arial" w:cs="Arial" w:eastAsia="Arial" w:hAnsi="Arial"/>
          <w:sz w:val="26"/>
          <w:szCs w:val="26"/>
          <w:i w:val="1"/>
          <w:iCs w:val="1"/>
          <w:color w:val="auto"/>
        </w:rPr>
        <w:t>CANACCORD GENUITY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27"/>
          <w:szCs w:val="27"/>
          <w:i w:val="1"/>
          <w:iCs w:val="1"/>
          <w:color w:val="auto"/>
        </w:rPr>
        <w:t>BTIG</w:t>
      </w:r>
    </w:p>
    <w:p>
      <w:pPr>
        <w:spacing w:after="0" w:line="200" w:lineRule="exact"/>
        <w:rPr>
          <w:sz w:val="20"/>
          <w:szCs w:val="20"/>
          <w:color w:val="auto"/>
        </w:rPr>
      </w:pPr>
    </w:p>
    <w:p>
      <w:pPr>
        <w:sectPr>
          <w:pgSz w:w="11900" w:h="16838" w:orient="portrait"/>
          <w:cols w:equalWidth="0" w:num="2">
            <w:col w:w="7560" w:space="720"/>
            <w:col w:w="2960"/>
          </w:cols>
          <w:pgMar w:left="320" w:top="459" w:right="339" w:bottom="1440" w:gutter="0" w:footer="0" w:header="0"/>
          <w:type w:val="continuous"/>
        </w:sectPr>
      </w:pPr>
    </w:p>
    <w:p>
      <w:pPr>
        <w:spacing w:after="0" w:line="53"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2020</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220345</wp:posOffset>
            </wp:positionV>
            <wp:extent cx="5366385" cy="6943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200"/>
          </w:cols>
          <w:pgMar w:left="320" w:top="459" w:right="379" w:bottom="1440" w:gutter="0" w:footer="0" w:header="0"/>
        </w:sect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80" w:type="dxa"/>
            <w:vAlign w:val="bottom"/>
            <w:gridSpan w:val="8"/>
            <w:vMerge w:val="restart"/>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4980" w:type="dxa"/>
            <w:vAlign w:val="bottom"/>
            <w:gridSpan w:val="8"/>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0"/>
        </w:trPr>
        <w:tc>
          <w:tcPr>
            <w:tcW w:w="4980" w:type="dxa"/>
            <w:vAlign w:val="bottom"/>
            <w:gridSpan w:val="8"/>
          </w:tcPr>
          <w:p>
            <w:pPr>
              <w:spacing w:after="0" w:line="190" w:lineRule="exact"/>
              <w:rPr>
                <w:rFonts w:ascii="Arial" w:cs="Arial" w:eastAsia="Arial" w:hAnsi="Arial"/>
                <w:sz w:val="18"/>
                <w:szCs w:val="18"/>
                <w:color w:val="0000EE"/>
              </w:rPr>
            </w:pPr>
            <w:hyperlink w:anchor="page79">
              <w:r>
                <w:rPr>
                  <w:rFonts w:ascii="Arial" w:cs="Arial" w:eastAsia="Arial" w:hAnsi="Arial"/>
                  <w:sz w:val="18"/>
                  <w:szCs w:val="18"/>
                  <w:color w:val="0000EE"/>
                </w:rPr>
                <w:t>SPECIAL NOTE REGARDING FORWARD-LOOKING</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STATEMENTS</w:t>
              </w:r>
            </w:hyperlink>
          </w:p>
        </w:tc>
        <w:tc>
          <w:tcPr>
            <w:tcW w:w="8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8"/>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0"/>
        </w:trPr>
        <w:tc>
          <w:tcPr>
            <w:tcW w:w="4500" w:type="dxa"/>
            <w:vAlign w:val="bottom"/>
            <w:tcBorders>
              <w:bottom w:val="single" w:sz="8" w:color="0000EE"/>
            </w:tcBorders>
            <w:gridSpan w:val="7"/>
          </w:tcPr>
          <w:p>
            <w:pPr>
              <w:spacing w:after="0" w:line="190" w:lineRule="exact"/>
              <w:rPr>
                <w:rFonts w:ascii="Arial" w:cs="Arial" w:eastAsia="Arial" w:hAnsi="Arial"/>
                <w:sz w:val="18"/>
                <w:szCs w:val="18"/>
                <w:color w:val="0000EE"/>
                <w:w w:val="97"/>
              </w:rPr>
            </w:pPr>
            <w:hyperlink w:anchor="page89">
              <w:r>
                <w:rPr>
                  <w:rFonts w:ascii="Arial" w:cs="Arial" w:eastAsia="Arial" w:hAnsi="Arial"/>
                  <w:sz w:val="18"/>
                  <w:szCs w:val="18"/>
                  <w:color w:val="0000EE"/>
                  <w:w w:val="97"/>
                </w:rPr>
                <w:t>SELECTED HISTORICAL FINANCIAL AND OPERATING</w:t>
              </w:r>
            </w:hyperlink>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DATA</w:t>
              </w:r>
            </w:hyperlink>
          </w:p>
        </w:tc>
        <w:tc>
          <w:tcPr>
            <w:tcW w:w="43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980" w:type="dxa"/>
            <w:vAlign w:val="bottom"/>
            <w:gridSpan w:val="8"/>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MANAGEMENT’S DISCUSSION AND ANALYSIS OF</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FINANCIAL CONDITION AND RESULTS OF</w:t>
              </w:r>
            </w:hyperlink>
          </w:p>
        </w:tc>
        <w:tc>
          <w:tcPr>
            <w:tcW w:w="8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OPERATIONS</w:t>
              </w:r>
            </w:hyperlink>
          </w:p>
        </w:tc>
        <w:tc>
          <w:tcPr>
            <w:tcW w:w="12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gridSpan w:val="8"/>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16"/>
        </w:trPr>
        <w:tc>
          <w:tcPr>
            <w:tcW w:w="4980" w:type="dxa"/>
            <w:vAlign w:val="bottom"/>
            <w:gridSpan w:val="8"/>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30"/>
        </w:trPr>
        <w:tc>
          <w:tcPr>
            <w:tcW w:w="4980" w:type="dxa"/>
            <w:vAlign w:val="bottom"/>
            <w:gridSpan w:val="8"/>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7"/>
            <w:vMerge w:val="restart"/>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CERTAIN RELATIONSHIPS AND RELATED PERSON</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5100" w:type="dxa"/>
            <w:vAlign w:val="bottom"/>
            <w:gridSpan w:val="7"/>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189">
              <w:r>
                <w:rPr>
                  <w:rFonts w:ascii="Arial" w:cs="Arial" w:eastAsia="Arial" w:hAnsi="Arial"/>
                  <w:sz w:val="18"/>
                  <w:szCs w:val="18"/>
                  <w:color w:val="0000EE"/>
                  <w:w w:val="96"/>
                </w:rPr>
                <w:t>TRANSACTIONS</w:t>
              </w:r>
            </w:hyperlink>
          </w:p>
        </w:tc>
        <w:tc>
          <w:tcPr>
            <w:tcW w:w="2620" w:type="dxa"/>
            <w:vAlign w:val="bottom"/>
            <w:tcBorders>
              <w:top w:val="single" w:sz="8" w:color="0000EE"/>
            </w:tcBorders>
            <w:gridSpan w:val="2"/>
          </w:tcPr>
          <w:p>
            <w:pPr>
              <w:spacing w:after="0"/>
              <w:rPr>
                <w:sz w:val="17"/>
                <w:szCs w:val="17"/>
                <w:color w:val="auto"/>
              </w:rPr>
            </w:pPr>
          </w:p>
        </w:tc>
        <w:tc>
          <w:tcPr>
            <w:tcW w:w="92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22"/>
        </w:trPr>
        <w:tc>
          <w:tcPr>
            <w:tcW w:w="5100" w:type="dxa"/>
            <w:vAlign w:val="bottom"/>
            <w:gridSpan w:val="7"/>
          </w:tcPr>
          <w:p>
            <w:pPr>
              <w:spacing w:after="0"/>
              <w:rPr>
                <w:rFonts w:ascii="Arial" w:cs="Arial" w:eastAsia="Arial" w:hAnsi="Arial"/>
                <w:sz w:val="18"/>
                <w:szCs w:val="18"/>
                <w:u w:val="single" w:color="auto"/>
                <w:color w:val="0000EE"/>
              </w:rPr>
            </w:pPr>
            <w:hyperlink w:anchor="page193">
              <w:r>
                <w:rPr>
                  <w:rFonts w:ascii="Arial" w:cs="Arial" w:eastAsia="Arial" w:hAnsi="Arial"/>
                  <w:sz w:val="18"/>
                  <w:szCs w:val="18"/>
                  <w:u w:val="single" w:color="auto"/>
                  <w:color w:val="0000EE"/>
                </w:rPr>
                <w:t>PRINCIPAL STOCKHOLDERS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DESCRIPTION OF CAPITAL STOCK</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192</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190"/>
        </w:trPr>
        <w:tc>
          <w:tcPr>
            <w:tcW w:w="5100" w:type="dxa"/>
            <w:vAlign w:val="bottom"/>
            <w:gridSpan w:val="7"/>
          </w:tcPr>
          <w:p>
            <w:pPr>
              <w:spacing w:after="0" w:line="190" w:lineRule="exact"/>
              <w:rPr>
                <w:rFonts w:ascii="Arial" w:cs="Arial" w:eastAsia="Arial" w:hAnsi="Arial"/>
                <w:sz w:val="18"/>
                <w:szCs w:val="18"/>
                <w:color w:val="0000EE"/>
              </w:rPr>
            </w:pPr>
            <w:hyperlink w:anchor="page209">
              <w:r>
                <w:rPr>
                  <w:rFonts w:ascii="Arial" w:cs="Arial" w:eastAsia="Arial" w:hAnsi="Arial"/>
                  <w:sz w:val="18"/>
                  <w:szCs w:val="18"/>
                  <w:color w:val="0000EE"/>
                </w:rPr>
                <w:t>MATERIAL UNITED STATES FEDERAL INCOME TAX</w:t>
              </w:r>
            </w:hyperlink>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920" w:type="dxa"/>
            <w:vAlign w:val="bottom"/>
            <w:gridSpan w:val="6"/>
          </w:tcPr>
          <w:p>
            <w:pPr>
              <w:spacing w:after="0" w:line="196" w:lineRule="exact"/>
              <w:rPr>
                <w:rFonts w:ascii="Arial" w:cs="Arial" w:eastAsia="Arial" w:hAnsi="Arial"/>
                <w:sz w:val="18"/>
                <w:szCs w:val="18"/>
                <w:color w:val="0000EE"/>
                <w:w w:val="98"/>
              </w:rPr>
            </w:pPr>
            <w:hyperlink w:anchor="page209">
              <w:r>
                <w:rPr>
                  <w:rFonts w:ascii="Arial" w:cs="Arial" w:eastAsia="Arial" w:hAnsi="Arial"/>
                  <w:sz w:val="18"/>
                  <w:szCs w:val="18"/>
                  <w:color w:val="0000EE"/>
                  <w:w w:val="98"/>
                </w:rPr>
                <w:t>CONSEQUENCES TO NON-UNITED STATES HOLDERS OF</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OUR COMMON STOCK</w:t>
              </w:r>
            </w:hyperlink>
          </w:p>
        </w:tc>
        <w:tc>
          <w:tcPr>
            <w:tcW w:w="24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203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gridSpan w:val="7"/>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UNDERWRITERS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207</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LEGAL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214</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EXPERTS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214</w:t>
            </w:r>
          </w:p>
        </w:tc>
        <w:tc>
          <w:tcPr>
            <w:tcW w:w="0" w:type="dxa"/>
            <w:vAlign w:val="bottom"/>
          </w:tcPr>
          <w:p>
            <w:pPr>
              <w:spacing w:after="0"/>
              <w:rPr>
                <w:sz w:val="1"/>
                <w:szCs w:val="1"/>
                <w:color w:val="auto"/>
              </w:rPr>
            </w:pPr>
          </w:p>
        </w:tc>
      </w:tr>
      <w:tr>
        <w:trPr>
          <w:trHeight w:val="216"/>
        </w:trPr>
        <w:tc>
          <w:tcPr>
            <w:tcW w:w="5100" w:type="dxa"/>
            <w:vAlign w:val="bottom"/>
            <w:gridSpan w:val="7"/>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WHERE YOU CAN FIND ADDITIONAL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215</w:t>
            </w:r>
          </w:p>
        </w:tc>
        <w:tc>
          <w:tcPr>
            <w:tcW w:w="0" w:type="dxa"/>
            <w:vAlign w:val="bottom"/>
          </w:tcPr>
          <w:p>
            <w:pPr>
              <w:spacing w:after="0"/>
              <w:rPr>
                <w:sz w:val="1"/>
                <w:szCs w:val="1"/>
                <w:color w:val="auto"/>
              </w:rPr>
            </w:pPr>
          </w:p>
        </w:tc>
      </w:tr>
      <w:tr>
        <w:trPr>
          <w:trHeight w:val="230"/>
        </w:trPr>
        <w:tc>
          <w:tcPr>
            <w:tcW w:w="5100" w:type="dxa"/>
            <w:vAlign w:val="bottom"/>
            <w:gridSpan w:val="7"/>
          </w:tcPr>
          <w:p>
            <w:pPr>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INDEX TO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737235</wp:posOffset>
            </wp:positionV>
            <wp:extent cx="1491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320" w:space="420"/>
            <w:col w:w="5460"/>
          </w:cols>
          <w:pgMar w:left="320" w:top="459" w:right="37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Neither we, nor any of the underwriters, take responsibility for, or can provide any assurance as to the reliability of, any information that others may give you. We and the underwriters are not offering to sell, or seeking offers to buy, shares of our common stock in any jurisdiction where such offer or sale is not permitted. The information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Persons in jurisdictions outside the United States who come into possession of this prospectus and any applicable free writing prospectus must inform themselves about, and observe any restrictions relating to, the offering of the shares of our common stock and the distribution of this prospectus and any applicable free writing prospectus applicable to such jurisdictions.</w:t>
      </w:r>
    </w:p>
    <w:p>
      <w:pPr>
        <w:spacing w:after="0" w:line="180" w:lineRule="exact"/>
        <w:rPr>
          <w:sz w:val="20"/>
          <w:szCs w:val="20"/>
          <w:color w:val="auto"/>
        </w:rPr>
      </w:pPr>
    </w:p>
    <w:p>
      <w:pPr>
        <w:jc w:val="both"/>
        <w:ind w:right="180" w:firstLine="449"/>
        <w:spacing w:after="0" w:line="289" w:lineRule="auto"/>
        <w:rPr>
          <w:sz w:val="20"/>
          <w:szCs w:val="20"/>
          <w:color w:val="auto"/>
        </w:rPr>
      </w:pPr>
      <w:r>
        <w:rPr>
          <w:rFonts w:ascii="Arial" w:cs="Arial" w:eastAsia="Arial" w:hAnsi="Arial"/>
          <w:sz w:val="17"/>
          <w:szCs w:val="17"/>
          <w:b w:val="1"/>
          <w:bCs w:val="1"/>
          <w:color w:val="auto"/>
        </w:rPr>
        <w:t>Until , 2020 (25 days after the date of this prospectus),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20" w:top="459" w:right="3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As used in this prospectus, unless the context otherwise requires, the terms “Biodesix,” “company,” “our,” “us,” and “we” in this prospectus refer to Biodesix, Inc., the issuer of the shares of common stock offered hereby.</w:t>
      </w:r>
    </w:p>
    <w:p>
      <w:pPr>
        <w:spacing w:after="0" w:line="170"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Neither we nor any of the underwriters has authorized anyone to provide you any information or to make any representations other than those contained in this prospectus or in any free writing prospectus we have prepared. Neither we, nor any of the underwriters, take responsibility for, or can provide any assurance as to the reliability of, any information that others may give you. This prospectus is an offer to sell only the shares of common stock offered hereby, and only under circumstances and in jurisdictions where it is lawful to do so. You should assume the information contained in this prospectus and any free writing prospectus we authorize to be delivered to you is accurate only as of their respective dates or the date or dates specified in those documents. Our business, financial condition, results of operations and prospects may have changed since those dates.</w:t>
      </w:r>
    </w:p>
    <w:p>
      <w:pPr>
        <w:spacing w:after="0" w:line="164" w:lineRule="exact"/>
        <w:rPr>
          <w:sz w:val="20"/>
          <w:szCs w:val="20"/>
          <w:color w:val="auto"/>
        </w:rPr>
      </w:pPr>
    </w:p>
    <w:p>
      <w:pPr>
        <w:ind w:right="200" w:firstLine="449"/>
        <w:spacing w:after="0" w:line="301" w:lineRule="auto"/>
        <w:rPr>
          <w:sz w:val="20"/>
          <w:szCs w:val="20"/>
          <w:color w:val="auto"/>
        </w:rPr>
      </w:pPr>
      <w:r>
        <w:rPr>
          <w:rFonts w:ascii="Arial" w:cs="Arial" w:eastAsia="Arial" w:hAnsi="Arial"/>
          <w:sz w:val="16"/>
          <w:szCs w:val="16"/>
          <w:color w:val="auto"/>
        </w:rPr>
        <w:t>For investors outside the United States: neither we nor any of the underwriters has done anything that would permit this offering or possession or distribution of this prospectus or the offer and sale of the shares of common stock in any jurisdiction where action for that purpose is required, other than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5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Unless otherwise indicated, all references in this prospectus to the number and percentages of shares of our common stock outstanding following the completion of this offering:</w:t>
      </w:r>
    </w:p>
    <w:p>
      <w:pPr>
        <w:spacing w:after="0" w:line="76" w:lineRule="exact"/>
        <w:rPr>
          <w:sz w:val="20"/>
          <w:szCs w:val="20"/>
          <w:color w:val="auto"/>
        </w:rPr>
      </w:pPr>
    </w:p>
    <w:p>
      <w:pPr>
        <w:ind w:left="1000" w:right="140" w:hanging="54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the initial public offering price of $18.00 per share of common stock, which is the midpoint of the estimated offering price range set forth on the cover of this prospectus;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that our amended and restated certificate of incorporation, which we will file in connection with the closing of this offering, and our amended and restated bylaws adopted in connection with this offering, are effective;</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the conversion of all outstanding shares of our preferred stock into an aggregate of 20,090,745 shares of common stock immediately upon the closing of this offering;</w:t>
      </w:r>
    </w:p>
    <w:p>
      <w:pPr>
        <w:spacing w:after="0" w:line="75"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the conversion of all convertible debt into an aggregate of 1,848,280 shares of common stock immediately upon the closing of this offering, based on the assumed initial public offering price of $18.00 per share, which is the midpoint of the estimated offering price range set forth on the cover page of this prospectus;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no exercise of the outstanding options or warrants described in this prospectus;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no exercise of the underwriters’ over-allotment option;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a 0.1684664-for-1 reverse stock split, which became effective October 19, 2020.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The data included in this prospectus contains estimates, projections and other information concerning our industry and our business, including estimated market size, projected growth rates and the incidence of certain medical conditions.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164"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This industry, business, market, medical and other information involves a number of assumptions and limitations, and you are cautioned not to give undue weight to such estimates. Third-party industry and general publications, research, surveys and studies generally state that the information contained therein has been obtained from sources believed to be reliable, although they do not guarantee the accuracy or completeness of such information. While we believe that each of these studies and publications is reliable, we have not independently verified any of the data from third-party sources. Although we are responsible for all of the disclosure contained in this prospectus and we believe the market position, market opportunity, market size and medical information included in this prospectus is reliable, such information is inherently imprecise. Data regarding the industries in which we compete and our market position and market share within these industries are inherently imprecise and are subject to significant business, economic and competitive uncertainties beyond our control, but we believe that they generally indicate size, position and market share within these industries. We believe these estimates to be accurate as of the date of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As a result, you should be aware that market, ranking and other similar industry data included in this prospectus, and estimates and beliefs based on that data, may not be reliable and are subject to change based on various factors, including those discussed under “Risk Factors” and “Special Note Regarding Forward-Looking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“Biodesix,” the Biodesix logo and other trademarks or service marks of Biodesix appearing in this prospectus such as GeneStrat</w:t>
      </w:r>
      <w:r>
        <w:rPr>
          <w:rFonts w:ascii="Arial" w:cs="Arial" w:eastAsia="Arial" w:hAnsi="Arial"/>
          <w:sz w:val="15"/>
          <w:szCs w:val="15"/>
          <w:color w:val="auto"/>
        </w:rPr>
        <w:t>®</w:t>
      </w:r>
      <w:r>
        <w:rPr>
          <w:rFonts w:ascii="Arial" w:cs="Arial" w:eastAsia="Arial" w:hAnsi="Arial"/>
          <w:sz w:val="18"/>
          <w:szCs w:val="18"/>
          <w:color w:val="auto"/>
        </w:rPr>
        <w:t>, VeriStrat</w:t>
      </w:r>
      <w:r>
        <w:rPr>
          <w:rFonts w:ascii="Arial" w:cs="Arial" w:eastAsia="Arial" w:hAnsi="Arial"/>
          <w:sz w:val="15"/>
          <w:szCs w:val="15"/>
          <w:color w:val="auto"/>
        </w:rPr>
        <w:t>®</w:t>
      </w:r>
      <w:r>
        <w:rPr>
          <w:rFonts w:ascii="Arial" w:cs="Arial" w:eastAsia="Arial" w:hAnsi="Arial"/>
          <w:sz w:val="18"/>
          <w:szCs w:val="18"/>
          <w:color w:val="auto"/>
        </w:rPr>
        <w:t>, Nodify XL2</w:t>
      </w:r>
      <w:r>
        <w:rPr>
          <w:rFonts w:ascii="Arial" w:cs="Arial" w:eastAsia="Arial" w:hAnsi="Arial"/>
          <w:sz w:val="15"/>
          <w:szCs w:val="15"/>
          <w:color w:val="auto"/>
        </w:rPr>
        <w:t>®</w:t>
      </w:r>
      <w:r>
        <w:rPr>
          <w:rFonts w:ascii="Arial" w:cs="Arial" w:eastAsia="Arial" w:hAnsi="Arial"/>
          <w:sz w:val="18"/>
          <w:szCs w:val="18"/>
          <w:color w:val="auto"/>
        </w:rPr>
        <w:t>, Nodify CDT</w:t>
      </w:r>
      <w:r>
        <w:rPr>
          <w:rFonts w:ascii="Arial" w:cs="Arial" w:eastAsia="Arial" w:hAnsi="Arial"/>
          <w:sz w:val="15"/>
          <w:szCs w:val="15"/>
          <w:color w:val="auto"/>
        </w:rPr>
        <w:t>™</w:t>
      </w:r>
      <w:r>
        <w:rPr>
          <w:rFonts w:ascii="Arial" w:cs="Arial" w:eastAsia="Arial" w:hAnsi="Arial"/>
          <w:sz w:val="18"/>
          <w:szCs w:val="18"/>
          <w:color w:val="auto"/>
        </w:rPr>
        <w:t>, Diagnostic Cortex</w:t>
      </w:r>
      <w:r>
        <w:rPr>
          <w:rFonts w:ascii="Arial" w:cs="Arial" w:eastAsia="Arial" w:hAnsi="Arial"/>
          <w:sz w:val="15"/>
          <w:szCs w:val="15"/>
          <w:color w:val="auto"/>
        </w:rPr>
        <w:t>®</w:t>
      </w:r>
      <w:r>
        <w:rPr>
          <w:rFonts w:ascii="Arial" w:cs="Arial" w:eastAsia="Arial" w:hAnsi="Arial"/>
          <w:sz w:val="18"/>
          <w:szCs w:val="18"/>
          <w:color w:val="auto"/>
        </w:rPr>
        <w:t>, and DeepMALDI</w:t>
      </w:r>
      <w:r>
        <w:rPr>
          <w:rFonts w:ascii="Arial" w:cs="Arial" w:eastAsia="Arial" w:hAnsi="Arial"/>
          <w:sz w:val="15"/>
          <w:szCs w:val="15"/>
          <w:color w:val="auto"/>
        </w:rPr>
        <w:t>®</w:t>
      </w:r>
      <w:r>
        <w:rPr>
          <w:rFonts w:ascii="Arial" w:cs="Arial" w:eastAsia="Arial" w:hAnsi="Arial"/>
          <w:sz w:val="18"/>
          <w:szCs w:val="18"/>
          <w:color w:val="auto"/>
        </w:rPr>
        <w:t>, among others, are our property. We will assert, to the fullest extent under applicable law, our rights to these trademarks, service marks, trade names and copyrights. This prospectus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 Although trademark and registered mark symbols are not used throughout, this does not in any way indicate that we are disclaiming ownership of the words and images with which these trademarks and registered marks are associated.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33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i w:val="1"/>
          <w:iCs w:val="1"/>
          <w:color w:val="auto"/>
        </w:rPr>
        <w:t>This summary highlights information contained in greater detail elsewhere in this prospectus. This summary is not complete and does not contain all of the information you should consider before investing in our common stock. You should read the entire prospectus carefully, especially the risks of investing in our common stock discussed under the heading “Risk Factors,” and our financial statements and related notes included elsewhere in this prospectus. Unless the context otherwise requires, the terms “Biodesix,” “company,” “our,” “us,” and “we” in this prospectus refer to Biodesix, Inc.</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200" w:right="140" w:firstLine="434"/>
        <w:spacing w:after="0" w:line="254" w:lineRule="auto"/>
        <w:rPr>
          <w:sz w:val="20"/>
          <w:szCs w:val="20"/>
          <w:color w:val="auto"/>
        </w:rPr>
      </w:pPr>
      <w:r>
        <w:rPr>
          <w:rFonts w:ascii="Arial" w:cs="Arial" w:eastAsia="Arial" w:hAnsi="Arial"/>
          <w:sz w:val="18"/>
          <w:szCs w:val="18"/>
          <w:color w:val="auto"/>
        </w:rPr>
        <w:t>We are a leading data-driven diagnostic solutions company leveraging state of the art technologies with our proprietary artificial intelligence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improves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92" w:lineRule="exact"/>
        <w:rPr>
          <w:sz w:val="20"/>
          <w:szCs w:val="20"/>
          <w:color w:val="auto"/>
        </w:rPr>
      </w:pPr>
    </w:p>
    <w:p>
      <w:pPr>
        <w:ind w:left="200" w:right="40" w:firstLine="434"/>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w:t>
      </w:r>
      <w:r>
        <w:rPr>
          <w:rFonts w:ascii="Arial" w:cs="Arial" w:eastAsia="Arial" w:hAnsi="Arial"/>
          <w:sz w:val="13"/>
          <w:szCs w:val="13"/>
          <w:color w:val="auto"/>
        </w:rPr>
        <w:t>®</w:t>
      </w:r>
      <w:r>
        <w:rPr>
          <w:rFonts w:ascii="Arial" w:cs="Arial" w:eastAsia="Arial" w:hAnsi="Arial"/>
          <w:sz w:val="16"/>
          <w:szCs w:val="16"/>
          <w:color w:val="auto"/>
        </w:rPr>
        <w:t>, to discover innovative diagnostic tests for clinical use. Because of this approach, we believe we are unique in the diagnostics market as this approach allows for a broader and more holistic understanding of each patient’s disease state.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left="200" w:right="240" w:firstLine="434"/>
        <w:spacing w:after="0" w:line="279" w:lineRule="auto"/>
        <w:rPr>
          <w:sz w:val="20"/>
          <w:szCs w:val="20"/>
          <w:color w:val="auto"/>
        </w:rPr>
      </w:pPr>
      <w:r>
        <w:rPr>
          <w:rFonts w:ascii="Arial" w:cs="Arial" w:eastAsia="Arial" w:hAnsi="Arial"/>
          <w:sz w:val="17"/>
          <w:szCs w:val="17"/>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71" w:lineRule="exact"/>
        <w:rPr>
          <w:sz w:val="20"/>
          <w:szCs w:val="20"/>
          <w:color w:val="auto"/>
        </w:rPr>
      </w:pPr>
    </w:p>
    <w:p>
      <w:pPr>
        <w:ind w:left="200" w:right="500" w:firstLine="434"/>
        <w:spacing w:after="0" w:line="277" w:lineRule="auto"/>
        <w:rPr>
          <w:sz w:val="20"/>
          <w:szCs w:val="20"/>
          <w:color w:val="auto"/>
        </w:rPr>
      </w:pPr>
      <w:r>
        <w:rPr>
          <w:rFonts w:ascii="Arial" w:cs="Arial" w:eastAsia="Arial" w:hAnsi="Arial"/>
          <w:sz w:val="18"/>
          <w:szCs w:val="18"/>
          <w:color w:val="auto"/>
        </w:rPr>
        <w:t>We have commercialized six diagnostic tests which are currently on market and we perform over 30 assays for research use as part of our laboratory services that have been used by over 50 biopharmaceutical customers and academic partners.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four diagnostic blood-based tests across the lung cancer continuum of care.</w:t>
      </w:r>
    </w:p>
    <w:p>
      <w:pPr>
        <w:spacing w:after="0" w:line="131" w:lineRule="exact"/>
        <w:rPr>
          <w:sz w:val="20"/>
          <w:szCs w:val="20"/>
          <w:color w:val="auto"/>
        </w:rPr>
      </w:pPr>
    </w:p>
    <w:p>
      <w:pPr>
        <w:ind w:left="1160" w:right="20" w:hanging="534"/>
        <w:spacing w:after="0" w:line="286"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Nodify XL2</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Nodify CDT</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tests, marketed as part of our Nodify Lung</w:t>
      </w:r>
      <w:r>
        <w:rPr>
          <w:rFonts w:ascii="Arial" w:cs="Arial" w:eastAsia="Arial" w:hAnsi="Arial"/>
          <w:sz w:val="14"/>
          <w:szCs w:val="14"/>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Nodule Risk Assessment testing strategy, assess the risk of</w:t>
      </w:r>
      <w:r>
        <w:rPr>
          <w:rFonts w:ascii="Arial" w:cs="Arial" w:eastAsia="Arial" w:hAnsi="Arial"/>
          <w:sz w:val="17"/>
          <w:szCs w:val="17"/>
          <w:i w:val="1"/>
          <w:iCs w:val="1"/>
          <w:color w:val="auto"/>
        </w:rPr>
        <w:t xml:space="preserve"> </w:t>
      </w:r>
      <w:r>
        <w:rPr>
          <w:rFonts w:ascii="Arial" w:cs="Arial" w:eastAsia="Arial" w:hAnsi="Arial"/>
          <w:sz w:val="17"/>
          <w:szCs w:val="17"/>
          <w:color w:val="auto"/>
        </w:rPr>
        <w:t>lung cancer to help identify the most appropriate treatment pathway. We believe we are the only company to offer two commercial blood-based tests to help physicians reclassify risk of malignancy in patients with suspicious lung nodules.</w:t>
      </w:r>
    </w:p>
    <w:p>
      <w:pPr>
        <w:spacing w:after="0" w:line="70" w:lineRule="exact"/>
        <w:rPr>
          <w:rFonts w:ascii="Arial" w:cs="Arial" w:eastAsia="Arial" w:hAnsi="Arial"/>
          <w:sz w:val="17"/>
          <w:szCs w:val="17"/>
          <w:color w:val="auto"/>
        </w:rPr>
      </w:pPr>
    </w:p>
    <w:p>
      <w:pPr>
        <w:ind w:left="1160" w:right="200" w:hanging="534"/>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GeneStrat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tests, marketed as part of our Biodesix Lung Reflex</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strategy, are used following diagnosis of lung</w:t>
      </w:r>
      <w:r>
        <w:rPr>
          <w:rFonts w:ascii="Arial" w:cs="Arial" w:eastAsia="Arial" w:hAnsi="Arial"/>
          <w:sz w:val="18"/>
          <w:szCs w:val="18"/>
          <w:i w:val="1"/>
          <w:iCs w:val="1"/>
          <w:color w:val="auto"/>
        </w:rPr>
        <w:t xml:space="preserve"> </w:t>
      </w:r>
      <w:r>
        <w:rPr>
          <w:rFonts w:ascii="Arial" w:cs="Arial" w:eastAsia="Arial" w:hAnsi="Arial"/>
          <w:sz w:val="18"/>
          <w:szCs w:val="18"/>
          <w:color w:val="auto"/>
        </w:rPr>
        <w:t>cancer to measure the presence of mutations in the tumor and the state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32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99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260"/>
        <w:spacing w:after="0" w:line="263" w:lineRule="auto"/>
        <w:rPr>
          <w:sz w:val="20"/>
          <w:szCs w:val="20"/>
          <w:color w:val="auto"/>
        </w:rPr>
      </w:pPr>
      <w:r>
        <w:rPr>
          <w:rFonts w:ascii="Arial" w:cs="Arial" w:eastAsia="Arial" w:hAnsi="Arial"/>
          <w:sz w:val="18"/>
          <w:szCs w:val="18"/>
          <w:color w:val="auto"/>
        </w:rPr>
        <w:t>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w:t>
      </w:r>
    </w:p>
    <w:p>
      <w:pPr>
        <w:spacing w:after="0" w:line="184" w:lineRule="exact"/>
        <w:rPr>
          <w:sz w:val="20"/>
          <w:szCs w:val="20"/>
          <w:color w:val="auto"/>
        </w:rPr>
      </w:pPr>
    </w:p>
    <w:p>
      <w:pPr>
        <w:jc w:val="both"/>
        <w:ind w:left="200" w:right="60" w:firstLine="434"/>
        <w:spacing w:after="0" w:line="286" w:lineRule="auto"/>
        <w:rPr>
          <w:sz w:val="20"/>
          <w:szCs w:val="20"/>
          <w:color w:val="auto"/>
        </w:rPr>
      </w:pPr>
      <w:r>
        <w:rPr>
          <w:rFonts w:ascii="Arial" w:cs="Arial" w:eastAsia="Arial" w:hAnsi="Arial"/>
          <w:sz w:val="16"/>
          <w:szCs w:val="16"/>
          <w:color w:val="auto"/>
        </w:rPr>
        <w:t>In response to the COVID-19 pandemic, through our partnership with Bio-Rad, we commercialized the Biodesix WorkSafe</w:t>
      </w:r>
      <w:r>
        <w:rPr>
          <w:rFonts w:ascii="Arial" w:cs="Arial" w:eastAsia="Arial" w:hAnsi="Arial"/>
          <w:sz w:val="13"/>
          <w:szCs w:val="13"/>
          <w:color w:val="auto"/>
        </w:rPr>
        <w:t>™</w:t>
      </w:r>
      <w:r>
        <w:rPr>
          <w:rFonts w:ascii="Arial" w:cs="Arial" w:eastAsia="Arial" w:hAnsi="Arial"/>
          <w:sz w:val="16"/>
          <w:szCs w:val="16"/>
          <w:color w:val="auto"/>
        </w:rPr>
        <w:t xml:space="preserve"> testing program. Our scientific diagnostic expertise, technologies, and existing commercial infrastructure enabled us to rapidly commercialize two United States Food and Drug Administration (FDA) Emergency Use Authorization (EUA)-authorized tests, a part of our customizable program. Both diagnostic tests are owned and were developed by Bio-Rad and Bio-Rad has granted us permission to utilize both tests for commercial diagnostic services.</w:t>
      </w:r>
    </w:p>
    <w:p>
      <w:pPr>
        <w:spacing w:after="0" w:line="1" w:lineRule="exact"/>
        <w:rPr>
          <w:sz w:val="20"/>
          <w:szCs w:val="20"/>
          <w:color w:val="auto"/>
        </w:rPr>
      </w:pPr>
    </w:p>
    <w:p>
      <w:pPr>
        <w:ind w:left="200" w:right="140"/>
        <w:spacing w:after="0" w:line="285" w:lineRule="auto"/>
        <w:rPr>
          <w:sz w:val="20"/>
          <w:szCs w:val="20"/>
          <w:color w:val="auto"/>
        </w:rPr>
      </w:pPr>
      <w:r>
        <w:rPr>
          <w:rFonts w:ascii="Arial" w:cs="Arial" w:eastAsia="Arial" w:hAnsi="Arial"/>
          <w:sz w:val="16"/>
          <w:szCs w:val="16"/>
          <w:color w:val="auto"/>
        </w:rPr>
        <w:t>U.S. Department of Health and Human Services Secretary Alex Azar II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 will remain in place. Using the Bio-Rad SARS-CoV-2 ddPCR test and the Platelia SARS-CoV-2 Total Ab tests, we operate and have commercialized the Biodesix WorkSafe testing program.</w:t>
      </w:r>
    </w:p>
    <w:p>
      <w:pPr>
        <w:spacing w:after="0" w:line="174" w:lineRule="exact"/>
        <w:rPr>
          <w:sz w:val="20"/>
          <w:szCs w:val="20"/>
          <w:color w:val="auto"/>
        </w:rPr>
      </w:pPr>
    </w:p>
    <w:p>
      <w:pPr>
        <w:ind w:left="200" w:right="100" w:firstLine="434"/>
        <w:spacing w:after="0" w:line="293" w:lineRule="auto"/>
        <w:rPr>
          <w:sz w:val="20"/>
          <w:szCs w:val="20"/>
          <w:color w:val="auto"/>
        </w:rPr>
      </w:pPr>
      <w:r>
        <w:rPr>
          <w:rFonts w:ascii="Arial" w:cs="Arial" w:eastAsia="Arial" w:hAnsi="Arial"/>
          <w:sz w:val="16"/>
          <w:szCs w:val="16"/>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64" w:lineRule="exact"/>
        <w:rPr>
          <w:sz w:val="20"/>
          <w:szCs w:val="20"/>
          <w:color w:val="auto"/>
        </w:rPr>
      </w:pPr>
    </w:p>
    <w:p>
      <w:pPr>
        <w:ind w:left="200" w:right="20" w:firstLine="434"/>
        <w:spacing w:after="0" w:line="296" w:lineRule="auto"/>
        <w:rPr>
          <w:sz w:val="20"/>
          <w:szCs w:val="20"/>
          <w:color w:val="auto"/>
        </w:rPr>
      </w:pPr>
      <w:r>
        <w:rPr>
          <w:rFonts w:ascii="Arial" w:cs="Arial" w:eastAsia="Arial" w:hAnsi="Arial"/>
          <w:sz w:val="16"/>
          <w:szCs w:val="16"/>
          <w:color w:val="auto"/>
        </w:rPr>
        <w:t>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61"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Since our inception, we have performed over 245,000 tests and continue to generate a large and growing body of clinical evidence. We have participated in 27 clinical studies, four of which are ongoing, and have published over 275 peer-reviewed publications and presentations. We have over 140,000 samples and data in our biobank, including tumor profiles and immune profiles, which are used for both internal and external research and development (R&amp;D) initiatives.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007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4007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Diagnostic Testing</w:t>
      </w:r>
    </w:p>
    <w:p>
      <w:pPr>
        <w:spacing w:after="0" w:line="117"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Biomarker Discovery &amp; Companion Diagnostics</w:t>
      </w:r>
    </w:p>
    <w:p>
      <w:pPr>
        <w:spacing w:after="0" w:line="117"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chances of drug development success. We estimate that the biopharmaceutical partnering and research opportunities represent over a $2 billion market annually.</w:t>
      </w: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459"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664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6649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 and Technologies</w:t>
      </w:r>
    </w:p>
    <w:p>
      <w:pPr>
        <w:spacing w:after="0" w:line="121" w:lineRule="exact"/>
        <w:rPr>
          <w:sz w:val="20"/>
          <w:szCs w:val="20"/>
          <w:color w:val="auto"/>
        </w:rPr>
      </w:pPr>
    </w:p>
    <w:p>
      <w:pPr>
        <w:ind w:left="200" w:firstLine="434"/>
        <w:spacing w:after="0" w:line="291" w:lineRule="auto"/>
        <w:rPr>
          <w:sz w:val="20"/>
          <w:szCs w:val="20"/>
          <w:color w:val="auto"/>
        </w:rPr>
      </w:pPr>
      <w:r>
        <w:rPr>
          <w:rFonts w:ascii="Arial" w:cs="Arial" w:eastAsia="Arial" w:hAnsi="Arial"/>
          <w:sz w:val="16"/>
          <w:szCs w:val="16"/>
          <w:color w:val="auto"/>
        </w:rPr>
        <w:t>We use combinations of tumor, immune and host profiling, radiological imaging, patient clinical profiling, and our proprietary AI platform, the Diagnostic Cortex, to provide a holistic view of each patient’s dynamic disease state. The Diagnostic Cortex is an extensively validated deep learning platform optimized for the discovery of clinical diagnostic tests, which we believe overcomes standard machine learning challenges faced in life sciences research. We employ multiple technologies, as illustrated below, including genomics, proteomics, transcriptomics, and radiomics, generated by different assay techniques, including Droplet Digital</w:t>
      </w:r>
      <w:r>
        <w:rPr>
          <w:rFonts w:ascii="Arial" w:cs="Arial" w:eastAsia="Arial" w:hAnsi="Arial"/>
          <w:sz w:val="13"/>
          <w:szCs w:val="13"/>
          <w:color w:val="auto"/>
        </w:rPr>
        <w:t>™</w:t>
      </w:r>
      <w:r>
        <w:rPr>
          <w:rFonts w:ascii="Arial" w:cs="Arial" w:eastAsia="Arial" w:hAnsi="Arial"/>
          <w:sz w:val="16"/>
          <w:szCs w:val="16"/>
          <w:color w:val="auto"/>
        </w:rPr>
        <w:t xml:space="preserve"> (ddPCR), next generation sequencing (NGS), liquid chromatography mass spectrometry (LC-MS), enzyme-linked immunosorbent assay (ELISA), and our proprietary DeepMALDI</w:t>
      </w:r>
      <w:r>
        <w:rPr>
          <w:rFonts w:ascii="Arial" w:cs="Arial" w:eastAsia="Arial" w:hAnsi="Arial"/>
          <w:sz w:val="13"/>
          <w:szCs w:val="13"/>
          <w:color w:val="auto"/>
        </w:rPr>
        <w:t>®</w:t>
      </w:r>
      <w:r>
        <w:rPr>
          <w:rFonts w:ascii="Arial" w:cs="Arial" w:eastAsia="Arial" w:hAnsi="Arial"/>
          <w:sz w:val="16"/>
          <w:szCs w:val="16"/>
          <w:color w:val="auto"/>
        </w:rPr>
        <w:t xml:space="preserve"> mass spectrometry platform for the blood-based molecular analysis of the tumor, immune system, and host-status of each patient and/or clinical dataset.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31" w:lineRule="exact"/>
        <w:rPr>
          <w:sz w:val="20"/>
          <w:szCs w:val="20"/>
          <w:color w:val="auto"/>
        </w:rPr>
      </w:pPr>
    </w:p>
    <w:p>
      <w:pPr>
        <w:ind w:left="1160" w:right="38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proprietary extensively validated deep learning platform, which is tailored to discover clinical diagnostics that address clinical unmet needs;</w:t>
      </w:r>
    </w:p>
    <w:p>
      <w:pPr>
        <w:spacing w:after="0" w:line="75" w:lineRule="exact"/>
        <w:rPr>
          <w:rFonts w:ascii="Arial" w:cs="Arial" w:eastAsia="Arial" w:hAnsi="Arial"/>
          <w:sz w:val="18"/>
          <w:szCs w:val="18"/>
          <w:color w:val="auto"/>
        </w:rPr>
      </w:pPr>
    </w:p>
    <w:p>
      <w:pPr>
        <w:ind w:left="1160" w:right="20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data-driven approach to precision medicine combined with our data biobank, which enables us to accelerate development of new tests;</w:t>
      </w:r>
    </w:p>
    <w:p>
      <w:pPr>
        <w:spacing w:after="0" w:line="75"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leadership in clinical proteomics, demonstrated research, development, and scientific expertise, combined with our intellectual property portfolio;</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demonstrated success commercializing diagnostic tests across a broad continuum of care in lung disease;</w:t>
      </w:r>
    </w:p>
    <w:p>
      <w:pPr>
        <w:spacing w:after="0" w:line="130" w:lineRule="exact"/>
        <w:rPr>
          <w:rFonts w:ascii="Arial" w:cs="Arial" w:eastAsia="Arial" w:hAnsi="Arial"/>
          <w:sz w:val="18"/>
          <w:szCs w:val="18"/>
          <w:color w:val="auto"/>
        </w:rPr>
      </w:pPr>
    </w:p>
    <w:p>
      <w:pPr>
        <w:ind w:left="1160" w:right="8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depth and breadth of point of care access to physicians allows us to drive adoption of our diagnostic tests while incorporating real-life feedback to inform new product development; and</w:t>
      </w:r>
    </w:p>
    <w:p>
      <w:pPr>
        <w:spacing w:after="0" w:line="75" w:lineRule="exact"/>
        <w:rPr>
          <w:rFonts w:ascii="Arial" w:cs="Arial" w:eastAsia="Arial" w:hAnsi="Arial"/>
          <w:sz w:val="18"/>
          <w:szCs w:val="18"/>
          <w:color w:val="auto"/>
        </w:rPr>
      </w:pPr>
    </w:p>
    <w:p>
      <w:pPr>
        <w:ind w:left="1160" w:right="700" w:hanging="534"/>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 infrastructure, which is built on extensive knowledge and experience in sales, marketing, reimbursement, and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120" w:firstLine="434"/>
        <w:spacing w:after="0" w:line="277"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76" w:lineRule="exact"/>
        <w:rPr>
          <w:sz w:val="20"/>
          <w:szCs w:val="20"/>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Drive increased awareness, adoption, and reimbursement coverage of our diagnostic tests;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Deepen our relationships with current biopharmaceutical customers and establish new customer opportunities;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41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Introduce new diagnostic tests in lung disease;</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demonstrate the clinical utility and economic benefits of our diagnostic tests;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our proprietary AI platform and expand our technology portfolio;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leverage and expand our biobank.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92" w:lineRule="exact"/>
        <w:rPr>
          <w:sz w:val="20"/>
          <w:szCs w:val="20"/>
          <w:color w:val="auto"/>
        </w:rPr>
      </w:pPr>
    </w:p>
    <w:p>
      <w:pPr>
        <w:ind w:left="200" w:right="100" w:firstLine="434"/>
        <w:spacing w:after="0" w:line="271" w:lineRule="auto"/>
        <w:rPr>
          <w:sz w:val="20"/>
          <w:szCs w:val="20"/>
          <w:color w:val="auto"/>
        </w:rPr>
      </w:pPr>
      <w:r>
        <w:rPr>
          <w:rFonts w:ascii="Arial" w:cs="Arial" w:eastAsia="Arial" w:hAnsi="Arial"/>
          <w:sz w:val="17"/>
          <w:szCs w:val="17"/>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78" w:lineRule="exact"/>
        <w:rPr>
          <w:sz w:val="20"/>
          <w:szCs w:val="20"/>
          <w:color w:val="auto"/>
        </w:rPr>
      </w:pPr>
    </w:p>
    <w:p>
      <w:pPr>
        <w:ind w:left="200" w:firstLine="434"/>
        <w:spacing w:after="0" w:line="270" w:lineRule="auto"/>
        <w:rPr>
          <w:sz w:val="20"/>
          <w:szCs w:val="20"/>
          <w:color w:val="auto"/>
        </w:rPr>
      </w:pPr>
      <w:r>
        <w:rPr>
          <w:rFonts w:ascii="Arial" w:cs="Arial" w:eastAsia="Arial" w:hAnsi="Arial"/>
          <w:sz w:val="17"/>
          <w:szCs w:val="17"/>
          <w:color w:val="auto"/>
        </w:rPr>
        <w:t>We are also experiencing an increase in revenues related to an increase in the demand for our Biodesix WorkSafe testing program.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 See “Risk Factors” for a description of how the COVID-19 pandemic may adversely affect our business, financial condition and results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Results for Third Quarter 2020</w:t>
      </w:r>
    </w:p>
    <w:p>
      <w:pPr>
        <w:spacing w:after="0" w:line="121" w:lineRule="exact"/>
        <w:rPr>
          <w:sz w:val="20"/>
          <w:szCs w:val="20"/>
          <w:color w:val="auto"/>
        </w:rPr>
      </w:pPr>
    </w:p>
    <w:p>
      <w:pPr>
        <w:ind w:left="200" w:right="220" w:firstLine="434"/>
        <w:spacing w:after="0" w:line="259" w:lineRule="auto"/>
        <w:rPr>
          <w:sz w:val="20"/>
          <w:szCs w:val="20"/>
          <w:color w:val="auto"/>
        </w:rPr>
      </w:pPr>
      <w:r>
        <w:rPr>
          <w:rFonts w:ascii="Arial" w:cs="Arial" w:eastAsia="Arial" w:hAnsi="Arial"/>
          <w:sz w:val="18"/>
          <w:szCs w:val="18"/>
          <w:color w:val="auto"/>
        </w:rPr>
        <w:t>The following presents our preliminary unaudited estimates of our revenues, operating expenses and net loss for the three months and nine months ended September 30, 2020, our actual unaudited revenues, operating expenses and net loss for the three months and nine months ended September 30, 2019, and our unaudited estimate for cash and cash equivalents as of September 30, 2020. Our financial statements as of, and for the three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70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months and nine months ended, September 30, 2020 are not yet available and are subject to completion of our financial closing procedures. The following information reflects our preliminary estimates based on currently available information and is subject to change as we complete our quarter end procedures. We have provided ranges, rather than specific amounts, for revenues, operating expenses and net loss for the periods described below primarily because we are still in the process of finalizing our financial results as of, and for the three months and nine months ended, September 30, 2020. Our final actual reported results may vary from these preliminary estimates and may not be indicative of our final reported financial results for these periods or for the remainder of 2020.</w:t>
      </w:r>
    </w:p>
    <w:p>
      <w:pPr>
        <w:spacing w:after="0" w:line="98" w:lineRule="exact"/>
        <w:rPr>
          <w:sz w:val="20"/>
          <w:szCs w:val="20"/>
          <w:color w:val="auto"/>
        </w:rPr>
      </w:pPr>
    </w:p>
    <w:p>
      <w:pPr>
        <w:ind w:left="1160" w:right="20" w:hanging="534"/>
        <w:spacing w:after="0" w:line="255"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months ended September 30, 2020, we estimate that we generated total revenue of $8.7 million to $9.2 million compared to $3.9 million for the three months ended September 30, 2019. For the three months ended September 30, 2020, our diagnostic test revenue comprised an estimated 93% of our total revenues and services revenue comprised an estimated 7% of our total revenues compared to 96% and 4%, respectively, for the three months ended September 30, 2019. COVID-19 diagnostic testing revenue comprised $5.3 million to $5.6 million of our diagnostic test revenue for the three months ended September 30, 2020. We had cash and cash equivalents of $6.5 million as of September 30, 2020.</w:t>
      </w:r>
    </w:p>
    <w:p>
      <w:pPr>
        <w:spacing w:after="0" w:line="97" w:lineRule="exact"/>
        <w:rPr>
          <w:rFonts w:ascii="Arial" w:cs="Arial" w:eastAsia="Arial" w:hAnsi="Arial"/>
          <w:sz w:val="18"/>
          <w:szCs w:val="18"/>
          <w:color w:val="auto"/>
        </w:rPr>
      </w:pPr>
    </w:p>
    <w:p>
      <w:pPr>
        <w:ind w:left="1160" w:right="60" w:hanging="534"/>
        <w:spacing w:after="0" w:line="296"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nine months ended September 30, 2020, we estimate that we generated total revenue of $18.1 million to $18.5 million compared to $16.3 million for the nine months ended September 30, 2019. For the nine months ended September 30, 2020, our diagnostic test revenue comprised an estimated 85% of our total revenues and services revenue comprised an estimated 15% of our total revenues compared to 78% and 22%, respectively, for the nine months ended September 30, 2019. COVID-19 diagnostic testing revenue comprised $6.6 million to $6.9 million of our diagnostic test revenue for the nine months ended September 30, 2020.</w:t>
      </w:r>
    </w:p>
    <w:p>
      <w:pPr>
        <w:spacing w:after="0" w:line="161" w:lineRule="exact"/>
        <w:rPr>
          <w:sz w:val="20"/>
          <w:szCs w:val="20"/>
          <w:color w:val="auto"/>
        </w:rPr>
      </w:pPr>
    </w:p>
    <w:p>
      <w:pPr>
        <w:ind w:left="200" w:right="100" w:firstLine="434"/>
        <w:spacing w:after="0" w:line="272" w:lineRule="auto"/>
        <w:rPr>
          <w:sz w:val="20"/>
          <w:szCs w:val="20"/>
          <w:color w:val="auto"/>
        </w:rPr>
      </w:pPr>
      <w:r>
        <w:rPr>
          <w:rFonts w:ascii="Arial" w:cs="Arial" w:eastAsia="Arial" w:hAnsi="Arial"/>
          <w:sz w:val="17"/>
          <w:szCs w:val="17"/>
          <w:color w:val="auto"/>
        </w:rPr>
        <w:t>Due in large part to the COVID-19 pandemic, our revenues for the six months ended June 30, 2020 were substantially reduced as compared to the six months ended June 30, 2019. Total revenues were down 24% for the six month period ended June 30, 2020 compared to the six month period ended June 30, 2019 due to shelter-in-place orders which reduced our non-COVID-19 testing revenues by 34%. In the nine months ended September 30, 2020, our revenues increased as a result of our COVID-19 testing program revenue and an increase in non-COVID-19 testing revenue as more shelter-in-place orders were withdrawn and more lung diagnostic testing was undertaken. We estimate that our total revenues increased by 106% to 117% for the third quarter of 2020 compared to the second quarter of 2020 driven largely by increases in revenue from COVID-19 testing and a 25% to 32% increase in non-COVID-19 testing revenues.</w:t>
      </w:r>
    </w:p>
    <w:p>
      <w:pPr>
        <w:spacing w:after="0" w:line="83" w:lineRule="exact"/>
        <w:rPr>
          <w:sz w:val="20"/>
          <w:szCs w:val="20"/>
          <w:color w:val="auto"/>
        </w:rPr>
      </w:pPr>
    </w:p>
    <w:p>
      <w:pPr>
        <w:ind w:left="1160" w:right="20" w:hanging="534"/>
        <w:spacing w:after="0" w:line="311"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three months ended September 30, 2020, we estimate that we incurred total operating expense of $15.5 million to $16.3 million compared to $13.0 million for the three months ended September 30, 2019. For the three months ended September 30, 2020, we estimate we incurred net losses of $8.8 million to $9.2 million compared to $9.6 million for the three months ended September 30, 2019.</w:t>
      </w:r>
    </w:p>
    <w:p>
      <w:pPr>
        <w:spacing w:after="0" w:line="54" w:lineRule="exact"/>
        <w:rPr>
          <w:rFonts w:ascii="Arial" w:cs="Arial" w:eastAsia="Arial" w:hAnsi="Arial"/>
          <w:sz w:val="16"/>
          <w:szCs w:val="16"/>
          <w:color w:val="auto"/>
        </w:rPr>
      </w:pPr>
    </w:p>
    <w:p>
      <w:pPr>
        <w:ind w:left="1160" w:right="100" w:hanging="534"/>
        <w:spacing w:after="0" w:line="311"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nine months ended September 30, 2020, we estimate that we incurred total operating expense of $38.8 million to $39.6 million compared to $39.5 million for the nine months ended September 30, 2019. For the nine months ended September 30, 2020, we estimate we incurred net losses of $26.8 million to $27.2 million compared to $24.2 million for the nine months ended September 30, 2019.</w:t>
      </w:r>
    </w:p>
    <w:p>
      <w:pPr>
        <w:spacing w:after="0" w:line="149"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auto"/>
        </w:rPr>
        <w:t>The information above should be read in conjunction with our financial statements and the related notes and “Management’s Discussion and Analysis of Financial Condition and Results of Operations” for prior periods included elsewhere in this prospectus. Our actual results for the nine months ended September 30, 2020 are not yet available as a result of quarter-end closing and review procedures not being completed and may not necessarily be indicative of the results to be expected for the remainder of 2020 or any future period. Accordingly, you should not place undue reliance upon these preliminary estimates, which are subject to risks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62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311" w:lineRule="auto"/>
        <w:rPr>
          <w:sz w:val="20"/>
          <w:szCs w:val="20"/>
          <w:color w:val="auto"/>
        </w:rPr>
      </w:pPr>
      <w:r>
        <w:rPr>
          <w:rFonts w:ascii="Arial" w:cs="Arial" w:eastAsia="Arial" w:hAnsi="Arial"/>
          <w:sz w:val="16"/>
          <w:szCs w:val="16"/>
          <w:color w:val="auto"/>
        </w:rPr>
        <w:t>and uncertainties, many of which are not within our control. Please see “Risk Factors” and “Special Note Regarding Forward-Looking Statements” for additional information regarding factors that could result in differences between the preliminary estimates of certain of our financial results presented above and the actual financial results and other information we will report as of and for the nine months ended September 30, 2020.</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640" w:firstLine="434"/>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without limitation, the following:</w:t>
      </w:r>
    </w:p>
    <w:p>
      <w:pPr>
        <w:spacing w:after="0" w:line="76" w:lineRule="exact"/>
        <w:rPr>
          <w:sz w:val="20"/>
          <w:szCs w:val="20"/>
          <w:color w:val="auto"/>
        </w:rPr>
      </w:pPr>
    </w:p>
    <w:p>
      <w:pPr>
        <w:ind w:left="1160" w:right="14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history of net losses, and we expect to continue to incur losses for the foreseeable future. If we achieve profitability, we may not be able to sustain it.</w:t>
      </w:r>
    </w:p>
    <w:p>
      <w:pPr>
        <w:spacing w:after="0" w:line="75" w:lineRule="exact"/>
        <w:rPr>
          <w:rFonts w:ascii="Arial" w:cs="Arial" w:eastAsia="Arial" w:hAnsi="Arial"/>
          <w:sz w:val="18"/>
          <w:szCs w:val="18"/>
          <w:color w:val="auto"/>
        </w:rPr>
      </w:pPr>
    </w:p>
    <w:p>
      <w:pPr>
        <w:ind w:left="1160" w:right="32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30" w:lineRule="exact"/>
        <w:rPr>
          <w:rFonts w:ascii="Arial" w:cs="Arial" w:eastAsia="Arial" w:hAnsi="Arial"/>
          <w:sz w:val="18"/>
          <w:szCs w:val="18"/>
          <w:color w:val="auto"/>
        </w:rPr>
      </w:pPr>
    </w:p>
    <w:p>
      <w:pPr>
        <w:ind w:left="1160" w:right="120" w:hanging="534"/>
        <w:spacing w:after="0" w:line="308"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1" w:lineRule="exact"/>
        <w:rPr>
          <w:rFonts w:ascii="Arial" w:cs="Arial" w:eastAsia="Arial" w:hAnsi="Arial"/>
          <w:sz w:val="17"/>
          <w:szCs w:val="17"/>
          <w:color w:val="auto"/>
        </w:rPr>
      </w:pPr>
    </w:p>
    <w:p>
      <w:pPr>
        <w:ind w:left="1160" w:right="68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cannot maintain our current relationships, or enter into new relationships, with biopharmaceutical companies, our revenue prospects could be reduced.</w:t>
      </w:r>
    </w:p>
    <w:p>
      <w:pPr>
        <w:spacing w:after="0" w:line="75" w:lineRule="exact"/>
        <w:rPr>
          <w:rFonts w:ascii="Arial" w:cs="Arial" w:eastAsia="Arial" w:hAnsi="Arial"/>
          <w:sz w:val="18"/>
          <w:szCs w:val="18"/>
          <w:color w:val="auto"/>
        </w:rPr>
      </w:pPr>
    </w:p>
    <w:p>
      <w:pPr>
        <w:ind w:left="1160" w:right="26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 success and revenue growth are highly dependent on the demand for, and increased adoption of, our diagnostic tests, including our COVID-19 testing program, which are subject to a number of risks and uncertainty.</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need to ensure strong product performance and reliability to maintain and grow our business.</w:t>
      </w:r>
    </w:p>
    <w:p>
      <w:pPr>
        <w:spacing w:after="0" w:line="130"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upon third-party suppliers, including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160" w:right="22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or man-made disasters, pandemics, outbreaks, or other similar events, including a sustained outbreak or second wave of the novel strain of coronavirus disease, COVID-19, could significantly disrupt our business, and negatively impact our business, financial condition and results of operations.</w:t>
      </w:r>
    </w:p>
    <w:p>
      <w:pPr>
        <w:spacing w:after="0" w:line="89" w:lineRule="exact"/>
        <w:rPr>
          <w:rFonts w:ascii="Arial" w:cs="Arial" w:eastAsia="Arial" w:hAnsi="Arial"/>
          <w:sz w:val="18"/>
          <w:szCs w:val="18"/>
          <w:color w:val="auto"/>
        </w:rPr>
      </w:pPr>
    </w:p>
    <w:p>
      <w:pPr>
        <w:ind w:left="1160" w:right="24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89" w:lineRule="exact"/>
        <w:rPr>
          <w:rFonts w:ascii="Arial" w:cs="Arial" w:eastAsia="Arial" w:hAnsi="Arial"/>
          <w:sz w:val="18"/>
          <w:szCs w:val="18"/>
          <w:color w:val="auto"/>
        </w:rPr>
      </w:pPr>
    </w:p>
    <w:p>
      <w:pPr>
        <w:ind w:left="1160" w:right="8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89" w:lineRule="exact"/>
        <w:rPr>
          <w:rFonts w:ascii="Arial" w:cs="Arial" w:eastAsia="Arial" w:hAnsi="Arial"/>
          <w:sz w:val="18"/>
          <w:szCs w:val="18"/>
          <w:color w:val="auto"/>
        </w:rPr>
      </w:pPr>
    </w:p>
    <w:p>
      <w:pPr>
        <w:ind w:left="1160" w:right="260" w:hanging="534"/>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40" w:firstLine="434"/>
        <w:spacing w:after="0" w:line="342" w:lineRule="auto"/>
        <w:rPr>
          <w:sz w:val="20"/>
          <w:szCs w:val="20"/>
          <w:color w:val="auto"/>
        </w:rPr>
      </w:pPr>
      <w:r>
        <w:rPr>
          <w:rFonts w:ascii="Arial" w:cs="Arial" w:eastAsia="Arial" w:hAnsi="Arial"/>
          <w:sz w:val="16"/>
          <w:szCs w:val="16"/>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200" w:lineRule="exact"/>
        <w:rPr>
          <w:sz w:val="20"/>
          <w:szCs w:val="20"/>
          <w:color w:val="auto"/>
        </w:rPr>
      </w:pPr>
    </w:p>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10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40" w:firstLine="434"/>
        <w:spacing w:after="0" w:line="277" w:lineRule="auto"/>
        <w:rPr>
          <w:sz w:val="20"/>
          <w:szCs w:val="20"/>
          <w:color w:val="auto"/>
        </w:rPr>
      </w:pPr>
      <w:r>
        <w:rPr>
          <w:rFonts w:ascii="Arial" w:cs="Arial" w:eastAsia="Arial" w:hAnsi="Arial"/>
          <w:sz w:val="18"/>
          <w:szCs w:val="18"/>
          <w:color w:val="auto"/>
        </w:rPr>
        <w:t>Our website address is www.biodesix.com. Information contained on, or accessible from, or hyperlinked to, our website is not incorporated by reference into this prospectus, and you should not consider information on our website to be part of this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68" w:lineRule="exact"/>
        <w:rPr>
          <w:sz w:val="20"/>
          <w:szCs w:val="20"/>
          <w:color w:val="auto"/>
        </w:rPr>
      </w:pPr>
    </w:p>
    <w:p>
      <w:pPr>
        <w:ind w:left="200" w:firstLine="434"/>
        <w:spacing w:after="0" w:line="255"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92" w:lineRule="exact"/>
        <w:rPr>
          <w:sz w:val="20"/>
          <w:szCs w:val="20"/>
          <w:color w:val="auto"/>
        </w:rPr>
      </w:pPr>
    </w:p>
    <w:p>
      <w:pPr>
        <w:ind w:left="200" w:right="180" w:firstLine="434"/>
        <w:spacing w:after="0" w:line="279" w:lineRule="auto"/>
        <w:rPr>
          <w:sz w:val="20"/>
          <w:szCs w:val="20"/>
          <w:color w:val="auto"/>
        </w:rPr>
      </w:pPr>
      <w:r>
        <w:rPr>
          <w:rFonts w:ascii="Arial" w:cs="Arial" w:eastAsia="Arial" w:hAnsi="Arial"/>
          <w:sz w:val="17"/>
          <w:szCs w:val="17"/>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initial public offering.</w:t>
      </w:r>
    </w:p>
    <w:p>
      <w:pPr>
        <w:spacing w:after="0" w:line="171" w:lineRule="exact"/>
        <w:rPr>
          <w:sz w:val="20"/>
          <w:szCs w:val="20"/>
          <w:color w:val="auto"/>
        </w:rPr>
      </w:pPr>
    </w:p>
    <w:p>
      <w:pPr>
        <w:ind w:left="200" w:firstLine="434"/>
        <w:spacing w:after="0" w:line="254" w:lineRule="auto"/>
        <w:rPr>
          <w:sz w:val="20"/>
          <w:szCs w:val="20"/>
          <w:color w:val="auto"/>
        </w:rPr>
      </w:pPr>
      <w:r>
        <w:rPr>
          <w:rFonts w:ascii="Arial" w:cs="Arial" w:eastAsia="Arial" w:hAnsi="Arial"/>
          <w:sz w:val="18"/>
          <w:szCs w:val="18"/>
          <w:color w:val="auto"/>
        </w:rPr>
        <w:t>Additionally, we are a “smaller reporting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jc w:val="both"/>
        <w:ind w:left="200" w:right="620" w:firstLine="434"/>
        <w:spacing w:after="0" w:line="286" w:lineRule="auto"/>
        <w:rPr>
          <w:sz w:val="20"/>
          <w:szCs w:val="20"/>
          <w:color w:val="auto"/>
        </w:rPr>
      </w:pPr>
      <w:r>
        <w:rPr>
          <w:rFonts w:ascii="Arial" w:cs="Arial" w:eastAsia="Arial" w:hAnsi="Arial"/>
          <w:sz w:val="17"/>
          <w:szCs w:val="17"/>
          <w:color w:val="auto"/>
        </w:rPr>
        <w:t>For certain risks related to our status as an emerging growth company, see “Risk Factors—Risks Related to our Common Stock and this Offering—We are an “emerging growth company” and a “smaller reporting company,” and the reduced disclosure requirements applicable to emerging growth companies and smaller reporting companies may make our common stock less attractive to investors.”</w:t>
      </w:r>
    </w:p>
    <w:p>
      <w:pPr>
        <w:spacing w:after="0" w:line="200" w:lineRule="exact"/>
        <w:rPr>
          <w:sz w:val="20"/>
          <w:szCs w:val="20"/>
          <w:color w:val="auto"/>
        </w:rPr>
      </w:pPr>
    </w:p>
    <w:p>
      <w:pPr>
        <w:spacing w:after="0" w:line="3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5593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5593080"/>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Over-allotment option</w:t>
      </w:r>
    </w:p>
    <w:p>
      <w:pPr>
        <w:spacing w:after="0" w:line="77" w:lineRule="exact"/>
        <w:rPr>
          <w:sz w:val="20"/>
          <w:szCs w:val="20"/>
          <w:color w:val="auto"/>
        </w:rPr>
      </w:pPr>
    </w:p>
    <w:p>
      <w:pPr>
        <w:ind w:left="200" w:right="340"/>
        <w:spacing w:after="0" w:line="355" w:lineRule="auto"/>
        <w:rPr>
          <w:sz w:val="20"/>
          <w:szCs w:val="20"/>
          <w:color w:val="auto"/>
        </w:rPr>
      </w:pPr>
      <w:r>
        <w:rPr>
          <w:rFonts w:ascii="Arial" w:cs="Arial" w:eastAsia="Arial" w:hAnsi="Arial"/>
          <w:sz w:val="18"/>
          <w:szCs w:val="18"/>
          <w:color w:val="auto"/>
        </w:rPr>
        <w:t>Common stock to be outstanding after this offering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4,166,667 shares</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625,000 shares</w:t>
      </w:r>
    </w:p>
    <w:p>
      <w:pPr>
        <w:spacing w:after="0" w:line="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26,420,739 shares</w:t>
      </w:r>
    </w:p>
    <w:p>
      <w:pPr>
        <w:spacing w:after="0" w:line="77" w:lineRule="exact"/>
        <w:rPr>
          <w:sz w:val="20"/>
          <w:szCs w:val="20"/>
          <w:color w:val="auto"/>
        </w:rPr>
      </w:pPr>
    </w:p>
    <w:p>
      <w:pPr>
        <w:ind w:left="1020" w:right="180"/>
        <w:spacing w:after="0" w:line="290" w:lineRule="auto"/>
        <w:rPr>
          <w:sz w:val="20"/>
          <w:szCs w:val="20"/>
          <w:color w:val="auto"/>
        </w:rPr>
      </w:pPr>
      <w:r>
        <w:rPr>
          <w:rFonts w:ascii="Arial" w:cs="Arial" w:eastAsia="Arial" w:hAnsi="Arial"/>
          <w:sz w:val="16"/>
          <w:szCs w:val="16"/>
          <w:color w:val="auto"/>
        </w:rPr>
        <w:t>We estimate that the net proceeds from the sale of shares of our common stock that we are selling in this offering will be approximately $65.8 million (or approximately $76.2 million if the underwriters’ over-allotment option is exercised in full), based upon an assumed initial public offering price of $18.00 per share, the midpoint of the estimated offering price range set forth on the cover page of this prospectus, after deducting underwriting discounts and commissions and estimated offering expenses payable by us.</w:t>
      </w:r>
    </w:p>
    <w:p>
      <w:pPr>
        <w:spacing w:after="0" w:line="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 currently expect to use the net proceeds from this offering:</w:t>
      </w:r>
    </w:p>
    <w:p>
      <w:pPr>
        <w:spacing w:after="0" w:line="23" w:lineRule="exact"/>
        <w:rPr>
          <w:sz w:val="20"/>
          <w:szCs w:val="20"/>
          <w:color w:val="auto"/>
        </w:rPr>
      </w:pPr>
    </w:p>
    <w:p>
      <w:pPr>
        <w:ind w:left="1020" w:firstLine="1"/>
        <w:spacing w:after="0" w:line="286" w:lineRule="auto"/>
        <w:tabs>
          <w:tab w:leader="none" w:pos="12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approximately $30 million to support our commercial expansion of sales, marketing, reimbursement, customer support and business development; (2) approximately $16 million to support our product pipeline and research and development; (3) approximately $13 million to pay a portion of our Integrated Diagnostics acquisition milestone payment; and (4) the remaining portion of such net proceeds (including if the underwriters exercise their overallotment option in full) for working capital and general corporate purposes. See the section titled “Use of Proceeds” for additional information.</w:t>
      </w:r>
    </w:p>
    <w:p>
      <w:pPr>
        <w:spacing w:after="0" w:line="24" w:lineRule="exact"/>
        <w:rPr>
          <w:sz w:val="20"/>
          <w:szCs w:val="20"/>
          <w:color w:val="auto"/>
        </w:rPr>
      </w:pPr>
    </w:p>
    <w:p>
      <w:pPr>
        <w:ind w:left="1020" w:right="60"/>
        <w:spacing w:after="0" w:line="286" w:lineRule="auto"/>
        <w:rPr>
          <w:sz w:val="20"/>
          <w:szCs w:val="20"/>
          <w:color w:val="auto"/>
        </w:rPr>
      </w:pPr>
      <w:r>
        <w:rPr>
          <w:rFonts w:ascii="Arial" w:cs="Arial" w:eastAsia="Arial" w:hAnsi="Arial"/>
          <w:sz w:val="16"/>
          <w:szCs w:val="16"/>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The sales will be made at our direction by Morgan Stanley &amp; Co. LLC and its affiliates through a directed share program. The number of shares of our common stock available for sale to the general public in this offering will be reduced to the extent that these individuals purchase such reserved shares. Any reserved shares that are not so purchased will be offered by the underwriters to the general public on the same terms as the other shares of common stock offered by this prospectus. Shares purchased through the directed share program will not be subject to lockup restrictions with the underwriters, except in the case of shares purchased</w:t>
      </w:r>
    </w:p>
    <w:p>
      <w:pPr>
        <w:spacing w:after="0" w:line="200" w:lineRule="exact"/>
        <w:rPr>
          <w:sz w:val="20"/>
          <w:szCs w:val="20"/>
          <w:color w:val="auto"/>
        </w:rPr>
      </w:pPr>
    </w:p>
    <w:p>
      <w:pPr>
        <w:sectPr>
          <w:pgSz w:w="11900" w:h="16838" w:orient="portrait"/>
          <w:cols w:equalWidth="0" w:num="2">
            <w:col w:w="4220" w:space="720"/>
            <w:col w:w="6100"/>
          </w:cols>
          <w:pgMar w:left="320" w:top="459" w:right="5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040"/>
          </w:cols>
          <w:pgMar w:left="320" w:top="459" w:right="5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331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58331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 any of our officers or directors, employees and certain of our</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existing stockholders.</w:t>
      </w:r>
    </w:p>
    <w:p>
      <w:pPr>
        <w:spacing w:after="0" w:line="11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For additional information, see the section titled “Underwriters—</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Directed Share Program.”</w:t>
      </w:r>
    </w:p>
    <w:p>
      <w:pPr>
        <w:sectPr>
          <w:pgSz w:w="11900" w:h="16838" w:orient="portrait"/>
          <w:cols w:equalWidth="0" w:num="1">
            <w:col w:w="11040"/>
          </w:cols>
          <w:pgMar w:left="320" w:top="459" w:right="539" w:bottom="1440" w:gutter="0" w:footer="0" w:header="0"/>
        </w:sectPr>
      </w:pPr>
    </w:p>
    <w:p>
      <w:pPr>
        <w:spacing w:after="0" w:line="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and the other information included in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prospectus for a discussion of factors you should carefully consider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before deciding to invest in our common stock.</w:t>
      </w:r>
    </w:p>
    <w:p>
      <w:pPr>
        <w:spacing w:after="0" w:line="62" w:lineRule="exact"/>
        <w:rPr>
          <w:sz w:val="20"/>
          <w:szCs w:val="20"/>
          <w:color w:val="auto"/>
        </w:rPr>
      </w:pPr>
    </w:p>
    <w:p>
      <w:pPr>
        <w:sectPr>
          <w:pgSz w:w="11900" w:h="16838" w:orient="portrait"/>
          <w:cols w:equalWidth="0" w:num="2">
            <w:col w:w="5240" w:space="720"/>
            <w:col w:w="5080"/>
          </w:cols>
          <w:pgMar w:left="320" w:top="459"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“BDSX”</w:t>
      </w:r>
    </w:p>
    <w:p>
      <w:pPr>
        <w:spacing w:after="0" w:line="200" w:lineRule="exact"/>
        <w:rPr>
          <w:sz w:val="20"/>
          <w:szCs w:val="20"/>
          <w:color w:val="auto"/>
        </w:rPr>
      </w:pPr>
    </w:p>
    <w:p>
      <w:pPr>
        <w:sectPr>
          <w:pgSz w:w="11900" w:h="16838" w:orient="portrait"/>
          <w:cols w:equalWidth="0" w:num="2">
            <w:col w:w="5240" w:space="720"/>
            <w:col w:w="5080"/>
          </w:cols>
          <w:pgMar w:left="320" w:top="459" w:right="539" w:bottom="1440" w:gutter="0" w:footer="0" w:header="0"/>
          <w:type w:val="continuous"/>
        </w:sectPr>
      </w:pPr>
    </w:p>
    <w:p>
      <w:pPr>
        <w:spacing w:after="0" w:line="25" w:lineRule="exact"/>
        <w:rPr>
          <w:sz w:val="20"/>
          <w:szCs w:val="20"/>
          <w:color w:val="auto"/>
        </w:rPr>
      </w:pPr>
    </w:p>
    <w:p>
      <w:pPr>
        <w:ind w:left="200" w:right="500" w:firstLine="434"/>
        <w:spacing w:after="0" w:line="263" w:lineRule="auto"/>
        <w:rPr>
          <w:sz w:val="20"/>
          <w:szCs w:val="20"/>
          <w:color w:val="auto"/>
        </w:rPr>
      </w:pPr>
      <w:r>
        <w:rPr>
          <w:rFonts w:ascii="Arial" w:cs="Arial" w:eastAsia="Arial" w:hAnsi="Arial"/>
          <w:sz w:val="18"/>
          <w:szCs w:val="18"/>
          <w:color w:val="auto"/>
        </w:rPr>
        <w:t>The number of shares of common stock that will be outstanding after this offering is based on 22,254,072 shares of our common stock (reflecting the conversion of all of our shares of preferred stock and convertible debt into shares of our common stock on an as-converted basis) outstanding as of October 15, 2020, and excludes:</w:t>
      </w:r>
    </w:p>
    <w:p>
      <w:pPr>
        <w:spacing w:after="0" w:line="89" w:lineRule="exact"/>
        <w:rPr>
          <w:sz w:val="20"/>
          <w:szCs w:val="20"/>
          <w:color w:val="auto"/>
        </w:rPr>
      </w:pPr>
    </w:p>
    <w:p>
      <w:pPr>
        <w:ind w:left="1160" w:right="36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2,817,440 shares of common stock issuable upon the exercise of outstanding stock options as of October 15, 2020, with a weighted-average exercise price of $2.80 per share;</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79,104 shares of common stock that will be outstanding upon the vesting of restricted stock units;</w:t>
      </w:r>
    </w:p>
    <w:p>
      <w:pPr>
        <w:spacing w:after="0" w:line="130" w:lineRule="exact"/>
        <w:rPr>
          <w:rFonts w:ascii="Arial" w:cs="Arial" w:eastAsia="Arial" w:hAnsi="Arial"/>
          <w:sz w:val="18"/>
          <w:szCs w:val="18"/>
          <w:color w:val="auto"/>
        </w:rPr>
      </w:pPr>
    </w:p>
    <w:p>
      <w:pPr>
        <w:ind w:left="1160" w:right="6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103,326 shares of common stock issuable upon the exercise of outstanding warrants to purchase shares of Series G Preferred Stock as of October 15, 2020, with a weighted-average exercise price of $4.46 per share;</w:t>
      </w:r>
    </w:p>
    <w:p>
      <w:pPr>
        <w:spacing w:after="0" w:line="75" w:lineRule="exact"/>
        <w:rPr>
          <w:rFonts w:ascii="Arial" w:cs="Arial" w:eastAsia="Arial" w:hAnsi="Arial"/>
          <w:sz w:val="18"/>
          <w:szCs w:val="18"/>
          <w:color w:val="auto"/>
        </w:rPr>
      </w:pPr>
    </w:p>
    <w:p>
      <w:pPr>
        <w:ind w:left="1160" w:right="18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1,893,395 shares of common stock reserved for future issuance under our 2020 Equity Incentive Plan (the 2020 Incentive Plan), which will become effective immediately prior to the completion of this offering; and</w:t>
      </w:r>
    </w:p>
    <w:p>
      <w:pPr>
        <w:spacing w:after="0" w:line="75" w:lineRule="exact"/>
        <w:rPr>
          <w:rFonts w:ascii="Arial" w:cs="Arial" w:eastAsia="Arial" w:hAnsi="Arial"/>
          <w:sz w:val="18"/>
          <w:szCs w:val="18"/>
          <w:color w:val="auto"/>
        </w:rPr>
      </w:pPr>
    </w:p>
    <w:p>
      <w:pPr>
        <w:ind w:left="116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338,106 shares of common stock reserved for future issuance under our 2020 Employee Stock Purchase Plan (ESPP), which will become effective immediately prior to the completion of this offering.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unless we specifically state otherwise, all information in this prospectus assumes:</w:t>
      </w:r>
    </w:p>
    <w:p>
      <w:pPr>
        <w:spacing w:after="0" w:line="131" w:lineRule="exact"/>
        <w:rPr>
          <w:sz w:val="20"/>
          <w:szCs w:val="20"/>
          <w:color w:val="auto"/>
        </w:rPr>
      </w:pPr>
    </w:p>
    <w:p>
      <w:pPr>
        <w:ind w:left="1160" w:hanging="53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0.1684664-for-1 reverse stock split, which became effective October 19, 2020;</w:t>
      </w:r>
    </w:p>
    <w:p>
      <w:pPr>
        <w:spacing w:after="0" w:line="130" w:lineRule="exact"/>
        <w:rPr>
          <w:rFonts w:ascii="Arial" w:cs="Arial" w:eastAsia="Arial" w:hAnsi="Arial"/>
          <w:sz w:val="18"/>
          <w:szCs w:val="18"/>
          <w:color w:val="auto"/>
        </w:rPr>
      </w:pPr>
    </w:p>
    <w:p>
      <w:pPr>
        <w:ind w:left="1160" w:right="38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our amended and restated certificate of incorporation, which we will file in connection with the closing of this offering, and our amended and restated bylaws adopted in connection with this offering, are effective;</w:t>
      </w:r>
    </w:p>
    <w:p>
      <w:pPr>
        <w:spacing w:after="0" w:line="75" w:lineRule="exact"/>
        <w:rPr>
          <w:rFonts w:ascii="Arial" w:cs="Arial" w:eastAsia="Arial" w:hAnsi="Arial"/>
          <w:sz w:val="18"/>
          <w:szCs w:val="18"/>
          <w:color w:val="auto"/>
        </w:rPr>
      </w:pPr>
    </w:p>
    <w:p>
      <w:pPr>
        <w:ind w:left="1160" w:right="340" w:hanging="534"/>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of all outstanding shares of our preferred stock into an aggregate of 20,090,745 shares of common stock immediately upon the closing of this offering;</w:t>
      </w:r>
    </w:p>
    <w:p>
      <w:pPr>
        <w:spacing w:after="0" w:line="75" w:lineRule="exact"/>
        <w:rPr>
          <w:rFonts w:ascii="Arial" w:cs="Arial" w:eastAsia="Arial" w:hAnsi="Arial"/>
          <w:sz w:val="18"/>
          <w:szCs w:val="18"/>
          <w:color w:val="auto"/>
        </w:rPr>
      </w:pPr>
    </w:p>
    <w:p>
      <w:pPr>
        <w:ind w:left="1160" w:right="100" w:hanging="534"/>
        <w:spacing w:after="0" w:line="263"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of all convertible debt into an aggregate of 1,848,280 shares of common stock immediately upon the closing of this offering, based on interest accrued through October 15, 2020 and the assumed initial public offering price of $18 per share, which is the midpoint of the estimated offering price range set forth on the cover page of this prospectus;</w:t>
      </w:r>
    </w:p>
    <w:p>
      <w:pPr>
        <w:spacing w:after="0" w:line="89" w:lineRule="exact"/>
        <w:rPr>
          <w:rFonts w:ascii="Arial" w:cs="Arial" w:eastAsia="Arial" w:hAnsi="Arial"/>
          <w:sz w:val="18"/>
          <w:szCs w:val="18"/>
          <w:color w:val="auto"/>
        </w:rPr>
      </w:pPr>
    </w:p>
    <w:p>
      <w:pPr>
        <w:ind w:left="1160" w:hanging="53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outstanding options or warrants described above;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99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AND OPERATING DATA</w:t>
      </w:r>
    </w:p>
    <w:p>
      <w:pPr>
        <w:spacing w:after="0" w:line="229" w:lineRule="exact"/>
        <w:rPr>
          <w:sz w:val="20"/>
          <w:szCs w:val="20"/>
          <w:color w:val="auto"/>
        </w:rPr>
      </w:pPr>
    </w:p>
    <w:p>
      <w:pPr>
        <w:ind w:left="200" w:right="220" w:firstLine="434"/>
        <w:spacing w:after="0" w:line="257" w:lineRule="auto"/>
        <w:rPr>
          <w:sz w:val="20"/>
          <w:szCs w:val="20"/>
          <w:color w:val="auto"/>
        </w:rPr>
      </w:pPr>
      <w:r>
        <w:rPr>
          <w:rFonts w:ascii="Arial" w:cs="Arial" w:eastAsia="Arial" w:hAnsi="Arial"/>
          <w:sz w:val="18"/>
          <w:szCs w:val="18"/>
          <w:color w:val="auto"/>
        </w:rPr>
        <w:t>The following table sets forth Biodesix, Inc.’s summary historical financial and operating data as of the dates and for the periods indicated. The summary historical financial and operating data as of June 30, 2020 and 2019 and for the six months ended June 30, 2020 and 2019 have been derived from our unaudited condensed financial statements included elsewhere in this prospectus. The summary historical financial and operating data as of December 31, 2019 and 2018 and for the years ended December 31, 2019 and 2018 have been derived from our audited financial statements included elsewhere in this prospectus.</w:t>
      </w:r>
    </w:p>
    <w:p>
      <w:pPr>
        <w:spacing w:after="0" w:line="188" w:lineRule="exact"/>
        <w:rPr>
          <w:sz w:val="20"/>
          <w:szCs w:val="20"/>
          <w:color w:val="auto"/>
        </w:rPr>
      </w:pPr>
    </w:p>
    <w:p>
      <w:pPr>
        <w:ind w:left="200" w:right="280" w:firstLine="434"/>
        <w:spacing w:after="0" w:line="254" w:lineRule="auto"/>
        <w:rPr>
          <w:sz w:val="20"/>
          <w:szCs w:val="20"/>
          <w:color w:val="auto"/>
        </w:rPr>
      </w:pPr>
      <w:r>
        <w:rPr>
          <w:rFonts w:ascii="Arial" w:cs="Arial" w:eastAsia="Arial" w:hAnsi="Arial"/>
          <w:sz w:val="18"/>
          <w:szCs w:val="18"/>
          <w:color w:val="auto"/>
        </w:rPr>
        <w:t>The summary historical financial information is not necessarily indicative of the results that may be expected in any future period, and our results of operations for any interim period are not necessarily indicative of the results to be expected for the full year. Our preliminary revenues and cash for each of the nine months ended September 30, 2020 and September 30, 2019 are included in “—Preliminary Results for Third Quarter 2020.” Such results are preliminary and are subject to change and are not necessarily indicative of the results expected for the full year. The following summary historical financial and operating data should be read in conjunction with “Capitalization,” “Selected Historical Financial and Operating Data” and “Management’s Discussion and Analysis of Financial Condition and Results of Operations” and the financial statements and related notes appearing elsewhere in this prospectus.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3"/>
              </w:rPr>
              <w:t>For the Six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left="353"/>
              <w:spacing w:after="0" w:line="142" w:lineRule="exact"/>
              <w:rPr>
                <w:sz w:val="20"/>
                <w:szCs w:val="20"/>
                <w:color w:val="auto"/>
              </w:rPr>
            </w:pPr>
            <w:r>
              <w:rPr>
                <w:rFonts w:ascii="Arial" w:cs="Arial" w:eastAsia="Arial" w:hAnsi="Arial"/>
                <w:sz w:val="14"/>
                <w:szCs w:val="14"/>
                <w:b w:val="1"/>
                <w:bCs w:val="1"/>
                <w:color w:val="auto"/>
                <w:w w:val="94"/>
              </w:rPr>
              <w:t>(audited)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20,432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10,468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25,899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(14,041)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(26,741)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(23,461)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200"/>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gridSpan w:val="2"/>
          </w:tcPr>
          <w:p>
            <w:pPr>
              <w:ind w:left="200"/>
              <w:spacing w:after="0"/>
              <w:rPr>
                <w:sz w:val="20"/>
                <w:szCs w:val="20"/>
                <w:color w:val="auto"/>
              </w:rPr>
            </w:pPr>
            <w:r>
              <w:rPr>
                <w:rFonts w:ascii="Arial" w:cs="Arial" w:eastAsia="Arial" w:hAnsi="Arial"/>
                <w:sz w:val="18"/>
                <w:szCs w:val="18"/>
                <w:color w:val="auto"/>
              </w:rPr>
              <w:t>Total other expense</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(3,985)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(17,971)</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(14,599)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(30,726)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(26,166)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 per share, basic and diluted</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(68.85)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(126.97)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(130.83)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9"/>
              </w:rPr>
              <w:t>Pro forma weighted-average shares outstanding, basic and diluted (unaudited)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0" w:type="dxa"/>
            <w:vAlign w:val="bottom"/>
            <w:tcBorders>
              <w:bottom w:val="single" w:sz="8" w:color="auto"/>
            </w:tcBorders>
          </w:tcPr>
          <w:p>
            <w:pPr>
              <w:spacing w:after="0"/>
              <w:rPr>
                <w:sz w:val="20"/>
                <w:szCs w:val="20"/>
                <w:color w:val="auto"/>
              </w:rPr>
            </w:pPr>
          </w:p>
        </w:tc>
        <w:tc>
          <w:tcPr>
            <w:tcW w:w="6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460" w:type="dxa"/>
            <w:vAlign w:val="bottom"/>
            <w:gridSpan w:val="2"/>
          </w:tcPr>
          <w:p>
            <w:pPr>
              <w:ind w:left="554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152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4152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Sheet Data:</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0"/>
              </w:rPr>
              <w:t>June 30, 2020</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0"/>
                <w:szCs w:val="10"/>
                <w:color w:val="auto"/>
              </w:rPr>
            </w:pPr>
          </w:p>
        </w:tc>
        <w:tc>
          <w:tcPr>
            <w:tcW w:w="13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4"/>
              </w:rPr>
              <w:t>Pro Forma</w:t>
            </w:r>
            <w:r>
              <w:rPr>
                <w:rFonts w:ascii="Arial" w:cs="Arial" w:eastAsia="Arial" w:hAnsi="Arial"/>
                <w:sz w:val="12"/>
                <w:szCs w:val="12"/>
                <w:b w:val="1"/>
                <w:bCs w:val="1"/>
                <w:color w:val="auto"/>
                <w:w w:val="94"/>
              </w:rPr>
              <w:t>(1)(3)</w:t>
            </w:r>
          </w:p>
        </w:tc>
        <w:tc>
          <w:tcPr>
            <w:tcW w:w="260" w:type="dxa"/>
            <w:vAlign w:val="bottom"/>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11,674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Working capital</w:t>
            </w:r>
          </w:p>
        </w:tc>
        <w:tc>
          <w:tcPr>
            <w:tcW w:w="3060" w:type="dxa"/>
            <w:vAlign w:val="bottom"/>
            <w:gridSpan w:val="3"/>
          </w:tcPr>
          <w:p>
            <w:pPr>
              <w:jc w:val="right"/>
              <w:ind w:right="260"/>
              <w:spacing w:after="0"/>
              <w:rPr>
                <w:sz w:val="20"/>
                <w:szCs w:val="20"/>
                <w:color w:val="auto"/>
              </w:rPr>
            </w:pPr>
            <w:r>
              <w:rPr>
                <w:rFonts w:ascii="Arial" w:cs="Arial" w:eastAsia="Arial" w:hAnsi="Arial"/>
                <w:sz w:val="18"/>
                <w:szCs w:val="18"/>
                <w:color w:val="auto"/>
              </w:rPr>
              <w:t>(27,429)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69,598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111,228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Current portion of long-term debt payable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4,064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payable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20,163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Convertible debt</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24,676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193,959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(248,835)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(250,564)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(250,564)</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3060" w:type="dxa"/>
            <w:vAlign w:val="bottom"/>
            <w:gridSpan w:val="3"/>
          </w:tcPr>
          <w:p>
            <w:pPr>
              <w:jc w:val="right"/>
              <w:ind w:right="260"/>
              <w:spacing w:after="0"/>
              <w:rPr>
                <w:sz w:val="20"/>
                <w:szCs w:val="20"/>
                <w:color w:val="auto"/>
              </w:rPr>
            </w:pPr>
            <w:r>
              <w:rPr>
                <w:rFonts w:ascii="Arial" w:cs="Arial" w:eastAsia="Arial" w:hAnsi="Arial"/>
                <w:sz w:val="18"/>
                <w:szCs w:val="18"/>
                <w:color w:val="auto"/>
              </w:rPr>
              <w:t>(246,444)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(20,891)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44,859</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right="100" w:hanging="426"/>
        <w:spacing w:after="0" w:line="268"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 forma statement of operations and comprehensive loss data and pro forma balance sheet data give effect to the automatic conversion of all outstanding shares of our preferred stock into an aggregate of 20,090,745 shares of common stock upon the completion of this offering and the conversion of all convertible debt into an aggregate of 1,848,280 shares of common stock immediately upon the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2" w:lineRule="exact"/>
        <w:rPr>
          <w:rFonts w:ascii="Arial" w:cs="Arial" w:eastAsia="Arial" w:hAnsi="Arial"/>
          <w:sz w:val="17"/>
          <w:szCs w:val="17"/>
          <w:color w:val="auto"/>
        </w:rPr>
      </w:pPr>
    </w:p>
    <w:p>
      <w:pPr>
        <w:ind w:left="620" w:right="60" w:hanging="426"/>
        <w:spacing w:after="0" w:line="250"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 forma as adjusted information discussed above gives effect to the adjustment described in footnote (1) and the receipt of $65.8 million in net proceeds from our sale of common stock in this offering at an assumed initial public offering price of $18.00 per share, which is the midpoint of the estimated offering price range set forth on the cover of this prospectus, after deducting underwriting discounts and commissions and estimated offering expenses payable by us.</w:t>
      </w:r>
    </w:p>
    <w:p>
      <w:pPr>
        <w:spacing w:after="0" w:line="1" w:lineRule="exact"/>
        <w:rPr>
          <w:rFonts w:ascii="Arial" w:cs="Arial" w:eastAsia="Arial" w:hAnsi="Arial"/>
          <w:sz w:val="18"/>
          <w:szCs w:val="18"/>
          <w:color w:val="auto"/>
        </w:rPr>
      </w:pPr>
    </w:p>
    <w:p>
      <w:pPr>
        <w:ind w:left="620" w:right="160" w:hanging="426"/>
        <w:spacing w:after="0" w:line="255"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our estimated common stock price as of June 30, 2020, as determined by our board of directors with assistance from a valuation firm. The ultimate conversion price will be based on the fair value of our common stock at the completion of this public offering.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financial statements and related notes appearing at the end of this prospectus, before making an investment decision.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incurred losses since our inception, and expect to continue to incur losses for the foreseeable future. We have reported net losses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$18.0 million, $30.7 million and $26.2 million for the six months ended June 30, 2020 and for the years ended December 31, 2019 and 2018, respectively.</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these losses, as of June 30, 2020, we had $11.7 million in cash and cash equivalents, and an accumulated deficit of approximately $248.8 million. Based on our current planned operations, we expect our cash and cash equivalents, together with amounts raised in 2020, including the proceeds from this offering, will enable us to fund our operating expenses for at least the next twelve months. We have based this estimate on assumptions that in the future may prove to be wrong, and we could use our capital resources sooner than we currently expect. We expect to continue to incur significant net losses for the foreseeable future.</w:t>
      </w:r>
    </w:p>
    <w:p>
      <w:pPr>
        <w:spacing w:after="0" w:line="19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Following this offering, 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for future enhancements to our existing diagnostic tests and services and conduct further clinical trials. In addition, we expect our general and administrative expenses to increase following this offering due to the additional costs associated with scaling our business operations and testing capacity, particularly with respect to our COVID-19 diagnostic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2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62"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our current and future diagnostic tests and services depends on a number of factors, including:</w:t>
      </w:r>
    </w:p>
    <w:p>
      <w:pPr>
        <w:spacing w:after="0" w:line="131" w:lineRule="exact"/>
        <w:rPr>
          <w:sz w:val="20"/>
          <w:szCs w:val="20"/>
          <w:color w:val="auto"/>
        </w:rPr>
      </w:pPr>
    </w:p>
    <w:p>
      <w:pPr>
        <w:ind w:left="1000" w:right="24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convenience and ease of use of our diagnostic tests relative to those currently on the market;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provide incremental data that show the clinical benefits and cost effectiveness, and operational benefits, of our diagnostic tests;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coverage and reimbursement acceptance of our products and services;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pressure, including from group purchasing organizations (GPOs), seeking to obtain discounts on our diagnostic tests based on the collective bargaining power of the GPO members;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regarding our or our competitors’ diagnostic tests resulting from defects or errors;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accuracy of our tests relative to those of our competitors;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labeling or product insert requirements by the FDA or other regulatory authorities;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authorities.</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87"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We expect increased revenues from our COVID-19 diagnostic and antibody testing program over the course of 2020 and the first quarter of 2021, and we expect that such revenue will comprise a significant portion of our revenue over the same period. However, there is no assurance that our COVID-19 diagnostic and antibody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 and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As of June 30, 2020, we had 154 employees. Over the next several years, we expect to increase significantly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17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Since our inception, we have experienced multiple cycles of growth and anticipate further growth in our business operations. This future growth could create strain on our organizational, administrative and operational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17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may not be able to maintain the quality or expected turnaround times of our diagnostic tests and services, or satisfy customer demand as it grows. We may not be able to expand our COVID-19 testing capacity rapidly enough to meet the current and anticipated demand.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17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cannot maintain our current relationships, or enter into new relationships, with biopharmaceutical companies, our revenue prospects could be reduced.</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collaborate with biopharmaceutical companies to analyze patient samples for multiple applications primarily to support clinical trials, including patient identification, companion or complementary diagnostics and retrospective testing. In the six months ended June 30, 2020 and 2019, revenue from our top biopharmaceutical customer accounted for 6% and 25% of our total revenue, respectively. In the years ended December 31, 2019 and 2018, revenue from our top biopharmaceutical customer accounted for 21% and 7% of our total revenue, respectively.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178"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177"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sz w:val="20"/>
          <w:szCs w:val="20"/>
          <w:color w:val="auto"/>
        </w:rPr>
      </w:pPr>
    </w:p>
    <w:p>
      <w:pPr>
        <w:ind w:right="240" w:firstLine="449"/>
        <w:spacing w:after="0" w:line="311" w:lineRule="auto"/>
        <w:rPr>
          <w:sz w:val="20"/>
          <w:szCs w:val="20"/>
          <w:color w:val="auto"/>
        </w:rPr>
      </w:pPr>
      <w:r>
        <w:rPr>
          <w:rFonts w:ascii="Arial" w:cs="Arial" w:eastAsia="Arial" w:hAnsi="Arial"/>
          <w:sz w:val="16"/>
          <w:szCs w:val="16"/>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54" w:lineRule="exact"/>
        <w:rPr>
          <w:sz w:val="20"/>
          <w:szCs w:val="20"/>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demand for our diagnostic tests, which may vary significantly;</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cost of manufacturing our diagnostic tests, which may vary depending on the quantity of production and the terms of our agreements with third-party suppliers and manufacturers;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30" w:lineRule="exact"/>
        <w:rPr>
          <w:rFonts w:ascii="Arial" w:cs="Arial" w:eastAsia="Arial" w:hAnsi="Arial"/>
          <w:sz w:val="18"/>
          <w:szCs w:val="18"/>
          <w:color w:val="auto"/>
        </w:rPr>
      </w:pPr>
    </w:p>
    <w:p>
      <w:pPr>
        <w:ind w:left="1000" w:right="70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75"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lung cancer treatment equipment, and potential future diagnostic tests that compete with our diagnostic tests;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6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diagnostic tests or any enhancements to such tests we develop or competing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positive or negative coverage, or public perception, of our diagnostic tests or those of our competitors or broader industry trends;</w:t>
      </w:r>
    </w:p>
    <w:p>
      <w:pPr>
        <w:spacing w:after="0" w:line="130" w:lineRule="exact"/>
        <w:rPr>
          <w:rFonts w:ascii="Arial" w:cs="Arial" w:eastAsia="Arial" w:hAnsi="Arial"/>
          <w:sz w:val="18"/>
          <w:szCs w:val="18"/>
          <w:color w:val="auto"/>
        </w:rPr>
      </w:pPr>
    </w:p>
    <w:p>
      <w:pPr>
        <w:ind w:left="1000" w:right="106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if any, of the spread of COVID-19, and the resulting effects on the number of patients treated or the demand for our non-COVID-19 diagnostic tests;</w:t>
      </w:r>
    </w:p>
    <w:p>
      <w:pPr>
        <w:spacing w:after="0" w:line="75"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licenses, regulatory approval, commercialization activities, acquisitions and other strategic transactions, or other significant events relating to our diagnostic tests, which may change from time to time;</w:t>
      </w:r>
    </w:p>
    <w:p>
      <w:pPr>
        <w:spacing w:after="0" w:line="29" w:lineRule="exact"/>
        <w:rPr>
          <w:rFonts w:ascii="Arial" w:cs="Arial" w:eastAsia="Arial" w:hAnsi="Arial"/>
          <w:sz w:val="16"/>
          <w:szCs w:val="16"/>
          <w:color w:val="auto"/>
        </w:rPr>
      </w:pPr>
    </w:p>
    <w:p>
      <w:pPr>
        <w:ind w:left="1000" w:right="280" w:hanging="547"/>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cost of obtaining regulatory approvals or clearances for planned or future improvements or enhancements to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regulatory approvals or applications;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discounts and incentives for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In addition, we expect increased revenue from our COVID-19 diagnostic and antibody testing program over the course of 2020 and the first quarter of 2021, and we expect that such revenue will comprise a significant portion of our revenue over the same period. We can provide no assurances that the demand for our COVID-19 diagnostic and antibody testing program will be sustained, and even if it is, the period of time for which it would be sustained. As a result, the increase in revenue due to any increase in demand for our COVID-19 diagnostic and antibody testing program is not indicative of results expected for any future period.</w:t>
      </w:r>
    </w:p>
    <w:p>
      <w:pPr>
        <w:spacing w:after="0" w:line="188"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ensure strong product performance and reliability to maintain and grow our business.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need to maintain and continuously improve the performance and reliability of our diagnostic tests, including our Biodesix WorkSafe testing program,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62"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tests and COVID-19 diagnostic and antibody testing program.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178"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addition, we may purchase supplies through purchase orders and may not have long-term supply agreements with, or guaranteed commitments from, many of our suppliers, including single source suppliers. Additionally, at present, we rely on contract manufacturers for the production of supplies for our diagnostic test.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176"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188"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In addition, we have separately been granted permission by Bio-Rad to use the Bio-Rad SARS-CoV-2 ddPCR assay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and Platelia SARS-CoV-2 Total Ab assay for commercial diagnostic services. For more information regarding this license and supply agreement and the permission granted to us by Bio-Rad with respect to such assays, please see “Business—Material Agreements—Agreements with Bio-Rad.”</w:t>
      </w:r>
    </w:p>
    <w:p>
      <w:pPr>
        <w:spacing w:after="0" w:line="12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6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3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outbreak of the novel strain of coronavirus disease, COVID-19, could adversely affect our business.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a pandemic, epidemic or outbreak of an infectious disease occurs in the United States or worldwide, our business may be adversely affected. COVID-19 has spread to most countries and throughout the United States. Numerous state and local jurisdictions have imposed, and others in the future may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Such orders or restrictions have resulted in reduced operations at our headquarters, work stoppages, slowdowns and delays, travel restrictions and cancellation of events. Other disruptions or potential disruptions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179"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The COVID-19 pandemic has also created an opportunity for our diagnostic tests and we have commercialized two diagnostic tests to test for the presence of COVID-19 and antibodies. We are expecting to increase our testing capacity for our COVID-19 diagnostic and antibody testing program in the near term to meet the rising demand for rapid and accurate testing. We expect that the revenue we generate from this expansion will comprise a significant portion of our revenue for the remainder of 2020 and the first quarter of 2021. However, there is no assurance that our COVID-19 diagnostic and antibody testing program will continue to be accepted by the market or that other diagnostic tests will become more accepted, produce quicker results or be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181"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Furthermore there is no assurance that our diagnostic tests will continue to be effective against the virus in the future.</w:t>
      </w:r>
    </w:p>
    <w:p>
      <w:pPr>
        <w:spacing w:after="0" w:line="16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6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293" w:lineRule="exact"/>
        <w:rPr>
          <w:sz w:val="20"/>
          <w:szCs w:val="20"/>
          <w:color w:val="auto"/>
        </w:rPr>
      </w:pPr>
    </w:p>
    <w:p>
      <w:pPr>
        <w:ind w:right="460"/>
        <w:spacing w:after="0" w:line="375" w:lineRule="auto"/>
        <w:rPr>
          <w:sz w:val="20"/>
          <w:szCs w:val="20"/>
          <w:color w:val="auto"/>
        </w:rPr>
      </w:pPr>
      <w:r>
        <w:rPr>
          <w:rFonts w:ascii="Arial" w:cs="Arial" w:eastAsia="Arial" w:hAnsi="Arial"/>
          <w:sz w:val="15"/>
          <w:szCs w:val="15"/>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2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62"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5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29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1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29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3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California Consumer Privacy Act (CCPA)), federal (e.g., the Health Insurance Portability and Accountability Act of 1996 (HIPAA) and the Health Information Technology for Economic and Clinical Health Act (HITECH Act)) and international laws (e.g., the General Data Protection Regulation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16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 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 party providers will be successful in preventing cyber-attacks or successfully mitigating their effects.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payer concentration, with a limited number of customers accounting for a substantial portion of our revenues.</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For the six months ended June 30, 2020, Medicare reimbursed to us 60% of our diagnostic test revenue and one healthcare provider accounted for 13% of our total diagnostic test revenue. For the year ended December 31, 2019, Medicare reimbursed to us 60% of our diagnostic test revenue and one biopharmaceutical customer accounted for 21% of our total revenue and 71% of our service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its relationship with us or our tests are no longer reimbursable by such payer, such termination could negatively affect our revenues and results of operations.</w:t>
      </w: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such as we are currently experiencing with respect to our COVID-19 diagnostic and antibody testing program,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1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17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76"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89" w:lineRule="exact"/>
        <w:rPr>
          <w:sz w:val="20"/>
          <w:szCs w:val="20"/>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diagnostic tests and services;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impact on the market price of our common stock;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many sources, including larger companies, and we may be unable to compete successfully.</w:t>
      </w:r>
    </w:p>
    <w:p>
      <w:pPr>
        <w:spacing w:after="0" w:line="117" w:lineRule="exact"/>
        <w:rPr>
          <w:sz w:val="20"/>
          <w:szCs w:val="20"/>
          <w:color w:val="auto"/>
        </w:rPr>
      </w:pPr>
    </w:p>
    <w:p>
      <w:pPr>
        <w:jc w:val="both"/>
        <w:ind w:right="140" w:firstLine="449"/>
        <w:spacing w:after="0" w:line="296" w:lineRule="auto"/>
        <w:rPr>
          <w:sz w:val="20"/>
          <w:szCs w:val="20"/>
          <w:color w:val="auto"/>
        </w:rPr>
      </w:pPr>
      <w:r>
        <w:rPr>
          <w:rFonts w:ascii="Arial" w:cs="Arial" w:eastAsia="Arial" w:hAnsi="Arial"/>
          <w:sz w:val="16"/>
          <w:szCs w:val="16"/>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67"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substantially greater name recognition;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broader, deeper or longer-term relations with healthcare professionals, customers and third-party payers;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lines of diagnostic tests and the ability to offer rebates or bundle them to offer greater discounts or other incentives to gain a competitive advantage;</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marketing and obtaining regulatory clearance or approval for diagnostic tests;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continued success depends on our ability to:</w:t>
      </w:r>
    </w:p>
    <w:p>
      <w:pPr>
        <w:spacing w:after="0" w:line="131"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penetrate the lung disease diagnostic solutions market and increase utilization of our diagnostic tests;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and widen our technology lead over competitors by continuing to innovate and deliver new product enhancements on a continuous basis;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cost-effectively manufacture our diagnostic tests and their component parts as well as drive down the cost of service.</w:t>
      </w:r>
    </w:p>
    <w:p>
      <w:pPr>
        <w:spacing w:after="0" w:line="225"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18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62"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17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62"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an effort to reduce costs, many hospitals in the United States have become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16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459" w:right="3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17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192"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In addition, events in the United States or foreign markets, such as the United Kingdom’s exit from the European Union, the worldwide effects from the spread of COVID-19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or costs of our Co-Development and Collaboration Agreement with AVEO Oncology.</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184"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184"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 our right to opt-out of co-development, we equally share in any income received from licensing rights to ficlatuzumab to any third parties.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 Ficlatuzumab is currently being evaluated in squamous cell carcinoma of the head and neck (SCCHN), metastatic</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pancreatic ductal cancer (PDAC), and acute myeloid leukemia (AML). For more information regarding this Collaboration Agreement, please see “Business —Drug Co-Development.”</w:t>
      </w:r>
    </w:p>
    <w:p>
      <w:pPr>
        <w:spacing w:after="0" w:line="170"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2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6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purchased select assets and liabilities from Integrated Diagnostics, Inc. and IND Funding, LLC (collectively, the Seller) which included the Clinical Laboratory Improvement Amendments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18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acquisition of Integrated Diagnostics included a contingent consideration arrangement that requires additional consideration to be paid by us to the Seller based on the milestone of the attainment of a three consecutive month gross margin target of $2 million within a seven-year period. The amount can be payable in stock or cash at our or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we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17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 addition, on October 31, 2019 we completed an acquisition of United Kingdom-based Oncimmune, Ltd.’s (Oncimmune) United States operations including its CLIA lab in De Soto Kansas and its incidental pulmonary nodule (IPN) malignancy test, then marketed in the United States as the EarlyCDT</w:t>
      </w:r>
      <w:r>
        <w:rPr>
          <w:rFonts w:ascii="Arial" w:cs="Arial" w:eastAsia="Arial" w:hAnsi="Arial"/>
          <w:sz w:val="15"/>
          <w:szCs w:val="15"/>
          <w:color w:val="auto"/>
        </w:rPr>
        <w:t>®</w:t>
      </w:r>
      <w:r>
        <w:rPr>
          <w:rFonts w:ascii="Arial" w:cs="Arial" w:eastAsia="Arial" w:hAnsi="Arial"/>
          <w:sz w:val="18"/>
          <w:szCs w:val="18"/>
          <w:color w:val="auto"/>
        </w:rPr>
        <w:t>-Lung. We renamed the test and relaunched the test on February 28, 2020 as the Nodify CDT test and the De Soto, Kansas lab will be the sole United States provider of the Nodify CDT test.</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92"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As consideration for the rights granted to us, we agreed to payments of $1.2 million and further agreed to an option fee for the screening option of $9.0 million due within 30 days of exercising the option. As of June 30, 2020, we have paid $1.0 million of the agreed upon payments. In July 2020, we paid the remaining $0.2 million. We also agreed to a revenue share payment of 8% of recognized revenue for non-screening tests up to an annual minimum volume and 5% thereafter, with an escalating minimum through the first four years of sales. Royalty payments of $0.1 million were paid for the six months ended June 30, 2020. In September 2020, we notified Oncimmune that we would not exercise this option for expansion of the field of use.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Our acquisitions may require us to incur non-recurring and other charges, increase our near and long-term expenditures, issue securities that dilute our existing stockholders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2"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6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 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2"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following this offering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117" w:lineRule="exact"/>
        <w:rPr>
          <w:sz w:val="20"/>
          <w:szCs w:val="20"/>
          <w:color w:val="auto"/>
        </w:rPr>
      </w:pPr>
    </w:p>
    <w:p>
      <w:pPr>
        <w:jc w:val="both"/>
        <w:ind w:right="340" w:firstLine="449"/>
        <w:spacing w:after="0" w:line="311" w:lineRule="auto"/>
        <w:rPr>
          <w:sz w:val="20"/>
          <w:szCs w:val="20"/>
          <w:color w:val="auto"/>
        </w:rPr>
      </w:pPr>
      <w:r>
        <w:rPr>
          <w:rFonts w:ascii="Arial" w:cs="Arial" w:eastAsia="Arial" w:hAnsi="Arial"/>
          <w:sz w:val="16"/>
          <w:szCs w:val="16"/>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(including in connection with this offering),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28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7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w:t>
      </w:r>
    </w:p>
    <w:p>
      <w:pPr>
        <w:spacing w:after="0" w:line="192"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w:t>
      </w:r>
    </w:p>
    <w:p>
      <w:pPr>
        <w:spacing w:after="0" w:line="1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8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the event of a default, including, among other things, our failure to make any payment when due or our failure to comply with any covenant under the 2018 Notes, the lender could elect to declare all amounts outstanding to be immediately due and payable, and could proceed against the collateral granted to them to secure such indebtedness, including all of our intellectual property, which could have a material adverse effect on our business, financial condition, and results of operations.</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62"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We will need to raise additional capital in the future to expand our business, to pursue strategic investments, to take advantage of financing opportunities or for other reasons, including to:</w:t>
      </w:r>
    </w:p>
    <w:p>
      <w:pPr>
        <w:spacing w:after="0" w:line="76" w:lineRule="exact"/>
        <w:rPr>
          <w:sz w:val="20"/>
          <w:szCs w:val="20"/>
          <w:color w:val="auto"/>
        </w:rPr>
      </w:pPr>
    </w:p>
    <w:p>
      <w:pPr>
        <w:ind w:left="5540" w:right="2460" w:hanging="5087"/>
        <w:spacing w:after="0" w:line="449" w:lineRule="auto"/>
        <w:tabs>
          <w:tab w:leader="none" w:pos="10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and address competitive developments; 30</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 development and marketing efforts of our diagnostic tests or any other future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our technologies into other types of cancer management and lung disease detection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31"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rate of progress in establishing payer coverage and reimbursement arrangements with domestic and international commercial third-party payers and government payers;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and reimbursement for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diagnostic tests in research and early development;</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diagnostic tests.</w:t>
      </w:r>
    </w:p>
    <w:p>
      <w:pPr>
        <w:spacing w:after="0" w:line="225"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6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66"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Future acquisitions may reduce our cash available for operations and other uses and could result in amortization expense related to identifiable assets acquired. We may have to pay cash, incur debt or issue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78"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For example, our 2018 Notes restrict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Governmental Regulation</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5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182"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Centers for Medicare and Medicaid Services (CMS), an agency within the Department of Health and Human Services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agencies in Europe may be more conservative than CMS. For example, a number of cancer drugs have been approved for reimbursement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United States and have not been approved for reimbursement, or have been approved under restricted conditions, in certain European countries.</w:t>
      </w:r>
    </w:p>
    <w:p>
      <w:pPr>
        <w:spacing w:after="0" w:line="237"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Outside the United States, the reimbursement process and timelines vary significantly. Certain countries, including a number of member states of the EU, set prices and make reimbursement decisions for diagnostics and pharmaceutical products, or medicinal products, as they are commonly referred to in the EU, with limited participation from the marketing authorization or Conformité Européenne (CE) mark holders, or may take decisions that are unfavorable to the authorization or CE mark holder where they have participated in the process.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attempt to control the healthcare budget by focusing cost-cutting efforts on medicinal products, and to a lesser extent, medical devices, provided under their state-run healthcare systems. These international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17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Moreover, increasing efforts by governmental and third-party payers, in the United States and abroad, to cap or reduce healthcare costs may cause such organizations to limit both coverage and level of reimbursement for newly cleared, authorized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16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diagnostic tests.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Measures to reduce healthcare costs may hurt our business.</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majority of our customers are healthcare providers who depend upon reimbursement by government and commercial insurance payers for lung cancer diagnostic solutions services. With a vast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diagnostic tests.</w:t>
      </w:r>
    </w:p>
    <w:p>
      <w:pPr>
        <w:spacing w:after="0" w:line="117"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Patient Protection and Affordable Care Act of 2010, as amended by the Health Care and Education Reconciliation Act of 2010 (collectively,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8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There have been judicial challenges to certain aspects of the ACA, as well as efforts by the Trump administration and Congress to repeal, replace or alter the implementation of certain aspects of the ACA. For example,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 cost employer-sponsored insurance plans, the annual fee imposed on certain health insurance providers based on market share (repeal effective in 2021), and the medical device excise tax on non-exempt medical devices. On December 14, 2018, a Texas District Court Judge invalidated the ACA in its entirety because he concluded that the individual mandate, which was repealed by Congress as part of the Tax Cuts and Jobs Act of 2017 (TCJA), is unconstitutional and cannot be severed from the remainder of the ACA.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invalid). The Supreme Court of the United States granted certiorari on March 2, 2020, and the case is expected to be decided by mid-2021. It is unclear how this decision, subsequent appeals, and other efforts to challenge, repeal, or replace, or alter the implementation of the ACA will affect our business, financial condition and results of operations.</w:t>
      </w:r>
    </w:p>
    <w:p>
      <w:pPr>
        <w:spacing w:after="0" w:line="17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December 31, 2020.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78"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Trump administration and Congress may continue to pursue significant changes to the current healthcare laws.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178"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harm:</w:t>
      </w:r>
    </w:p>
    <w:p>
      <w:pPr>
        <w:spacing w:after="0" w:line="76" w:lineRule="exact"/>
        <w:rPr>
          <w:sz w:val="20"/>
          <w:szCs w:val="20"/>
          <w:color w:val="auto"/>
        </w:rPr>
      </w:pPr>
    </w:p>
    <w:p>
      <w:pPr>
        <w:ind w:left="5540" w:right="5180" w:hanging="5087"/>
        <w:spacing w:after="0" w:line="535" w:lineRule="auto"/>
        <w:tabs>
          <w:tab w:leader="none" w:pos="1013"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set a price that we believe is fair for our diagnostic tests; 34</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anti-corruption, anti-bribery, anti-money laundering and similar laws.</w:t>
      </w:r>
    </w:p>
    <w:p>
      <w:pPr>
        <w:spacing w:after="0" w:line="117"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We are subject to the Foreign Corrupt Practices Act of 1977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66"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healthcare fraud and abuse laws.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Restrictions under applicable United States federal and state healthcare laws and regulations include the following:</w:t>
      </w:r>
    </w:p>
    <w:p>
      <w:pPr>
        <w:spacing w:after="0" w:line="131" w:lineRule="exact"/>
        <w:rPr>
          <w:sz w:val="20"/>
          <w:szCs w:val="20"/>
          <w:color w:val="auto"/>
        </w:rPr>
      </w:pPr>
    </w:p>
    <w:p>
      <w:pPr>
        <w:ind w:left="1000" w:hanging="547"/>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92" w:lineRule="exact"/>
        <w:rPr>
          <w:rFonts w:ascii="Arial" w:cs="Arial" w:eastAsia="Arial" w:hAnsi="Arial"/>
          <w:sz w:val="18"/>
          <w:szCs w:val="18"/>
          <w:color w:val="auto"/>
        </w:rPr>
      </w:pPr>
    </w:p>
    <w:p>
      <w:pPr>
        <w:jc w:val="both"/>
        <w:ind w:left="1000" w:right="140" w:hanging="547"/>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89" w:lineRule="exact"/>
        <w:rPr>
          <w:rFonts w:ascii="Arial" w:cs="Arial" w:eastAsia="Arial" w:hAnsi="Arial"/>
          <w:sz w:val="18"/>
          <w:szCs w:val="18"/>
          <w:color w:val="auto"/>
        </w:rPr>
      </w:pPr>
    </w:p>
    <w:p>
      <w:pPr>
        <w:ind w:left="1000" w:right="80" w:hanging="547"/>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29" w:lineRule="exact"/>
        <w:rPr>
          <w:rFonts w:ascii="Arial" w:cs="Arial" w:eastAsia="Arial" w:hAnsi="Arial"/>
          <w:sz w:val="16"/>
          <w:szCs w:val="16"/>
          <w:color w:val="auto"/>
        </w:rPr>
      </w:pPr>
    </w:p>
    <w:p>
      <w:pPr>
        <w:ind w:left="1000" w:right="180" w:hanging="547"/>
        <w:spacing w:after="0" w:line="255"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97" w:lineRule="exact"/>
        <w:rPr>
          <w:rFonts w:ascii="Arial" w:cs="Arial" w:eastAsia="Arial" w:hAnsi="Arial"/>
          <w:sz w:val="18"/>
          <w:szCs w:val="18"/>
          <w:color w:val="auto"/>
        </w:rPr>
      </w:pPr>
    </w:p>
    <w:p>
      <w:pPr>
        <w:ind w:left="1000" w:right="20" w:hanging="547"/>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92" w:lineRule="exact"/>
        <w:rPr>
          <w:rFonts w:ascii="Arial" w:cs="Arial" w:eastAsia="Arial" w:hAnsi="Arial"/>
          <w:sz w:val="18"/>
          <w:szCs w:val="18"/>
          <w:color w:val="auto"/>
        </w:rPr>
      </w:pPr>
    </w:p>
    <w:p>
      <w:pPr>
        <w:ind w:left="1000" w:right="580" w:hanging="547"/>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84"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our industry generally or our tests specifically could be disruptive to our business.</w:t>
      </w:r>
    </w:p>
    <w:p>
      <w:pPr>
        <w:spacing w:after="0" w:line="117"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178"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 HHS recently issued an announcement stating that the FDA cannot require premarket review of any LDT without engaging in formal notice-and-comment rulemaking, as opposed to through guidance documents, compliance manuals, website statements, or other informal issuances.</w:t>
      </w:r>
    </w:p>
    <w:p>
      <w:pPr>
        <w:spacing w:after="0" w:line="18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The HHS announcement was made on the Department’s website and we can provide no assurances that the HHS statement will not be rescinded or revised or that it would preclude the FDA from renewing its attention on diagnostic tests, including those that we provide. If this were to happen, it may impact our marketing practices relating to the relevant tests, which in turn may have an adverse impact on our business, financial condition and results of operations.</w:t>
      </w:r>
    </w:p>
    <w:p>
      <w:pPr>
        <w:spacing w:after="0" w:line="187"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The SARS-CoV-2 tests we perform are currently the subject of EUAs, which permit the use of unapproved medical products or unapproved uses of medical products to be used in an emergency to diagnose, treat, or prevent serious or life-threatening diseases or conditions when there are no adequate, approved, and available alternatives, as provided under section 564 for the Federal Food, Drug, and Cosmetic Act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 The HHS statement mentioned above did not affect EUAs for COVID-19 laboratory-developed tests that were already in effect at the time the statement was released. The HHS statement did not affect EUAs issued for commercially-developed COVID-19 IVD tests, which apply to test developers and authorized laboratories.</w:t>
      </w:r>
    </w:p>
    <w:p>
      <w:pPr>
        <w:spacing w:after="0" w:line="166"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EUA for Bio-Rad’s SARS-CoV-2 Droplet Digital PCR test provides several conditions for authorized laboratories, including that the test result reports will include Fact Sheets that are authorized as part of the EUA,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70" w:lineRule="exact"/>
        <w:rPr>
          <w:sz w:val="20"/>
          <w:szCs w:val="20"/>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This test has been authorized only for the detection of nucleic acid from SARS- CoV-2, not for any other viruses or pathogens; and</w:t>
      </w:r>
    </w:p>
    <w:p>
      <w:pPr>
        <w:spacing w:after="0" w:line="142" w:lineRule="exact"/>
        <w:rPr>
          <w:rFonts w:ascii="Arial" w:cs="Arial" w:eastAsia="Arial" w:hAnsi="Arial"/>
          <w:sz w:val="17"/>
          <w:szCs w:val="17"/>
          <w:color w:val="auto"/>
        </w:rPr>
      </w:pPr>
    </w:p>
    <w:p>
      <w:pPr>
        <w:jc w:val="both"/>
        <w:ind w:left="1000" w:right="360" w:hanging="547"/>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18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Other statements that appear in advertising and promotional materials must not represent or suggest that this test is safe or effective for the detection of SARS-CoV-2.</w:t>
      </w:r>
    </w:p>
    <w:p>
      <w:pPr>
        <w:spacing w:after="0" w:line="170"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89" w:lineRule="exact"/>
        <w:rPr>
          <w:sz w:val="20"/>
          <w:szCs w:val="20"/>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test has been authorized only for the detection of total antibodies, including IgM/IgG/IgA, against SARS-CoV-2, not for any other viruses or pathogens; and</w:t>
      </w:r>
    </w:p>
    <w:p>
      <w:pPr>
        <w:spacing w:after="0" w:line="75" w:lineRule="exact"/>
        <w:rPr>
          <w:rFonts w:ascii="Arial" w:cs="Arial" w:eastAsia="Arial" w:hAnsi="Arial"/>
          <w:sz w:val="18"/>
          <w:szCs w:val="18"/>
          <w:color w:val="auto"/>
        </w:rPr>
      </w:pPr>
    </w:p>
    <w:p>
      <w:pPr>
        <w:jc w:val="both"/>
        <w:ind w:left="1000" w:right="360" w:hanging="547"/>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292"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6"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diagnostic testing industry is subject to extensive laws and regulations, many of which have not been interpreted by the courts, including the application of the FDA’s EUA authority. As noted above, the EUAs for the COVID-19 tests that are part of our Biodesix WorkSafe testing program set out certain conditions for authorized laboratories using the tests, which have not received premarket clearance, approval, or a de novo from the FDA. If we fail to meet these conditions, the FDA may take enforcement action, such as issuing a warning letter, seeking an injunction, seizure, fines, or criminal penalties. Pursuant to the August 19, 2020 statement by HHS, the FDA cannot require any LDT to undergo premarket approval until it has engaged in notice-and-comment rulemaking. Laboratory tests that have already received an EUA to detect the COVID-19 virus were “unaffected” by the announcement. Tests without FDA clearance, approval, or authorization would not be considered covered countermeasures under the Public Readiness and Emergency Preparedness Act (PREP Act). The HHS statement also did not affect EUAs issued for commercially-developed COVID-19 IVD tests, which apply to test developers and authorized laboratories.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 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1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8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6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95"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Our Boulder, Colorado and De Soto, Kansas laboratories are College of American Pathologists (CAP)-accredited (Boulder) or COLA (De Soto)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Laboratory Developed Tests (LDTs) and are not currently subject to FDA regulation, although certain components provided by third parties and used to create and/or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administer the test may be. LDTs are a subset of in vitro diagnostics (IVDs) that are intended for clinical use and developed, validated, and offered within a single laboratory for use only in that laboratory. The FDA’s authority to regulate LDTs has been frequently contested, and HHS recently issued a public statement purporting to rescind the FDA’s policies regarding the premarket review of LDTs. According to the HHS statement, the FDA will not require premarket review of LDTs unless it engages in notice-and-comment rulemaking. There is no guarantee, however, that the HHS statement will not be revised or rescinded, that legislation reforming the federal government’s regulation of LDTs will not be passed, or that LDTs will otherwise continue to be able to operate without first receiving FDA premarket review. Failure to adhere to any new FDA regulation would result in fines, product suspensions, warning letters, recalls, injunctions and other civil and criminal penalties.</w:t>
      </w:r>
    </w:p>
    <w:p>
      <w:pPr>
        <w:spacing w:after="0" w:line="2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the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HHS has since issued a statement purporting to rescind FDA’s policies regarding the premarket review of LDTs, stating that FDA must engage in notice and comment rulemaking (as opposed to through guidance documents, compliance manuals, website statements, or other informal issuances) prior to requiring premarket review of LDTs. HHS issued this statement on its website and it may be subject to change. Also, it is possible that Congress will pass legislation to reform the federal government’s regulation of LDTs or that FDA will engage in notice-and-comment rulemaking to require premarket review of LDTs, which could result in delay or additional expense in offering our tests and tests that we may develop in the future.</w:t>
      </w:r>
    </w:p>
    <w:p>
      <w:pPr>
        <w:spacing w:after="0" w:line="2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current line of diagnostic tests are covered under CLIA and CMS, although our COVID testing program and select partnerships we may enter may cause us to be subject to additional FDA requirements.</w:t>
      </w:r>
    </w:p>
    <w:p>
      <w:pPr>
        <w:spacing w:after="0" w:line="62"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184"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not otherwise regulating most tests developed and performed within a single high complexity CLIA-certified laboratory. On August 19, 2020, HHS issued a statement purporting to rescind the FDA’s policies regarding the premarket review of LDTs, absent notice-and-comment rulemaking. the FDA’s policies to date have been articulated through guidance documents, compliance manuals, website statements, and other informal issuances. The FDA could, at any time, engage in notice-and-comment rulemaking, or Congress could take action to amend the law to change the current regulatory framework for in vitro diagnostics and LDTs. Further, the HHS statement was issued on its website and may be subject to change, particularly given the reasoning that additional flexibility is needed due to the COVID-19 pandemic.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firstLine="449"/>
        <w:spacing w:after="0" w:line="257" w:lineRule="auto"/>
        <w:rPr>
          <w:sz w:val="20"/>
          <w:szCs w:val="20"/>
          <w:color w:val="auto"/>
        </w:rPr>
      </w:pPr>
      <w:r>
        <w:rPr>
          <w:rFonts w:ascii="Arial" w:cs="Arial" w:eastAsia="Arial" w:hAnsi="Arial"/>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18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contrast with our LDTs, the FDA has regulatory jurisdiction over the two FDA EUA-authorized COVID-19 tests that were developed by Bio-Rad, which we offer as part of our Biodesix WorkSafe testing programs.</w:t>
      </w:r>
    </w:p>
    <w:p>
      <w:pPr>
        <w:spacing w:after="0" w:line="170"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76"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test design, development, manufacture, and release;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right="320" w:firstLine="449"/>
        <w:spacing w:after="0" w:line="257" w:lineRule="auto"/>
        <w:rPr>
          <w:sz w:val="20"/>
          <w:szCs w:val="20"/>
          <w:color w:val="auto"/>
        </w:rPr>
      </w:pPr>
      <w:r>
        <w:rPr>
          <w:rFonts w:ascii="Arial" w:cs="Arial" w:eastAsia="Arial" w:hAnsi="Arial"/>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w:t>
      </w:r>
    </w:p>
    <w:p>
      <w:pPr>
        <w:spacing w:after="0" w:line="188"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Before a new medical device or service, or a new intended use for an existing product or service, can be marketed in the United States, a company must first submit and receive either 510(k) clearance, de-novo authorization, or premarket approval (PMA) from the FDA, unless an exemption applies. Most Class I devices and some Class II devices are exempt from these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8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 The PMA process is typically required for devices that are deemed to pose the greatest risk, such as life-sustaining, life-supporting or implantable devices.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95"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510(k), de-novo or PMA process can be expensive, lengthy and unpredictable. The FDA can delay, limit, or deny clearance or approval of a device for many reasons, including:</w:t>
      </w:r>
    </w:p>
    <w:p>
      <w:pPr>
        <w:spacing w:after="0" w:line="76" w:lineRule="exact"/>
        <w:rPr>
          <w:sz w:val="20"/>
          <w:szCs w:val="20"/>
          <w:color w:val="auto"/>
        </w:rPr>
      </w:pPr>
    </w:p>
    <w:p>
      <w:pPr>
        <w:ind w:left="1000" w:right="2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the diagnostic tests are safe or effective for their proposed intended uses;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disagreement of the FDA with the design or implementation of our clinical trials or the interpretation of data from clinical trials;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where required;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 and</w:t>
      </w:r>
    </w:p>
    <w:p>
      <w:pPr>
        <w:spacing w:after="0" w:line="130"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70"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76"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adverse publicity, warning letters, untitled letters, it has come to our attention letters, fines, injunctions, consent decrees and civil penalties;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denial of our requests for regulatory clearance or premarket approval of new diagnostic tests or services, new intended uses or modifications to existing diagnostic tests or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regulatory clearance or premarket approvals that have already been granted;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As discussed above, we believe that our current line of diagnostic tests and their components are LDTs, subject to state licensing requirements and federal regulation by CMS under CLIA, although our COVID testing program and select partnerships we may enter may cause us to be subject to additional FDA regulations discussed above.</w:t>
      </w:r>
    </w:p>
    <w:p>
      <w:pPr>
        <w:spacing w:after="0" w:line="184" w:lineRule="exact"/>
        <w:rPr>
          <w:sz w:val="20"/>
          <w:szCs w:val="20"/>
          <w:color w:val="auto"/>
        </w:rPr>
      </w:pPr>
    </w:p>
    <w:p>
      <w:pPr>
        <w:jc w:val="both"/>
        <w:ind w:right="180" w:firstLine="449"/>
        <w:spacing w:after="0" w:line="311" w:lineRule="auto"/>
        <w:rPr>
          <w:sz w:val="20"/>
          <w:szCs w:val="20"/>
          <w:color w:val="auto"/>
        </w:rPr>
      </w:pPr>
      <w:r>
        <w:rPr>
          <w:rFonts w:ascii="Arial" w:cs="Arial" w:eastAsia="Arial" w:hAnsi="Arial"/>
          <w:sz w:val="16"/>
          <w:szCs w:val="16"/>
          <w:color w:val="auto"/>
        </w:rPr>
        <w:t>While we believe that we are currently in material compliance with applicable laws and regulations, it is possible that the FDA, or other regulatory agencies, would not agree with our determinations. If our products became become subject to 510(k) or other similar FDA regulations, we would need to comply with the applicable regulations or face significant civil and criminal penalties. In addition, IVDs and CDx tests are widely considered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2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future success depends on our ability to develop, receive regulatory clearance or approval for, and introduce new diagnostic tests or enhancements to existing diagnostic tests that will be accepted by the market in a timely manner. There is no guarantee that the FDA will grant 510(k) clearance or PMA approval of our future diagnostic tests and failure to obtain necessary clearances or approvals for our future diagnostic tests would adversely affect our ability to grow our business.</w:t>
      </w:r>
    </w:p>
    <w:p>
      <w:pPr>
        <w:spacing w:after="0" w:line="79"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15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success of any new diagnostic test or enhancement to an existing diagnostic test will depend on a number of factors, including our ability to, among others:</w:t>
      </w:r>
    </w:p>
    <w:p>
      <w:pPr>
        <w:spacing w:after="0" w:line="76" w:lineRule="exact"/>
        <w:rPr>
          <w:sz w:val="20"/>
          <w:szCs w:val="20"/>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and introduce new diagnostic tests or enhancements to our existing diagnostic tests in a timely manner;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avoid infringing upon, misappropriating or violating the intellectual property rights of third parties;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diagnostic tests with data from clinical studies;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diagnostic tests or enhancements to existing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diagnostic tests or modified diagnostic tests;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diagnostic tests.</w:t>
      </w:r>
    </w:p>
    <w:p>
      <w:pPr>
        <w:spacing w:after="0" w:line="225"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or premarket approval of new diagnostic tests. Failure to receive clearance or approval for our new diagnostic tests would have an adverse effect on our ability to expand our business.</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Modifications to our marketed tests may require new 510(k) clearances or PMA approvals, or may require us to cease marketing or recall the modified tests until clearances or approvals are obtained.</w:t>
      </w:r>
    </w:p>
    <w:p>
      <w:pPr>
        <w:spacing w:after="0" w:line="62"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Modifications to our diagnostic tests may require new regulatory approvals or clearances, including 510(k) clearances or premarket approvals, or require us to recall or cease marketing the modified systems until these clearances or approvals are obtained. The FDA requires device manufacturers to initially make and document a</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17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efficacy, or would constitute a major change in its intended use, then the manufacturer must file for a new 510(k) clearance or possibly a premarket approval application. Where we determine that modifications to our diagnostic tests require a new 510(k) clearance or premarket approval application, we may not be able to obtain those additional clearances or approvals for the modifications or additional indications in a timely manner, or at all. Obtaining clearances and approvals can be a time consuming process, and delays in obtaining required future clearances or approvals would adversely affect our ability to introduce new or enhanced diagnostic tests in a timely manner, which in turn would harm our future growth.</w:t>
      </w:r>
    </w:p>
    <w:p>
      <w:pPr>
        <w:spacing w:after="0" w:line="286"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b w:val="1"/>
          <w:bCs w:val="1"/>
          <w:i w:val="1"/>
          <w:iCs w:val="1"/>
          <w:color w:val="auto"/>
        </w:rPr>
        <w:t>If we or our suppliers fail to comply with ongoing FDA or other domestic and foreign regulatory authority requirements, or if we experience unanticipated problems with our diagnostic tests, they could be subject to restrictions or withdrawal from the market.</w:t>
      </w:r>
    </w:p>
    <w:p>
      <w:pPr>
        <w:spacing w:after="0" w:line="16"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Any medical device that we manufacture, including those for which we obtain regulatory clearance or approval, and the manufacturing processes, reporting requirements, post-approval clinical data and promotional activities for such diagnostic test, will be subject to continued regulatory review, oversight, and periodic inspections by the FDA and other domestic and foreign regulatory bodies. In particular, we and our suppliers may be required to comply with FDA’s Quality System Regulations (QSR codified at 21 C.F.R. § 820) for medical devices and International Standards Organization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one or more of the following enforcement actions:</w:t>
      </w:r>
    </w:p>
    <w:p>
      <w:pPr>
        <w:spacing w:after="0" w:line="72" w:lineRule="exact"/>
        <w:rPr>
          <w:sz w:val="20"/>
          <w:szCs w:val="20"/>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 detention or seizure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00" w:right="70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of new diagnostic tests or modified versions of current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grant export approval for our diagnostic tests;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149"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diagnostic tests and services may in the future be subject to product recalls that could harm our reputation, business and financial results.</w:t>
      </w:r>
    </w:p>
    <w:p>
      <w:pPr>
        <w:spacing w:after="0" w:line="140"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or approval of any future diagnostic tests and to manufacture, market and distribute our diagnostic tests after clearance or approval is obtained.</w:t>
      </w:r>
    </w:p>
    <w:p>
      <w:pPr>
        <w:spacing w:after="0" w:line="62"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17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18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60"/>
          </w:cols>
          <w:pgMar w:left="32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41" w:lineRule="exact"/>
        <w:rPr>
          <w:sz w:val="20"/>
          <w:szCs w:val="20"/>
          <w:color w:val="auto"/>
        </w:rPr>
      </w:pPr>
    </w:p>
    <w:p>
      <w:pPr>
        <w:ind w:right="340" w:firstLine="449"/>
        <w:spacing w:after="0" w:line="259" w:lineRule="auto"/>
        <w:rPr>
          <w:sz w:val="20"/>
          <w:szCs w:val="20"/>
          <w:color w:val="auto"/>
        </w:rPr>
      </w:pPr>
      <w:r>
        <w:rPr>
          <w:rFonts w:ascii="Arial" w:cs="Arial" w:eastAsia="Arial" w:hAnsi="Arial"/>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87"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16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303" w:lineRule="exact"/>
        <w:rPr>
          <w:sz w:val="20"/>
          <w:szCs w:val="20"/>
          <w:color w:val="auto"/>
        </w:rPr>
      </w:pPr>
    </w:p>
    <w:p>
      <w:pPr>
        <w:ind w:right="640"/>
        <w:spacing w:after="0" w:line="375" w:lineRule="auto"/>
        <w:rPr>
          <w:sz w:val="20"/>
          <w:szCs w:val="20"/>
          <w:color w:val="auto"/>
        </w:rPr>
      </w:pPr>
      <w:r>
        <w:rPr>
          <w:rFonts w:ascii="Arial" w:cs="Arial" w:eastAsia="Arial" w:hAnsi="Arial"/>
          <w:sz w:val="15"/>
          <w:szCs w:val="15"/>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for or commercialize our diagnostic tests and services.</w:t>
      </w:r>
    </w:p>
    <w:p>
      <w:pPr>
        <w:spacing w:after="0" w:line="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23"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w:t>
      </w:r>
    </w:p>
    <w:p>
      <w:pPr>
        <w:spacing w:after="0" w:line="179"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18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Additionally, a new California ballot initiative, the California Privacy Rights Act, has qualified to be included on the November 2020 ballot, and if voted into law by California voters, would impose additional data protection obligations on companies doing business in California, including additional consumer rights, including regarding certain uses of sensitive data. It would also create a new California data protection agency specifically tasked to enforce the law, which would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even prevent us from providing certain offerings in jurisdictions in which we currently operate and in which we may operate in the future.</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18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92"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 whom such covered entities contract for services. We are a covered entity under HIPAA when we are conducting our clinical trials. We are a covered entity with regard to our observational studies and clinical trials, and also a business associate under HIPAA for certain other business activities, and we execute business associate agreements with our clients.</w:t>
      </w:r>
    </w:p>
    <w:p>
      <w:pPr>
        <w:spacing w:after="0" w:line="164"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9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84"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We may eventually operate in a number of countries outside of the United States whose laws may in some cases be more stringent than the requirements in the United States. For example, the EU has specific requirements relating to cross-border transfers of personal data to certain jurisdictions, including to the United States. In addition, some countries have stricter consumer notice or consent requirements relating to personal data collection, use or sharing, have more stringent requirements relating to organizations’ privacy programs and provide stronger individual rights. Moreover, international privacy and data security regulations may become more complex and result in greater penalties. For instance, since May 25, 2018, the GDPR regulates the collection and use of personal data of data subjects in the EU and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within 72 hours after discovering the breach,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and the applicable national data protection laws of the EU member states may result in fines of up to €20 million or up to 4% of the total worldwide annual turnover of our preceding fiscal year, whichever is higher, and other administrative penalties. Further, as the GDPR has only recently become enforceable, enforcement priorities and official interpretations of certain provisions are still unclear. To comply with the new data protection rules imposed by the GDPR, we may be required to put in place additional mechanisms ensuring compliance, which may result in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459"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The GDPR also imposes strict rules on the transfer of personal data out of the EU to the United States. These obligations may be interpreted and applied in a manner that is inconsistent from one jurisdiction to another and may conflict with other requirements or our practices. In addition, these rules are consistently under scrutiny. For example, following a decision of the Court of Justice of the EU (the ECJ) in October 2015, the transfer of personal data to United States companies that had certified as members of the United States Safe Harbor Scheme (Safe Harbor Scheme) was declared invalid. In July 2016, the European Commission adopted the EU-United States Privacy Shield Framework (Privacy Shield Framework) which replaced the Safe Harbor Scheme. The Privacy Shield Framework is reviewed by European authorities annually, and the ECJ recently ruled that the Privacy Shield Framework is no longer a lawful mechanism for EU-United States data transfers under the GDPR. There is currently litigation challenging other EU mechanisms for adequate data transfers. It is uncertain whether and for how long national regulators will permit companies that have relied on the Privacy Shield Framework to come into compliance with the recent ruling and whether alternative methods for EU-United States data transfers or the standard contractual clauses might similarly be invalidated by European courts. The ECJ’s ruling may lead to increased transaction, compliance, and technological costs to support international data transfers.</w:t>
      </w:r>
    </w:p>
    <w:p>
      <w:pPr>
        <w:spacing w:after="0" w:line="182"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18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289"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6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89"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FDA regulations, including those laws requiring the reporting of true, complete and accurate information to the FDA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225"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18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In connection with this offering, we will adopt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Notified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16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8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sponsors, principal investigators and trial sites. If we or any third-party contractor fails to comply with applicable GCPs, the clinical data generated in clinical trials may be deemed unreliable and the FDA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178" w:lineRule="exact"/>
        <w:rPr>
          <w:sz w:val="20"/>
          <w:szCs w:val="20"/>
          <w:color w:val="auto"/>
        </w:rPr>
      </w:pPr>
    </w:p>
    <w:p>
      <w:pPr>
        <w:ind w:right="240" w:firstLine="449"/>
        <w:spacing w:after="0" w:line="275" w:lineRule="auto"/>
        <w:rPr>
          <w:sz w:val="20"/>
          <w:szCs w:val="20"/>
          <w:color w:val="auto"/>
        </w:rPr>
      </w:pPr>
      <w:r>
        <w:rPr>
          <w:rFonts w:ascii="Arial" w:cs="Arial" w:eastAsia="Arial" w:hAnsi="Arial"/>
          <w:sz w:val="17"/>
          <w:szCs w:val="17"/>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sustained profitability.</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30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38"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77" w:lineRule="exact"/>
        <w:rPr>
          <w:sz w:val="20"/>
          <w:szCs w:val="20"/>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 to the extent our tests are covered by such programs;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differences in coverage among payers and the effect of patient co-payments or co-insurance;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to codes and coding instructions governing our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149"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Nodify CDT and GeneStrat, the test may be billed under an unlisted molecular pathology procedure code or through the use of a combination of single gene CPT codes, depending on the payer. The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and Nodify XL2 both have test specific CPT codes, but GeneStrat and Nodify CDT do not at this time.</w:t>
      </w:r>
    </w:p>
    <w:p>
      <w:pPr>
        <w:spacing w:after="0" w:line="192"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6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192"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15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may be impaired if we are unable to obtain, maintain and protect our intellectual property rights.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92" w:lineRule="exact"/>
        <w:rPr>
          <w:sz w:val="20"/>
          <w:szCs w:val="20"/>
          <w:color w:val="auto"/>
        </w:rPr>
      </w:pPr>
    </w:p>
    <w:p>
      <w:pPr>
        <w:ind w:left="1000" w:right="48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prevent our competitors from duplicating our diagnostic tests and products, including our COVID-19 testing program and Nodify XL2, Nodify CDT, GeneStrat and VeriStrat tests;</w:t>
      </w:r>
    </w:p>
    <w:p>
      <w:pPr>
        <w:spacing w:after="0" w:line="75" w:lineRule="exact"/>
        <w:rPr>
          <w:rFonts w:ascii="Arial" w:cs="Arial" w:eastAsia="Arial" w:hAnsi="Arial"/>
          <w:sz w:val="18"/>
          <w:szCs w:val="18"/>
          <w:color w:val="auto"/>
        </w:rPr>
      </w:pPr>
    </w:p>
    <w:p>
      <w:pPr>
        <w:ind w:left="1000" w:right="220" w:hanging="547"/>
        <w:spacing w:after="0" w:line="342"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allow us to gain or maintain a competitive advantage.</w:t>
      </w:r>
    </w:p>
    <w:p>
      <w:pPr>
        <w:spacing w:after="0" w:line="22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195"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95"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or maintain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19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17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181"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7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We cannot guarantee that we have entered into such agreements with each party that has or may have had access to our trade secrets or proprietary information. Additionally, despite these efforts, any of these parties may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185"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2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76"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168"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diagnostic tests or products, if such technologies or features are found to incorporate or be derived from the trade secrets or other proprietary information of the former employers.</w:t>
      </w:r>
    </w:p>
    <w:p>
      <w:pPr>
        <w:spacing w:after="0" w:line="170"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our COVID-19 testing program, either of the Nodify XL2 and Nodify CDT tests, or the VeriStrat and GeneStrat tests.</w:t>
      </w:r>
    </w:p>
    <w:p>
      <w:pPr>
        <w:spacing w:after="0" w:line="184"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6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6"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6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195"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8"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2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62"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88"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192"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27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178"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18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184"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 party patents are valid, enforceable, and infringed, which could materially and adversely affect our ability to commercialize any product candidates we may develop and any other product candidates or technologies covered by the asserted third 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166"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18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priority or inventorship of our patents and other intellectual property rights.</w:t>
      </w:r>
    </w:p>
    <w:p>
      <w:pPr>
        <w:spacing w:after="0" w:line="117"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164"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2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62"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some of our patents or patent applications, including licensed patents, may be challenged, in courts or patent offices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United States and abroad,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172"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17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may not be aware of all third-party intellectual property rights potentially relating to our current or future diagnostic tests,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6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187"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Furthermore, companies that perceive us to be a competitor may be unwilling to assign or license rights to us. In addition, we expect that competition for the in-licensing or acquisition of third-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7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178"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161"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Any of the foregoing could have a material adverse effect on our competitive position, business, financial conditions, results of operations and prospects.</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Moreover, disputes may also arise between us and our current or future licensors regarding intellectual property rights subject to a license agreement, including those relating to:</w:t>
      </w:r>
    </w:p>
    <w:p>
      <w:pPr>
        <w:spacing w:after="0" w:line="76"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involvement in the prosecution of licensed patents and our licensors’ overall patent enforcement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rights by our licensors and us and our collaborators;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do not prevail in such disputes, we may lose any or all of our rights under such license agreements.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459"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178"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265" w:lineRule="exact"/>
        <w:rPr>
          <w:sz w:val="20"/>
          <w:szCs w:val="20"/>
          <w:color w:val="auto"/>
        </w:rPr>
      </w:pPr>
    </w:p>
    <w:p>
      <w:pPr>
        <w:ind w:right="340"/>
        <w:spacing w:after="0" w:line="340" w:lineRule="auto"/>
        <w:rPr>
          <w:sz w:val="20"/>
          <w:szCs w:val="20"/>
          <w:color w:val="auto"/>
        </w:rPr>
      </w:pPr>
      <w:r>
        <w:rPr>
          <w:rFonts w:ascii="Arial" w:cs="Arial" w:eastAsia="Arial" w:hAnsi="Arial"/>
          <w:sz w:val="15"/>
          <w:szCs w:val="15"/>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23" w:lineRule="exact"/>
        <w:rPr>
          <w:sz w:val="20"/>
          <w:szCs w:val="20"/>
          <w:color w:val="auto"/>
        </w:rPr>
      </w:pPr>
    </w:p>
    <w:p>
      <w:pPr>
        <w:ind w:right="60" w:firstLine="449"/>
        <w:spacing w:after="0" w:line="284" w:lineRule="auto"/>
        <w:rPr>
          <w:sz w:val="20"/>
          <w:szCs w:val="20"/>
          <w:color w:val="auto"/>
        </w:rPr>
      </w:pPr>
      <w:r>
        <w:rPr>
          <w:rFonts w:ascii="Arial" w:cs="Arial" w:eastAsia="Arial" w:hAnsi="Arial"/>
          <w:sz w:val="16"/>
          <w:szCs w:val="16"/>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4" w:lineRule="exact"/>
        <w:rPr>
          <w:sz w:val="20"/>
          <w:szCs w:val="20"/>
          <w:color w:val="auto"/>
        </w:rPr>
      </w:pPr>
    </w:p>
    <w:p>
      <w:pPr>
        <w:ind w:firstLine="8"/>
        <w:spacing w:after="0" w:line="267" w:lineRule="auto"/>
        <w:tabs>
          <w:tab w:leader="none" w:pos="265" w:val="left"/>
        </w:tabs>
        <w:numPr>
          <w:ilvl w:val="0"/>
          <w:numId w:val="38"/>
        </w:numPr>
        <w:rPr>
          <w:rFonts w:ascii="Arial" w:cs="Arial" w:eastAsia="Arial" w:hAnsi="Arial"/>
          <w:sz w:val="17"/>
          <w:szCs w:val="17"/>
          <w:color w:val="auto"/>
        </w:rPr>
      </w:pPr>
      <w:r>
        <w:rPr>
          <w:rFonts w:ascii="Arial" w:cs="Arial" w:eastAsia="Arial" w:hAnsi="Arial"/>
          <w:sz w:val="17"/>
          <w:szCs w:val="17"/>
          <w:color w:val="auto"/>
        </w:rPr>
        <w:t>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Patent terms may be inadequate to protect our competitive position on our diagnostic tests, products and services for an adequate amount of time.</w:t>
      </w:r>
    </w:p>
    <w:p>
      <w:pPr>
        <w:spacing w:after="0" w:line="152"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24"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178"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459" w:right="3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00" w:hanging="547"/>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diagnostic tests or products that are similar to our Nodify XL2, Nodify CDT, GeneStrat or VeriStrat tests or the COVID-19 tests that we use in our COVID-19 testing program or utilize similar technology that is not covered by the claims of our patents or that incorporates certain technology in our Nodify XL2, Nodify CDT, GeneStrat or VeriStrat tests or such COVID-19 tests that is in the public domain;</w:t>
      </w:r>
    </w:p>
    <w:p>
      <w:pPr>
        <w:spacing w:after="0" w:line="92"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patent applications will not lead to issued patents;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75" w:lineRule="exact"/>
        <w:rPr>
          <w:rFonts w:ascii="Arial" w:cs="Arial" w:eastAsia="Arial" w:hAnsi="Arial"/>
          <w:sz w:val="18"/>
          <w:szCs w:val="18"/>
          <w:color w:val="auto"/>
        </w:rPr>
      </w:pPr>
    </w:p>
    <w:p>
      <w:pPr>
        <w:ind w:left="1000" w:right="100" w:hanging="547"/>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rights.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trading market may not develop.</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stock. An active trading market may not develop following completion of this offering or, if developed, may not be sustained. The lack of an active trading market may impair the value of your shares and your ability to sell your shares at the time you wish to sell them. An inactive trading market may also impair our ability to both raise capital by selling shares of common stock and acquire other complementary diagnostic tests, technologies or businesses by using our shares of common stock as consideration.</w:t>
      </w:r>
    </w:p>
    <w:p>
      <w:pPr>
        <w:spacing w:after="0" w:line="171"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Upon closing of this offering, we expect that our common stock will be listed on the Nasdaq Global Market. If we fail to satisfy the continued listing standards of the Nasdaq Global Market, however, we could be de-listed, which would negatively impact the price of our common stock.</w:t>
      </w: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 and you may not be able to sell the shares you purchase in this offering at or above the offering price.</w:t>
      </w:r>
    </w:p>
    <w:p>
      <w:pPr>
        <w:spacing w:after="0" w:line="62"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initial public offering price for the shares of our common stock sold in this offering is determined by negotiation between the representatives of the underwriters and us. This price may not reflect the market price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common stock following this offering. In addition, the market price of our common stock is likely to be highly volatile and may fluctuate substantially due to many factors, including:</w:t>
      </w:r>
    </w:p>
    <w:p>
      <w:pPr>
        <w:spacing w:after="0" w:line="76" w:lineRule="exact"/>
        <w:rPr>
          <w:sz w:val="20"/>
          <w:szCs w:val="20"/>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volume and customer mix for our COVID-19, Nodify XL2, Nodify CDT, GeneStrat and VeriStrat testing;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introduction of new diagnostic tests or enhancements to such tests by us or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ability to develop, obtain regulatory clearance or approval for, and market new and enhanced diagnostic tests on a timely basis;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media exposure of our diagnostic tests or of those of others in our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130"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70"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after this offering does not ever exceed the initial public offering price, you may not realize any return on your investment in us and may lose some or all of your investment.</w:t>
      </w:r>
    </w:p>
    <w:p>
      <w:pPr>
        <w:spacing w:after="0" w:line="176"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62"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459" w:right="3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195"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65"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$1.07 billion in annual revenue; (ii) the date we qualify as a “large accelerated filer,” with at least $700 million of equity securities held by non-affiliates;</w:t>
      </w:r>
    </w:p>
    <w:p>
      <w:pPr>
        <w:spacing w:after="0" w:line="32" w:lineRule="exact"/>
        <w:rPr>
          <w:sz w:val="20"/>
          <w:szCs w:val="20"/>
          <w:color w:val="auto"/>
        </w:rPr>
      </w:pPr>
    </w:p>
    <w:p>
      <w:pPr>
        <w:ind w:right="140" w:firstLine="8"/>
        <w:spacing w:after="0" w:line="260" w:lineRule="auto"/>
        <w:tabs>
          <w:tab w:leader="none" w:pos="3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and (iv) the last day of the fiscal year ending after the fifth anniversary of the completion of our initial public offering.</w:t>
      </w:r>
    </w:p>
    <w:p>
      <w:pPr>
        <w:spacing w:after="0" w:line="18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 xml:space="preserve">We are also a </w:t>
      </w:r>
      <w:r>
        <w:rPr>
          <w:rFonts w:ascii="Arial" w:cs="Arial" w:eastAsia="Arial" w:hAnsi="Arial"/>
          <w:sz w:val="16"/>
          <w:szCs w:val="16"/>
          <w:i w:val="1"/>
          <w:iCs w:val="1"/>
          <w:color w:val="auto"/>
        </w:rPr>
        <w:t>“</w:t>
      </w:r>
      <w:r>
        <w:rPr>
          <w:rFonts w:ascii="Arial" w:cs="Arial" w:eastAsia="Arial" w:hAnsi="Arial"/>
          <w:sz w:val="16"/>
          <w:szCs w:val="16"/>
          <w:color w:val="auto"/>
        </w:rPr>
        <w:t>smaller reporting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6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92"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financial statements and accompanying notes. We base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Investors purchasing common stock in this offering will pay a price per share that substantially exceeds the pro forma as adjusted net tangible book value per share. As a result, investors purchasing common stock in this offering will incur immediate dilution of $16.30 per share, based on an assumed initial public offering price of $18.00 per share, the midpoint of the estimated offering price range set forth on the cover page of this prospectus, and our pro forma as adjusted net tangible book value per share as of June 30, 2020. For more information on the dilution you may suffer as a result of investing in this offering, see the section of this prospectus entitled “Dilution.”</w:t>
      </w:r>
    </w:p>
    <w:p>
      <w:pPr>
        <w:spacing w:after="0" w:line="188" w:lineRule="exact"/>
        <w:rPr>
          <w:sz w:val="20"/>
          <w:szCs w:val="20"/>
          <w:color w:val="auto"/>
        </w:rPr>
      </w:pPr>
    </w:p>
    <w:p>
      <w:pPr>
        <w:ind w:right="80" w:firstLine="1011"/>
        <w:spacing w:after="0" w:line="259"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 It is also due to the conversion of our preferred stock and convertible debt into shares of our common stock upon the completion of this offering and the exercise of stock options granted to our employees as the conversion and exercise prices of such securities and options are substantially below the price offered to the public in this offering.</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62"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Immediately after this offering, we will have 26,420,739 outstanding shares of common stock based on the number of shares outstanding as of October 15, 2020. This includes the shares that we are selling in this offering, which may be resold in the public market immediately without restriction, unless purchased by our affiliates. Of the remaining shares, 22,254,072 shares are currently restricted as a result of securities laws or 180-day lock-up agreements but will be able to be sold after the offering as described in the section of this prospectus entitled “Shares Eligible For Future Sale.” Moreover, after this offering, holders of an aggregate of 20,090,745 shares of our common stock issuable upon the conversion of the shares of our convertible preferred stock that will be outstanding immediately prior to the consummation of this offering, will have rights, subject to some conditions, to require us to file registration statements covering their shares or to include their shares in registration statements that we may file for ourselves or other stockholders as described in the section of this prospectus entitled “Shares Eligible For Future Sale—Registration Rights.” We also intend to register all shares of common stock that we may issue under our equity compensation plans. Once we register these shares, they can be freely sold in the public market, subject to volume limitations applicable to affiliates and the lock-up agreements described in the section of this prospectus entitled “Underwriters.”</w:t>
      </w:r>
    </w:p>
    <w:p>
      <w:pPr>
        <w:spacing w:after="0" w:line="2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62"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After this offering, our officers, directors and principal stockholders each holding more than 5% of our common stock will collectively control approximately 60.3% of our outstanding common stock. As a result,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117"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to incur significant additional costs as a result of being a public company, which may adversely affect our business, financial condition and results of operations.</w:t>
      </w:r>
    </w:p>
    <w:p>
      <w:pPr>
        <w:spacing w:after="0" w:line="62"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Upon completion of this offering, we expect to incur costs associated with corporate governance requirements that will become applicable to us as a public company, including rules and regulations of the SEC, under the Sarbanes-Oxley Act, the Dodd-Frank Wall Street Reform and Consumer Protection Act of 2010, and the Securities Exchange Act of 1934, as amended (the Exchange Act), as well as the rules of Nasdaq. These rules and regulations are expected to significantly increase our accounting, legal and financial compliance costs and make some activities more time-consuming. We also expect these rules and regulations to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27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76"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As a result of becoming a public company, we will be required, under Section 404 of the Sarbanes-Oxley Act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92"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We are further enhancing internal controls, processes and related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77" w:lineRule="exact"/>
        <w:rPr>
          <w:sz w:val="20"/>
          <w:szCs w:val="20"/>
          <w:color w:val="auto"/>
        </w:rPr>
      </w:pPr>
    </w:p>
    <w:p>
      <w:pPr>
        <w:jc w:val="right"/>
        <w:ind w:left="5540" w:right="5520" w:hanging="5087"/>
        <w:spacing w:after="0" w:line="535" w:lineRule="auto"/>
        <w:tabs>
          <w:tab w:leader="none" w:pos="1013"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faulty human judgment and simple errors, omissions or mistakes; 70</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possibility that any enhancements to controls and procedures may still not be adequate to assure timely and accurate financial control.</w:t>
      </w:r>
    </w:p>
    <w:p>
      <w:pPr>
        <w:spacing w:after="0" w:line="248" w:lineRule="exact"/>
        <w:rPr>
          <w:sz w:val="20"/>
          <w:szCs w:val="20"/>
          <w:color w:val="auto"/>
        </w:rPr>
      </w:pPr>
    </w:p>
    <w:p>
      <w:pPr>
        <w:ind w:right="340" w:firstLine="449"/>
        <w:spacing w:after="0" w:line="279" w:lineRule="auto"/>
        <w:rPr>
          <w:sz w:val="20"/>
          <w:szCs w:val="20"/>
          <w:color w:val="auto"/>
        </w:rPr>
      </w:pPr>
      <w:r>
        <w:rPr>
          <w:rFonts w:ascii="Arial" w:cs="Arial" w:eastAsia="Arial" w:hAnsi="Arial"/>
          <w:sz w:val="17"/>
          <w:szCs w:val="17"/>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2"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Provisions in our amended and restated certificate of incorporation and our amended and restated bylaws that will become effective upon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specifies that, unless we consent in writing to the selection of an alternative forum, the Court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3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Our amended and restated articles of incorporation that will be in effect at the closing of this offering provide that we will indemnify our directors and officers to the fullest extent permitted by Section 145 of the Delaware General Corporate Law.</w:t>
      </w:r>
    </w:p>
    <w:p>
      <w:pPr>
        <w:spacing w:after="0" w:line="170"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76" w:lineRule="exact"/>
        <w:rPr>
          <w:sz w:val="20"/>
          <w:szCs w:val="20"/>
          <w:color w:val="auto"/>
        </w:rPr>
      </w:pPr>
    </w:p>
    <w:p>
      <w:pPr>
        <w:ind w:left="1000" w:hanging="547"/>
        <w:spacing w:after="0" w:line="259"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53" w:lineRule="exact"/>
        <w:rPr>
          <w:rFonts w:ascii="Arial" w:cs="Arial" w:eastAsia="Arial" w:hAnsi="Arial"/>
          <w:sz w:val="16"/>
          <w:szCs w:val="16"/>
          <w:color w:val="auto"/>
        </w:rPr>
      </w:pPr>
    </w:p>
    <w:p>
      <w:pPr>
        <w:jc w:val="both"/>
        <w:ind w:left="1000" w:right="180" w:hanging="547"/>
        <w:spacing w:after="0" w:line="342"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29" w:lineRule="exact"/>
        <w:rPr>
          <w:rFonts w:ascii="Arial" w:cs="Arial" w:eastAsia="Arial" w:hAnsi="Arial"/>
          <w:sz w:val="16"/>
          <w:szCs w:val="16"/>
          <w:color w:val="auto"/>
        </w:rPr>
      </w:pPr>
    </w:p>
    <w:p>
      <w:pPr>
        <w:ind w:left="1000" w:right="540" w:hanging="547"/>
        <w:spacing w:after="0" w:line="342"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29" w:lineRule="exact"/>
        <w:rPr>
          <w:rFonts w:ascii="Arial" w:cs="Arial" w:eastAsia="Arial" w:hAnsi="Arial"/>
          <w:sz w:val="16"/>
          <w:szCs w:val="16"/>
          <w:color w:val="auto"/>
        </w:rPr>
      </w:pPr>
    </w:p>
    <w:p>
      <w:pPr>
        <w:ind w:left="1000" w:right="20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articles of incorporation provisions to reduce our indemnification obligations to directors, officers, employees and agents.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320" w:top="459"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This prospectus contains forward-looking statements about us and our industry that involve substantial risks and uncertainties. All statements other than statements of historical facts contained in this prospectus,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17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prospectus, regarding, among other things:</w:t>
      </w:r>
    </w:p>
    <w:p>
      <w:pPr>
        <w:spacing w:after="0" w:line="92" w:lineRule="exact"/>
        <w:rPr>
          <w:sz w:val="20"/>
          <w:szCs w:val="20"/>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30" w:lineRule="exact"/>
        <w:rPr>
          <w:rFonts w:ascii="Arial" w:cs="Arial" w:eastAsia="Arial" w:hAnsi="Arial"/>
          <w:sz w:val="18"/>
          <w:szCs w:val="18"/>
          <w:color w:val="auto"/>
        </w:rPr>
      </w:pPr>
    </w:p>
    <w:p>
      <w:pPr>
        <w:ind w:left="1000" w:right="56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significant fluctuation in our operating results, causing our operating results to fall below expectations or any guidance we provide;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demand for our COVID-19 diagnostic and antibody testing program and our ability to meet such demand;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third party suppliers, including contract manufacturers and single source suppliers; making us vulnerable to supply problems and price fluctuations;</w:t>
      </w:r>
    </w:p>
    <w:p>
      <w:pPr>
        <w:spacing w:after="0" w:line="75"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or worldwide, including the COVID-19 pandemic on our business;</w:t>
      </w:r>
    </w:p>
    <w:p>
      <w:pPr>
        <w:spacing w:after="0" w:line="75"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75"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incurrence of substantial liabilities and limiting or halting the marketing and sale of our diagnostic tests due to product liability lawsuits;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for, and introduce new diagnostic tests or enhancements to existing diagnostic tests that will be accepted by the market in a timely manner;</w:t>
      </w:r>
    </w:p>
    <w:p>
      <w:pPr>
        <w:spacing w:after="0" w:line="75"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risks, uncertainties and factors set forth in this prospectus, including those set forth under “Risk Factors.”</w:t>
      </w:r>
    </w:p>
    <w:p>
      <w:pPr>
        <w:spacing w:after="0" w:line="225"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320" w:top="459" w:right="3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estimate that the net proceeds to us from the sale of 4,166,667 shares of common stock in this offering will be approximately $65.8 million at an assumed initial public offering price of $18.00 per share, the midpoint of the estimated offering price range set forth on the cover page of this prospectus, after deducting underwriting discounts and commissions and estimated offering expenses payable by us. If the underwriters exercise their over-allotment option in full, we estimate that the net proceeds to us will be approximately $76.2 million, after deducting underwriting discounts and commissions and estimated offering expenses payable by us.</w:t>
      </w:r>
    </w:p>
    <w:p>
      <w:pPr>
        <w:spacing w:after="0" w:line="18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Each $1.00 increase or decrease in the assumed initial public offering price of $18.00 per share would increase or decrease, respectively, our net proceeds by $3.9 million,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An increase or decrease of 1,000,000 in the number of shares we are offering would increase or decrease, respectively, the net proceeds from this offering, after deducting underwriting discounts and commissions by $16.7 million, assuming the assumed initial public offering price stays the same.</w:t>
      </w:r>
    </w:p>
    <w:p>
      <w:pPr>
        <w:spacing w:after="0" w:line="19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currently expect to use the net proceeds from this offering: (1) approximately $30 million to support our commercial expansion of sales, marketing, reimbursement, customer support and business development; (2) approximately $16 million to support our product pipeline and research and development; (3) approximately $13 million to pay a portion of our Integrated Diagnostics acquisition milestone payment; and (4) the remaining portion of such net proceeds (including if the underwriters exercise their overallotment option in full) for working capital and general corporate purposes.</w:t>
      </w:r>
    </w:p>
    <w:p>
      <w:pPr>
        <w:spacing w:after="0" w:line="15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may also use a portion of our net proceeds to co-develop, acquire or invest in products, technologies or businesses that are complementary to our business. However, we currently have no agreements or commitments to complete any such transaction.</w:t>
      </w:r>
    </w:p>
    <w:p>
      <w:pPr>
        <w:spacing w:after="0" w:line="17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Although we currently anticipate that we will use the net proceeds from this offering as described above, there may be circumstances where a reallocation of funds is necessary. Due to the uncertainties inherent in the product development process, it is difficult to estimate with certainty the exact amounts of the net proceeds from this offering that may be used for the above purposes. The amounts and timing of our actual expenditures will depend upon numerous factors, including our sales and marketing and commercialization efforts, demand for our technology, our operating costs and the other factors described under “Risk Factors” in this prospectus. Accordingly, we will have broad discretion over the uses of the net proceeds from this offering. Pending the use of the proceeds from this offering, we may invest the proceeds in from this offering in short- and intermediate-term, interest-bearing obligations, investment-grade instruments, certificates of deposit or direct or guaranteed obligations of the United States government.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320" w:top="459" w:right="3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if any, to support operations and to finance the growth and development of our business. We do not intend to declare or pay cash dividends on common stock in the foreseeable future following the consummation of this offering. Any determination to declare dividends will be made at the discretion of our Board of Directors and will depend on, among other factors, our business, financial condition, results of operations and prospects that our Board of Directors may deem relevant. The terms of our outstanding credit facility also restrict our ability to pay dividends, and we may also enter into credit agreements or other borrowing arrangements in the future that will restrict our ability to declare or pay cash dividends on our capital stock. See “Management’s Discussion and Analysis of Financial Condition and Results of Operations—Liquidity and Capital Resources—Contractual Obligations and Commitments.”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32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2020, 2019, on:</w:t>
      </w:r>
    </w:p>
    <w:p>
      <w:pPr>
        <w:spacing w:after="0" w:line="131" w:lineRule="exact"/>
        <w:rPr>
          <w:sz w:val="20"/>
          <w:szCs w:val="20"/>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000" w:right="40" w:hanging="547"/>
        <w:spacing w:after="0" w:line="255"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 forma basis to reflect (i) the conversion of all the outstanding shares of preferred stock into an aggregate of 20,090,745 shares of common stock immediately upon the closing of this offering, (ii) the conversion of all convertible debt into an aggregate of 1,848,280 shares of common stock immediately upon the closing of this offering, based on interest accrued through October 15, 2020 and the assumed initial public offering price of $18.00 per share, which is the midpoint of the estimated offering price range set forth on the cover page of this prospectus, and (iii) the filing and effectiveness of our amended and restated certificate of incorporation that will be in effect upon the closing of this offering; and</w:t>
      </w:r>
    </w:p>
    <w:p>
      <w:pPr>
        <w:spacing w:after="0" w:line="97" w:lineRule="exact"/>
        <w:rPr>
          <w:rFonts w:ascii="Arial" w:cs="Arial" w:eastAsia="Arial" w:hAnsi="Arial"/>
          <w:sz w:val="18"/>
          <w:szCs w:val="18"/>
          <w:color w:val="auto"/>
        </w:rPr>
      </w:pPr>
    </w:p>
    <w:p>
      <w:pPr>
        <w:jc w:val="both"/>
        <w:ind w:left="1000" w:right="460" w:hanging="547"/>
        <w:spacing w:after="0" w:line="286"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pro forma as adjusted basis to further reflect the sale of 4,166,667 shares of common stock in this offering at an assumed initial public offering price of $18.00 per share, the midpoint of the estimated offering price range set forth on the cover page of this prospectus, after deducting underwriting discounts and commissions and estimated offering expenses payable by us.</w:t>
      </w:r>
    </w:p>
    <w:p>
      <w:pPr>
        <w:spacing w:after="0" w:line="165" w:lineRule="exact"/>
        <w:rPr>
          <w:sz w:val="20"/>
          <w:szCs w:val="20"/>
          <w:color w:val="auto"/>
        </w:rPr>
      </w:pPr>
    </w:p>
    <w:p>
      <w:pPr>
        <w:jc w:val="both"/>
        <w:ind w:right="460" w:firstLine="449"/>
        <w:spacing w:after="0" w:line="311" w:lineRule="auto"/>
        <w:rPr>
          <w:sz w:val="20"/>
          <w:szCs w:val="20"/>
          <w:color w:val="auto"/>
        </w:rPr>
      </w:pPr>
      <w:r>
        <w:rPr>
          <w:rFonts w:ascii="Arial" w:cs="Arial" w:eastAsia="Arial" w:hAnsi="Arial"/>
          <w:sz w:val="16"/>
          <w:szCs w:val="16"/>
          <w:color w:val="auto"/>
        </w:rPr>
        <w:t>You should read this information together with the sections of this prospectus titled “Prospectus Summary—Summary Historical Financial and Operating Data,” “Selected Historical Financial and Operating Data,” “Description of Capital Stock” and “Management’s Discussion and Analysis of Financial Condition and Results of Operations” and our financial statements and related notes included elsewhere in this prospectus.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As of June 30, 2020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81"/>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4"/>
              </w:rPr>
              <w:t>Pro Forma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rPr>
              <w:t>(Unaudited)</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00" w:type="dxa"/>
            <w:vAlign w:val="bottom"/>
            <w:gridSpan w:val="1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 thousands, except share and per share</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data)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11,674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11,674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77,424</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 payable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24,676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Long-term debt payable</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24,227</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48,903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24,227</w:t>
            </w:r>
          </w:p>
        </w:tc>
        <w:tc>
          <w:tcPr>
            <w:tcW w:w="0" w:type="dxa"/>
            <w:vAlign w:val="bottom"/>
          </w:tcPr>
          <w:p>
            <w:pPr>
              <w:spacing w:after="0"/>
              <w:rPr>
                <w:sz w:val="1"/>
                <w:szCs w:val="1"/>
                <w:color w:val="auto"/>
              </w:rPr>
            </w:pPr>
          </w:p>
        </w:tc>
      </w:tr>
      <w:tr>
        <w:trPr>
          <w:trHeight w:val="209"/>
        </w:trPr>
        <w:tc>
          <w:tcPr>
            <w:tcW w:w="7600" w:type="dxa"/>
            <w:vAlign w:val="bottom"/>
            <w:gridSpan w:val="2"/>
          </w:tcPr>
          <w:p>
            <w:pPr>
              <w:spacing w:after="0"/>
              <w:rPr>
                <w:sz w:val="20"/>
                <w:szCs w:val="20"/>
                <w:color w:val="auto"/>
              </w:rPr>
            </w:pPr>
            <w:r>
              <w:rPr>
                <w:rFonts w:ascii="Arial" w:cs="Arial" w:eastAsia="Arial" w:hAnsi="Arial"/>
                <w:sz w:val="18"/>
                <w:szCs w:val="18"/>
                <w:color w:val="auto"/>
                <w:w w:val="92"/>
              </w:rPr>
              <w:t>Convertible preferred stock; $0.001 par value; 185,432,719 shares authorized, 118,766,273 issued and</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Arial" w:cs="Arial" w:eastAsia="Arial" w:hAnsi="Arial"/>
                <w:sz w:val="18"/>
                <w:szCs w:val="18"/>
                <w:color w:val="auto"/>
                <w:w w:val="92"/>
              </w:rPr>
              <w:t>outstanding, actual; 0 shares authorized and 0 shares issued and outstanding, pro forma and pro forma</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as adjusted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w w:val="98"/>
              </w:rPr>
              <w:t>193,959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Preferred stock; $0.001 par value; no shares authorized, issued and outstanding, actual;</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540"/>
              <w:spacing w:after="0"/>
              <w:rPr>
                <w:sz w:val="20"/>
                <w:szCs w:val="20"/>
                <w:color w:val="auto"/>
              </w:rPr>
            </w:pPr>
            <w:r>
              <w:rPr>
                <w:rFonts w:ascii="Arial" w:cs="Arial" w:eastAsia="Arial" w:hAnsi="Arial"/>
                <w:sz w:val="18"/>
                <w:szCs w:val="18"/>
                <w:color w:val="auto"/>
                <w:w w:val="95"/>
              </w:rPr>
              <w:t>5,000,000 shares authorized, no shares issued and outstanding, pro forma and pro forma as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ind w:left="540"/>
              <w:spacing w:after="0"/>
              <w:rPr>
                <w:sz w:val="20"/>
                <w:szCs w:val="20"/>
                <w:color w:val="auto"/>
              </w:rPr>
            </w:pPr>
            <w:r>
              <w:rPr>
                <w:rFonts w:ascii="Arial" w:cs="Arial" w:eastAsia="Arial" w:hAnsi="Arial"/>
                <w:sz w:val="18"/>
                <w:szCs w:val="18"/>
                <w:color w:val="auto"/>
              </w:rPr>
              <w:t>adjusted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6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220,000,000 shares authorized, 274,523 issued and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outstanding, actual; 200,000,000 shares authorized pro forma and pro forma as adjusted,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8"/>
              </w:rPr>
              <w:t>22,213,548 shares issued and outstanding, pro forma; and 26,380,215 shares issued and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pro forma as adjusted</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rPr>
              <w:t>2,389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229,651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295,397</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0"/>
              </w:rPr>
              <w:t>(248,835)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(250,564)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(250,564)</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(246,444</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(20,891)</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(3,582)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69,086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right="180" w:hanging="552"/>
        <w:spacing w:after="0" w:line="277" w:lineRule="auto"/>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$1.00 increase or decrease in the assumed initial public offering price of $18.00 per share, the midpoint of the estimated offering price range set forth on the cover page of this prospectus, would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71" w:lineRule="auto"/>
        <w:rPr>
          <w:sz w:val="20"/>
          <w:szCs w:val="20"/>
          <w:color w:val="auto"/>
        </w:rPr>
      </w:pPr>
      <w:r>
        <w:rPr>
          <w:rFonts w:ascii="Arial" w:cs="Arial" w:eastAsia="Arial" w:hAnsi="Arial"/>
          <w:sz w:val="17"/>
          <w:szCs w:val="17"/>
          <w:color w:val="auto"/>
        </w:rPr>
        <w:t>increase or decrease, respectively, the amount of cash and cash equivalents, additional paid-in-capital, total stockholders’ equity and total capitalization by approximately $3.9 million, assuming that the number of shares offered by us, as set forth on the cover page of this prospectus, remains the same after deducting underwriting discounts and commissions and estimated offering expenses payable by us. We may also increase or decrease the number of shares we are offering. An increase or decrease of 1,000,000 in the number of shares we are offering would increase or decrease, respectively, the amount of cash and cash equivalents, additional paid-in-capital, total stockholders’ equity and total capitalization by approximately $16.7 million, assuming the assumed initial public offering price per share, as set forth above, remains the same and after deducting underwriting discounts and commissions. The pro forma as adjusted information is illustrative only, and will be adjusted based on the actual initial public offering price and other terms of this offering determined at pricing.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outstanding share information in the table above excludes, as of June 30, 2020, the following shares:</w:t>
      </w:r>
    </w:p>
    <w:p>
      <w:pPr>
        <w:spacing w:after="0" w:line="131" w:lineRule="exact"/>
        <w:rPr>
          <w:sz w:val="20"/>
          <w:szCs w:val="20"/>
          <w:color w:val="auto"/>
        </w:rPr>
      </w:pPr>
    </w:p>
    <w:p>
      <w:pPr>
        <w:jc w:val="both"/>
        <w:ind w:left="1000" w:right="400" w:hanging="547"/>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2,813,063 shares of common stock issuable upon the exercise of stock options outstanding as of June 30, 2020, with a weighted-average exercise price of $2.58 per share, plus 56,301 shares of common stock issuable upon the exercise of stock options granted subsequent to June 30, 2020, with a weighted-average exercise price of $4.87 per share;</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52,736 shares of common stock that will be outstanding upon the vesting of restricted stock units;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103,326 shares of common stock issuable upon the exercise of outstanding warrants to purchase shares of Series G Preferred Stock as of June 30, 2020, with a weighted-average exercise price of $4.46 per share;</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1,893,395 shares of common stock reserved for future issuance under the 2020 Incentive Plan, which will become effective immediately prior to the completion of this offering; and</w:t>
      </w:r>
    </w:p>
    <w:p>
      <w:pPr>
        <w:spacing w:after="0" w:line="75" w:lineRule="exact"/>
        <w:rPr>
          <w:rFonts w:ascii="Arial" w:cs="Arial" w:eastAsia="Arial" w:hAnsi="Arial"/>
          <w:sz w:val="18"/>
          <w:szCs w:val="18"/>
          <w:color w:val="auto"/>
        </w:rPr>
      </w:pPr>
    </w:p>
    <w:p>
      <w:pPr>
        <w:ind w:left="1000" w:right="72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338,106 shares of common stock reserved for future issuance under the ESPP, which will become effective immediately prior to the completion of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459"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the closing of this offering.</w:t>
      </w:r>
    </w:p>
    <w:p>
      <w:pPr>
        <w:spacing w:after="0" w:line="184" w:lineRule="exact"/>
        <w:rPr>
          <w:sz w:val="20"/>
          <w:szCs w:val="20"/>
          <w:color w:val="auto"/>
        </w:rPr>
      </w:pPr>
    </w:p>
    <w:p>
      <w:pPr>
        <w:jc w:val="both"/>
        <w:ind w:right="460" w:firstLine="449"/>
        <w:spacing w:after="0" w:line="259" w:lineRule="auto"/>
        <w:rPr>
          <w:sz w:val="20"/>
          <w:szCs w:val="20"/>
          <w:color w:val="auto"/>
        </w:rPr>
      </w:pPr>
      <w:r>
        <w:rPr>
          <w:rFonts w:ascii="Arial" w:cs="Arial" w:eastAsia="Arial" w:hAnsi="Arial"/>
          <w:sz w:val="18"/>
          <w:szCs w:val="18"/>
          <w:color w:val="auto"/>
        </w:rPr>
        <w:t>Our historical net tangible book value as of June 30, 2020 was $(246.4) million, or $(897.72) per share of our common stock. Our historical net tangible book value is the amount of our total tangible assets less our total liabilities and convertible preferred stock, which is not included within our stockholders’ deficit. Historical net tangible book value per share represents historical net tangible book value divided by the number of shares of our common stock outstanding as of June 30, 2020.</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Our pro forma net tangible book value as of June 30, 2020 was $(20.9) million, or $(0.94) per share of our common stock. Pro forma net tangible book value per share represents our total tangible assets less our total liabilities, divided by the number of outstanding shares of common stock, after giving effect to the conversion of all outstanding shares of preferred stock into 20,090,745 shares of common stock immediately upon the closing of this offering and the conversion of all convertible debt into an aggregate of 1,848,280 shares of common stock immediately upon the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192"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After giving effect to the conversion of our outstanding preferred stock into 20,090,745 shares of common stock immediately upon the closing of this offering, the conversion of all convertible debt into an aggregate of 1,848,280 shares of common stock immediately upon the closing of this offering, based on interest accrued through October 15, 2020 and the assumed initial public offering price of $18.00 per share, which is the midpoint of the estimated offering price range set forth on the cover page of this prospectus, and the receipt of the net proceeds from our sale of 4,166,667 shares of common stock in this offering at an assumed initial public offering price of $18.00 per share, the midpoint of the estimated offering price range set forth on the cover page of this prospectus, after deducting underwriting discounts and commissions and estimated offering expenses payable by us, our pro forma as adjusted net tangible book value as of June 30, 2020, would have been $44.9 million, or $1.70 per share. This represents an immediate increase in pro forma as adjusted net tangible book value of $2.64 per share to our existing stockholders and immediate dilution of $16.30 per share to investors purchasing common stock in this offering.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46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9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 of our common stock</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18.00</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June 30,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(897.72)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increase in net tangible book value per share as of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896.78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June 30, 2020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0"/>
                <w:szCs w:val="20"/>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Dilution of net tangible book value per share to new investors</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16.30</w:t>
            </w:r>
          </w:p>
        </w:tc>
      </w:tr>
    </w:tbl>
    <w:p>
      <w:pPr>
        <w:spacing w:after="0" w:line="20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Each $1.00 increase or decrease in the assumed initial public offering price of 18.00 per share would increase or decrease, respectively, our pro forma as adjusted net tangible book value per share after this offering by $0.15 per share and the dilution to new investors by $0.85 per share, assuming the number of shares offered by us, as set forth on the cover page of this prospectus, remains the same and after deducting underwriting discounts and commissions and estimated offering expenses payable by us. Each increase of 1,000,000 shares in the number of shares of common stock offered by us would increase the pro forma as adjusted net tangible book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value by $0.55 per share and the dilution to new investors would decrease by $0.55 per share, assuming the assumed initial public offering price remains the same and after deducting underwriting discounts and commissions. Each decrease of 1,000,000 shares in the number of shares of common stock offered by us would decrease the pro forma as adjusted net tangible book value by $0.59 per share and the dilution to new investors would increase by $0.59 per share, assuming the assumed initial public offering price remains the same and after deducting underwriting discounts and commissions.</w:t>
      </w:r>
    </w:p>
    <w:p>
      <w:pPr>
        <w:spacing w:after="0" w:line="15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per share after giving effect to this offering would be $2.05 per share, and the dilution in pro forma as adjusted net tangible book value per share to new investors in this offering would be $0.35 per share.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as of October 15, 2020:</w:t>
      </w:r>
    </w:p>
    <w:p>
      <w:pPr>
        <w:spacing w:after="0" w:line="131" w:lineRule="exact"/>
        <w:rPr>
          <w:sz w:val="20"/>
          <w:szCs w:val="20"/>
          <w:color w:val="auto"/>
        </w:rPr>
      </w:pPr>
    </w:p>
    <w:p>
      <w:pPr>
        <w:ind w:left="1000" w:right="22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total number of shares of common stock purchased from us by our existing stockholders and by new investors purchasing shares in this offering;</w:t>
      </w:r>
    </w:p>
    <w:p>
      <w:pPr>
        <w:spacing w:after="0" w:line="75" w:lineRule="exact"/>
        <w:rPr>
          <w:rFonts w:ascii="Arial" w:cs="Arial" w:eastAsia="Arial" w:hAnsi="Arial"/>
          <w:sz w:val="18"/>
          <w:szCs w:val="18"/>
          <w:color w:val="auto"/>
        </w:rPr>
      </w:pPr>
    </w:p>
    <w:p>
      <w:pPr>
        <w:ind w:left="1000" w:right="20" w:hanging="547"/>
        <w:spacing w:after="0" w:line="259"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total consideration paid to us by our existing stockholders and by new investors purchasing shares in this offering, assuming an initial public offering price of $18.00 per share, the midpoint of the estimated offering price range set forth on the cover page of this prospectus, before deducting the underwriting discounts and commissions and estimated offering expenses payable by us in connection with this offering; and</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average price per share paid by existing stockholders and by new investors purchasing shares in this offering.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7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vMerge w:val="restart"/>
          </w:tcPr>
          <w:p>
            <w:pPr>
              <w:jc w:val="right"/>
              <w:ind w:right="235"/>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040" w:type="dxa"/>
            <w:vAlign w:val="bottom"/>
          </w:tcPr>
          <w:p>
            <w:pPr>
              <w:spacing w:after="0"/>
              <w:rPr>
                <w:sz w:val="6"/>
                <w:szCs w:val="6"/>
                <w:color w:val="auto"/>
              </w:rPr>
            </w:pPr>
          </w:p>
        </w:tc>
        <w:tc>
          <w:tcPr>
            <w:tcW w:w="170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84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52"/>
        </w:trPr>
        <w:tc>
          <w:tcPr>
            <w:tcW w:w="6040" w:type="dxa"/>
            <w:vAlign w:val="bottom"/>
          </w:tcPr>
          <w:p>
            <w:pPr>
              <w:spacing w:after="0"/>
              <w:rPr>
                <w:sz w:val="4"/>
                <w:szCs w:val="4"/>
                <w:color w:val="auto"/>
              </w:rPr>
            </w:pPr>
          </w:p>
        </w:tc>
        <w:tc>
          <w:tcPr>
            <w:tcW w:w="8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Number</w:t>
            </w:r>
          </w:p>
        </w:tc>
        <w:tc>
          <w:tcPr>
            <w:tcW w:w="380" w:type="dxa"/>
            <w:vAlign w:val="bottom"/>
            <w:vMerge w:val="restart"/>
          </w:tcPr>
          <w:p>
            <w:pPr>
              <w:spacing w:after="0"/>
              <w:rPr>
                <w:sz w:val="4"/>
                <w:szCs w:val="4"/>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Percent</w:t>
            </w:r>
          </w:p>
        </w:tc>
        <w:tc>
          <w:tcPr>
            <w:tcW w:w="180" w:type="dxa"/>
            <w:vAlign w:val="bottom"/>
          </w:tcPr>
          <w:p>
            <w:pPr>
              <w:spacing w:after="0"/>
              <w:rPr>
                <w:sz w:val="4"/>
                <w:szCs w:val="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22,254,072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w:t>
            </w:r>
          </w:p>
        </w:tc>
        <w:tc>
          <w:tcPr>
            <w:tcW w:w="1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$229,010,517</w:t>
            </w:r>
          </w:p>
        </w:tc>
        <w:tc>
          <w:tcPr>
            <w:tcW w:w="3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w:t>
            </w:r>
          </w:p>
        </w:tc>
        <w:tc>
          <w:tcPr>
            <w:tcW w:w="1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$ 10.29</w:t>
            </w:r>
          </w:p>
        </w:tc>
        <w:tc>
          <w:tcPr>
            <w:tcW w:w="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New investors</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4,166,667</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15.8</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75,000,006</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24.7</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26,420,739</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304,010,523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over-allotment option. If the underwriters exercise their over-allotment option in full, our existing stockholders would own 82.3% and our new investors would own 17.7% of the total number of shares of common stock outstanding upon the closing of this offering.</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number of shares of our common stock that will be outstanding after this offering is based on 22,254,072 shares of common stock outstanding as of October 15, 2020, and excludes:</w:t>
      </w:r>
    </w:p>
    <w:p>
      <w:pPr>
        <w:spacing w:after="0" w:line="76" w:lineRule="exact"/>
        <w:rPr>
          <w:sz w:val="20"/>
          <w:szCs w:val="20"/>
          <w:color w:val="auto"/>
        </w:rPr>
      </w:pPr>
    </w:p>
    <w:p>
      <w:pPr>
        <w:ind w:left="1000" w:right="16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2,817,440 shares of common stock issuable upon the exercise of stock options outstanding as of October 15, 2020, with a weighted-average exercise price of $2.80 per share;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79,104 shares of common stock that will be outstanding upon the vesting of restricted stock units;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103,326 shares of common stock issuable upon the exercise of outstanding warrants to purchase shares of Series G Preferred Stock as of October 15, 2020, with a weighted-average exercise price of $4.46 per share;</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1,893,395 shares of common stock reserved for future issuance under the 2020 Incentive Plan, which will become effective immediately prior to the completion of this offering; and</w:t>
      </w:r>
    </w:p>
    <w:p>
      <w:pPr>
        <w:spacing w:after="0" w:line="75" w:lineRule="exact"/>
        <w:rPr>
          <w:rFonts w:ascii="Arial" w:cs="Arial" w:eastAsia="Arial" w:hAnsi="Arial"/>
          <w:sz w:val="18"/>
          <w:szCs w:val="18"/>
          <w:color w:val="auto"/>
        </w:rPr>
      </w:pPr>
    </w:p>
    <w:p>
      <w:pPr>
        <w:ind w:left="1000" w:right="740" w:hanging="547"/>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338,106 shares of common stock reserved for future issuance under the ESPP, which will become effective immediately prior to the completion of this offering.</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Each $1.00 increase or decrease in the assumed initial public offering price of $18.00 per share, the midpoint of the estimated offering price range set forth on the cover page of this prospectus, would increase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decrease, respectively, the total consideration paid by new investors by $4.2 million and increase or decrease, respectively, the total consideration paid by new investors by 1%, assuming that the number of shares offered by us, as set forth on the cover page of this prospectus, remains the same and before deducting underwriting discounts and commissions.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extent any outstanding options are exercised, new investors would experience further dilution.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40"/>
          </w:cols>
          <w:pgMar w:left="320" w:top="459" w:right="5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22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following table sets forth Biodesix, Inc.’s selected historical financial and operating data as of the dates and for the financial reporting periods indicated. The selected historical financial and operating data as of June 30, 2020 and 2019 and for the six months ended June 30, 2020 and 2019 have been derived from our unaudited condensed financial statements included elsewhere in this prospectus. The selected historical financial and operating data as of December 31, 2019 and 2018 and for the years ended December 31, 2019 and 2018 have been derived from our audited financial statements included elsewhere in this prospectus.</w:t>
      </w:r>
    </w:p>
    <w:p>
      <w:pPr>
        <w:spacing w:after="0" w:line="188"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The selected historical financial information is not necessarily indicative of the results that may be expected in any future financial reporting period, and our results of operations for any interim financial reporting period are not necessarily indicative of the results to be expected for the full year. Our preliminary revenues and cash for each of the nine months ended September 30, 2020 and September 30, 2019 are included in “Prospectus Summary— Preliminary Results for Third Quarter 2020.” Such results are preliminary and are subject to change and are not necessarily indicative of the results expected for the full year.</w:t>
      </w:r>
    </w:p>
    <w:p>
      <w:pPr>
        <w:spacing w:after="0" w:line="188"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following selected historical financial and operating data should be read in conjunction with “Capitalization,” “Prospectus Summary—Summary Historical Financial and Operating Data” and “Management’s Discussion and Analysis of Financial Condition and Results of Operations” and the financial statements and related notes appearing elsewhere in this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tcPr>
          <w:p>
            <w:pPr>
              <w:jc w:val="right"/>
              <w:ind w:right="411"/>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left="373"/>
              <w:spacing w:after="0" w:line="142" w:lineRule="exact"/>
              <w:rPr>
                <w:sz w:val="20"/>
                <w:szCs w:val="20"/>
                <w:color w:val="auto"/>
              </w:rPr>
            </w:pPr>
            <w:r>
              <w:rPr>
                <w:rFonts w:ascii="Arial" w:cs="Arial" w:eastAsia="Arial" w:hAnsi="Arial"/>
                <w:sz w:val="14"/>
                <w:szCs w:val="14"/>
                <w:b w:val="1"/>
                <w:bCs w:val="1"/>
                <w:color w:val="auto"/>
                <w:w w:val="94"/>
              </w:rPr>
              <w:t>(audited)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20,432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6,074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10,468</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30,637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25,899</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3,451</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(14,168)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(26,741)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(23,461)</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Total other expense</w:t>
            </w:r>
          </w:p>
        </w:tc>
        <w:tc>
          <w:tcPr>
            <w:tcW w:w="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(17,971)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(14,599)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(26,166)</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(68.85)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(64.88)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(126.97)</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(130.83)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shares outstanding, basic and diluted (unaudited)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261,331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440" w:type="dxa"/>
            <w:vAlign w:val="bottom"/>
          </w:tcPr>
          <w:p>
            <w:pPr>
              <w:ind w:left="5540"/>
              <w:spacing w:after="0"/>
              <w:rPr>
                <w:sz w:val="20"/>
                <w:szCs w:val="20"/>
                <w:color w:val="auto"/>
              </w:rPr>
            </w:pPr>
            <w:r>
              <w:rPr>
                <w:rFonts w:ascii="Arial" w:cs="Arial" w:eastAsia="Arial" w:hAnsi="Arial"/>
                <w:sz w:val="18"/>
                <w:szCs w:val="18"/>
                <w:color w:val="auto"/>
              </w:rPr>
              <w:t>83</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280" w:type="dxa"/>
            <w:vAlign w:val="bottom"/>
          </w:tcPr>
          <w:p>
            <w:pPr>
              <w:spacing w:after="0"/>
              <w:rPr>
                <w:sz w:val="14"/>
                <w:szCs w:val="14"/>
                <w:color w:val="auto"/>
              </w:rPr>
            </w:pPr>
          </w:p>
        </w:tc>
        <w:tc>
          <w:tcPr>
            <w:tcW w:w="5380" w:type="dxa"/>
            <w:vAlign w:val="bottom"/>
            <w:gridSpan w:val="2"/>
          </w:tcPr>
          <w:p>
            <w:pPr>
              <w:jc w:val="center"/>
              <w:ind w:left="4552"/>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Actual</w:t>
            </w: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8"/>
              </w:rPr>
              <w:t>Actual</w:t>
            </w:r>
          </w:p>
        </w:tc>
        <w:tc>
          <w:tcPr>
            <w:tcW w:w="100" w:type="dxa"/>
            <w:vAlign w:val="bottom"/>
            <w:tcBorders>
              <w:bottom w:val="single" w:sz="8" w:color="CCEEFF"/>
            </w:tcBorders>
          </w:tcPr>
          <w:p>
            <w:pPr>
              <w:spacing w:after="0"/>
              <w:rPr>
                <w:sz w:val="12"/>
                <w:szCs w:val="12"/>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11,674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Working capital</w:t>
            </w:r>
          </w:p>
        </w:tc>
        <w:tc>
          <w:tcPr>
            <w:tcW w:w="6020" w:type="dxa"/>
            <w:vAlign w:val="bottom"/>
            <w:gridSpan w:val="3"/>
          </w:tcPr>
          <w:p>
            <w:pPr>
              <w:jc w:val="right"/>
              <w:ind w:right="580"/>
              <w:spacing w:after="0"/>
              <w:rPr>
                <w:sz w:val="20"/>
                <w:szCs w:val="20"/>
                <w:color w:val="auto"/>
              </w:rPr>
            </w:pPr>
            <w:r>
              <w:rPr>
                <w:rFonts w:ascii="Arial" w:cs="Arial" w:eastAsia="Arial" w:hAnsi="Arial"/>
                <w:sz w:val="18"/>
                <w:szCs w:val="18"/>
                <w:color w:val="auto"/>
              </w:rPr>
              <w:t>(27,429)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(9,900)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45,478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Current portion of long-term debt payable</w:t>
            </w:r>
          </w:p>
        </w:tc>
        <w:tc>
          <w:tcPr>
            <w:tcW w:w="6020" w:type="dxa"/>
            <w:vAlign w:val="bottom"/>
            <w:gridSpan w:val="3"/>
          </w:tcPr>
          <w:p>
            <w:pPr>
              <w:jc w:val="right"/>
              <w:ind w:right="640"/>
              <w:spacing w:after="0"/>
              <w:rPr>
                <w:sz w:val="20"/>
                <w:szCs w:val="20"/>
                <w:color w:val="auto"/>
              </w:rPr>
            </w:pPr>
            <w:r>
              <w:rPr>
                <w:rFonts w:ascii="Arial" w:cs="Arial" w:eastAsia="Arial" w:hAnsi="Arial"/>
                <w:sz w:val="18"/>
                <w:szCs w:val="18"/>
                <w:color w:val="auto"/>
              </w:rPr>
              <w:t>4,064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payable</w:t>
            </w:r>
          </w:p>
        </w:tc>
        <w:tc>
          <w:tcPr>
            <w:tcW w:w="6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20,163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Convertible debt</w:t>
            </w:r>
          </w:p>
        </w:tc>
        <w:tc>
          <w:tcPr>
            <w:tcW w:w="6020" w:type="dxa"/>
            <w:vAlign w:val="bottom"/>
            <w:gridSpan w:val="3"/>
          </w:tcPr>
          <w:p>
            <w:pPr>
              <w:jc w:val="right"/>
              <w:ind w:right="640"/>
              <w:spacing w:after="0"/>
              <w:rPr>
                <w:sz w:val="20"/>
                <w:szCs w:val="20"/>
                <w:color w:val="auto"/>
              </w:rPr>
            </w:pPr>
            <w:r>
              <w:rPr>
                <w:rFonts w:ascii="Arial" w:cs="Arial" w:eastAsia="Arial" w:hAnsi="Arial"/>
                <w:sz w:val="18"/>
                <w:szCs w:val="18"/>
                <w:color w:val="auto"/>
              </w:rPr>
              <w:t>24,676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12,159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29,114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6020" w:type="dxa"/>
            <w:vAlign w:val="bottom"/>
            <w:gridSpan w:val="3"/>
          </w:tcPr>
          <w:p>
            <w:pPr>
              <w:jc w:val="right"/>
              <w:ind w:right="640"/>
              <w:spacing w:after="0"/>
              <w:rPr>
                <w:sz w:val="20"/>
                <w:szCs w:val="20"/>
                <w:color w:val="auto"/>
              </w:rPr>
            </w:pPr>
            <w:r>
              <w:rPr>
                <w:rFonts w:ascii="Arial" w:cs="Arial" w:eastAsia="Arial" w:hAnsi="Arial"/>
                <w:sz w:val="18"/>
                <w:szCs w:val="18"/>
                <w:color w:val="auto"/>
              </w:rPr>
              <w:t>193,959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193,959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6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(248,835)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(230,864)</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6020" w:type="dxa"/>
            <w:vAlign w:val="bottom"/>
            <w:gridSpan w:val="3"/>
          </w:tcPr>
          <w:p>
            <w:pPr>
              <w:jc w:val="right"/>
              <w:ind w:right="580"/>
              <w:spacing w:after="0"/>
              <w:rPr>
                <w:sz w:val="20"/>
                <w:szCs w:val="20"/>
                <w:color w:val="auto"/>
              </w:rPr>
            </w:pPr>
            <w:r>
              <w:rPr>
                <w:rFonts w:ascii="Arial" w:cs="Arial" w:eastAsia="Arial" w:hAnsi="Arial"/>
                <w:sz w:val="18"/>
                <w:szCs w:val="18"/>
                <w:color w:val="auto"/>
              </w:rPr>
              <w:t>(246,444)</w:t>
            </w: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(228,539)</w:t>
            </w:r>
          </w:p>
        </w:tc>
      </w:tr>
      <w:tr>
        <w:trPr>
          <w:trHeight w:val="350"/>
        </w:trPr>
        <w:tc>
          <w:tcPr>
            <w:tcW w:w="4280" w:type="dxa"/>
            <w:vAlign w:val="bottom"/>
          </w:tcPr>
          <w:p>
            <w:pPr>
              <w:spacing w:after="0"/>
              <w:rPr>
                <w:sz w:val="24"/>
                <w:szCs w:val="24"/>
                <w:color w:val="auto"/>
              </w:rPr>
            </w:pPr>
          </w:p>
        </w:tc>
        <w:tc>
          <w:tcPr>
            <w:tcW w:w="4640" w:type="dxa"/>
            <w:vAlign w:val="bottom"/>
          </w:tcPr>
          <w:p>
            <w:pPr>
              <w:jc w:val="right"/>
              <w:ind w:right="3112"/>
              <w:spacing w:after="0"/>
              <w:rPr>
                <w:sz w:val="20"/>
                <w:szCs w:val="20"/>
                <w:color w:val="auto"/>
              </w:rPr>
            </w:pPr>
            <w:r>
              <w:rPr>
                <w:rFonts w:ascii="Arial" w:cs="Arial" w:eastAsia="Arial" w:hAnsi="Arial"/>
                <w:sz w:val="18"/>
                <w:szCs w:val="18"/>
                <w:color w:val="auto"/>
              </w:rPr>
              <w:t>84</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sections of this prospectus titled “Prospectus Summary—Summary Historical Financial and Operating Data,” “Selected Historical Financial and Operating Data” and our financial statements and the related notes to those statements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prospectus. You should carefully read the “Risk Factors” to gain an understanding of the important factors that could cause actual results to differ materially from our forward-looking statements.</w:t>
      </w:r>
    </w:p>
    <w:p>
      <w:pPr>
        <w:spacing w:after="0" w:line="165"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provided to supplement the financial statements and the related notes included elsewhere in this prospectus. We intend for this discussion to provide you with information that will assist you in understanding our financial statements, the changes in key items in those financial statements from year to year and the primary factors that accounted for those changes. The MD&amp;A is organized as follows:</w:t>
      </w:r>
    </w:p>
    <w:p>
      <w:pPr>
        <w:spacing w:after="0" w:line="92" w:lineRule="exact"/>
        <w:rPr>
          <w:sz w:val="20"/>
          <w:szCs w:val="20"/>
          <w:color w:val="auto"/>
        </w:rPr>
      </w:pPr>
    </w:p>
    <w:p>
      <w:pPr>
        <w:ind w:left="1000" w:right="56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Overview</w:t>
      </w:r>
      <w:r>
        <w:rPr>
          <w:rFonts w:ascii="Arial" w:cs="Arial" w:eastAsia="Arial" w:hAnsi="Arial"/>
          <w:sz w:val="18"/>
          <w:szCs w:val="18"/>
          <w:color w:val="auto"/>
        </w:rPr>
        <w:t>. This section provides a general description of our business as well as trends and other factors affecting our business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are necessary to understand our financial condition and results of operations.</w:t>
      </w:r>
    </w:p>
    <w:p>
      <w:pPr>
        <w:spacing w:after="0" w:line="75"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Factors Affecting Our Performance</w:t>
      </w:r>
      <w:r>
        <w:rPr>
          <w:rFonts w:ascii="Arial" w:cs="Arial" w:eastAsia="Arial" w:hAnsi="Arial"/>
          <w:sz w:val="18"/>
          <w:szCs w:val="18"/>
          <w:color w:val="auto"/>
        </w:rPr>
        <w:t>. This section provides a description of the key factors that have historically, and that we expect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affect our business.</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Operating Results</w:t>
      </w:r>
      <w:r>
        <w:rPr>
          <w:rFonts w:ascii="Arial" w:cs="Arial" w:eastAsia="Arial" w:hAnsi="Arial"/>
          <w:sz w:val="18"/>
          <w:szCs w:val="18"/>
          <w:color w:val="auto"/>
        </w:rPr>
        <w:t>. This section provides a description of our revenues and operating expenses for the six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2020 and 2019 and the years ended December 31, 2019 and 2018.</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Results of Operations</w:t>
      </w:r>
      <w:r>
        <w:rPr>
          <w:rFonts w:ascii="Arial" w:cs="Arial" w:eastAsia="Arial" w:hAnsi="Arial"/>
          <w:sz w:val="18"/>
          <w:szCs w:val="18"/>
          <w:color w:val="auto"/>
        </w:rPr>
        <w:t>. This section provides a discussion of the results of operations on a historical basis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 and the years ended December 31, 2019 and 2018.</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This section provides an analysis of our ability to generate cash and to meet existing known or reasonably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likely future cash requirements.</w:t>
      </w:r>
    </w:p>
    <w:p>
      <w:pPr>
        <w:spacing w:after="0" w:line="75" w:lineRule="exact"/>
        <w:rPr>
          <w:rFonts w:ascii="Arial" w:cs="Arial" w:eastAsia="Arial" w:hAnsi="Arial"/>
          <w:sz w:val="18"/>
          <w:szCs w:val="18"/>
          <w:color w:val="auto"/>
        </w:rPr>
      </w:pPr>
    </w:p>
    <w:p>
      <w:pPr>
        <w:ind w:left="1000" w:right="40" w:hanging="547"/>
        <w:spacing w:after="0" w:line="263"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Critical Accounting Policies and Significant Judgments and Estimates</w:t>
      </w:r>
      <w:r>
        <w:rPr>
          <w:rFonts w:ascii="Arial" w:cs="Arial" w:eastAsia="Arial" w:hAnsi="Arial"/>
          <w:sz w:val="18"/>
          <w:szCs w:val="18"/>
          <w:color w:val="auto"/>
        </w:rPr>
        <w:t>. This section discusses the accounting policies and estimates that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 important to our financial condition and results of operations and that require significant judgment and estimates on the part of management in their application.</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color w:val="auto"/>
        </w:rPr>
        <w:t>. This section discusses our exposure to interest rate risk</w:t>
      </w:r>
      <w:r>
        <w:rPr>
          <w:rFonts w:ascii="Arial" w:cs="Arial" w:eastAsia="Arial" w:hAnsi="Arial"/>
          <w:sz w:val="18"/>
          <w:szCs w:val="18"/>
          <w:i w:val="1"/>
          <w:iCs w:val="1"/>
          <w:color w:val="auto"/>
        </w:rPr>
        <w:t>.</w:t>
      </w:r>
    </w:p>
    <w:p>
      <w:pPr>
        <w:spacing w:after="0" w:line="225"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Data for the six months ended June 30, 2020 and 2019 and the years ended December 31, 2019 and 2018 has been derived from our unaudited condensed financial statements for the six months ended June 30, 2020 and 2019 and our audited financial statements for the year ended December 31, 2019 and 2018 included elsewhere in this 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are a leading data-driven diagnostic solutions company leveraging state of the art technologies with our proprietary AI platform to discover, develop, and commercialize solutions for clinical unmet needs, with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92"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92"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We have commercialized six diagnostic tests which are currently available for use by physicians. Our Nodify XL2 and Nodify CDT tests,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 response to the COVID-19 pandemic, through our partnership with Bio-Rad, we commercialized the Biodesix WorkSafe testing program. Our scientific diagnostic expertise, technologies, and existing commercial infrastructure enabled us to rapidly commercialize two FDA EUA-authorized tests, a part of our customizable program. Both diagnostic tests are owned and were developed by Bio-Rad and Bio-Rad has granted us permission to utilize both tests for commercial diagnostic services. For more information regarding the permission granted to us by Bio-Rad with respect to such tests, please see “Business—Material Agreements—Agreements with Bio-Rad.”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SARS-CoV-2 tests will remain in place. Using the Bio-Rad SARS-CoV-2 ddPCR test and the Platelia SARS-CoV-2 Total Ab test, we operate and have commercialized the Biodesix WorkSafe testing program.</w:t>
      </w:r>
    </w:p>
    <w:p>
      <w:pPr>
        <w:spacing w:after="0" w:line="170"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78"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These tests are utilized by healthcare providers, including hospitals and nursing homes, and are also offered to businesses and educational systems to assist in their back-to-work or back-to-school strategies.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8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8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Since our inception, we have performed over 245,000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88"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customers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157" w:lineRule="exact"/>
        <w:rPr>
          <w:sz w:val="20"/>
          <w:szCs w:val="20"/>
          <w:color w:val="auto"/>
        </w:rPr>
      </w:pPr>
    </w:p>
    <w:p>
      <w:pPr>
        <w:ind w:right="200" w:firstLine="449"/>
        <w:spacing w:after="0" w:line="254" w:lineRule="auto"/>
        <w:rPr>
          <w:sz w:val="20"/>
          <w:szCs w:val="20"/>
          <w:color w:val="auto"/>
        </w:rPr>
      </w:pPr>
      <w:r>
        <w:rPr>
          <w:rFonts w:ascii="Arial" w:cs="Arial" w:eastAsia="Arial" w:hAnsi="Arial"/>
          <w:sz w:val="18"/>
          <w:szCs w:val="18"/>
          <w:color w:val="auto"/>
        </w:rPr>
        <w:t>We generated total revenue of $9.3 million and $12.3 million for the six months ended June 30, 2020 and 2019, respectively, and generated total revenue of $24.6 million and $20.4 million for the years ended December 31, 2019 and 2018, respectively. We incurred net losses of $18.0 million and $14.6 million for the six months ended June 30, 2020 and 2019, respectively, and net losses of $30.7 million and $26.2 million for the years ended December 31, 2019 and 2018, respectively. We have funded our operations to date principally from net proceeds from the sale of convertible preferred stock, revenue from diagnostic testing and services, and the incurrence of indebtedness. Most recently in two tranches, in March 2020, and June 2020 we raised $10 million through the issuance of convertible debt. We had cash and cash equivalents of $11.7 million as of June 30, 2020 and $5.3 million as of December 31, 2019.</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there are several important factors that have impacted our operating performance and results of operations, including:</w:t>
      </w:r>
    </w:p>
    <w:p>
      <w:pPr>
        <w:spacing w:after="0" w:line="127" w:lineRule="exact"/>
        <w:rPr>
          <w:sz w:val="20"/>
          <w:szCs w:val="20"/>
          <w:color w:val="auto"/>
        </w:rPr>
      </w:pPr>
    </w:p>
    <w:p>
      <w:pPr>
        <w:ind w:left="1000" w:right="520" w:hanging="547"/>
        <w:spacing w:after="0" w:line="282"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Testing volume and customer mix. </w:t>
      </w:r>
      <w:r>
        <w:rPr>
          <w:rFonts w:ascii="Arial" w:cs="Arial" w:eastAsia="Arial" w:hAnsi="Arial"/>
          <w:sz w:val="18"/>
          <w:szCs w:val="18"/>
          <w:color w:val="auto"/>
        </w:rPr>
        <w:t>Our revenues and costs are affected by the volume of testing and mix of customers from period to</w:t>
      </w:r>
      <w:r>
        <w:rPr>
          <w:rFonts w:ascii="Arial" w:cs="Arial" w:eastAsia="Arial" w:hAnsi="Arial"/>
          <w:sz w:val="18"/>
          <w:szCs w:val="18"/>
          <w:b w:val="1"/>
          <w:bCs w:val="1"/>
          <w:color w:val="auto"/>
        </w:rPr>
        <w:t xml:space="preserve"> </w:t>
      </w:r>
      <w:r>
        <w:rPr>
          <w:rFonts w:ascii="Arial" w:cs="Arial" w:eastAsia="Arial" w:hAnsi="Arial"/>
          <w:sz w:val="18"/>
          <w:szCs w:val="18"/>
          <w:color w:val="auto"/>
        </w:rPr>
        <w:t>period. We evaluate both the volume of our commercial tests, or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70" w:lineRule="auto"/>
        <w:rPr>
          <w:sz w:val="20"/>
          <w:szCs w:val="20"/>
          <w:color w:val="auto"/>
        </w:rPr>
      </w:pPr>
      <w:r>
        <w:rPr>
          <w:rFonts w:ascii="Arial" w:cs="Arial" w:eastAsia="Arial" w:hAnsi="Arial"/>
          <w:sz w:val="17"/>
          <w:szCs w:val="17"/>
          <w:color w:val="auto"/>
        </w:rPr>
        <w:t>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 We expect our costs to significantly increase in 2020 and the beginning of 2021 due to a significant increase in demand for COVID-19 diagnostic testing and we expect our related revenues from such tests to also increase.</w:t>
      </w:r>
    </w:p>
    <w:p>
      <w:pPr>
        <w:spacing w:after="0" w:line="82" w:lineRule="exact"/>
        <w:rPr>
          <w:sz w:val="20"/>
          <w:szCs w:val="20"/>
          <w:color w:val="auto"/>
        </w:rPr>
      </w:pPr>
    </w:p>
    <w:p>
      <w:pPr>
        <w:jc w:val="both"/>
        <w:ind w:left="1000" w:right="240" w:hanging="547"/>
        <w:spacing w:after="0" w:line="303"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Reimbursement for clinical diagnostic testing. </w:t>
      </w:r>
      <w:r>
        <w:rPr>
          <w:rFonts w:ascii="Arial" w:cs="Arial" w:eastAsia="Arial" w:hAnsi="Arial"/>
          <w:sz w:val="16"/>
          <w:szCs w:val="16"/>
          <w:color w:val="auto"/>
        </w:rPr>
        <w:t>Our revenue depends on achieving broad coverage and reimbursement for our tests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46" w:lineRule="exact"/>
        <w:rPr>
          <w:rFonts w:ascii="Arial" w:cs="Arial" w:eastAsia="Arial" w:hAnsi="Arial"/>
          <w:sz w:val="16"/>
          <w:szCs w:val="16"/>
          <w:color w:val="auto"/>
        </w:rPr>
      </w:pPr>
    </w:p>
    <w:p>
      <w:pPr>
        <w:ind w:left="1020" w:right="20"/>
        <w:spacing w:after="0" w:line="270" w:lineRule="auto"/>
        <w:rPr>
          <w:rFonts w:ascii="Arial" w:cs="Arial" w:eastAsia="Arial" w:hAnsi="Arial"/>
          <w:sz w:val="16"/>
          <w:szCs w:val="16"/>
          <w:color w:val="auto"/>
        </w:rPr>
      </w:pPr>
      <w:r>
        <w:rPr>
          <w:rFonts w:ascii="Arial" w:cs="Arial" w:eastAsia="Arial" w:hAnsi="Arial"/>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82" w:lineRule="exact"/>
        <w:rPr>
          <w:rFonts w:ascii="Arial" w:cs="Arial" w:eastAsia="Arial" w:hAnsi="Arial"/>
          <w:sz w:val="16"/>
          <w:szCs w:val="16"/>
          <w:color w:val="auto"/>
        </w:rPr>
      </w:pPr>
    </w:p>
    <w:p>
      <w:pPr>
        <w:ind w:left="1000" w:right="20" w:hanging="547"/>
        <w:spacing w:after="0" w:line="273"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Our recently launched ALTITUDE study seeks to further demonstrate the efficacy of the Nodify XL2 and Nodify CDT test. A secondary focus of our studies is understanding the economic impact of our tests in guiding treatment choices and the potential impact of our tests in reducing overall healthcare costs.</w:t>
      </w:r>
    </w:p>
    <w:p>
      <w:pPr>
        <w:spacing w:after="0" w:line="67" w:lineRule="exact"/>
        <w:rPr>
          <w:rFonts w:ascii="Arial" w:cs="Arial" w:eastAsia="Arial" w:hAnsi="Arial"/>
          <w:sz w:val="17"/>
          <w:szCs w:val="17"/>
          <w:color w:val="auto"/>
        </w:rPr>
      </w:pPr>
    </w:p>
    <w:p>
      <w:pPr>
        <w:ind w:left="1020"/>
        <w:spacing w:after="0" w:line="279" w:lineRule="auto"/>
        <w:rPr>
          <w:rFonts w:ascii="Arial" w:cs="Arial" w:eastAsia="Arial" w:hAnsi="Arial"/>
          <w:sz w:val="17"/>
          <w:szCs w:val="17"/>
          <w:color w:val="auto"/>
        </w:rPr>
      </w:pPr>
      <w:r>
        <w:rPr>
          <w:rFonts w:ascii="Arial" w:cs="Arial" w:eastAsia="Arial" w:hAnsi="Arial"/>
          <w:sz w:val="17"/>
          <w:szCs w:val="17"/>
          <w:color w:val="auto"/>
        </w:rPr>
        <w:t>Our clinical research has resulted in over 80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72" w:lineRule="exact"/>
        <w:rPr>
          <w:rFonts w:ascii="Arial" w:cs="Arial" w:eastAsia="Arial" w:hAnsi="Arial"/>
          <w:sz w:val="17"/>
          <w:szCs w:val="17"/>
          <w:color w:val="auto"/>
        </w:rPr>
      </w:pPr>
    </w:p>
    <w:p>
      <w:pPr>
        <w:ind w:left="1000" w:right="160" w:hanging="547"/>
        <w:spacing w:after="0" w:line="298"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Ability to attract new biopharmaceutical customers and maintain and expand relationships with existing customers. </w:t>
      </w:r>
      <w:r>
        <w:rPr>
          <w:rFonts w:ascii="Arial" w:cs="Arial" w:eastAsia="Arial" w:hAnsi="Arial"/>
          <w:sz w:val="16"/>
          <w:szCs w:val="16"/>
          <w:color w:val="auto"/>
        </w:rPr>
        <w:t>Our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goal. As we continue to develop these relationships, we expect to support a growing number of investigations and clinical trials. If our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2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300"/>
        <w:spacing w:after="0" w:line="259" w:lineRule="auto"/>
        <w:rPr>
          <w:sz w:val="20"/>
          <w:szCs w:val="20"/>
          <w:color w:val="auto"/>
        </w:rPr>
      </w:pPr>
      <w:r>
        <w:rPr>
          <w:rFonts w:ascii="Arial" w:cs="Arial" w:eastAsia="Arial" w:hAnsi="Arial"/>
          <w:sz w:val="18"/>
          <w:szCs w:val="18"/>
          <w:color w:val="auto"/>
        </w:rPr>
        <w:t>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88" w:lineRule="exact"/>
        <w:rPr>
          <w:sz w:val="20"/>
          <w:szCs w:val="20"/>
          <w:color w:val="auto"/>
        </w:rPr>
      </w:pPr>
    </w:p>
    <w:p>
      <w:pPr>
        <w:ind w:left="1000" w:right="60" w:hanging="547"/>
        <w:spacing w:after="0" w:line="254"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Motivating and expanding our field sales force and customer support team. </w:t>
      </w:r>
      <w:r>
        <w:rPr>
          <w:rFonts w:ascii="Arial" w:cs="Arial" w:eastAsia="Arial" w:hAnsi="Arial"/>
          <w:sz w:val="18"/>
          <w:szCs w:val="18"/>
          <w:color w:val="auto"/>
        </w:rPr>
        <w:t>Our field sales force is the primary point of contact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setting. These representatives of the company must cover expansive geographic regions which limits their time for interaction and education of our products in the clinical setting.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 Furthermore, as we increase testing volume for our COVID-19 diagnostic testing program, we plan to hire additional project support members to assist us in expanding testing capacity.</w:t>
      </w:r>
    </w:p>
    <w:p>
      <w:pPr>
        <w:spacing w:after="0" w:line="196"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See “Risk Factors” for more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COVID-19 pandemic has disrupted, and we expect will continue to disrupt, our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in an effort to help slow the spread of COVID-19 in the coming months, including complying with government directives and guidelines as they are modified and supplemented.</w:t>
      </w:r>
    </w:p>
    <w:p>
      <w:pPr>
        <w:spacing w:after="0" w:line="166"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The COVID-19 pandemic also has started to negatively affect, and we expect will continue to negatively affect,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17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are also experiencing an increase in revenues related to an increase in the demand for our Biodesix WorkSafe testing program. We expect that our costs to expand capacity for COVID-19 testing will increase for the remainder of 2020 and the first quarter of 2021 and we expect that the revenue that we generate from this expansion will comprise a significant portion of our revenue for these periods. However,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diagnostic test could decrease significantly and this could have an adverse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effect on our results of operations and profitability. As a result, the increase in revenue due to any increase in demand for these diagnostic tests may not be indicative of our future revenue.</w:t>
      </w:r>
    </w:p>
    <w:p>
      <w:pPr>
        <w:spacing w:after="0" w:line="170" w:lineRule="exact"/>
        <w:rPr>
          <w:sz w:val="20"/>
          <w:szCs w:val="20"/>
          <w:color w:val="auto"/>
        </w:rPr>
      </w:pPr>
    </w:p>
    <w:p>
      <w:pPr>
        <w:ind w:right="820" w:firstLine="449"/>
        <w:spacing w:after="0" w:line="277" w:lineRule="auto"/>
        <w:rPr>
          <w:sz w:val="20"/>
          <w:szCs w:val="20"/>
          <w:color w:val="auto"/>
        </w:rPr>
      </w:pPr>
      <w:r>
        <w:rPr>
          <w:rFonts w:ascii="Arial" w:cs="Arial" w:eastAsia="Arial" w:hAnsi="Arial"/>
          <w:sz w:val="18"/>
          <w:szCs w:val="18"/>
          <w:color w:val="auto"/>
        </w:rPr>
        <w:t>See “Risk Factors” for a description of how the COVID-19 pandemic may adversely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Diagnostic Tests</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w:t>
      </w:r>
    </w:p>
    <w:p>
      <w:pPr>
        <w:spacing w:after="0" w:line="170"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consider diagnostic testing to be completed upon the delivery of test results to the prescribing physician,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18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Diagnostic test revenue decreased to $7.2 million for the six months ended June 30, 2020 compared to $8.9 million for the six months ended June 30, 2019, a decrease of $1.7 million or 19%. This decrease was primarily due to impacts from the COVID-19 pandemic which caused our primary pulmonology call point to be diverted to pandemic-related care and our sales force being quarantined, and in many cases being locked out of call points due to the pandemic. As a result, revenue related to our non-COVID-19 diagnostic tests declined by $3.1 million in the six months ended June 30, 2020 when compared to the same period in 2019. These impacts were partially offset by the commercialization of two COVID-19 diagnostic tests. The net impact of these changes was a $1.7 million reduction in diagnostic revenues during the six months ended June 30, 2020.</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Services</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Services revenue is generated from the delivery of our on-market tests, pipeline tests, custom diagnostic testing, and other scientific services for a purpose as defined by any individual customer. Often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166" w:lineRule="exact"/>
        <w:rPr>
          <w:sz w:val="20"/>
          <w:szCs w:val="20"/>
          <w:color w:val="auto"/>
        </w:rPr>
      </w:pPr>
    </w:p>
    <w:p>
      <w:pPr>
        <w:jc w:val="both"/>
        <w:ind w:right="520" w:firstLine="449"/>
        <w:spacing w:after="0" w:line="263" w:lineRule="auto"/>
        <w:rPr>
          <w:sz w:val="20"/>
          <w:szCs w:val="20"/>
          <w:color w:val="auto"/>
        </w:rPr>
      </w:pPr>
      <w:r>
        <w:rPr>
          <w:rFonts w:ascii="Arial" w:cs="Arial" w:eastAsia="Arial" w:hAnsi="Arial"/>
          <w:sz w:val="18"/>
          <w:szCs w:val="18"/>
          <w:color w:val="auto"/>
        </w:rPr>
        <w:t>For the six months ended June 30, 2020 and 2019, diagnostic test revenue comprised 78% and 73% of our total revenues and services revenue comprised 22% and 27% of total revenues, respectively. Diagnostic test revenue comprised 71% and 93% of our total revenues and services revenue comprised 29% and 7% of total revenues in 2019 and 2018,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 costs and expenses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Cost of diagnostic testing generally consists of cost of materials, direct labor, including bonus, benefit and stock-based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 For a description of our material license agreements, please see “Business—Intellectual Property” and “—Material Agreements.”</w:t>
      </w:r>
    </w:p>
    <w:p>
      <w:pPr>
        <w:spacing w:after="0" w:line="168"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w:t>
      </w:r>
    </w:p>
    <w:p>
      <w:pPr>
        <w:spacing w:after="0" w:line="12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Cost of services includes costs incurred for the performance of development services requested by our customers. Cost of development services will vary depending on the nature, timing and scope of customer projects.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16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expect our research and development expenses to increase in absolute dollars as we continue to innovate and develop additional products and expand our data management resources. As our services revenue grows, an increasing portion of research and development dollars are expected to be allocated to cost of goods for biopharma service contracts. This expense, though expected to increase in absolute dollars, is expected to decrease as a percentage of revenue in the long term, though it may fluctuate as a percentage of our revenues from period to period due to the timing and extent of these expenses.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stock-based compensation, as well as marketing and educational activities and allocated overhead expenses. We expect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sales and marketing expenses to increase in absolute dollars as we expand our sales force, increase our presence within the United States, and increase our marketing activities to drive further awareness and adoption of our tests and our future products. These expenses, though expected to increase in absolute dollars, are expected to decrease as a percentage of revenue in the long term, though they may fluctuate as a percentage of our revenues from period to period due to the timing and extent of these expenses.</w:t>
      </w:r>
    </w:p>
    <w:p>
      <w:pPr>
        <w:spacing w:after="0" w:line="18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Our general and administrative expenses include costs for our executive, accounting, finance, legal and human resources functions. These expenses consist principally of salaries, bonuses, employee benefits, travel and stock-based compensation, as well as professional services fees such as consulting, audit, tax and legal fees, and general corporate costs and allocated overhead expenses. We expect that our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as a percentage of revenue in the long term, though they may fluctuate as a percentage from period to period due to the timing and extent of these expenses.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Accretion and Change in Fair Value of Contingent Consideration</w:t>
      </w:r>
    </w:p>
    <w:p>
      <w:pPr>
        <w:spacing w:after="0" w:line="11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that related milestone event (Milestone), the estimated timing in which the Milestone is achieved, and discount rates. The estimated fair value could materially differ from actual values or fair values determined using different assumptions.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Interest expense consists of interest from our term loan and convertible debt, and interest income consists of income earned on our cash and cash equivalents. For the first six months of 2020, our interest expense increased as compared to 2019, as our term loan does not begin principal payments until March 2021. Our interest income has not been significant to date but we expect our interest income to increase primarily as we invest the net proceeds from this offering.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put option liability</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During 2019, we issued $13.0 million in convertible debt that is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 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significant components of our results of operations for the periods presented (in thousands, except percentages).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For the Six Months</w:t>
            </w:r>
          </w:p>
        </w:tc>
        <w:tc>
          <w:tcPr>
            <w:tcW w:w="80" w:type="dxa"/>
            <w:vAlign w:val="bottom"/>
          </w:tcPr>
          <w:p>
            <w:pPr>
              <w:spacing w:after="0"/>
              <w:rPr>
                <w:sz w:val="14"/>
                <w:szCs w:val="14"/>
                <w:color w:val="auto"/>
              </w:rPr>
            </w:pPr>
          </w:p>
        </w:tc>
        <w:tc>
          <w:tcPr>
            <w:tcW w:w="8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For the Years Ended</w:t>
            </w:r>
          </w:p>
        </w:tc>
        <w:tc>
          <w:tcPr>
            <w:tcW w:w="8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12,339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$ 24,552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20,432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2,741</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5,007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5,607</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10,468</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8,188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2,280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15,868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25,899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1,628</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1,537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1,914</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(2,607)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(393)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3,863</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26,507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(3,131)</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43,893</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(14,168)</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(26,741)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(23,461)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(2,942)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(227)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385</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other expense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(3,499)</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(812)</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(2,705)</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(1,280)</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(17,971)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(14,599)</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(3,372)</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(30,726)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(26,166)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(4,560)</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generate revenue from our diagnostic tests and services that we provide (in thousands, except percentages).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(audited)</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Diagnostic revenue</w:t>
            </w:r>
          </w:p>
        </w:tc>
        <w:tc>
          <w:tcPr>
            <w:tcW w:w="2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(1,701)</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$17,315</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$18,965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(1,650)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Services revenue</w:t>
            </w:r>
          </w:p>
        </w:tc>
        <w:tc>
          <w:tcPr>
            <w:tcW w:w="17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3,392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(1,303)</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(38)%</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7,237</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1,467</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5,770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393%</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12,339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(3,004)</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24,552</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20,432</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Total revenue was $9.3 million for the six months ended June 30, 2020 compared to $12.3 million for the six months ended June 30, 2019, a decrease of $3.0 million, or 24%.</w:t>
      </w:r>
    </w:p>
    <w:p>
      <w:pPr>
        <w:spacing w:after="0" w:line="170"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Diagnostic test revenue decreased to $7.2 million for the six months ended June 30, 2020 compared to $8.9 million for the six months ended June 30, 2019, a decrease of $1.7 million or 19%. This decrease was primarily due to impacts from the COVID-19 pandemic which caused our primary pulmonology call point to be diverted to pandemic-related care and our sales force being quarantined, and in many cases being locked out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call points due to the pandemic. As a result, revenue related to our non-COVID-19 diagnostic tests declined by $3.1 million in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2020 when compared to the same period in 2019. These impacts were partially offset by the commercialization of two COVID-19 diagnostic tests.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net impact of these changes was a $1.7 million reduction in diagnostic revenues during the six months ended June 30, 2020.</w:t>
      </w:r>
    </w:p>
    <w:p>
      <w:pPr>
        <w:spacing w:after="0" w:line="21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Services revenue decreased to $2.1 million for the six months ended June 30, 2020 compared to $3.4 million for the six months ended June 30, 2019, a decrease of $1.3 million or 38%. The decrease was partially attributed to the completion of a contract in the first half of 2019. Additionally, the impacts of COVID-19 caused planned biomarker studies to be delayed and limited the customer access of our sales force. Additionally, services revenue decreased due to the completion of a contract in the first half of 2019.</w:t>
      </w:r>
    </w:p>
    <w:p>
      <w:pPr>
        <w:spacing w:after="0" w:line="18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Total revenue was $24.6 million for the year ended December 31, 2019 compared to $20.4 million for the year ended December 31, 2018, an increase of 20%.</w:t>
      </w:r>
    </w:p>
    <w:p>
      <w:pPr>
        <w:spacing w:after="0" w:line="170"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Diagnostic test revenue decreased to $17.3 million for the year ended December 31, 2019 compared to $19.0 million for the year ended December 31, 2018, a decrease of $1.7 million or 9%. This decrease was the result of a decrease in tests delivered which was a result of significant restructuring of our field sales force to increase the emphasis on tests in nodule management that came on market following the completion of our recent acquisitions in that space. We recognized $1.0 million in additional diagnostic test revenue in 2019 for claims from a prior period due to a change in coverage for GeneStrat which captured previously unreimbursed revenue.</w:t>
      </w:r>
    </w:p>
    <w:p>
      <w:pPr>
        <w:spacing w:after="0" w:line="188"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Services revenue increased to $7.2 million for the year ended December 31, 2019 compared to $1.5 million for the year ended December 31, 2018. The increase in services revenue was due to generally higher demand for biomarker development services and the acceleration of pharmaceutical partners’ development efforts at the end of 2019, which resulted in a significant services revenue in December 2019 and is not expected to be recurring.</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Direct Cost and Expenses</w:t>
      </w:r>
    </w:p>
    <w:p>
      <w:pPr>
        <w:spacing w:after="0" w:line="117"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Cost of revenue was $3.5 million for the six months ended June 30, 2020 compared to $2.7 million for the six months ended June 30, 2019, an increase of $0.7 million, or 26%. The increase in costs were primarily driven by the release of our CDT test and our COVID-19 testing program in 2020.</w:t>
      </w:r>
    </w:p>
    <w:p>
      <w:pPr>
        <w:spacing w:after="0" w:line="12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Cost of revenue was $6.1 million for the year ended December 31, 2019 compared to $4.4 million for the year ended December 31, 2018, an increase of $1.7 million, or 38%. This increase in cost of revenue was primarily due to the introduction of the Nodify XL2 test in November 2018, and which contributed $1.4 million in additional costs without material revenue during the 2019 period.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Research and development expenses were $5.0 million for the six months ended June 30, 2020 compared to $5.6 million for the six months ended June 30, 2019, a decrease of $0.6 million, or 11%. This decrease was primarily related to a reduction in external costs related to the studies and development efforts for pipeline products, partially driven by slowdowns related to the COVID-19 pandemic.</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Research and development expenses were $10.5 million for the year ended December 31, 2019 compared to $8.2 million for the year ended December 31, 2018, an increase of $2.3 million, or 28%. This increase in research and development expense in 2019 was primarily driven by a $2.0 million increase in external costs consisting of $1.0 million for clinical trials, and $1.0 million for other research studies, supplies, and services. Internal costs increased by $0.2 million, of which less than 1% was stock-based compensation.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following table summarizes our external and internal costs for the six months ended June 30, 2020 and 2019 and the years ended December 31, 2019 and 2018 (in thousands, except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3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4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1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lef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External expenses:</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Clinical trials and associated costs</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$1,293</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$1,075</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62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$ 2,141</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$1,171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83%</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Other external costs</w:t>
            </w:r>
          </w:p>
        </w:tc>
        <w:tc>
          <w:tcPr>
            <w:tcW w:w="1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1,245</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1,894</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(649)</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(34%)</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3,784</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2,721</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1,063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external costs</w:t>
            </w:r>
          </w:p>
        </w:tc>
        <w:tc>
          <w:tcPr>
            <w:tcW w:w="1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2,537</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2,968</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(431)</w:t>
            </w:r>
          </w:p>
        </w:tc>
        <w:tc>
          <w:tcPr>
            <w:tcW w:w="6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5,925</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2,033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Internal expenses</w:t>
            </w:r>
          </w:p>
        </w:tc>
        <w:tc>
          <w:tcPr>
            <w:tcW w:w="1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2,470</w:t>
            </w: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2,638</w:t>
            </w:r>
          </w:p>
        </w:tc>
        <w:tc>
          <w:tcPr>
            <w:tcW w:w="26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(168)</w:t>
            </w:r>
          </w:p>
        </w:tc>
        <w:tc>
          <w:tcPr>
            <w:tcW w:w="320" w:type="dxa"/>
            <w:vAlign w:val="bottom"/>
            <w:vMerge w:val="continue"/>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4,543</w:t>
            </w:r>
          </w:p>
        </w:tc>
        <w:tc>
          <w:tcPr>
            <w:tcW w:w="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4,296</w:t>
            </w:r>
          </w:p>
        </w:tc>
        <w:tc>
          <w:tcPr>
            <w:tcW w:w="2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vMerge w:val="continue"/>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5,007</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5,607</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(600)</w:t>
            </w:r>
          </w:p>
        </w:tc>
        <w:tc>
          <w:tcPr>
            <w:tcW w:w="62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10,468</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8,188</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2,280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costs incurred in connection with the discovery and development of our product candidates.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External expenses include:</w:t>
      </w:r>
    </w:p>
    <w:p>
      <w:pPr>
        <w:spacing w:after="0" w:line="131" w:lineRule="exact"/>
        <w:rPr>
          <w:sz w:val="20"/>
          <w:szCs w:val="20"/>
          <w:color w:val="auto"/>
        </w:rPr>
      </w:pPr>
    </w:p>
    <w:p>
      <w:pPr>
        <w:ind w:left="1000" w:right="2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payments to third parties in connection with the clinical development of our product candidates, including contract research organizations and consultants;</w:t>
      </w:r>
    </w:p>
    <w:p>
      <w:pPr>
        <w:spacing w:after="0" w:line="75"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manufacturing products for use in our preclinical studies and clinical trials, including payments to contract manufacturing organizations (CMOs) and consultants;</w:t>
      </w:r>
    </w:p>
    <w:p>
      <w:pPr>
        <w:spacing w:after="0" w:line="75" w:lineRule="exact"/>
        <w:rPr>
          <w:rFonts w:ascii="Arial" w:cs="Arial" w:eastAsia="Arial" w:hAnsi="Arial"/>
          <w:sz w:val="18"/>
          <w:szCs w:val="18"/>
          <w:color w:val="auto"/>
        </w:rPr>
      </w:pPr>
    </w:p>
    <w:p>
      <w:pPr>
        <w:ind w:left="1000" w:right="620" w:hanging="547"/>
        <w:spacing w:after="0" w:line="342"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payments to third parties in connection with the preclinical development of our product candidates, including outsourced professional scientific development services, consulting research fees and for sponsored research arrangements with third parties;</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laboratory supplies;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allocated facilities, depreciation and other expenses, which include direct or allocated expenses for IT, rent and maintenance of facilities.</w:t>
      </w:r>
    </w:p>
    <w:p>
      <w:pPr>
        <w:spacing w:after="0" w:line="14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Internal expenses include employee-related costs, including salaries, related benefits and stock-based compensation expense for employees engaged in research and development functions.</w:t>
      </w:r>
    </w:p>
    <w:p>
      <w:pPr>
        <w:spacing w:after="0" w:line="170" w:lineRule="exact"/>
        <w:rPr>
          <w:sz w:val="20"/>
          <w:szCs w:val="20"/>
          <w:color w:val="auto"/>
        </w:rPr>
      </w:pPr>
    </w:p>
    <w:p>
      <w:pPr>
        <w:ind w:right="200" w:firstLine="449"/>
        <w:spacing w:after="0" w:line="279" w:lineRule="auto"/>
        <w:rPr>
          <w:sz w:val="20"/>
          <w:szCs w:val="20"/>
          <w:color w:val="auto"/>
        </w:rPr>
      </w:pPr>
      <w:r>
        <w:rPr>
          <w:rFonts w:ascii="Arial" w:cs="Arial" w:eastAsia="Arial" w:hAnsi="Arial"/>
          <w:sz w:val="17"/>
          <w:szCs w:val="17"/>
          <w:color w:val="auto"/>
        </w:rPr>
        <w:t>We expense research and development costs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 We do not track internal costs by product candidate because these costs are deployed across multiple programs and, as such, are not separately classified.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Sales, marketing, general and administrative expenses were $14.9 million for the six months ended June 30, 2020 compared to $15.9 million for the six months ended June 30, 2019, a decrease of $1.0 million, or 6%. This reduction was driven by reductions in the travel and related expenses as the COVID-19 pandemic reduced or eliminated the travel and related expenses.</w:t>
      </w:r>
    </w:p>
    <w:p>
      <w:pPr>
        <w:spacing w:after="0" w:line="18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Sales, marketing, general and administrative expenses were $30.6 million for the year ended December 31, 2019 compared to $25.9 million for the year ended December 31, 2018, an increase of $4.7 million, or 18%. This increase was primarily due to an increase of $2.7 million in personnel-related costs for expansion of our sales organization and $1.0 million for increased marketing activity to support sales.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Accretion of and Change in Fair Value of Contingent Consideration</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Accretion of and change in fair value of contingent consideration netted to $0 for the six months ended June 30, 2020 compared to $2.3 million for the six months ended June 30, 2019, a decrease of $2.3 million, or 100%. The amounts recorded for accretion and change in fair value reflect the passage of time as well as estimates in when the milestones that trigger the payment of contingent consideration will be achieved.</w:t>
      </w:r>
    </w:p>
    <w:p>
      <w:pPr>
        <w:spacing w:after="0" w:line="165"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Accretion of and change in fair value of contingent consideration were $4.1 million for the year ended December 31, 2019 compared to $5.4 million for the year ended December 31, 2018, a decrease of $1.3 million, or 24%. The amounts recorded for accretion and change in fair value reflect the passage of time as well as estimates in when the milestones that trigger the payment of contingent consideration will be achieved.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Interest expense was $4.2 million for the six months ended June 30, 2020 compared to $1.3 million for the six months ended June 30, 2019, an increase of $2.9 million. This increase was due to the addition of interest expense related to convertible notes issued to certain shareholders from August 2019 through March 2020.</w:t>
      </w:r>
    </w:p>
    <w:p>
      <w:pPr>
        <w:spacing w:after="0" w:line="184" w:lineRule="exact"/>
        <w:rPr>
          <w:sz w:val="20"/>
          <w:szCs w:val="20"/>
          <w:color w:val="auto"/>
        </w:rPr>
      </w:pPr>
    </w:p>
    <w:p>
      <w:pPr>
        <w:ind w:right="640" w:firstLine="449"/>
        <w:spacing w:after="0" w:line="342" w:lineRule="auto"/>
        <w:rPr>
          <w:sz w:val="20"/>
          <w:szCs w:val="20"/>
          <w:color w:val="auto"/>
        </w:rPr>
      </w:pPr>
      <w:r>
        <w:rPr>
          <w:rFonts w:ascii="Arial" w:cs="Arial" w:eastAsia="Arial" w:hAnsi="Arial"/>
          <w:sz w:val="16"/>
          <w:szCs w:val="16"/>
          <w:color w:val="auto"/>
        </w:rPr>
        <w:t>Interest expense was $3.0 million for the year ended December 31, 2019 compared to $2.9 million for the year ended December 31, 2018, an increase of $0.1 million, or 3%. This increase was primarily due to payment in kind interest accruing to principal on our existing term loan.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Put Option Liability</w:t>
      </w:r>
    </w:p>
    <w:p>
      <w:pPr>
        <w:spacing w:after="0" w:line="117"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During 2019, we recorded a charge of $2.0 million related to the increase in our put option liability related to our convertible debt. This increase was primarily due to the amendment to the conversion discounts included in our convertible debt that were issued in August and September 2019.</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Other income and expense was $0.3 million for the six months ended June 30, 2020 compared to $0.9 million for the six months ended June 30, 2019, a decrease of $0.6 million or 64%. This decrease was driven by a non-recurring legal settlement in 2019, which was not present in 2020.</w:t>
      </w:r>
    </w:p>
    <w:p>
      <w:pPr>
        <w:spacing w:after="0" w:line="12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Other income and expense was $1.0 million for the year ended December 31, 2019 compared to $0.2 million for the year ended December 31, 2018, an increase of $0.8 million, which was primarily proceeds related to a non-recurring legal settlement in our favor.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We have funded our activities primarily through private equity placement offerings, convertible debt and long-term debt. Based on cash and cash equivalents on hand as of June 30, 2020 and the proceeds from this offering, we believe that our existing cash, cash equivalents, and cash generated from sales of our products, will be sufficient to meet our anticipated needs for at least the next 12 months from the date of our most recent unaudited interim condensed financial statements.</w:t>
      </w:r>
    </w:p>
    <w:p>
      <w:pPr>
        <w:spacing w:after="0" w:line="18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cash flows for six months ended June 30, 2020 and 2019 and the years ended December 31, 2019 and 2018:</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5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4"/>
                <w:szCs w:val="14"/>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65"/>
        </w:trPr>
        <w:tc>
          <w:tcPr>
            <w:tcW w:w="7980" w:type="dxa"/>
            <w:vAlign w:val="bottom"/>
            <w:gridSpan w:val="2"/>
            <w:vMerge w:val="continue"/>
          </w:tcPr>
          <w:p>
            <w:pPr>
              <w:spacing w:after="0"/>
              <w:rPr>
                <w:sz w:val="14"/>
                <w:szCs w:val="14"/>
                <w:color w:val="auto"/>
              </w:rPr>
            </w:pPr>
          </w:p>
        </w:tc>
        <w:tc>
          <w:tcPr>
            <w:tcW w:w="154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June 30</w:t>
            </w:r>
          </w:p>
        </w:tc>
        <w:tc>
          <w:tcPr>
            <w:tcW w:w="100" w:type="dxa"/>
            <w:vAlign w:val="bottom"/>
          </w:tcPr>
          <w:p>
            <w:pPr>
              <w:spacing w:after="0"/>
              <w:rPr>
                <w:sz w:val="14"/>
                <w:szCs w:val="14"/>
                <w:color w:val="auto"/>
              </w:rPr>
            </w:pPr>
          </w:p>
        </w:tc>
        <w:tc>
          <w:tcPr>
            <w:tcW w:w="1620" w:type="dxa"/>
            <w:vAlign w:val="bottom"/>
            <w:gridSpan w:val="6"/>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48"/>
        </w:trPr>
        <w:tc>
          <w:tcPr>
            <w:tcW w:w="1480" w:type="dxa"/>
            <w:vAlign w:val="bottom"/>
            <w:tcBorders>
              <w:top w:val="single" w:sz="8" w:color="auto"/>
            </w:tcBorders>
          </w:tcPr>
          <w:p>
            <w:pPr>
              <w:spacing w:after="0"/>
              <w:rPr>
                <w:sz w:val="12"/>
                <w:szCs w:val="12"/>
                <w:color w:val="auto"/>
              </w:rPr>
            </w:pPr>
          </w:p>
        </w:tc>
        <w:tc>
          <w:tcPr>
            <w:tcW w:w="65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9"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4"/>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in) provided by:</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(8,840)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(9,781)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(21,726)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(17,677)</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16,046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22,972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Our cash flows resulted in a net increase in cash of $6.4 million during the six months ended June 30, 2020 and a net decrease in cash of $0.7 million during the six months ended June 30, 2019. Net cash used in operating activities during the year ended June 30, 2020 totaled $8.8 million, a decrease of $0.9 million, or 10%, compared to the same period in 2019. The net cash used in operating activities decreased primarily due to a $3.4 million increase in net losses, offset by an increase in non-cash charges of $0.7 million and an increase in cash provided by working capital items of $3.6 million.</w:t>
      </w:r>
    </w:p>
    <w:p>
      <w:pPr>
        <w:spacing w:after="0" w:line="15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Net cash used in investing activities during the six months ended June 30, 2020 totaled $0.8 million, a decrease of $33,000, or 4%, compared to the same period in 2019. A decrease in net cash used in investing activities was primarily due to a decrease of $0.5 million in the purchase of research equipment and a $0.5 million payment for Oncimmune assets.</w:t>
      </w:r>
    </w:p>
    <w:p>
      <w:pPr>
        <w:spacing w:after="0" w:line="184"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Net cash provided by financing activities during the six months ended June 30, 2020 totaled $16.0 million, an increase of $6.1 million, or 61%, compared to the same period in 2019. The net cash provided by financing activities increased primarily due to issuances of $13.0 million in convertible debt offset by $10.0 million in proceeds from the issuance of Series H preferred stock during 2019.</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Our cash flows resulted in a net decrease in cash of $0.6 million during the year ended December 31, 2019 and a net increase in cash of $0.7 million during the year ended December 31, 2018. Net cash used in operating activities during the year ended December 31, 2019 totaled $21.7 million, an increase of $4.0 million, or 23%, compared to the same period in 2018. The net cash used in operating activities increased primarily due to a $4.6 million increase in net losses, and an increase in use of working capital items of $1.9 million, offset by an increase in non-cash charges of $2.4 million.</w:t>
      </w:r>
    </w:p>
    <w:p>
      <w:pPr>
        <w:spacing w:after="0" w:line="15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totaled $1.9 million, an increase of $1.3 million, or 203%, compared to the same period in 2018. The increase in net cash used in investing activities was primarily due to an increase of $0.8 million in the purchase of research equipment and a $0.5 million payment for Oncimmune assets.</w:t>
      </w:r>
    </w:p>
    <w:p>
      <w:pPr>
        <w:spacing w:after="0" w:line="184" w:lineRule="exact"/>
        <w:rPr>
          <w:sz w:val="20"/>
          <w:szCs w:val="20"/>
          <w:color w:val="auto"/>
        </w:rPr>
      </w:pPr>
    </w:p>
    <w:p>
      <w:pPr>
        <w:jc w:val="both"/>
        <w:ind w:right="540" w:firstLine="449"/>
        <w:spacing w:after="0" w:line="286" w:lineRule="auto"/>
        <w:rPr>
          <w:sz w:val="20"/>
          <w:szCs w:val="20"/>
          <w:color w:val="auto"/>
        </w:rPr>
      </w:pPr>
      <w:r>
        <w:rPr>
          <w:rFonts w:ascii="Arial" w:cs="Arial" w:eastAsia="Arial" w:hAnsi="Arial"/>
          <w:sz w:val="17"/>
          <w:szCs w:val="17"/>
          <w:color w:val="auto"/>
        </w:rPr>
        <w:t>Net cash provided by financing activities during the year ended December 31, 2019 totaled $23.0 million, an increase of $3.9 million, or 21%, compared to the same period in 2018. The net cash provided by financing activities increased primarily due to increased proceeds from issuances of $2.8 million in convertible debt and $1.5 million in preferred stock offset by $0.4 million in financing costs.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and commitments as of June 30,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9"/>
              </w:rPr>
              <w:t>Payments due by period</w:t>
            </w:r>
            <w:r>
              <w:rPr>
                <w:rFonts w:ascii="Arial" w:cs="Arial" w:eastAsia="Arial" w:hAnsi="Arial"/>
                <w:sz w:val="12"/>
                <w:szCs w:val="12"/>
                <w:b w:val="1"/>
                <w:bCs w:val="1"/>
                <w:color w:val="auto"/>
                <w:w w:val="99"/>
              </w:rPr>
              <w:t>(5)</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0"/>
                <w:szCs w:val="10"/>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1 to 3</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4 to 5</w:t>
            </w:r>
          </w:p>
        </w:tc>
        <w:tc>
          <w:tcPr>
            <w:tcW w:w="180" w:type="dxa"/>
            <w:vAlign w:val="bottom"/>
          </w:tcPr>
          <w:p>
            <w:pPr>
              <w:spacing w:after="0"/>
              <w:rPr>
                <w:sz w:val="10"/>
                <w:szCs w:val="10"/>
                <w:color w:val="auto"/>
              </w:rPr>
            </w:pPr>
          </w:p>
        </w:tc>
        <w:tc>
          <w:tcPr>
            <w:tcW w:w="4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than</w:t>
            </w: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8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years</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Term loan</w:t>
            </w:r>
            <w:r>
              <w:rPr>
                <w:rFonts w:ascii="Arial" w:cs="Arial" w:eastAsia="Arial" w:hAnsi="Arial"/>
                <w:sz w:val="15"/>
                <w:szCs w:val="15"/>
                <w:color w:val="auto"/>
              </w:rPr>
              <w:t>(1)(3)</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24,605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4,064</w:t>
            </w: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20,541</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r>
              <w:rPr>
                <w:rFonts w:ascii="Arial" w:cs="Arial" w:eastAsia="Arial" w:hAnsi="Arial"/>
                <w:sz w:val="15"/>
                <w:szCs w:val="15"/>
                <w:color w:val="auto"/>
              </w:rPr>
              <w:t>(1)(2)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26,404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26,404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52,894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31,705</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21,189</w:t>
            </w: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Reflected in accompanying balance sheets.</w:t>
      </w:r>
    </w:p>
    <w:p>
      <w:pPr>
        <w:spacing w:after="0" w:line="23"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Convertible debt may be prepaid at our option prior to maturity. If not prepaid or otherwise converted, the debt will convert to Series H preferred stock at maturity.</w:t>
      </w:r>
    </w:p>
    <w:p>
      <w:pPr>
        <w:ind w:left="460" w:hanging="452"/>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term loan is subject to a 3% prepayment penalty. In addition, upon maturity, a 2% back-end facility fee of $460,000 is due to the lender.</w:t>
      </w:r>
    </w:p>
    <w:p>
      <w:pPr>
        <w:spacing w:after="0" w:line="20" w:lineRule="exact"/>
        <w:rPr>
          <w:rFonts w:ascii="Arial" w:cs="Arial" w:eastAsia="Arial" w:hAnsi="Arial"/>
          <w:sz w:val="17"/>
          <w:szCs w:val="17"/>
          <w:color w:val="auto"/>
        </w:rPr>
      </w:pPr>
    </w:p>
    <w:p>
      <w:pPr>
        <w:ind w:left="460" w:right="300" w:hanging="452"/>
        <w:spacing w:after="0" w:line="265"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are obligated under non-cancellable operating leases for all of our facilities. Lease terms for our facilities in effect as of June 30, 2020, ranged from less than one to three years and generally require us to pay the real estate taxes, certain insurance and operating costs.</w:t>
      </w: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Royalty payments that we may owe are not included as the timing of such payments is uncertain.</w:t>
      </w:r>
    </w:p>
    <w:p>
      <w:pPr>
        <w:spacing w:after="0" w:line="211" w:lineRule="exact"/>
        <w:rPr>
          <w:sz w:val="20"/>
          <w:szCs w:val="20"/>
          <w:color w:val="auto"/>
        </w:rPr>
      </w:pPr>
    </w:p>
    <w:p>
      <w:pPr>
        <w:ind w:right="320" w:firstLine="449"/>
        <w:spacing w:after="0" w:line="287" w:lineRule="auto"/>
        <w:rPr>
          <w:sz w:val="20"/>
          <w:szCs w:val="20"/>
          <w:color w:val="auto"/>
        </w:rPr>
      </w:pPr>
      <w:r>
        <w:rPr>
          <w:rFonts w:ascii="Arial" w:cs="Arial" w:eastAsia="Arial" w:hAnsi="Arial"/>
          <w:sz w:val="16"/>
          <w:szCs w:val="16"/>
          <w:color w:val="auto"/>
        </w:rPr>
        <w:t>In February 2018, we entered into an agreement with Innovatus Life Sciences Lending Fund to refinance long-term debt carried over from earlier loan agreements (the 2018 Notes). The initial amount borrowed under the 2018 Notes was $23 million and the maturity date is February 2023. We are required to make quarterly interest payments that began in June 2018 and outstanding principal is due in 24 equal installments commencing in</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March 2021. The agreement has been amended multiple times to adjust terms to account for our acquisitions and growth. Further, we granted the lender a security interest in all of our assets through a pledge and security agreement, patent security agreement and trademark security agreement, each between us and the lender. 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2"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The 2018 Notes also contain certain covenants that prevent us from making acquisitions, incurring additional indebtedness, or making or terminating any agreement valued above a certain dollar threshold without the prior written consent of the lender. These covenants may restrict our ability to pursue new business opportunities and access additional capital.</w:t>
      </w:r>
    </w:p>
    <w:p>
      <w:pPr>
        <w:spacing w:after="0" w:line="17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connection with the purchase transaction of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 of operations. The estimated fair value of the contingent consideration is based upon significant assumptions including probability of successful achievement of the Milestone, the estimated timing in which the Milestone is achieved, and discount rates. The estimated fair value could materially differ from actual values or fair values determined using different assumptions. At June 30, 2020, the amount that would be due in cash at the option of the seller at the time the Milestone is met would be approximately $37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For a description of our other indebtedness, please see “Certain Relationships and Related Person Transactions—Convertible Debt Financings” and “Description of Capital Stock—Convertible Debt.”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2020, we have not entered into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1 to our financial statements included elsewhere in this prospectus.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We adopted the new standard using the modified retrospective method on January 1, 2018 for contracts that are not completed as of the adoption date.</w:t>
      </w:r>
    </w:p>
    <w:p>
      <w:pPr>
        <w:spacing w:after="0" w:line="192"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9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examined our revenue recognition policies specific to revenue streams for the provisioning of services and providing research and development services to third parties and came to conclusions on the impact of the new standard using the 5-step process prescribed by ASC 606. As noted above, we used the modified retrospective method to adopt the new standard which means we did not restate previously issued financial statements but recorded a one-time adjustment to accumulated deficit and accounts receivable of $0.4 million. This adjustment reflected our ability to establish a transaction price for our non-Medicare pay arrangements as of January 1, 2018 as a result of having sufficient history to determine the transaction price under these contracts. ASC 606 did not have an aggregate impact our net cash provided by operating activities but resulted in offsetting changes in certain assets and liabilities presented within net cash used in operating activities in the accompanying statement of cash flows, as noted above.</w:t>
      </w:r>
    </w:p>
    <w:p>
      <w:pPr>
        <w:spacing w:after="0" w:line="166"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Diagnostic service revenues are generally completed upon the delivery of test results to the prescribing physicians, which is considered the performance obligation. Testing services are generally completed upon the delivery of testing results for assay development and testing services, which is considered the performance obligation.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459" w:right="3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17"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In connection with the purchase transaction with Integrated Diagnostics, Inc., we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49"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for convertible debt</w:t>
      </w:r>
    </w:p>
    <w:p>
      <w:pPr>
        <w:spacing w:after="0" w:line="11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6"/>
          <w:szCs w:val="16"/>
          <w:color w:val="auto"/>
        </w:rPr>
        <w:t>During 2020 and 2019, we issued $26.0 million in convertible debt that are now scheduled to mature on June 30, 2021. The terms of the convertible debt provided discounts upon conversion to the note holders in certain situations, including upon the completion of this offering. The discounts included in the convertible debt created a put option liability that was separated from the convertible debt and reflected as a liability in our balance sheet. Subsequent to the creation of the put options, changes in the fair value of the put options will be reflected as other income or expense in the statement of operations.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2019, we recorded a $2 million increase in the fair value of the put options as other expense due to the increase in the conversion discount rate provided to note holders resulting from an amendment to terms of the convertible debt issued in August and September 2019. We will estimate the fair value of the put options until they are exercised or expire. The fair value of put options are based on the value of the discounts embedded in the convertible debt and the probability of various settlement scenarios.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and common stock valuation</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Stock-based compensation related to stock options granted to our employees, directors and nonemployees is measured at the grant date based on the fair value of the award. The fair value is recognized as expense over the requisite service period, which is generally the vesting period of the respective awards. Compensation expense for stock options with performance metrics is calculated based upon expected achievement of the metrics specified in the grant.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Starting January 1, 2019, upon adoption of Accounting Standards Update (ASU) 2018-07, Compensation—Stock Compensation</w:t>
      </w:r>
    </w:p>
    <w:p>
      <w:pPr>
        <w:spacing w:after="0" w:line="23" w:lineRule="exact"/>
        <w:rPr>
          <w:sz w:val="20"/>
          <w:szCs w:val="20"/>
          <w:color w:val="auto"/>
        </w:rPr>
      </w:pPr>
    </w:p>
    <w:p>
      <w:pPr>
        <w:ind w:right="620"/>
        <w:spacing w:after="0" w:line="323" w:lineRule="auto"/>
        <w:rPr>
          <w:sz w:val="20"/>
          <w:szCs w:val="20"/>
          <w:color w:val="auto"/>
        </w:rPr>
      </w:pPr>
      <w:r>
        <w:rPr>
          <w:rFonts w:ascii="Arial" w:cs="Arial" w:eastAsia="Arial" w:hAnsi="Arial"/>
          <w:sz w:val="16"/>
          <w:szCs w:val="16"/>
          <w:color w:val="auto"/>
        </w:rPr>
        <w:t xml:space="preserve">(Topic 718),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the fair value of stock options issued to nonemployee consultants is determined as of the grant date, and compensation expense is being recognized over the period that the related services are rendered.</w:t>
      </w:r>
    </w:p>
    <w:p>
      <w:pPr>
        <w:spacing w:after="0" w:line="13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use the Black-Scholes option-pricing model to estimate the fair value of our stock options and stock purchase rights under our 2016 Incentive Plan. The Black-Scholes option-pricing model requires assumptions to be made related to expected term of an award, expected volatility, risk-free rate and expected dividend yield. Starting January 1, 2017, forfeitures were accounted for as they occur.</w:t>
      </w:r>
    </w:p>
    <w:p>
      <w:pPr>
        <w:spacing w:after="0" w:line="184"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We account for restricted stock units issued to employees based on the grant date fair value which is determined based on the closing market price of the common stock on the date of grant. The expense is recognized in our statement of operations on a straight-line basis over the requisite vesting period.</w:t>
      </w:r>
    </w:p>
    <w:p>
      <w:pPr>
        <w:spacing w:after="0" w:line="124"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In the absence of an active market for our common stock, the fair value of our common stock was determined by our Board of Directors in accordance with the methodologies outlined in the American Institute of Certified Public Accountants Practice Aid, Valuation of Privately-Held-Company Equity Securities Issued as Compensation (the Practice Aid). In doing so, our Board of Directors determined the best estimate of fair value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exercising reasonable judgment and considering numerous objective and subjective factors, including:</w:t>
      </w:r>
    </w:p>
    <w:p>
      <w:pPr>
        <w:spacing w:after="0" w:line="131" w:lineRule="exact"/>
        <w:rPr>
          <w:sz w:val="20"/>
          <w:szCs w:val="20"/>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valuations of our common stock performed by independent third-party valuation specialists;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stage of development and business strategy, including the status of research and development efforts, of our products and product candidates, and the material risks related to our business and industry;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diagnostic testing sectors, as well as recently completed mergers and acquisitions of peer companies;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medical device industry sectors.</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Practice Aid identifies various available methods for allocating enterprise value across classes and series of capital stock to determine the estimated fair value of common stock at each valuation date.</w:t>
      </w:r>
    </w:p>
    <w:p>
      <w:pPr>
        <w:spacing w:after="0" w:line="18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allocating enterprise value among the various classes of stock prior to July 2020, we utilized the Option Pricing Method (OPM) given our early stage of development and the absence of a near term liquidity event. Under the OPM, shares are valued by creating a series of call options with exercise prices based on the liquidation preferences and conversion terms of each equity class. The values of the preferred and common stock are inferred by analyzing these options. From July 2020 onwards, we have utilized a hybrid OPM and Probability-Weighted Expected Return Method (PWERM). The PWERM is a scenario-based analysis that estimates the value per share based on the probability-weighted present value of expected future investment returns, considering a number of discrete possible outcomes of the business, as well as the economic and control rights of each share class. Under this hybrid method, we considered expected initial public offering liquidity scenarios as well as other market-based non-initial public offering scenarios in the event a near-term initial public offering does not occur. Additionally,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6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Following the completion of this offering, our Board of Directors will determine the fair value of our common stock based on our closing price as reported on the date of grant on the primary stock exchange on which our common stock is traded.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1 to our financial statements appearing at the end of this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We are exposed to market risk for changes in interest rates related primarily to our cash and cash equivalents, marketable securities and our indebtedness. We consider all highly liquid instruments purchased with an original maturity of three months or less to be cash equivalents. We continually monitor our positions with, and the credit quality of, the financial institutions with which we invest. Periodically throughout the year, we have maintained balances in various operating accounts in excess of federally insured limits. Included in cash and cash equivalents are money market funds recorded at $10.6 million and $4.8 million at June 30, 2020 and December 31, 2019, respectively. As of June 30, 2020, a hypothetical 100 basis point increase in interest rates would not have a material impact on our investment portfolio, financial position or results of operations. This estimate is based on a sensitivity model that measures market value changes when changes in interest rates occur.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December 2019 Notes, August 2019 Notes and our long-term debt payable all accrue interest at fixed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21"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an “emerging growth company” within the meaning of the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this prospectus and in our periodic reports and proxy statements, the requirement that we hold a nonbinding advisory vote on executive compensation and any golden parachute payments, and we have taken advantage of the ability to provide reduced disclosure of financial information in this prospectus, such as being permitted to include only two years of audited financial information and two years of selected financial information in addition to any required unaudited interim financial statements, with correspondingly reduced “Management’s Discussion and Analysis of Financial Condition and Results of Operations” disclosure.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172"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161"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this offering).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75"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mission</w:t>
      </w:r>
      <w:r>
        <w:rPr>
          <w:rFonts w:ascii="Arial" w:cs="Arial" w:eastAsia="Arial" w:hAnsi="Arial"/>
          <w:sz w:val="17"/>
          <w:szCs w:val="17"/>
          <w:color w:val="auto"/>
        </w:rPr>
        <w:t xml:space="preserve"> is to improve every patient’s lung disease care by empowering physicians with swift, comprehensive, and actionable insights.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vision</w:t>
      </w:r>
      <w:r>
        <w:rPr>
          <w:rFonts w:ascii="Arial" w:cs="Arial" w:eastAsia="Arial" w:hAnsi="Arial"/>
          <w:sz w:val="18"/>
          <w:szCs w:val="18"/>
          <w:color w:val="auto"/>
        </w:rPr>
        <w:t xml:space="preserve"> is to be a trusted partner that the world relies on for data-driven diagnostic solutions in lung disease and beyond.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agnostic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166"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technology agnostic approach is designed to enable us to discover diagnostic tests that answer critical clinical questions faced by physicians, researchers, and biopharmaceutical companies.</w:t>
      </w:r>
    </w:p>
    <w:p>
      <w:pPr>
        <w:spacing w:after="0" w:line="16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140,000 samples and data in our biobank, including tumor profiles and immune profiles, which are used for both internal and external R&amp;D initiatives.</w:t>
      </w:r>
    </w:p>
    <w:p>
      <w:pPr>
        <w:spacing w:after="0" w:line="192"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derive our revenue from two sources: (i) providing diagnostic testing in the clinical setting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The majority of our revenues to date have been derived from our diagnostic testing business.</w:t>
      </w:r>
    </w:p>
    <w:p>
      <w:pPr>
        <w:spacing w:after="0" w:line="187"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We have commercialized six diagnostic tests which are currently on market and we perform over 30 assays for research use as part of our laboratory services that have been used by over 50 biopharmaceutical customers and academic partners. Our Nodify XL2 and Nodify CDT, marketed as part of our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and VeriStrat tests, marketed as part of our Biodesix Lung Reflex testing strategy, are used following diagnosis of lung cancer to measure the presence of mutations in the tumor and the state of the patient’s immune system to establish the patient’s prognosis and help guide treatment decisions. The GeneStrat tumor profiling test and the VeriStrat immune profiling test have a three-day average turnaround time, providing physicians with timely results to facilitate treatment decisions.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response to the COVID-19 pandemic, through our partnership with Bio-Rad, we commercialized the Biodesix WorkSafe testing program. Our scientific diagnostic expertise, technologies, and existing commercial infrastructure enabled us to rapidly commercialize two FDA EUA-authorized tests, a part of our customizable program. Both diagnostic tests are owned and were developed by Bio-Rad and Bio-Rad has granted us permission to utilize both tests for commercial diagnostic services. For more information regarding the permission granted to us by Bio-Rad with respect to such tests, please see “Business— Material Agreements—Agreements with Bio-Rad.” HHS Secretary Azar 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 we operate and have commercialized the Biodesix WorkSafe testing program.</w:t>
      </w:r>
    </w:p>
    <w:p>
      <w:pPr>
        <w:spacing w:after="0" w:line="18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78"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These tests are utilized by healthcare providers, including hospitals and nursing homes, and are also offered to businesses and educational systems to assist in their back-to-work or back-to-school strategies, a crucial element of restarting economic activity. Recently we announced multiple partnerships for COVID-19 testing, and have entered into an agreement with the State of Colorado to be one of the diagnostic companies to support wide-spread COVID-19 testing for the State. Additionally, we recently announced that we will oversee and manage onsite testing and validating testing for the Big Ten Conference athletic competitions. To date, we have not derived significant revenues from these partnerships.</w:t>
      </w:r>
    </w:p>
    <w:p>
      <w:pPr>
        <w:spacing w:after="0" w:line="176"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addition to the six diagnostic tests currently on the market, we perform over 30 assays for research use as part of our laboratory services that have been used by over 50 biopharmaceutical customers and academic partners. All of our diagnostic testing is performed at one of our two certified, high-complexity clinical laboratories in Boulder, Colorado and De Soto, Kansas.</w:t>
      </w:r>
    </w:p>
    <w:p>
      <w:pPr>
        <w:spacing w:after="0" w:line="18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Since our inception, we have performed over 245,000 tests and continue to generate a large and growing body of clinical evidence consisting of over 275 clinical and scientific peer-reviewed publications and presentations.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Diagnostic Testing Market Size and Opportunity</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Despite significant advances over the last decade, lung cancer is still the deadliest type of cancer in both men and women in the United States today. While diagnostic testing has become routinely used at certain points in the continuum of care, we believe there is a substantial need for novel, advanced testing to improve on the current standard of care. We estimate that the lung cancer continuum of care currently represents over 10 million testing opportunities and over a $27 billion market annually for testing alone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5971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pipelines and increase their chances of drug development success. We estimate that the biopharmaceutical partnering and research opportunities represent over a $2 billion market annually.</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Lung Cancer Continuum of Care – Clinical Unmet Needs</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73" w:lineRule="exact"/>
        <w:rPr>
          <w:sz w:val="20"/>
          <w:szCs w:val="20"/>
          <w:color w:val="auto"/>
        </w:rPr>
      </w:pPr>
    </w:p>
    <w:p>
      <w:pPr>
        <w:ind w:left="1000" w:hanging="547"/>
        <w:spacing w:after="0" w:line="274"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Diagnosis</w:t>
      </w:r>
      <w:r>
        <w:rPr>
          <w:rFonts w:ascii="Arial" w:cs="Arial" w:eastAsia="Arial" w:hAnsi="Arial"/>
          <w:sz w:val="17"/>
          <w:szCs w:val="17"/>
          <w:color w:val="auto"/>
        </w:rPr>
        <w:t>: We estimate approximately 1.6 million new incidental lung nodules and potentially 4 million lung nodules from the adoption of</w:t>
      </w:r>
      <w:r>
        <w:rPr>
          <w:rFonts w:ascii="Arial" w:cs="Arial" w:eastAsia="Arial" w:hAnsi="Arial"/>
          <w:sz w:val="17"/>
          <w:szCs w:val="17"/>
          <w:b w:val="1"/>
          <w:bCs w:val="1"/>
          <w:color w:val="auto"/>
        </w:rPr>
        <w:t xml:space="preserve"> </w:t>
      </w:r>
      <w:r>
        <w:rPr>
          <w:rFonts w:ascii="Arial" w:cs="Arial" w:eastAsia="Arial" w:hAnsi="Arial"/>
          <w:sz w:val="17"/>
          <w:szCs w:val="17"/>
          <w:color w:val="auto"/>
        </w:rPr>
        <w:t>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73" w:lineRule="auto"/>
        <w:rPr>
          <w:sz w:val="20"/>
          <w:szCs w:val="20"/>
          <w:color w:val="auto"/>
        </w:rPr>
      </w:pPr>
      <w:r>
        <w:rPr>
          <w:rFonts w:ascii="Arial" w:cs="Arial" w:eastAsia="Arial" w:hAnsi="Arial"/>
          <w:sz w:val="17"/>
          <w:szCs w:val="17"/>
          <w:color w:val="auto"/>
        </w:rPr>
        <w:t xml:space="preserve">resulting in either </w:t>
      </w:r>
      <w:r>
        <w:rPr>
          <w:rFonts w:ascii="Arial" w:cs="Arial" w:eastAsia="Arial" w:hAnsi="Arial"/>
          <w:sz w:val="17"/>
          <w:szCs w:val="17"/>
          <w:i w:val="1"/>
          <w:iCs w:val="1"/>
          <w:color w:val="auto"/>
        </w:rPr>
        <w:t>overtreatment</w:t>
      </w:r>
      <w:r>
        <w:rPr>
          <w:rFonts w:ascii="Arial" w:cs="Arial" w:eastAsia="Arial" w:hAnsi="Arial"/>
          <w:sz w:val="17"/>
          <w:szCs w:val="17"/>
          <w:color w:val="auto"/>
        </w:rPr>
        <w:t xml:space="preserve"> of patients with benign nodules or </w:t>
      </w:r>
      <w:r>
        <w:rPr>
          <w:rFonts w:ascii="Arial" w:cs="Arial" w:eastAsia="Arial" w:hAnsi="Arial"/>
          <w:sz w:val="17"/>
          <w:szCs w:val="17"/>
          <w:i w:val="1"/>
          <w:iCs w:val="1"/>
          <w:color w:val="auto"/>
        </w:rPr>
        <w:t>undertreatment</w:t>
      </w:r>
      <w:r>
        <w:rPr>
          <w:rFonts w:ascii="Arial" w:cs="Arial" w:eastAsia="Arial" w:hAnsi="Arial"/>
          <w:sz w:val="17"/>
          <w:szCs w:val="17"/>
          <w:color w:val="auto"/>
        </w:rPr>
        <w:t xml:space="preserve"> in patients with cancer. An estimated 17% of patients with malignant nodules are initially sent to watchful waiting, where a follow-up CT scan is scheduled in three to six months,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79" w:lineRule="exact"/>
        <w:rPr>
          <w:sz w:val="20"/>
          <w:szCs w:val="20"/>
          <w:color w:val="auto"/>
        </w:rPr>
      </w:pPr>
    </w:p>
    <w:p>
      <w:pPr>
        <w:ind w:left="1000" w:right="20" w:hanging="547"/>
        <w:spacing w:after="0" w:line="269"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Treatment Guidance – Early Stage</w:t>
      </w:r>
      <w:r>
        <w:rPr>
          <w:rFonts w:ascii="Arial" w:cs="Arial" w:eastAsia="Arial" w:hAnsi="Arial"/>
          <w:sz w:val="17"/>
          <w:szCs w:val="17"/>
          <w:color w:val="auto"/>
        </w:rPr>
        <w:t>: We estimate that there are over 700,000 testing opportunities annually in the United States in early</w:t>
      </w:r>
      <w:r>
        <w:rPr>
          <w:rFonts w:ascii="Arial" w:cs="Arial" w:eastAsia="Arial" w:hAnsi="Arial"/>
          <w:sz w:val="17"/>
          <w:szCs w:val="17"/>
          <w:b w:val="1"/>
          <w:bCs w:val="1"/>
          <w:color w:val="auto"/>
        </w:rPr>
        <w:t xml:space="preserve"> </w:t>
      </w:r>
      <w:r>
        <w:rPr>
          <w:rFonts w:ascii="Arial" w:cs="Arial" w:eastAsia="Arial" w:hAnsi="Arial"/>
          <w:sz w:val="17"/>
          <w:szCs w:val="17"/>
          <w:color w:val="auto"/>
        </w:rPr>
        <w:t>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These therapies typically target specific genomic mutations or alterations found in some tumors. We believe there is therefore an emerging need for testing designed specifically for mutation detection in early stage disease.</w:t>
      </w:r>
    </w:p>
    <w:p>
      <w:pPr>
        <w:spacing w:after="0" w:line="87" w:lineRule="exact"/>
        <w:rPr>
          <w:rFonts w:ascii="Arial" w:cs="Arial" w:eastAsia="Arial" w:hAnsi="Arial"/>
          <w:sz w:val="17"/>
          <w:szCs w:val="17"/>
          <w:color w:val="auto"/>
        </w:rPr>
      </w:pPr>
    </w:p>
    <w:p>
      <w:pPr>
        <w:ind w:left="1000" w:hanging="547"/>
        <w:spacing w:after="0" w:line="289"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Treatment Guidance – Advanced Stage: </w:t>
      </w:r>
      <w:r>
        <w:rPr>
          <w:rFonts w:ascii="Arial" w:cs="Arial" w:eastAsia="Arial" w:hAnsi="Arial"/>
          <w:sz w:val="16"/>
          <w:szCs w:val="16"/>
          <w:color w:val="auto"/>
        </w:rPr>
        <w:t>We estimate that there are over 3 million diagnostic testing opportunities annually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to guide advanced stage lung cancer treatment decisions. With nearly 50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which often leads to treatment decisions being made on incomplete information. We believe there is an imminent need for a blood-based testing solution that measures tumor mutations and the patient’s immune profile, to provide physicians with more comprehensive and timely information to assess the overall prognosis of the patient and personalize treatment.</w:t>
      </w:r>
    </w:p>
    <w:p>
      <w:pPr>
        <w:spacing w:after="0" w:line="71" w:lineRule="exact"/>
        <w:rPr>
          <w:rFonts w:ascii="Arial" w:cs="Arial" w:eastAsia="Arial" w:hAnsi="Arial"/>
          <w:sz w:val="16"/>
          <w:szCs w:val="16"/>
          <w:color w:val="auto"/>
        </w:rPr>
      </w:pPr>
    </w:p>
    <w:p>
      <w:pPr>
        <w:ind w:left="1000" w:right="100" w:hanging="547"/>
        <w:spacing w:after="0" w:line="274"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Monitoring</w:t>
      </w:r>
      <w:r>
        <w:rPr>
          <w:rFonts w:ascii="Arial" w:cs="Arial" w:eastAsia="Arial" w:hAnsi="Arial"/>
          <w:sz w:val="17"/>
          <w:szCs w:val="17"/>
          <w:color w:val="auto"/>
        </w:rPr>
        <w:t>: We estimate that there are over 800,000 testing opportunities in the United States for blood-based tumor and immune profiling</w:t>
      </w:r>
      <w:r>
        <w:rPr>
          <w:rFonts w:ascii="Arial" w:cs="Arial" w:eastAsia="Arial" w:hAnsi="Arial"/>
          <w:sz w:val="17"/>
          <w:szCs w:val="17"/>
          <w:b w:val="1"/>
          <w:bCs w:val="1"/>
          <w:color w:val="auto"/>
        </w:rPr>
        <w:t xml:space="preserve"> </w:t>
      </w:r>
      <w:r>
        <w:rPr>
          <w:rFonts w:ascii="Arial" w:cs="Arial" w:eastAsia="Arial" w:hAnsi="Arial"/>
          <w:sz w:val="17"/>
          <w:szCs w:val="17"/>
          <w:color w:val="auto"/>
        </w:rPr>
        <w:t>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Limitations in Biomarker Discovery and Companion Diagnostics</w:t>
      </w:r>
    </w:p>
    <w:p>
      <w:pPr>
        <w:spacing w:after="0" w:line="11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We estimate the biopharmaceutical biomarker testing and companion diagnostic market opportunity is $2 billion annually</w:t>
      </w:r>
      <w:r>
        <w:rPr>
          <w:rFonts w:ascii="Arial" w:cs="Arial" w:eastAsia="Arial" w:hAnsi="Arial"/>
          <w:sz w:val="18"/>
          <w:szCs w:val="18"/>
          <w:i w:val="1"/>
          <w:iCs w:val="1"/>
          <w:color w:val="auto"/>
        </w:rPr>
        <w:t>.</w:t>
      </w:r>
      <w:r>
        <w:rPr>
          <w:rFonts w:ascii="Arial" w:cs="Arial" w:eastAsia="Arial" w:hAnsi="Arial"/>
          <w:sz w:val="18"/>
          <w:szCs w:val="18"/>
          <w:color w:val="auto"/>
        </w:rPr>
        <w:t xml:space="preserve"> Over the last two decades, the use of biomarker testing in clinical trials has increased, with 55% of oncology trials involving the use of biomarker testing in 2018 versus 15% in 2000. From 2005 to 2015,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78" w:lineRule="exact"/>
        <w:rPr>
          <w:sz w:val="20"/>
          <w:szCs w:val="20"/>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Biomarker Discovery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many limitations with biomarker discovery in biopharmaceutical drug development, including:</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Biomarkers with clinical utility are difficult to discover and validate in independent datasets.</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Classical statistical approaches to biomarker discovery are limited. Single-omic tests fail to see the whole biological picture.</w:t>
      </w:r>
    </w:p>
    <w:p>
      <w:pPr>
        <w:spacing w:after="0" w:line="142" w:lineRule="exact"/>
        <w:rPr>
          <w:rFonts w:ascii="Arial" w:cs="Arial" w:eastAsia="Arial" w:hAnsi="Arial"/>
          <w:sz w:val="17"/>
          <w:szCs w:val="17"/>
          <w:color w:val="auto"/>
        </w:rPr>
      </w:pPr>
    </w:p>
    <w:p>
      <w:pPr>
        <w:ind w:left="1440" w:hanging="433"/>
        <w:spacing w:after="0" w:line="277" w:lineRule="auto"/>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Tissue biopsies are limited by the amount of a sample that can be collected: longitudinal testing is difficult and the biology is only from the profile of the tumor (host response is not accounted for).</w:t>
      </w:r>
    </w:p>
    <w:p>
      <w:pPr>
        <w:spacing w:after="0" w:line="75" w:lineRule="exact"/>
        <w:rPr>
          <w:rFonts w:ascii="Arial" w:cs="Arial" w:eastAsia="Arial" w:hAnsi="Arial"/>
          <w:sz w:val="18"/>
          <w:szCs w:val="18"/>
          <w:color w:val="auto"/>
        </w:rPr>
      </w:pPr>
    </w:p>
    <w:p>
      <w:pPr>
        <w:ind w:left="1440" w:right="320" w:hanging="433"/>
        <w:spacing w:after="0" w:line="277" w:lineRule="auto"/>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Clinical trials are expensive and take a long period of time. It is often difficult to meet enrollment goals for clinical trials with slow diagnostic testing turnaround times.</w:t>
      </w:r>
    </w:p>
    <w:p>
      <w:pPr>
        <w:spacing w:after="0" w:line="71" w:lineRule="exact"/>
        <w:rPr>
          <w:rFonts w:ascii="Arial" w:cs="Arial" w:eastAsia="Arial" w:hAnsi="Arial"/>
          <w:sz w:val="18"/>
          <w:szCs w:val="18"/>
          <w:color w:val="auto"/>
        </w:rPr>
      </w:pPr>
    </w:p>
    <w:p>
      <w:pPr>
        <w:ind w:left="1000" w:right="460" w:hanging="547"/>
        <w:spacing w:after="0" w:line="266"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Companion Diagnostics (CDx): </w:t>
      </w:r>
      <w:r>
        <w:rPr>
          <w:rFonts w:ascii="Arial" w:cs="Arial" w:eastAsia="Arial" w:hAnsi="Arial"/>
          <w:sz w:val="18"/>
          <w:szCs w:val="18"/>
          <w:color w:val="auto"/>
        </w:rPr>
        <w:t>While developing companion diagnostics is critical to precision medicine, the promise of companion</w:t>
      </w:r>
      <w:r>
        <w:rPr>
          <w:rFonts w:ascii="Arial" w:cs="Arial" w:eastAsia="Arial" w:hAnsi="Arial"/>
          <w:sz w:val="18"/>
          <w:szCs w:val="18"/>
          <w:b w:val="1"/>
          <w:bCs w:val="1"/>
          <w:color w:val="auto"/>
        </w:rPr>
        <w:t xml:space="preserve"> </w:t>
      </w:r>
      <w:r>
        <w:rPr>
          <w:rFonts w:ascii="Arial" w:cs="Arial" w:eastAsia="Arial" w:hAnsi="Arial"/>
          <w:sz w:val="18"/>
          <w:szCs w:val="18"/>
          <w:color w:val="auto"/>
        </w:rPr>
        <w:t>diagnostics has not been fully realized and there are multiple limitations that still need resolution. The path to co-develop a successful companion diagnostic with a corresponding drug has several challenges, including:</w:t>
      </w:r>
    </w:p>
    <w:p>
      <w:pPr>
        <w:spacing w:after="0" w:line="85" w:lineRule="exact"/>
        <w:rPr>
          <w:rFonts w:ascii="Arial" w:cs="Arial" w:eastAsia="Arial" w:hAnsi="Arial"/>
          <w:sz w:val="18"/>
          <w:szCs w:val="18"/>
          <w:color w:val="auto"/>
        </w:rPr>
      </w:pPr>
    </w:p>
    <w:p>
      <w:pPr>
        <w:ind w:left="1440" w:right="80" w:hanging="433"/>
        <w:spacing w:after="0" w:line="277" w:lineRule="auto"/>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Traditional companion diagnostic agreements may fail to realize the full value of a testing opportunity, leading to difficulty in funding appropriate commercialization.</w:t>
      </w:r>
    </w:p>
    <w:p>
      <w:pPr>
        <w:spacing w:after="0" w:line="75" w:lineRule="exact"/>
        <w:rPr>
          <w:rFonts w:ascii="Arial" w:cs="Arial" w:eastAsia="Arial" w:hAnsi="Arial"/>
          <w:sz w:val="18"/>
          <w:szCs w:val="18"/>
          <w:color w:val="auto"/>
        </w:rPr>
      </w:pPr>
    </w:p>
    <w:p>
      <w:pPr>
        <w:ind w:left="1440" w:right="260" w:hanging="433"/>
        <w:spacing w:after="0" w:line="277" w:lineRule="auto"/>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Drug development is a lengthy, complex and costly process. There can be a financial impact to a pharmaceutical company to have a drug selected by a test.</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Current diagnostic reimbursement policies may not always support the coverage and payment of new companion diagnostics.</w:t>
      </w:r>
    </w:p>
    <w:p>
      <w:pPr>
        <w:spacing w:after="0" w:line="142" w:lineRule="exact"/>
        <w:rPr>
          <w:rFonts w:ascii="Arial" w:cs="Arial" w:eastAsia="Arial" w:hAnsi="Arial"/>
          <w:sz w:val="17"/>
          <w:szCs w:val="17"/>
          <w:color w:val="auto"/>
        </w:rPr>
      </w:pPr>
    </w:p>
    <w:p>
      <w:pPr>
        <w:ind w:left="1440" w:hanging="433"/>
        <w:spacing w:after="0"/>
        <w:tabs>
          <w:tab w:leader="none" w:pos="14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Regulatory agencies continue to work on defining the co-development process, but the environment is continually changing.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AI Platform</w:t>
      </w:r>
    </w:p>
    <w:p>
      <w:pPr>
        <w:spacing w:after="0" w:line="121"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w:t>
      </w:r>
    </w:p>
    <w:p>
      <w:pPr>
        <w:spacing w:after="0" w:line="184"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The Diagnostic Cortex is an extensively validated deep learning platform optimized for the discovery of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occurs when the machine identifies a perfect pattern in an initial training dataset but isn’t able to identify the same pattern in a new dataset. For over 15 years, we have focused on developing our platform to overcome this challenge to ensure each test that is discovered can be further developed to perform consistently in the clinical testing environment.</w:t>
      </w:r>
    </w:p>
    <w:p>
      <w:pPr>
        <w:spacing w:after="0" w:line="192"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We are able to combine blood-based biological information related to the tumor, immune system, and host-status with clinical and radiomic data through our proprietary AI platform, which enables us to interpret the holistic disease state of each patient or clinical dataset we encounter.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320" w:top="459" w:right="3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continuously incorporate new market insights and patient data to enhance our platform through a data-driven learning loop. We regularly engage with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academic partnerships, into our platform. We have over 140,000 samples and data in our biobank, including tumor profiles and immune profiles, which are used for both internal and external development initiatives. With our data-driven and technology agnostic approach as data inputs into the Diagnostic Cortex, we are able to discover diagnostic tests that answer critical clinical questions faced by physicians, researchers, and biopharmaceutical companies.</w:t>
      </w:r>
    </w:p>
    <w:p>
      <w:pPr>
        <w:spacing w:after="0" w:line="17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is a diagram outlining our innovative diagnostic test discovery, development and commercialization infrastructure as outlined in the text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691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employ multiple technologies, as illustrated below, including genomics, proteomics, transcriptomics, and radiomics, generated by different assay techniques, including ddPCR, NGS, LC-MS, ELISA, and our proprietary DeepMALDI mass spectrometry platform for the blood-based molecular analysis of the tumor, immune system, and host-status of each patient and/or clinical dataset. Through our learning loop, we continuously revisit our technology strategy and roadmap to integrate new technologies into our evolving platform, which ultimately support the addition of new service and product revenue offerings. We focus on developing technologies that are capable of single and multi-omic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137795</wp:posOffset>
            </wp:positionV>
            <wp:extent cx="5194935" cy="1423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9493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80"/>
          </w:cols>
          <w:pgMar w:left="320" w:top="459" w:right="3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technology agnostic approach to solving diagnostic challenges leveraging our proprietary AI platform. Because of this approach, we believe we are unique in the diagnostics market, allowing for a broader and more holistic understanding of each patient’s disease state.</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For over 10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229"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four blood-based diagnostic tests across the lung cancer continuum of care to help address clinical unmet needs by physicians.</w:t>
      </w:r>
    </w:p>
    <w:p>
      <w:pPr>
        <w:spacing w:after="0" w:line="260" w:lineRule="exact"/>
        <w:rPr>
          <w:sz w:val="20"/>
          <w:szCs w:val="20"/>
          <w:color w:val="auto"/>
        </w:rPr>
      </w:pPr>
    </w:p>
    <w:p>
      <w:pPr>
        <w:ind w:left="1000" w:right="60" w:hanging="547"/>
        <w:spacing w:after="0" w:line="258"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Diagnosis</w:t>
      </w:r>
      <w:r>
        <w:rPr>
          <w:rFonts w:ascii="Arial" w:cs="Arial" w:eastAsia="Arial" w:hAnsi="Arial"/>
          <w:sz w:val="18"/>
          <w:szCs w:val="18"/>
          <w:color w:val="auto"/>
        </w:rPr>
        <w:t>: We believe there is a clinical need to help physicians reclassify risk of malignancy in patients presenting with suspicious lung</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We offer the blood-based Nodify Lung Nodule Risk Assessment testing strategy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w:t>
      </w:r>
    </w:p>
    <w:p>
      <w:pPr>
        <w:spacing w:after="0" w:line="210" w:lineRule="exact"/>
        <w:rPr>
          <w:rFonts w:ascii="Arial" w:cs="Arial" w:eastAsia="Arial" w:hAnsi="Arial"/>
          <w:sz w:val="18"/>
          <w:szCs w:val="18"/>
          <w:color w:val="auto"/>
        </w:rPr>
      </w:pPr>
    </w:p>
    <w:p>
      <w:pPr>
        <w:ind w:left="1000" w:right="60" w:hanging="547"/>
        <w:spacing w:after="0" w:line="298"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Treatment Guidance</w:t>
      </w:r>
      <w:r>
        <w:rPr>
          <w:rFonts w:ascii="Arial" w:cs="Arial" w:eastAsia="Arial" w:hAnsi="Arial"/>
          <w:sz w:val="16"/>
          <w:szCs w:val="16"/>
          <w:color w:val="auto"/>
        </w:rPr>
        <w:t>: We believe there is an imminent need for a blood-based testing solution that measures tumor-specific mutations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the patient’s immune profile to provide physicians with more comprehensive information to assess the overall prognosis of the patient and personalize treatment plans. We offer the blood-based Biodesix Lung Reflex testing strategy, which consists of the GeneStrat tumor profiling test and the VeriStrat immune profiling test for patients diagnosed with NSCLC. With a three-day turnaround time, we are able to quickly provide critical diagnostic information to physicians to facilitate personalized treatment decisions for their patients.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459"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0" w:right="160" w:hanging="547"/>
        <w:spacing w:after="0" w:line="289" w:lineRule="auto"/>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Monitoring</w:t>
      </w:r>
      <w:r>
        <w:rPr>
          <w:rFonts w:ascii="Arial" w:cs="Arial" w:eastAsia="Arial" w:hAnsi="Arial"/>
          <w:sz w:val="17"/>
          <w:szCs w:val="17"/>
          <w:color w:val="auto"/>
        </w:rPr>
        <w:t>: We believe longitudinally monitoring advanced NSCLC patients for the dynamic evolution of their tumor and immune profile</w:t>
      </w:r>
      <w:r>
        <w:rPr>
          <w:rFonts w:ascii="Arial" w:cs="Arial" w:eastAsia="Arial" w:hAnsi="Arial"/>
          <w:sz w:val="17"/>
          <w:szCs w:val="17"/>
          <w:b w:val="1"/>
          <w:bCs w:val="1"/>
          <w:color w:val="auto"/>
        </w:rPr>
        <w:t xml:space="preserve"> </w:t>
      </w:r>
      <w:r>
        <w:rPr>
          <w:rFonts w:ascii="Arial" w:cs="Arial" w:eastAsia="Arial" w:hAnsi="Arial"/>
          <w:sz w:val="17"/>
          <w:szCs w:val="17"/>
          <w:color w:val="auto"/>
        </w:rPr>
        <w:t>while on treatment can provide an earlier indication of treatment resistance and/or disease progression. We offer the Biodesix Lung Reflex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128905</wp:posOffset>
            </wp:positionV>
            <wp:extent cx="5186045" cy="21170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Nodify CDT test is used to help identify lung nodules that are likely malignant and the Nodify XL2 test helps identify lung nodules that are likely benign. Nodify Lung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Nodify CDT, then the Nodify XL2 test is performed to help determine if the patient’s nodule is likely benign or has a reduced risk of lung cancer and may be a candidate for CT imaging surveillance. The Nodify Lung testing strategy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86045" cy="258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We launched the Nodify Lung combined offering of Nodify CDT and Nodify XL2 in March 2020. However, the Nodify XL2 test has been available to all physicians since September 2019 and has been available to a select group of physicians since October 2018. We acquired the Nodify XL2 test from Integrated Diagnostics in July 2018, and acquired the Nodify CDT from Oncimmune USA in October 2019.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Nodify CDT</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Nodify CDT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hope of catching cancer earlier. Nodify CDT enhances lung nodule risk assessment to facilitate compliance with clinical treatment guidelines such as those of the American College of Chest Physicians (ACCP). Nodify CDT is intended for use in patients who are 40 years or older, have nodules between 8 and 30mm, and pre-test risk of lung cancer of less than 65%.</w:t>
      </w:r>
    </w:p>
    <w:p>
      <w:pPr>
        <w:spacing w:after="0" w:line="161"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The test measures the levels of seven circulating autoantibodies (P53, NY-ESO-1, CAGE, GBU4-5, SOX2, HuD, and MAGE A4) associated with lung cancer, combined by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4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In addition to the test result of High Level, Moderate Level, or NSLAD, each test report includes the patient’s pre-test risk of malignancy as calculated by the Solitary Pulmonary Nodule Risk Assessment calculator, and their post-test risk of cancer incorporating the result of the test. The Solitary Pulmonary Nodule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test has been studied in 14 peer reviewed published studies and presentations.</w:t>
      </w:r>
    </w:p>
    <w:p>
      <w:pPr>
        <w:spacing w:after="0" w:line="19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is an example of a de-identified Nodify CDT Test Result Report describing a patient’s pre-test clinical risk of malignancy and the adjusted post-test risk following a High Level test result. The physician in this scenario may consider recommending the patient for an invasive diagnostic procedure as their post-Nodify CDT risk of malignancy is considered High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674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60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Nodify XL2</w:t>
      </w:r>
    </w:p>
    <w:p>
      <w:pPr>
        <w:spacing w:after="0" w:line="117"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Nodify XL2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Nodify XL2 is used for patients who are 40 years or older, have nodules between 8 and 30mm, and have a pre-test risk of lung cancer of less than or equal to 50%.</w:t>
      </w:r>
    </w:p>
    <w:p>
      <w:pPr>
        <w:spacing w:after="0" w:line="18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Nodify XL2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circulation in the patient’s blood. The native proteins from which the peptides are derived, have been associated with an inflammatory response to cancer.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clinical factors are patient age and smoking status, and radiological factors are nodule size, location, and edge characteristics.</w:t>
      </w:r>
    </w:p>
    <w:p>
      <w:pPr>
        <w:spacing w:after="0" w:line="211"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In addition to the test result of Likely Benign, Reduced Risk, or Indeterminate, each test report includes the patient’s pre-test risk of lung cancer as calculated by the Solitary Pulmonary Nodule Risk Assessment calculator, and their post-Nodify XL2 risk of malignancy incorporating the result of the test. Incorporating the peptide levels with the risk model provides physicians with a revised assessment of risk incorporating the patient’s biology.</w:t>
      </w:r>
    </w:p>
    <w:p>
      <w:pPr>
        <w:spacing w:after="0" w:line="16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following is an example of a de-identified Nodify XL2 Test Result Report describing a patient’s pre-test clinical risk of malignancy and the adjusted post-test risk following a Likely Benign test result. The physician in this scenario may consider recommending the patient for three or six-month CT surveillance as their post-Nodify XL2 risk of malignancy is considered 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6492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604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In summary, the inclusion of the Nodify Lung testing strategy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15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Blood samples for Nodify XL2 and Nodify CDT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especially with the evolving coronavirus pandemic.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19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Both tests require a single blood sample shipped at ambient temperature to our certified, high-complexity clinical laboratory in De Soto, Kansas. Nodify CDT requires whole blood and Nodify XL2 requires whole blood spotted onto our proprietary Blood Collection Device (BCD). The introduction of the BCD as a qualified specimen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459" w:right="3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collection method for use with the Nodify XL2 test alleviated the need for serum separation processing steps by phlebotomists at blood draw sites such as centrifugation, and cold chain (dry ice) shipments, which has increased the market access to our proteomic-based tests. Results for Nodify CDT alone are typically available within one day. If both tests are ordered for the patient and Nodify CDT returns a result of NSLAD, then both test results are typically available within 4 to 5 days. All results are available through a portal, fax, hard copy, or mobile device.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Guidance and Monitoring</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Profiling the tumor through blood-based testing can help identify mutations in genes that may be driving growth of the tumor and may be targets for therapeutics. However, tumors also suppress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Biodesix Lung Reflex testing strategy consists of the GeneStrat tumor profiling test and the VeriStrat immune profiling test, which can be ordered together or separately for patients with NSCLC. Together, the tests typically have a 3-day turnaround time, providing physicians with timely results to facilitate treatment decisions.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GeneStrat</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 xml:space="preserve">GeneStrat is a blood-based tumor profiling test that detects the guideline recommended, actionable mutations in lung cancer: </w:t>
      </w:r>
      <w:r>
        <w:rPr>
          <w:rFonts w:ascii="Arial" w:cs="Arial" w:eastAsia="Arial" w:hAnsi="Arial"/>
          <w:sz w:val="17"/>
          <w:szCs w:val="17"/>
          <w:i w:val="1"/>
          <w:iCs w:val="1"/>
          <w:color w:val="auto"/>
        </w:rPr>
        <w:t>EGFR, KRAS, BRAF,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EML4-ALK, ROS-1, </w:t>
      </w:r>
      <w:r>
        <w:rPr>
          <w:rFonts w:ascii="Arial" w:cs="Arial" w:eastAsia="Arial" w:hAnsi="Arial"/>
          <w:sz w:val="17"/>
          <w:szCs w:val="17"/>
          <w:color w:val="auto"/>
        </w:rPr>
        <w:t>and</w:t>
      </w:r>
      <w:r>
        <w:rPr>
          <w:rFonts w:ascii="Arial" w:cs="Arial" w:eastAsia="Arial" w:hAnsi="Arial"/>
          <w:sz w:val="17"/>
          <w:szCs w:val="17"/>
          <w:i w:val="1"/>
          <w:iCs w:val="1"/>
          <w:color w:val="auto"/>
        </w:rPr>
        <w:t xml:space="preserve"> RET. </w:t>
      </w:r>
      <w:r>
        <w:rPr>
          <w:rFonts w:ascii="Arial" w:cs="Arial" w:eastAsia="Arial" w:hAnsi="Arial"/>
          <w:sz w:val="17"/>
          <w:szCs w:val="17"/>
          <w:color w:val="auto"/>
        </w:rPr>
        <w:t>Physicians can order one or any combination of the genes, whichever they deem medically necessary for the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The presence of a mutation in one of the genes could indicate the patient is a candidate for the associated guideline-recommended targeted therapy. The GeneStrat test performance and potential clinical utility have been published in 3 peer reviewed studies.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320" w:top="459" w:right="3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93" w:lineRule="auto"/>
        <w:rPr>
          <w:sz w:val="20"/>
          <w:szCs w:val="20"/>
          <w:color w:val="auto"/>
        </w:rPr>
      </w:pPr>
      <w:r>
        <w:rPr>
          <w:rFonts w:ascii="Arial" w:cs="Arial" w:eastAsia="Arial" w:hAnsi="Arial"/>
          <w:sz w:val="16"/>
          <w:szCs w:val="16"/>
          <w:color w:val="auto"/>
        </w:rPr>
        <w:t>GeneStrat test results are typically available within 72 hours from our receipt of the sample in our Boulder,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Lung Reflex testing at the institution, 72% of patients had molecular test results available. Testing with the GeneStrat test can help physicians identify driver mutations quickly to help speed up time to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28543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60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We believe that rapid, blood-based tumor profiling with the GeneStrat test is complementary to both targeted tissue-based testing (including PD-L1) and broad genomic sequencing. Testing with GeneStrat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The following is an example of a de-identified GeneStrat Test Result Report. The patient in this scenario is positive for the EGFR Sensitizing mutation Exon 19 DE746-A750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58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VeriStrat</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VeriStrat is a blood-based proteomic test that provides a personalized view of each patient’s immune response to their lung cancer. Results help inform physicians whether their patient has a more aggressive cancer and can help with treatment planning. VeriStrat profiles the patient’s immune system by measuring eight protein features measured by mass spectrometry and interpreted by a proprietary machine learning-based algorithm to produce either a VeriStrat Good or VeriStrat Poor test result. The VeriStrat testing workflow is represented by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1431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patients that test as VeriStrat Poor. By using the VeriStrat test for immune profiling, physicians can help identify the patients with an immune status associated with generally poor prognosis who should be treated with alternate therapies or in clinical trials.</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following is an example of a de-identified VeriStrat Test Result Report. The patient’s test result is a VeriStrat Good result, indicating the patient has an overall good prognosis and will likely benefit from standard of care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58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GeneStrat requires whole blood and VeriStrat requires a whole blood sample spotted onto our proprietary BCD. Both samples are shipped at ambient temperature and testing is performed in our certified, high-complexity clinical laboratory in Boulder, Colorado. GeneStrat is performed using the ddPCR technology, and the protein features in VeriStrat are measured using matrix-assisted laser desorption/ionization time of flight (MALDI-ToF) mass spectrometry. Results are typically available within 72 hours through a portal, fax, hard copy, or mobile device.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Biodesix WorkSafe COVID-19 Testing Program</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diagnostic tests for the SARS-CoV-2 virus that causes COVID-19. The first test is the Bio-Rad SARS-CoV-2 ddPCR test, which is a molecular assay indicated for detecting active SARS-CoV-2 infection. The test was FDA EUA authorized on May 1, 2020, authorizing performance of the test in laboratories certified under CLIA to perform high complexity tests. The second test is the Platelia SARS-CoV-2 Total Ab test, which is an antibody assay intended for detecting a B-cell immune response to SARS-CoV-2, indicating recent or prior infection. The test was FDA EUA authorized on April 29, 2020.</w:t>
      </w:r>
    </w:p>
    <w:p>
      <w:pPr>
        <w:spacing w:after="0" w:line="178"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Within a month of initiating our development collaboration with Bio-Rad, we were able to launch two tests for commercial use. We were able to bring these tests to market as fast as possible due to our scientific diagnostic expertise, technologies and existing commercial infrastructure. In addition to our launch agility, we have been able to rapidly scale our laboratory operations for high-volume testing. We remain committed to delivering rapid test results in 24 to 48 hours on average.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320" w:top="459"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Using the Bio-Rad SARS-CoV-2 ddPCR test and the Platelia SARS-CoV-2 Total Ab tests, we operate and have commercialized the Biodesix WorkSafe testing program.</w:t>
      </w:r>
    </w:p>
    <w:p>
      <w:pPr>
        <w:spacing w:after="0" w:line="170"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178" w:lineRule="exact"/>
        <w:rPr>
          <w:sz w:val="20"/>
          <w:szCs w:val="20"/>
          <w:color w:val="auto"/>
        </w:rPr>
      </w:pPr>
    </w:p>
    <w:p>
      <w:pPr>
        <w:ind w:right="260" w:firstLine="449"/>
        <w:spacing w:after="0" w:line="273" w:lineRule="auto"/>
        <w:rPr>
          <w:sz w:val="20"/>
          <w:szCs w:val="20"/>
          <w:color w:val="auto"/>
        </w:rPr>
      </w:pPr>
      <w:r>
        <w:rPr>
          <w:rFonts w:ascii="Arial" w:cs="Arial" w:eastAsia="Arial" w:hAnsi="Arial"/>
          <w:sz w:val="17"/>
          <w:szCs w:val="17"/>
          <w:color w:val="auto"/>
        </w:rPr>
        <w:t>Our tests are utilized by healthcare providers, including hospitals and nursing homes and are also offered to businesses and educational systems to assist in their back-to-work or back to school strategies. Recently, we announced multiple partnerships for COVID-19 testing, and Colorado Governor Jared Polis announced at a press conference on July 23, 2020 that we will now be supporting wide-spread COVID-19 testing for the State of Colorado. Additionally, we announced a partnership as the official COVID-19 testing partner for the Major Lacrosse League as they competed in their 2020 tournament. We also recently announced that we will oversee and manage onsite testing and validating testing for the Big Ten Conference athletic competitions. To date, we have not derived significant revenues from these partnerships.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Bio-Rad SARS-CoV-2 ddPCR test</w:t>
      </w:r>
    </w:p>
    <w:p>
      <w:pPr>
        <w:spacing w:after="0" w:line="117"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The Bio-Rad SARS-CoV-2 ddPCR test, also known as a molecular or viral test, is indicated for the qualitative detection of nucleic acid from SARS-CoV-2, the virus that causes COVID-19. The test targets detection of the nucleic acid from SARS-CoV-2 (not from any other viruses or pathogens) in respiratory specimens to identify and isolate infected individuals. Recent studies have shown that ddPCR-based testing is more sensitive than qPCR for detecting SARS-CoV-2, specifically in the reduction of false negative results. In one study, the ddPCR test demonstrated 95% accuracy vs. 47% for other “bulk” RT-PCR technologies used in other molecular tests Specimens are shipped at ambient temperature or dry ice depending on the viral transport media (VTM) used, and testing is performed using ddPCR in our certified, high-complexity clinical laboratory in Boulder, Colorado. Results are typically available through fax, hard copy, or encrypted email within 24 to 48 hours on average from receipt of the sample.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Platelia SARS-CoV-2 Total Ab Test</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Platelia SARS-CoV-2 Total Ab assay (also known as a serology or antibody test) is intended for use as an aid in identifying individuals who have developed an adaptive immune response to the SARS-CoV-2 virus, indicating recent or prior infection. The assay uses whole blood to detect circulating antibodies against the virus. The sensitivity is 98% and specificity is 99% eight days after the onset of symptoms. At this time, it is not known how long antibodies persist following infection and if the presence of antibodies confers protective immunity. The test is intended for the qualitative detection of total anti-SARS-CoV-2 nucleocapsid antibodies (IgG, IgM and IgA) in human serum or plasma specimens. The test requires a 3 mL blood draw, and samples are shipped at ambient temperature. Testing is conducted using semi-automated ELISA technology in our certified, high-complexity clinical laboratory in De Soto, Kansas. Results are typically available within 24 to 48 hours from receipt of the sample through fax, hard copy, or encrypted email.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Diagnostic Discovery, Development and Testing Services Business</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believe our leadership in clinical proteomics and our technology agnostic approach to probe the cancer disease state provides our customers with a clear and distinct advantage over other diagnostic service providers who solely focus on either genomics or proteomics. Similar to our commercial clinical testing business, our biopharmaceutical diagnostic discovery, development and testing services business leverages the Diagnostic Cortex to provide an extensively validated and deep learning approach to discovering new biomarkers, which in turn helps drive the clinical development of therapeutics. We recognize each clinical development program is complex, which is why we offer end-to-end diagnostic solutions, ranging from initial biomarker discovery and feasibility projects to commercialization of companion diagnostics.</w:t>
      </w:r>
    </w:p>
    <w:p>
      <w:pPr>
        <w:spacing w:after="0" w:line="178"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To address the increasing complexity of disease biology and new drug mechanisms of action, we employ a technology agnostic approach to uncover insights about the tumor biology and patient’s immune response to cancer for therapeutics in clinical development. With our broad technology and service offering, including the performance of over 30 assays for research use as part of our laboratory services (see diagram below), we are able to provide the depth and breadth of biomarker tools for our partners for multi-omic analyses across their product development efforts. Although we recognize the importance of a multi-omic, technology agnostic approach in translational research, we are experts in discovering and developing proteomic-based diagnostic tests to help interrogate the immune profile and host disease state of patients on particular therapeutics. Traditionally, oncology biomarkers have been discovered from tumor tissue, but with the increased trend in the number of programs featuring immuno-oncology agents in therapeutic development, we believe there is a clinical unmet need for blood-based tumor markers and host/immune biomarkers to complement information obtained from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2425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Additionally, we have the ability to access and leverage our large sample and data biobank for our partners’ data mining needs, including new test discovery.</w:t>
      </w:r>
    </w:p>
    <w:p>
      <w:pPr>
        <w:spacing w:after="0" w:line="176"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While our biopharmaceutical discovery, diagnostic development and testing revenue continues to grow, it is important to note that we benefit greatly from these partnerships in many ways that expand beyond revenue.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459" w:right="3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are continuously expanding our knowledge and biological understanding of multiple diseases and the rapidly evolving treatment landscape, while our Diagnostic Cortex continues to be powered through these biomarker analyses. Additionally, our sample and data biobank continue to grow and can be further leveraged for internal test development and external partnering. Importantly, we look to supplement our product development efforts with companion diagnostics as they are developed.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we have over 50 biopharmaceutical customers and academic partners who have utilized our diagnostic tests and services.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a few case studies of early stage biomarker discovery and development with our biopharmaceutical customers.</w:t>
      </w:r>
    </w:p>
    <w:p>
      <w:pPr>
        <w:spacing w:after="0" w:line="127" w:lineRule="exact"/>
        <w:rPr>
          <w:sz w:val="20"/>
          <w:szCs w:val="20"/>
          <w:color w:val="auto"/>
        </w:rPr>
      </w:pPr>
    </w:p>
    <w:p>
      <w:pPr>
        <w:ind w:left="1000" w:right="20" w:hanging="547"/>
        <w:spacing w:after="0" w:line="258"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AstraZeneca: </w:t>
      </w:r>
      <w:r>
        <w:rPr>
          <w:rFonts w:ascii="Arial" w:cs="Arial" w:eastAsia="Arial" w:hAnsi="Arial"/>
          <w:sz w:val="18"/>
          <w:szCs w:val="18"/>
          <w:color w:val="auto"/>
        </w:rPr>
        <w:t>We provided services to AstraZeneca to retrospectively analyze samples from the FLAURA clinical trial (NCT02296125).</w:t>
      </w:r>
      <w:r>
        <w:rPr>
          <w:rFonts w:ascii="Arial" w:cs="Arial" w:eastAsia="Arial" w:hAnsi="Arial"/>
          <w:sz w:val="18"/>
          <w:szCs w:val="18"/>
          <w:b w:val="1"/>
          <w:bCs w:val="1"/>
          <w:color w:val="auto"/>
        </w:rPr>
        <w:t xml:space="preserve"> </w:t>
      </w:r>
      <w:r>
        <w:rPr>
          <w:rFonts w:ascii="Arial" w:cs="Arial" w:eastAsia="Arial" w:hAnsi="Arial"/>
          <w:sz w:val="18"/>
          <w:szCs w:val="18"/>
          <w:color w:val="auto"/>
        </w:rPr>
        <w:t>The 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3 months (median) in advance of standard imaging.</w:t>
      </w:r>
    </w:p>
    <w:p>
      <w:pPr>
        <w:spacing w:after="0" w:line="88" w:lineRule="exact"/>
        <w:rPr>
          <w:rFonts w:ascii="Arial" w:cs="Arial" w:eastAsia="Arial" w:hAnsi="Arial"/>
          <w:sz w:val="18"/>
          <w:szCs w:val="18"/>
          <w:color w:val="auto"/>
        </w:rPr>
      </w:pPr>
    </w:p>
    <w:p>
      <w:pPr>
        <w:ind w:left="1000" w:right="20" w:hanging="547"/>
        <w:spacing w:after="0" w:line="292"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Genentech: </w:t>
      </w:r>
      <w:r>
        <w:rPr>
          <w:rFonts w:ascii="Arial" w:cs="Arial" w:eastAsia="Arial" w:hAnsi="Arial"/>
          <w:sz w:val="16"/>
          <w:szCs w:val="16"/>
          <w:color w:val="auto"/>
        </w:rPr>
        <w:t>We partnered with Genentech to discover a novel proteomic classifier for advanced NSCLC patients treated with atezolizumab.</w:t>
      </w:r>
      <w:r>
        <w:rPr>
          <w:rFonts w:ascii="Arial" w:cs="Arial" w:eastAsia="Arial" w:hAnsi="Arial"/>
          <w:sz w:val="16"/>
          <w:szCs w:val="16"/>
          <w:b w:val="1"/>
          <w:bCs w:val="1"/>
          <w:color w:val="auto"/>
        </w:rPr>
        <w:t xml:space="preserve"> </w:t>
      </w:r>
      <w:r>
        <w:rPr>
          <w:rFonts w:ascii="Arial" w:cs="Arial" w:eastAsia="Arial" w:hAnsi="Arial"/>
          <w:sz w:val="16"/>
          <w:szCs w:val="16"/>
          <w:color w:val="auto"/>
        </w:rPr>
        <w:t>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This implies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66" w:lineRule="exact"/>
        <w:rPr>
          <w:rFonts w:ascii="Arial" w:cs="Arial" w:eastAsia="Arial" w:hAnsi="Arial"/>
          <w:sz w:val="16"/>
          <w:szCs w:val="16"/>
          <w:color w:val="auto"/>
        </w:rPr>
      </w:pPr>
    </w:p>
    <w:p>
      <w:pPr>
        <w:ind w:left="1000" w:right="120" w:hanging="547"/>
        <w:spacing w:after="0" w:line="258"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Merck KGaA &amp; Pfizer: </w:t>
      </w:r>
      <w:r>
        <w:rPr>
          <w:rFonts w:ascii="Arial" w:cs="Arial" w:eastAsia="Arial" w:hAnsi="Arial"/>
          <w:sz w:val="18"/>
          <w:szCs w:val="18"/>
          <w:color w:val="auto"/>
        </w:rPr>
        <w:t>We announced the initiation of a clinical phase development program for the anti-PD-L1 checkpoint inhibitor,</w:t>
      </w:r>
      <w:r>
        <w:rPr>
          <w:rFonts w:ascii="Arial" w:cs="Arial" w:eastAsia="Arial" w:hAnsi="Arial"/>
          <w:sz w:val="18"/>
          <w:szCs w:val="18"/>
          <w:b w:val="1"/>
          <w:bCs w:val="1"/>
          <w:color w:val="auto"/>
        </w:rPr>
        <w:t xml:space="preserve"> </w:t>
      </w:r>
      <w:r>
        <w:rPr>
          <w:rFonts w:ascii="Arial" w:cs="Arial" w:eastAsia="Arial" w:hAnsi="Arial"/>
          <w:sz w:val="18"/>
          <w:szCs w:val="18"/>
          <w:color w:val="auto"/>
        </w:rPr>
        <w:t>avelumab with Merck KGaA and Pfizer on February 12, 2020. The new proteomic test was developed through retrospective analysis of the circulating proteome combined with our proprietary AI platform. We have completed initial discovery of the test that identifies likely responders to avelumab and efforts are now focusing on transferring the test into our CLIA lab in Boulder, Colorado for clinical phase test validation.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27" w:lineRule="exact"/>
        <w:rPr>
          <w:sz w:val="20"/>
          <w:szCs w:val="20"/>
          <w:color w:val="auto"/>
        </w:rPr>
      </w:pPr>
    </w:p>
    <w:p>
      <w:pPr>
        <w:ind w:left="1000" w:hanging="547"/>
        <w:spacing w:after="0" w:line="258"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Our proprietary extensively validated deep learning platform, which is tailored to discover diagnostic tests that address clinical unmet needs. </w:t>
      </w:r>
      <w:r>
        <w:rPr>
          <w:rFonts w:ascii="Arial" w:cs="Arial" w:eastAsia="Arial" w:hAnsi="Arial"/>
          <w:sz w:val="18"/>
          <w:szCs w:val="18"/>
          <w:color w:val="auto"/>
        </w:rPr>
        <w:t>Our platform is an extensively validated deep learning platform optimized for discovery of diagnostic tests. By combining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data-driven and technology agnostic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88" w:lineRule="exact"/>
        <w:rPr>
          <w:rFonts w:ascii="Arial" w:cs="Arial" w:eastAsia="Arial" w:hAnsi="Arial"/>
          <w:sz w:val="18"/>
          <w:szCs w:val="18"/>
          <w:color w:val="auto"/>
        </w:rPr>
      </w:pPr>
    </w:p>
    <w:p>
      <w:pPr>
        <w:ind w:left="1000" w:right="320" w:hanging="547"/>
        <w:spacing w:after="0" w:line="281"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Our data-driven approach to precision medicine combined with our biobank, which enables us to accelerate development of new tests. </w:t>
      </w:r>
      <w:r>
        <w:rPr>
          <w:rFonts w:ascii="Arial" w:cs="Arial" w:eastAsia="Arial" w:hAnsi="Arial"/>
          <w:sz w:val="17"/>
          <w:szCs w:val="17"/>
          <w:color w:val="auto"/>
        </w:rPr>
        <w:t>We have over 140,000 samples and data in our biobank, including tumor profiles and immune profiles, used for both internal and</w:t>
      </w:r>
      <w:r>
        <w:rPr>
          <w:rFonts w:ascii="Arial" w:cs="Arial" w:eastAsia="Arial" w:hAnsi="Arial"/>
          <w:sz w:val="17"/>
          <w:szCs w:val="17"/>
          <w:b w:val="1"/>
          <w:bCs w:val="1"/>
          <w:color w:val="auto"/>
        </w:rPr>
        <w:t xml:space="preserve"> </w:t>
      </w:r>
      <w:r>
        <w:rPr>
          <w:rFonts w:ascii="Arial" w:cs="Arial" w:eastAsia="Arial" w:hAnsi="Arial"/>
          <w:sz w:val="17"/>
          <w:szCs w:val="17"/>
          <w:color w:val="auto"/>
        </w:rPr>
        <w:t>external research and development initiatives. Our biobank, clinical trials, commercial testing and other partnerships provide an ongoing source of new data that further enhances our proprietary AI platform. We are continuously</w:t>
      </w: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60"/>
          </w:cols>
          <w:pgMar w:left="32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0"/>
        <w:spacing w:after="0" w:line="277" w:lineRule="auto"/>
        <w:rPr>
          <w:sz w:val="20"/>
          <w:szCs w:val="20"/>
          <w:color w:val="auto"/>
        </w:rPr>
      </w:pPr>
      <w:r>
        <w:rPr>
          <w:rFonts w:ascii="Arial" w:cs="Arial" w:eastAsia="Arial" w:hAnsi="Arial"/>
          <w:sz w:val="18"/>
          <w:szCs w:val="18"/>
          <w:color w:val="auto"/>
        </w:rPr>
        <w:t>identifying and incorporating new market insights and input from our customers, key opinion leaders, and scientific experts to leverage this data in developing our diagnostic tests.</w:t>
      </w:r>
    </w:p>
    <w:p>
      <w:pPr>
        <w:spacing w:after="0" w:line="72" w:lineRule="exact"/>
        <w:rPr>
          <w:sz w:val="20"/>
          <w:szCs w:val="20"/>
          <w:color w:val="auto"/>
        </w:rPr>
      </w:pPr>
    </w:p>
    <w:p>
      <w:pPr>
        <w:ind w:left="1000" w:right="200" w:hanging="547"/>
        <w:spacing w:after="0" w:line="282"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Our leadership in clinical proteomics, demonstrated research, development, and scientific expertise, combined with our intellectual property portfolio.</w:t>
      </w:r>
    </w:p>
    <w:p>
      <w:pPr>
        <w:spacing w:after="0" w:line="71" w:lineRule="exact"/>
        <w:rPr>
          <w:rFonts w:ascii="Arial" w:cs="Arial" w:eastAsia="Arial" w:hAnsi="Arial"/>
          <w:sz w:val="18"/>
          <w:szCs w:val="18"/>
          <w:color w:val="auto"/>
        </w:rPr>
      </w:pPr>
    </w:p>
    <w:p>
      <w:pPr>
        <w:ind w:left="1440" w:right="120" w:hanging="433"/>
        <w:spacing w:after="0" w:line="263" w:lineRule="auto"/>
        <w:tabs>
          <w:tab w:leader="none" w:pos="14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Our leadership in clinical proteomics and our technology agnostic approach, we believe provides us with a distinct advantage over our competitors, who focus on any single technology, such as genomics or proteomics. Our certified, high-complexity laboratories offer significant advantages in development of commercial tests.</w:t>
      </w:r>
    </w:p>
    <w:p>
      <w:pPr>
        <w:spacing w:after="0" w:line="89" w:lineRule="exact"/>
        <w:rPr>
          <w:rFonts w:ascii="Arial" w:cs="Arial" w:eastAsia="Arial" w:hAnsi="Arial"/>
          <w:sz w:val="18"/>
          <w:szCs w:val="18"/>
          <w:color w:val="auto"/>
        </w:rPr>
      </w:pPr>
    </w:p>
    <w:p>
      <w:pPr>
        <w:ind w:left="1440" w:right="40" w:hanging="433"/>
        <w:spacing w:after="0" w:line="301" w:lineRule="auto"/>
        <w:tabs>
          <w:tab w:leader="none" w:pos="14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Our proprietary technologies and processes are protected by a portfolio of approximately 83 issued patents in the United States and internationally, and 20 uniquely registered United States trademarks. We take efforts to protect our proprietary position using a variety of 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58" w:lineRule="exact"/>
        <w:rPr>
          <w:rFonts w:ascii="Arial" w:cs="Arial" w:eastAsia="Arial" w:hAnsi="Arial"/>
          <w:sz w:val="16"/>
          <w:szCs w:val="16"/>
          <w:color w:val="auto"/>
        </w:rPr>
      </w:pPr>
    </w:p>
    <w:p>
      <w:pPr>
        <w:ind w:left="1000" w:right="40" w:hanging="547"/>
        <w:spacing w:after="0" w:line="277"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Our demonstrated success commercializing diagnostic tests in lung disease. </w:t>
      </w:r>
      <w:r>
        <w:rPr>
          <w:rFonts w:ascii="Arial" w:cs="Arial" w:eastAsia="Arial" w:hAnsi="Arial"/>
          <w:sz w:val="17"/>
          <w:szCs w:val="17"/>
          <w:color w:val="auto"/>
        </w:rPr>
        <w:t>With six diagnostic tests launched and three currently in</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We have displayed agility in our R&amp;D and commercial launch efforts and within a month of initiating a development collaboration, launched two diagnostic tests for COVID-19 for commercial use.</w:t>
      </w:r>
    </w:p>
    <w:p>
      <w:pPr>
        <w:spacing w:after="0" w:line="73" w:lineRule="exact"/>
        <w:rPr>
          <w:rFonts w:ascii="Arial" w:cs="Arial" w:eastAsia="Arial" w:hAnsi="Arial"/>
          <w:sz w:val="17"/>
          <w:szCs w:val="17"/>
          <w:color w:val="auto"/>
        </w:rPr>
      </w:pPr>
    </w:p>
    <w:p>
      <w:pPr>
        <w:ind w:left="1000" w:right="280" w:hanging="547"/>
        <w:spacing w:after="0" w:line="298"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Our depth and breadth of point of care access to physicians allows us to drive adoption of our diagnostic tests while incorporating real-life feedback to inform new product development. </w:t>
      </w:r>
      <w:r>
        <w:rPr>
          <w:rFonts w:ascii="Arial" w:cs="Arial" w:eastAsia="Arial" w:hAnsi="Arial"/>
          <w:sz w:val="16"/>
          <w:szCs w:val="16"/>
          <w:color w:val="auto"/>
        </w:rPr>
        <w:t>Our commercial team’s primary focus is to articulate the scientific and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59" w:lineRule="exact"/>
        <w:rPr>
          <w:rFonts w:ascii="Arial" w:cs="Arial" w:eastAsia="Arial" w:hAnsi="Arial"/>
          <w:sz w:val="16"/>
          <w:szCs w:val="16"/>
          <w:color w:val="auto"/>
        </w:rPr>
      </w:pPr>
    </w:p>
    <w:p>
      <w:pPr>
        <w:ind w:left="1000" w:right="160" w:hanging="547"/>
        <w:spacing w:after="0" w:line="298"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Arial" w:cs="Arial" w:eastAsia="Arial" w:hAnsi="Arial"/>
          <w:sz w:val="16"/>
          <w:szCs w:val="16"/>
          <w:color w:val="auto"/>
        </w:rPr>
        <w:t>We believe our commitment to commercial excellence helps</w:t>
      </w:r>
      <w:r>
        <w:rPr>
          <w:rFonts w:ascii="Arial" w:cs="Arial" w:eastAsia="Arial" w:hAnsi="Arial"/>
          <w:sz w:val="16"/>
          <w:szCs w:val="16"/>
          <w:b w:val="1"/>
          <w:bCs w:val="1"/>
          <w:color w:val="auto"/>
        </w:rPr>
        <w:t xml:space="preserve"> </w:t>
      </w:r>
      <w:r>
        <w:rPr>
          <w:rFonts w:ascii="Arial" w:cs="Arial" w:eastAsia="Arial" w:hAnsi="Arial"/>
          <w:sz w:val="16"/>
          <w:szCs w:val="16"/>
          <w:color w:val="auto"/>
        </w:rPr>
        <w:t>us 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72" w:lineRule="exact"/>
        <w:rPr>
          <w:sz w:val="20"/>
          <w:szCs w:val="20"/>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Drive increased awareness, adoption, and reimbursement coverage of our diagnostic tests by:</w:t>
      </w:r>
    </w:p>
    <w:p>
      <w:pPr>
        <w:spacing w:after="0" w:line="134" w:lineRule="exact"/>
        <w:rPr>
          <w:rFonts w:ascii="Arial" w:cs="Arial" w:eastAsia="Arial" w:hAnsi="Arial"/>
          <w:sz w:val="18"/>
          <w:szCs w:val="18"/>
          <w:color w:val="auto"/>
        </w:rPr>
      </w:pPr>
    </w:p>
    <w:p>
      <w:pPr>
        <w:ind w:left="1440" w:right="620" w:hanging="433"/>
        <w:spacing w:after="0" w:line="342" w:lineRule="auto"/>
        <w:tabs>
          <w:tab w:leader="none" w:pos="14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29" w:lineRule="exact"/>
        <w:rPr>
          <w:rFonts w:ascii="Arial" w:cs="Arial" w:eastAsia="Arial" w:hAnsi="Arial"/>
          <w:sz w:val="16"/>
          <w:szCs w:val="16"/>
          <w:color w:val="auto"/>
        </w:rPr>
      </w:pPr>
    </w:p>
    <w:p>
      <w:pPr>
        <w:ind w:left="1440" w:right="260" w:hanging="433"/>
        <w:spacing w:after="0" w:line="342" w:lineRule="auto"/>
        <w:tabs>
          <w:tab w:leader="none" w:pos="14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utilizing our pulmonology-focused sales force and commercial reach with targeted awareness campaigns to employ highly targeted sales and marketing tactics in pulmonology clinics specializing in the management of lung nodules and the diagnosis of lung cancer;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40" w:hanging="433"/>
        <w:spacing w:after="0"/>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continuing to invest in the expansion of our sales force and commercial support team;</w:t>
      </w:r>
    </w:p>
    <w:p>
      <w:pPr>
        <w:spacing w:after="0" w:line="130" w:lineRule="exact"/>
        <w:rPr>
          <w:rFonts w:ascii="Arial" w:cs="Arial" w:eastAsia="Arial" w:hAnsi="Arial"/>
          <w:sz w:val="18"/>
          <w:szCs w:val="18"/>
          <w:color w:val="auto"/>
        </w:rPr>
      </w:pPr>
    </w:p>
    <w:p>
      <w:pPr>
        <w:ind w:left="1440" w:right="20" w:hanging="433"/>
        <w:spacing w:after="0" w:line="277" w:lineRule="auto"/>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incorporating our testing services into diagnostic pathways and protocols via a top-down strategy that introduces our diagnostic tests to the largest United States health systems; and</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leveraging our clinical data to gain broad coverage from public and private payers for our tests.</w:t>
      </w:r>
    </w:p>
    <w:p>
      <w:pPr>
        <w:spacing w:after="0" w:line="126"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Deepen our relationships with current biopharmaceutical customers and establish new customer opportunities by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selling our complete offering of tests and services to biopharmaceutical companies in the United States and internationally;</w:t>
      </w:r>
    </w:p>
    <w:p>
      <w:pPr>
        <w:spacing w:after="0" w:line="142" w:lineRule="exact"/>
        <w:rPr>
          <w:rFonts w:ascii="Arial" w:cs="Arial" w:eastAsia="Arial" w:hAnsi="Arial"/>
          <w:sz w:val="17"/>
          <w:szCs w:val="17"/>
          <w:color w:val="auto"/>
        </w:rPr>
      </w:pPr>
    </w:p>
    <w:p>
      <w:pPr>
        <w:ind w:left="1440" w:hanging="433"/>
        <w:spacing w:after="0"/>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leveraging existing projects and relationships to expand sales with our current biopharmaceutical customers; and</w:t>
      </w:r>
    </w:p>
    <w:p>
      <w:pPr>
        <w:spacing w:after="0" w:line="130" w:lineRule="exact"/>
        <w:rPr>
          <w:rFonts w:ascii="Arial" w:cs="Arial" w:eastAsia="Arial" w:hAnsi="Arial"/>
          <w:sz w:val="18"/>
          <w:szCs w:val="18"/>
          <w:color w:val="auto"/>
        </w:rPr>
      </w:pPr>
    </w:p>
    <w:p>
      <w:pPr>
        <w:ind w:left="1440" w:right="180" w:hanging="433"/>
        <w:spacing w:after="0" w:line="277" w:lineRule="auto"/>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targeting companies developing novel companion diagnostic strategies and drug development projects best suited to our platform for new test discovery, development and commercialization.</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Further demonstrate the clinical utility and economic benefits of our diagnostic tests by</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440" w:hanging="433"/>
        <w:spacing w:after="0"/>
        <w:tabs>
          <w:tab w:leader="none" w:pos="14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investing in commercial clinical testing, research studies and clinical trials to further demonstrate the clinical utility of our tests;</w:t>
      </w:r>
    </w:p>
    <w:p>
      <w:pPr>
        <w:spacing w:after="0" w:line="127" w:lineRule="exact"/>
        <w:rPr>
          <w:rFonts w:ascii="Arial" w:cs="Arial" w:eastAsia="Arial" w:hAnsi="Arial"/>
          <w:sz w:val="17"/>
          <w:szCs w:val="17"/>
          <w:color w:val="auto"/>
        </w:rPr>
      </w:pPr>
    </w:p>
    <w:p>
      <w:pPr>
        <w:ind w:left="1440" w:hanging="433"/>
        <w:spacing w:after="0"/>
        <w:tabs>
          <w:tab w:leader="none" w:pos="14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providing rapid, actionable, and holistic diagnostic information to help inform physicians on the next steps in a patient’s care plan; and</w:t>
      </w:r>
    </w:p>
    <w:p>
      <w:pPr>
        <w:spacing w:after="0" w:line="153" w:lineRule="exact"/>
        <w:rPr>
          <w:rFonts w:ascii="Arial" w:cs="Arial" w:eastAsia="Arial" w:hAnsi="Arial"/>
          <w:sz w:val="16"/>
          <w:szCs w:val="16"/>
          <w:color w:val="auto"/>
        </w:rPr>
      </w:pPr>
    </w:p>
    <w:p>
      <w:pPr>
        <w:ind w:left="1440" w:hanging="433"/>
        <w:spacing w:after="0"/>
        <w:tabs>
          <w:tab w:leader="none" w:pos="14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providing timely and actionable clinical information to help improve overall patient outcomes and lower the overall healthcare cost.</w:t>
      </w:r>
    </w:p>
    <w:p>
      <w:pPr>
        <w:spacing w:after="0" w:line="149" w:lineRule="exact"/>
        <w:rPr>
          <w:rFonts w:ascii="Arial" w:cs="Arial" w:eastAsia="Arial" w:hAnsi="Arial"/>
          <w:sz w:val="16"/>
          <w:szCs w:val="16"/>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Introduce new diagnostic tests in lung disease by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40" w:right="780" w:hanging="433"/>
        <w:spacing w:after="0" w:line="277" w:lineRule="auto"/>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engaging with our customers, key opinion leaders, and scientific experts to stay ahead of the rapidly evolving diagnostic and therapeutic landscape and to identify additional clinical unmet needs;</w:t>
      </w:r>
    </w:p>
    <w:p>
      <w:pPr>
        <w:spacing w:after="0" w:line="75" w:lineRule="exact"/>
        <w:rPr>
          <w:rFonts w:ascii="Arial" w:cs="Arial" w:eastAsia="Arial" w:hAnsi="Arial"/>
          <w:sz w:val="18"/>
          <w:szCs w:val="18"/>
          <w:color w:val="auto"/>
        </w:rPr>
      </w:pPr>
    </w:p>
    <w:p>
      <w:pPr>
        <w:ind w:left="1440" w:right="220" w:hanging="433"/>
        <w:spacing w:after="0" w:line="277" w:lineRule="auto"/>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entering strategic partnerships with biopharmaceutical companies, academic research organizations, technology providers, and other diagnostic companies; and</w:t>
      </w:r>
    </w:p>
    <w:p>
      <w:pPr>
        <w:spacing w:after="0" w:line="75" w:lineRule="exact"/>
        <w:rPr>
          <w:rFonts w:ascii="Arial" w:cs="Arial" w:eastAsia="Arial" w:hAnsi="Arial"/>
          <w:sz w:val="18"/>
          <w:szCs w:val="18"/>
          <w:color w:val="auto"/>
        </w:rPr>
      </w:pPr>
    </w:p>
    <w:p>
      <w:pPr>
        <w:ind w:left="1440" w:hanging="433"/>
        <w:spacing w:after="0" w:line="277" w:lineRule="auto"/>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developing companion diagnostic tests to support the therapeutics’ regulatory approval and adoption process for our biopharmaceutical customers.</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Enhance our proprietary AI platform and expand our technology portfolio by:</w:t>
      </w:r>
    </w:p>
    <w:p>
      <w:pPr>
        <w:spacing w:after="0" w:line="134" w:lineRule="exact"/>
        <w:rPr>
          <w:rFonts w:ascii="Arial" w:cs="Arial" w:eastAsia="Arial" w:hAnsi="Arial"/>
          <w:sz w:val="18"/>
          <w:szCs w:val="18"/>
          <w:color w:val="auto"/>
        </w:rPr>
      </w:pPr>
    </w:p>
    <w:p>
      <w:pPr>
        <w:ind w:left="1440" w:hanging="433"/>
        <w:spacing w:after="0"/>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continuing to invest in R&amp;D capabilities to foster innovation in test discovery and development;</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identifying, acquiring technologies and integrating new data types into our proprietary AI platform; and</w:t>
      </w:r>
    </w:p>
    <w:p>
      <w:pPr>
        <w:spacing w:after="0" w:line="130" w:lineRule="exact"/>
        <w:rPr>
          <w:rFonts w:ascii="Arial" w:cs="Arial" w:eastAsia="Arial" w:hAnsi="Arial"/>
          <w:sz w:val="18"/>
          <w:szCs w:val="18"/>
          <w:color w:val="auto"/>
        </w:rPr>
      </w:pPr>
    </w:p>
    <w:p>
      <w:pPr>
        <w:ind w:left="1440" w:right="640" w:hanging="433"/>
        <w:spacing w:after="0" w:line="277" w:lineRule="auto"/>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entering strategic partnerships across our commercial product portfolio and product development efforts in order to further our development capabilities, accelerate launch of commercial products, or expand our service offering.</w:t>
      </w:r>
    </w:p>
    <w:p>
      <w:pPr>
        <w:spacing w:after="0" w:line="71"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Continue to expand and leverage our biobank by:</w:t>
      </w:r>
    </w:p>
    <w:p>
      <w:pPr>
        <w:spacing w:after="0" w:line="134" w:lineRule="exact"/>
        <w:rPr>
          <w:rFonts w:ascii="Arial" w:cs="Arial" w:eastAsia="Arial" w:hAnsi="Arial"/>
          <w:sz w:val="18"/>
          <w:szCs w:val="18"/>
          <w:b w:val="1"/>
          <w:bCs w:val="1"/>
          <w:color w:val="auto"/>
        </w:rPr>
      </w:pPr>
    </w:p>
    <w:p>
      <w:pPr>
        <w:ind w:left="1440" w:hanging="433"/>
        <w:spacing w:after="0"/>
        <w:tabs>
          <w:tab w:leader="none" w:pos="14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expanding and enhancing the robustness of our samples and the data set, including through our collaborations and partnerships;</w:t>
      </w:r>
    </w:p>
    <w:p>
      <w:pPr>
        <w:spacing w:after="0" w:line="142" w:lineRule="exact"/>
        <w:rPr>
          <w:rFonts w:ascii="Arial" w:cs="Arial" w:eastAsia="Arial" w:hAnsi="Arial"/>
          <w:sz w:val="17"/>
          <w:szCs w:val="17"/>
          <w:color w:val="auto"/>
        </w:rPr>
      </w:pPr>
    </w:p>
    <w:p>
      <w:pPr>
        <w:ind w:left="1440" w:right="60" w:hanging="433"/>
        <w:spacing w:after="0" w:line="277" w:lineRule="auto"/>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pursuing commercial opportunities with companies and researchers who are interested in utilizing our biobank for their own discovery and development efforts; and</w:t>
      </w:r>
    </w:p>
    <w:p>
      <w:pPr>
        <w:spacing w:after="0" w:line="75" w:lineRule="exact"/>
        <w:rPr>
          <w:rFonts w:ascii="Arial" w:cs="Arial" w:eastAsia="Arial" w:hAnsi="Arial"/>
          <w:sz w:val="18"/>
          <w:szCs w:val="18"/>
          <w:color w:val="auto"/>
        </w:rPr>
      </w:pPr>
    </w:p>
    <w:p>
      <w:pPr>
        <w:ind w:left="1440" w:hanging="433"/>
        <w:spacing w:after="0"/>
        <w:tabs>
          <w:tab w:leader="none" w:pos="14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monetizing these commercial opportunities.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320" w:top="459" w:right="3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Current Landscape</w:t>
      </w:r>
    </w:p>
    <w:p>
      <w:pPr>
        <w:spacing w:after="0" w:line="121"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Lung cancer (both small cell and non-small cell) is the second most common cancer diagnosed in the United States with nearly 230,000 patients diagnosed each year. It is estimated that there is a 1 in 16 chance that an individual in the United States will develop lung cancer in their lifetime, leading to nearly 135,000 patient deaths in 2020, lung cancer is accountable for more deaths annually than the next three deadliest cancers combined (colorectal, pancreas, and breast). Additionally, every year in the United States an estimated 1.6 million people are diagnosed with an incidental nodule in the lung. These nodules can arise from a variety of causes ranging from smoking to fungal infections or other lung diseases. While most lung nodules are found to be benign and ultimately harmless, about 5% are found to be malignant within two years from nodule identification.</w:t>
      </w:r>
    </w:p>
    <w:p>
      <w:pPr>
        <w:spacing w:after="0" w:line="164" w:lineRule="exact"/>
        <w:rPr>
          <w:sz w:val="20"/>
          <w:szCs w:val="20"/>
          <w:color w:val="auto"/>
        </w:rPr>
      </w:pPr>
    </w:p>
    <w:p>
      <w:pPr>
        <w:jc w:val="both"/>
        <w:ind w:right="120" w:firstLine="449"/>
        <w:spacing w:after="0" w:line="275" w:lineRule="auto"/>
        <w:rPr>
          <w:sz w:val="20"/>
          <w:szCs w:val="20"/>
          <w:color w:val="auto"/>
        </w:rPr>
      </w:pPr>
      <w:r>
        <w:rPr>
          <w:rFonts w:ascii="Arial" w:cs="Arial" w:eastAsia="Arial" w:hAnsi="Arial"/>
          <w:sz w:val="17"/>
          <w:szCs w:val="17"/>
          <w:color w:val="auto"/>
        </w:rPr>
        <w:t>Despite significant advances over the last decade, lung cancer is still the deadliest type of cancer in both men and women in the United States today. While diagnostic testing has become routinely used at certain points in the lung cancer continuum of care, we believe there is a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 We estimate that the biopharmaceutical partnering and research opportunities represent over a $2 billion market annually.</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Over 1.6 million people are diagnosed with incidental pulmonary nodules annually in the United States. Incidental nodules are identified when a person is being evaluated for another medical concern, typically through X-ray or CT imaging. On July 7, 2020, the United States Preventive Services Task Force (USPSTF) published an updated draft statement to the 2013 low-dose CT (LDCT) screening recommendation that proposes an expansion to the eligible population for lung cancer screening to patients 50 to 80 years old in the United States with a smoking pack-year history of 20 or more years or who currently smoke or quit smoking within the past 15 years. Based upon the new USPSTF recommendation, we believe approximately 15 million people are eligible for LDCT, which we believe could potentially lead to the identification of over 4 million lung nodules annually. However, in 2018, only 4.2% of the eligible population underwent screening. Improved patient adherence to screening is expected to result in earlier identification of lung nodules.</w:t>
      </w:r>
    </w:p>
    <w:p>
      <w:pPr>
        <w:spacing w:after="0" w:line="16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Following initial discovery of a lung nodule, patients are typically evaluated by a pulmonologist for risk of lung cancer. A recent study found that on average, patients wait 8 months following initial detection of a lung nodule before diagnosis of cancer. The same study also estimated that approximately two thirds of incidental nodules found did not receive follow-up after initial discovery. If a patient can be diagnosed with cancer at an early stage, their survival chances are greatly increased, including the chance of cure. The volume of patients waiting for evaluation has led to the implementation of “nodule clinics” in centers around the country to try to catch cancer earlier by reducing wait times for diagnostic procedures and increasing the number of patients that are being routinely observed.</w:t>
      </w:r>
    </w:p>
    <w:p>
      <w:pPr>
        <w:spacing w:after="0" w:line="192"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The ACCP guidelines for lung nodules management further detail the intervention or monitoring pathways for a patient based on their individual risk of cancer. Several “risk calculators” have been developed to help translate a patient’s clinical risk factors such as age, smoking status, cancer history, nodule size, location, and edge characteristics into a risk percentage. However, standard practice is physician assessed risk of malignancy.</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451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As illustrated above, for patients whose lung cancer risk is determined to be High (greater than 65%), guidelines recommend sending the patient for a stage evaluation and surgical resection if there are no metastases. If the risk of lung cancer is determined to be Very Low (less than 5%), guidelines recommend CT surveillance to monitor the nodule for growth or shrinkage. Approximately 80% of patients fall into the Low to Moderate group (5-65%) where guidelines state CT scans, positron emission tomography (PET) scans, biopsy, bronchoscopy, or surgery are all options and should be chosen based on the physician’s clinical judgement and risk threshold.</w:t>
      </w:r>
    </w:p>
    <w:p>
      <w:pPr>
        <w:spacing w:after="0" w:line="188"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With a large and varied set of clinical options, the Low to Moderate risk group represents the area of greatest need for precision diagnostic testing to help reclassify risk and direct patients to the relevant treatment pathway. A 2015 publication of 18 pulmonology clinics across the United States and 377 patients with lung nodules showed 62% of biopsies and 35% of surgeries were performed on patients with benign nodules. Conversely, an estimated 17% of patients with malignant nodules are initially sent to watchful waiting, where a follow-up CT scan is scheduled in three to six months, potentially delaying their diagnosis.</w:t>
      </w:r>
    </w:p>
    <w:p>
      <w:pPr>
        <w:spacing w:after="0" w:line="188"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addition to the median workup cost of $2,794 for a non-surgical biopsy and $24,623 for a surgical resection, performing invasive procedures on patients with benign nodules exposes them to potentially serious adverse events and could impede future lung function. In a population-based analysis of patients diagnosed with lung cancer from 2001 to 2010, it was identified that the incidence of at least one hospitalized adverse event occurred in 30% of the population. Specifically, the rate of incidence by invasive procedure type was 26% for a bronchoscopy, 34% for a percutaneous biopsy, and 39% for a surgical resection. A recent cost-benefit analysis showed that among Medicare claims, over 40% of the total cost in management of lung cancer was attributed to benign patients with an invasive procedure. Diagnostic tests can help reduce unnecessary biopsies or surgeries on patents with benign nodules and can help catch those that are malignant earlier. These tests could improve patient outcomes, alleviate patient anxiety, and save costs to both the patient and the healthcare system.</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NSCLC Treatment Guidance</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Following confirmed diagnosis, the patient’s NSCLC is staged which helps the physician direct the patient to an appropriate treatment pathway. Unfortunately, less than half of the patients diagnosed with advanced stage disease live beyond one year post-diagnosis, with a median overall survival of 10.5 months. Additionally, it is estimated that these patients have a five-year survival of 6%. Meanwhile, five-year survival for patients diagnosed with early stage (typically stage I-IIIA) disease is 59%.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Stage NSCLC</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estimate that there are over 700,000 testing opportunities annually in the United States in early stage lung cancer to assess the risk of recurrence following surgery, and to detect potential target mutations for therapeutics. The current standard of care in early stage disease is surgery with curative intent. Depending on the risk of recurrence for a patient,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have a lung cancer recurrence within five years following surgery, representing a sub-group of patients who may have benefited from a more intensive care plan, including increased follow up or additional therapy.</w:t>
      </w:r>
    </w:p>
    <w:p>
      <w:pPr>
        <w:spacing w:after="0" w:line="164"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 stage lung disease, which we believe will lead to the need for testing designed specifically for mutation detection. Beyond clinical testing, we believe diagnostic testing for research use as part of our laboratory services could help biopharmaceutical companies identify new patient targets for neoadjuvant or adjuvant therapy in earlier stage disease.</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Advanced Stage NSCLC</w:t>
      </w:r>
    </w:p>
    <w:p>
      <w:pPr>
        <w:spacing w:after="0" w:line="117"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We estimate that there are over 1.5 million diagnostic testing opportunities annually in the United States to guide advanced stage lung cancer treatment decisions. We believe there is a need for blood-based testing solutions that measure tumor mutations and the patient’s immune profile, providing physicians with holistic and timely information to assess the overall prognosis of the patient and personalize treatment plans when tissue is not available.</w:t>
      </w:r>
    </w:p>
    <w:p>
      <w:pPr>
        <w:spacing w:after="0" w:line="149"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Traditionally, therapeutics for advanced NSCLC have been FDA-approved based on improvement in response, or survival for a population in a given tumor type. However, data have shown that it is not a one size fits all approach as each patient responds differently based on their individual biology. Today, the NCCN guidelines recommend nearly 50 FDA-approved systemic treatment regimens for patients with advanced NSCLC. Although an increasing number of these therapeutics have companion diagnostic tests to inform treatment, there remains a need for more comprehensive biomarkers to help further identify the right patient for the right treatment. In addition to biomarker analysis, physicians assess the patient’s medical history, presence of co-morbidities, and ultimately the patient’s prognosis to help guide treatment decisions.</w:t>
      </w:r>
    </w:p>
    <w:p>
      <w:pPr>
        <w:spacing w:after="0" w:line="17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Approximately 50% of patients do not have sufficient tissue collected following diagnosis to facilitate tissue-based molecular testing. Conducting an additional tissue biopsy is costly and has the risk of adverse events. Blood-based testing can provide rapid, actionable, upfront tumor profiling from a minimally invasive blood draw, and eliminate the need for repeat biopsy procedures. Blood-based offerings include testing of individual driver mutations in lung cancer, or broad mutation profiling, typically through next generation sequencing. The broader mutation panels often include genes that are prevalent in and may be tied to therapeutics approved in tumor types outside of lung cancer. Single gene assays or smaller actionable gene panels may be focused more specifically on lung cancer.</w:t>
      </w:r>
    </w:p>
    <w:p>
      <w:pPr>
        <w:spacing w:after="0" w:line="192"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In addition to the tumor mutation profiling, the state of the patient’s immune system has long been understood to be an important factor in the patient’s diagnosis, prognosis, and response to therapy. The causal relationship between inflammation and cancer progression is more widely accepted today as the immunology and oncology communities have continued to collaborate around the advancement of immune-targeting drugs. However, recent studies indicate that less than 25% of treatment-naïve lung cancer patients were alive after five years when treated with single agent immunotherapy and some patients do not benefit from immunotherapy in comparison to those treated with chemotherapy. These reports underscore the complexity of the underlying biology and the need for immune-related biomarker treatment selection.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9"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estimate that there are over 1 million testing opportunities in the United States for blood-based tumor and 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 and Technologies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Our focus on tumor and immune profiling is central to our core belief that no single technology will answer all clinical questions that we encounter. Therefore, we employ multiple technologies, including genomics, transcriptomics, proteomics, and radiomics, and our proprietary AI platform, Diagnostic Cortex, to discover innovative diagnostic tests for clinical use. Through our learning loop, we continuously revisit our technology strategy and integrate new technologies into our evolving platform, which ultimately support the addition of new service and product revenue offerings. We focus on developing technologies that are capable of single and multi-omic research and development.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Diagnostic Cortex Artificial Intelligence Platform</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The Diagnostic Cortex is an extensively validated deep learning platform optimized for the discovery of clinical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commonly referred to as overfitting, occurs when the machine identifies a perfect pattern in an initial training dataset but is unable to identify the same pattern in a new dataset. For over 15 years we have focused on developing our platform to overcome this challenge through proprietary computational techniques to ensure each diagnostic test that is discovered can be further developed to perform consistently in the clinical testing environment.</w:t>
      </w:r>
    </w:p>
    <w:p>
      <w:pPr>
        <w:spacing w:after="0" w:line="16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continuously evolve and improve the Diagnostic Cortex platform. These improvements range from basic code optimization to complex improvements such as the incorporation of novel computational methods for the optimization of multi-omic diagnostic tests. Any AI platform is inherently limited without the highest quality data inputs. Therefore, all of the technologies that we employ have been chosen and developed to provide high-quality data to enable our Diagnostic Cortex platform. We feel that this level of data integrity is crucial for the development of diagnostic tests that require the advanced pattern matching abilities of deep learning algorithms.</w:t>
      </w:r>
    </w:p>
    <w:p>
      <w:pPr>
        <w:spacing w:after="0" w:line="188"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color w:val="auto"/>
        </w:rPr>
        <w:t>We utilize multiple technologies, including ddPCR, NGS, LC-MS, ELISA, and our proprietary DeepMALDI mass spectrometry platform in our molecular analysis of the tumor, immune system, and host-status of each patient. The data from these technologies feed into our proprietary Diagnostic Cortex platform to discover clinically relevant diagnostic tests.</w:t>
      </w:r>
    </w:p>
    <w:p>
      <w:pPr>
        <w:spacing w:after="0" w:line="184"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We have been discovering and developing proteomic-based diagnostic tests and have a deep understanding of how to incorporate technologies that can be applied to blood samples in order to extract important protein-based biological information in the form of clinical diagnostic tests.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suite of technologies that assist us in discovery, development and commercialization of novel diagnostic tests includes: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320" w:top="459" w:right="3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DeepMALDI Mass Spectrometry</w:t>
      </w:r>
    </w:p>
    <w:p>
      <w:pPr>
        <w:spacing w:after="0" w:line="117"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We have developed DeepMALDI, a proprietary high density matrix-assisted laser desorption/ionization time-of-flight (MALDI-ToF) mass spectrometry (MS) technology, to produce blood-based proteomic data for disease diagnosis, personalized health care, precision medicine for direct treatment options, and disease screening in lung and other disease states. DeepMALDI overcomes the limitations of conventional MALDI and other mass spectrometry methods to produce highly sensitive, stable, and reproducible data by: (1) utilizing optimized signal-to-noise reduction and signal processing algorithms; and (2) novel batch correction methods and spectral alignment methods. The combination of these improvements yields substantially higher quality data content and is thereby much better suited for the discovery of biomarkers with clinical utility.</w:t>
      </w:r>
    </w:p>
    <w:p>
      <w:pPr>
        <w:spacing w:after="0" w:line="17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current DeepMALDI methods allow us to achieve finer mass resolution, greater sensitivity, and 20-times faster imaging speeds than other instruments. Additionally, we believe enhancements to our DeepMALDI methods and MALDI-ToF technology evolution will allow us to measure approximately 1,500 proteins, an improvement from the estimated 900 proteins we can measure today. We intend to maintain our leadership role in the discovery of proteomics-based diagnostic tests. We utilize our DeepMALDI and MALDI-ToF technologies in our discovery and development efforts and as part of our collaborations with our biopharmaceutical customers and academic partners.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 Chromatography Mass Spectrometry MS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use Multiple Reaction Monitoring (MRM) MS with triple quadrupole mass spectrometers and up-front liquid chromatography (LC) sample injection in the Nodify XL2 test.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Enzyme-Linked Immunosorbent Assay</w:t>
      </w:r>
    </w:p>
    <w:p>
      <w:pPr>
        <w:spacing w:after="0" w:line="11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the Platelia SARS-CoV-2 Total Ab test for COVID-19.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Droplet Digital PCR Platform</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use the ddPCR technology for multiplexed, semi-automated nucleic acid detection. This allows high sensitivity, fast turn-around times, flexibility in our laboratory workflows, rapid scaling from low to moderate analyte complexity, and high-volume scalability. ddPCR is an absolute quantitation method based on the partitioning of circulating nucleic acids into up to 20,000 droplets per reaction and is used for the GeneStrat test and Bio-Rad SARS-CoV-2 ddPCR test for COVID-19. We have included the ddPCR technologies for research and development both internally and externally with our biopharmaceutical customers and academic partners.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Next Generation Sequencing Technology</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We use an NGS technology for broad genomic sequencing of clinical specimens. Our strategy with NGS relies on a menu of off-the-shelf and custom research use assays, which we develop and make available as a part of our biopharmaceutical test services. The NGS technology integrates automated systems to yield high sensitivity results with a rapid turnaround time. Since adoption of this technology, we have included the NGS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technologies for research and development both internally and externally with our biopharmaceutical customers and academic partners.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Validation Data</w:t>
      </w:r>
    </w:p>
    <w:p>
      <w:pPr>
        <w:spacing w:after="0" w:line="12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Below we outline our clinical validation data for our six diagnostic tests: Nodify CDT, Nodify XL2, GeneStrat, VeriStrat, SARS-CoV-2 ddPCR, and Platelia SARS-CoV-2 Total Ab.</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Nodify CDT</w:t>
      </w:r>
    </w:p>
    <w:p>
      <w:pPr>
        <w:spacing w:after="0" w:line="117"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Nodify CDT has been studied in 14 peer reviewed published studies and presentations. Here we highlight an overview of one of our key peer-reviewed clinical validation papers.</w:t>
      </w:r>
    </w:p>
    <w:p>
      <w:pPr>
        <w:spacing w:after="0" w:line="76" w:lineRule="exact"/>
        <w:rPr>
          <w:sz w:val="20"/>
          <w:szCs w:val="20"/>
          <w:color w:val="auto"/>
        </w:rPr>
      </w:pPr>
    </w:p>
    <w:p>
      <w:pPr>
        <w:ind w:left="1000" w:right="60" w:hanging="547"/>
        <w:spacing w:after="0" w:line="255"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Healey GF, J Cancer Ther 2017</w:t>
      </w:r>
      <w:r>
        <w:rPr>
          <w:rFonts w:ascii="Arial" w:cs="Arial" w:eastAsia="Arial" w:hAnsi="Arial"/>
          <w:sz w:val="18"/>
          <w:szCs w:val="18"/>
          <w:color w:val="auto"/>
        </w:rPr>
        <w:t>: In this study, the objective was to assess the clinical test performance of Nodify CDT (previously named</w:t>
      </w:r>
      <w:r>
        <w:rPr>
          <w:rFonts w:ascii="Arial" w:cs="Arial" w:eastAsia="Arial" w:hAnsi="Arial"/>
          <w:sz w:val="18"/>
          <w:szCs w:val="18"/>
          <w:i w:val="1"/>
          <w:iCs w:val="1"/>
          <w:color w:val="auto"/>
        </w:rPr>
        <w:t xml:space="preserve"> </w:t>
      </w:r>
      <w:r>
        <w:rPr>
          <w:rFonts w:ascii="Arial" w:cs="Arial" w:eastAsia="Arial" w:hAnsi="Arial"/>
          <w:sz w:val="18"/>
          <w:szCs w:val="18"/>
          <w:color w:val="auto"/>
        </w:rPr>
        <w:t>EarlyCDT-Lung) and its clinical utility in assessing risk of indeterminate pulmonary nodules. A High Level test result demonstrated a 98% specificity and 28% sensitivity with a positive predictive value (PPV) of 78%. With these test performance metrics, the test is most clinically useful as a tool to ‘rule-in’ cancer, which is can be defined as helping to identify patients who may be at a higher risk of malignancy. Conversely, a result of No Significant Level of Autoantibodies Detected (NSLAD) does not help rule out lung cancer and therefore does not change a patient’s pre-test risk of lung cancer.</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Nodify XL2</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Nodify XL2 has been studied in 12 peer reviewed published studies and presentations. Here we highlight an overview of two of our key peer-reviewed clinical validation papers.</w:t>
      </w:r>
    </w:p>
    <w:p>
      <w:pPr>
        <w:spacing w:after="0" w:line="76" w:lineRule="exact"/>
        <w:rPr>
          <w:sz w:val="20"/>
          <w:szCs w:val="20"/>
          <w:color w:val="auto"/>
        </w:rPr>
      </w:pPr>
    </w:p>
    <w:p>
      <w:pPr>
        <w:ind w:left="1000" w:hanging="547"/>
        <w:spacing w:after="0" w:line="291" w:lineRule="auto"/>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Silvestri G, CHEST, 2018 (PANOPTIC)</w:t>
      </w:r>
      <w:r>
        <w:rPr>
          <w:rFonts w:ascii="Arial" w:cs="Arial" w:eastAsia="Arial" w:hAnsi="Arial"/>
          <w:sz w:val="16"/>
          <w:szCs w:val="16"/>
          <w:color w:val="auto"/>
        </w:rPr>
        <w:t>: In the prospective, multicenter PANOPTIC clinical study, the test demonstrated a sensitivity of 97%,</w:t>
      </w:r>
      <w:r>
        <w:rPr>
          <w:rFonts w:ascii="Arial" w:cs="Arial" w:eastAsia="Arial" w:hAnsi="Arial"/>
          <w:sz w:val="16"/>
          <w:szCs w:val="16"/>
          <w:i w:val="1"/>
          <w:iCs w:val="1"/>
          <w:color w:val="auto"/>
        </w:rPr>
        <w:t xml:space="preserve"> </w:t>
      </w:r>
      <w:r>
        <w:rPr>
          <w:rFonts w:ascii="Arial" w:cs="Arial" w:eastAsia="Arial" w:hAnsi="Arial"/>
          <w:sz w:val="16"/>
          <w:szCs w:val="16"/>
          <w:color w:val="auto"/>
        </w:rPr>
        <w:t>a specificity of 44% and a negative predictive value of 98% in distinguishing benign from malignant nodules. When compared to traditional cancer risk assessments, Nodify XL2 performed better than a PET scan commonly used and validated lung nodule risk models (including the Swensen nodule calculator), and physicians’ cancer probability estimates. The PANOPTIC study concluded that if the test results were used to direct care, 40% fewer invasive procedures would be performed on benign nodules. As such, Nodify XL2 may have significant clinical utility in guiding incidental lung nodule management decisions, potentially eliminating unnecessary invasive procedures, resulting in improved quality of life for patients as well as reduced financial expense for both the patient and the health system.</w:t>
      </w:r>
    </w:p>
    <w:p>
      <w:pPr>
        <w:spacing w:after="0" w:line="71" w:lineRule="exact"/>
        <w:rPr>
          <w:rFonts w:ascii="Arial" w:cs="Arial" w:eastAsia="Arial" w:hAnsi="Arial"/>
          <w:sz w:val="16"/>
          <w:szCs w:val="16"/>
          <w:color w:val="auto"/>
        </w:rPr>
      </w:pPr>
    </w:p>
    <w:p>
      <w:pPr>
        <w:ind w:left="1000" w:right="100" w:hanging="547"/>
        <w:spacing w:after="0" w:line="255"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Pritchett M, Am J Respir Crit Care Med, 2020: </w:t>
      </w:r>
      <w:r>
        <w:rPr>
          <w:rFonts w:ascii="Arial" w:cs="Arial" w:eastAsia="Arial" w:hAnsi="Arial"/>
          <w:sz w:val="18"/>
          <w:szCs w:val="18"/>
          <w:color w:val="auto"/>
        </w:rPr>
        <w:t>Preliminary results from the ORACLE registry study were accepted as a late breaking</w:t>
      </w:r>
      <w:r>
        <w:rPr>
          <w:rFonts w:ascii="Arial" w:cs="Arial" w:eastAsia="Arial" w:hAnsi="Arial"/>
          <w:sz w:val="18"/>
          <w:szCs w:val="18"/>
          <w:i w:val="1"/>
          <w:iCs w:val="1"/>
          <w:color w:val="auto"/>
        </w:rPr>
        <w:t xml:space="preserve"> </w:t>
      </w:r>
      <w:r>
        <w:rPr>
          <w:rFonts w:ascii="Arial" w:cs="Arial" w:eastAsia="Arial" w:hAnsi="Arial"/>
          <w:sz w:val="18"/>
          <w:szCs w:val="18"/>
          <w:color w:val="auto"/>
        </w:rPr>
        <w:t>abstract at the American Thoracic Society conference. In the study, the Nodify XL2 test resulted in 46% of nodules being re-classified from the “low to moderate risk” (5-65%) into the “very low risk” (less than 5%) category. This redistribution was predicted in the PANOPTIC clinical validation study and is now seen in real-world clinical use in the ORACLE study and through commercial clinical testing. This shift in distribution may lead to a substantial increase in benign nodules correctly routed to CT surveillance, thus a significant reduction of invasive procedures being performed on benign disease.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GeneStrat</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GeneStrat has been studied in 30 peer reviewed published studies and presentations. Here we highlight an overview of one of our key peer-reviewed clinical validation papers.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320" w:top="459" w:right="3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 w:hanging="547"/>
        <w:spacing w:after="0" w:line="255"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Mellert H, J Mol Diagn, 2017</w:t>
      </w:r>
      <w:r>
        <w:rPr>
          <w:rFonts w:ascii="Arial" w:cs="Arial" w:eastAsia="Arial" w:hAnsi="Arial"/>
          <w:sz w:val="18"/>
          <w:szCs w:val="18"/>
          <w:color w:val="auto"/>
        </w:rPr>
        <w:t>: This study highlights the clinical validation data for the targetable mutations (EGFR, KRAS, ALK)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blood-based GeneStrat test. The overall clinical test performance of the genes and variants in GeneStrat is 91% sensitivity and 100% specificity. Clinical sensitivity for each gene ranged from 88% to 100%. Clinical specificity for each gene was 100%. Additionally, this study reported on mutation results from our commercial clinical testing. Mutation results were available within 72 hours for 94% of the tests evaluated. The GeneStrat test is a rapid, highly sensitive, and actionable blood-based test that supports faster targeted therapy treatment decisions for patients with NSCLC.</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VeriStrat</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VeriStrat has been studied in over 85 peer reviewed and published clinical studies across many different types of treatment regimens such as chemotherapy, targeted therapies, immune checkpoint inhibitors, and combination therapies. The presence of a VeriStrat Poor result indicates the presence of chronic inflammation and a chronic acute phase immune response. Typically, patients with a VeriStrat Good result respond better to standard of care treatments than those patients that test as VeriStrat Poor. The results consistently show the test to be predictive of outcomes, independent of other prognostic factors including PD-L1 expression and performance status.</w:t>
      </w:r>
    </w:p>
    <w:p>
      <w:pPr>
        <w:spacing w:after="0" w:line="93" w:lineRule="exact"/>
        <w:rPr>
          <w:sz w:val="20"/>
          <w:szCs w:val="20"/>
          <w:color w:val="auto"/>
        </w:rPr>
      </w:pPr>
    </w:p>
    <w:p>
      <w:pPr>
        <w:ind w:left="1000" w:right="120" w:hanging="547"/>
        <w:spacing w:after="0" w:line="291" w:lineRule="auto"/>
        <w:tabs>
          <w:tab w:leader="none" w:pos="100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Leal T, Curr Med Res Opin, 2020</w:t>
      </w:r>
      <w:r>
        <w:rPr>
          <w:rFonts w:ascii="Arial" w:cs="Arial" w:eastAsia="Arial" w:hAnsi="Arial"/>
          <w:sz w:val="16"/>
          <w:szCs w:val="16"/>
          <w:color w:val="auto"/>
        </w:rPr>
        <w:t>: Timely assessment of patient-specific prognosis is critical to oncology care, however clinical prognostic</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traditionally used in NSCLC treatment have limitations. This meta-analysis study examined the prognostic performance of VeriStrat through a systematic literature review of 21 published studies. It was found that patients who test as VeriStrat Poor, on average, have an overall survival that is less than half of those who test as VeriStrat Good, independent of treatment type and line of therapy, demonstrating that the test is strongly prognostic. Conversely, patients with a VeriStrat Good test result typically respond better to standard of care treatments than those patients that test as VeriStrat Poor. The robust prognostic performance of VeriStrat has clinical implications for patient and physician shared decision-making and potential for the introduction of novel treatment strategies.</w:t>
      </w:r>
    </w:p>
    <w:p>
      <w:pPr>
        <w:spacing w:after="0" w:line="71" w:lineRule="exact"/>
        <w:rPr>
          <w:rFonts w:ascii="Arial" w:cs="Arial" w:eastAsia="Arial" w:hAnsi="Arial"/>
          <w:sz w:val="16"/>
          <w:szCs w:val="16"/>
          <w:color w:val="auto"/>
        </w:rPr>
      </w:pPr>
    </w:p>
    <w:p>
      <w:pPr>
        <w:ind w:left="1000" w:right="220" w:hanging="547"/>
        <w:spacing w:after="0" w:line="275"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Mitchell BR, J Clin Oncol, 2020</w:t>
      </w:r>
      <w:r>
        <w:rPr>
          <w:rFonts w:ascii="Arial" w:cs="Arial" w:eastAsia="Arial" w:hAnsi="Arial"/>
          <w:sz w:val="17"/>
          <w:szCs w:val="17"/>
          <w:color w:val="auto"/>
        </w:rPr>
        <w:t>: Recently, we published data at the American Society of Clinical Oncology 2020 virtual meeting on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analysis from the INSIGHT clinical study. The data suggest that blood-based VeriStrat testing can provide clinically significant information to predict outcomes and guide treatment choices made by physicians for patients with advanced NSCLC who are eligible for immune checkpoint inhibitor therapy. Specifically, the study identified that patients who have tumors that express PD-L1 greater than 50% and have a VeriStrat Poor result should not be treated with immunotherapy alone.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Biodesix WorkSafe COVID-19 Testing Program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Bio-Rad SARS-CoV-2 ddPCR Test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FDA EUA Authorization—All acceptance criteria for the performance verification of the Bio-Rad SARS-CoV-2 ddPCR test were fulfilled. The sample size used for the clinical evaluation study of the test was 60, and included 30 negative specimens and 30 positive contrived specimens per FDA EUA guidance. Specifically, verification of accuracy revealed 100% agreement with the reference result. An additional study was performed to confirm our first 5 positive and first 5 negative clinical specimens relative to an external laboratory with an orthogonal EUA test. Data from this study demonstrated 100% concordance.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Here we highlight an overview of one of the recent publications on ddPCR testing for SARS-CoV-2:</w:t>
      </w:r>
    </w:p>
    <w:p>
      <w:pPr>
        <w:spacing w:after="0" w:line="131" w:lineRule="exact"/>
        <w:rPr>
          <w:sz w:val="20"/>
          <w:szCs w:val="20"/>
          <w:color w:val="auto"/>
        </w:rPr>
      </w:pPr>
    </w:p>
    <w:p>
      <w:pPr>
        <w:ind w:left="1000" w:hanging="547"/>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Suo T, Emerging Microbes &amp; Infections, 2020: </w:t>
      </w:r>
      <w:r>
        <w:rPr>
          <w:rFonts w:ascii="Arial" w:cs="Arial" w:eastAsia="Arial" w:hAnsi="Arial"/>
          <w:sz w:val="18"/>
          <w:szCs w:val="18"/>
          <w:color w:val="auto"/>
        </w:rPr>
        <w:t>Quantitative real time PCR (RT-PCR) is widely used as the gold standard for clinical detection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SARS-CoV-2. However, due to the low viral load specimens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459" w:right="3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73" w:lineRule="auto"/>
        <w:rPr>
          <w:sz w:val="20"/>
          <w:szCs w:val="20"/>
          <w:color w:val="auto"/>
        </w:rPr>
      </w:pPr>
      <w:r>
        <w:rPr>
          <w:rFonts w:ascii="Arial" w:cs="Arial" w:eastAsia="Arial" w:hAnsi="Arial"/>
          <w:sz w:val="17"/>
          <w:szCs w:val="17"/>
          <w:color w:val="auto"/>
        </w:rPr>
        <w:t>and the limitations of RT-PCR, significant numbers of false negative reports are inevitable, which results in failure to timely diagnose, cut off transmission, and assess discharge criteria. To improve this situation, an independently developed optimized ddPCR was used for detection of SARS-CoV-2, which showed that the limit of detection of ddPCR is significantly lower than that of RT-PCR. Results showed that the ddPCR test demonstrated 95% accuracy vs. 47% for other “bulk” RT-PCR technologies used in other molecular tests. Results from this publication were prior to the Bio-Rad SARS-CoV-2 ddPCR assay receiving FDA EUA and reported results derived from independently developed testing from a different ddPCR testing product than the Bio-Rad SARS-CoV-2 ddPCR test.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Platelia SARS-CoV-2 Total Ab Test</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FDA EUA Authorization—All acceptance criteria for the performance verification of the Platelia SARS-CoV-2 Total Ab test were fulfilled. The test is intended for the qualitative detection of total anti-SARS-CoV-2 nucleocapsid antibodies (IgG, IgM and IgA) in human serum or plasma specimens. The sample size used for the clinical evaluation study of the test was 40, and included 20 negative specimens and 20 positive clinical specimens. Specifically, verification of accuracy revealed 100% agreement with the reference result. Additionally, precision was evaluated and found to be comparable to that reported by the manufacturer within-run, between-day, between-instrument and between-operator. Finally, all confirmed negative specimens tested were within the reference interval. The sensitivity is 98% (49/50) (95% confidence interval (89.5%-99.7%)) and specificity is 99.3% (596/600) (95% confidence interval (98.3%-99.7%)) eight days after the onset of symptoms.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Studies</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believe every patient deserves a personalized approach to improve their care. Our objective is to empower physicians with swift, comprehensive, and actionable insights to help address clinical questions across lung disease. The following are case studies provided by our customers from their real-world experience with our diagnostic tests.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#1: Catching Cancer Earlier with Nodify CDT</w:t>
      </w:r>
    </w:p>
    <w:p>
      <w:pPr>
        <w:spacing w:after="0" w:line="113" w:lineRule="exact"/>
        <w:rPr>
          <w:sz w:val="20"/>
          <w:szCs w:val="20"/>
          <w:color w:val="auto"/>
        </w:rPr>
      </w:pPr>
    </w:p>
    <w:p>
      <w:pPr>
        <w:ind w:left="460" w:right="40" w:firstLine="431"/>
        <w:spacing w:after="0" w:line="261" w:lineRule="auto"/>
        <w:rPr>
          <w:sz w:val="20"/>
          <w:szCs w:val="20"/>
          <w:color w:val="auto"/>
        </w:rPr>
      </w:pPr>
      <w:r>
        <w:rPr>
          <w:rFonts w:ascii="Arial" w:cs="Arial" w:eastAsia="Arial" w:hAnsi="Arial"/>
          <w:sz w:val="18"/>
          <w:szCs w:val="18"/>
          <w:b w:val="1"/>
          <w:bCs w:val="1"/>
          <w:color w:val="auto"/>
        </w:rPr>
        <w:t>Outcome</w:t>
      </w:r>
      <w:r>
        <w:rPr>
          <w:rFonts w:ascii="Arial" w:cs="Arial" w:eastAsia="Arial" w:hAnsi="Arial"/>
          <w:sz w:val="18"/>
          <w:szCs w:val="18"/>
          <w:color w:val="auto"/>
        </w:rPr>
        <w:t>: Appropriate management of patients with incidentally discovered lung nodules must balance between the need to identify malignant</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earlier and the potential harm of invasive procedures, while keeping patient preferences in consideration. In this case, a 90% post-Nodify CDT risk of malignancy result led to a decision change by the physician and patient to proceed with an invasive diagnostic workup, which led to an earlier diagnosis of stage IA lung cancer.</w:t>
      </w:r>
    </w:p>
    <w:p>
      <w:pPr>
        <w:spacing w:after="0" w:line="72" w:lineRule="exact"/>
        <w:rPr>
          <w:sz w:val="20"/>
          <w:szCs w:val="20"/>
          <w:color w:val="auto"/>
        </w:rPr>
      </w:pPr>
    </w:p>
    <w:p>
      <w:pPr>
        <w:ind w:left="460" w:firstLine="431"/>
        <w:spacing w:after="0" w:line="292" w:lineRule="auto"/>
        <w:rPr>
          <w:sz w:val="20"/>
          <w:szCs w:val="20"/>
          <w:color w:val="auto"/>
        </w:rPr>
      </w:pPr>
      <w:r>
        <w:rPr>
          <w:rFonts w:ascii="Arial" w:cs="Arial" w:eastAsia="Arial" w:hAnsi="Arial"/>
          <w:sz w:val="16"/>
          <w:szCs w:val="16"/>
          <w:b w:val="1"/>
          <w:bCs w:val="1"/>
          <w:color w:val="auto"/>
        </w:rPr>
        <w:t>Case Background</w:t>
      </w:r>
      <w:r>
        <w:rPr>
          <w:rFonts w:ascii="Arial" w:cs="Arial" w:eastAsia="Arial" w:hAnsi="Arial"/>
          <w:sz w:val="16"/>
          <w:szCs w:val="16"/>
          <w:color w:val="auto"/>
        </w:rPr>
        <w:t>: A 64-year-old female presented for medical attention after falling on her right side. A chest X-ray showing a spot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lung and subsequent CT scan identified a spiculated (nodule edge characteristic), 10 mm lung nodule in the patient’s right upper lobe. Based on her clinical risk factors and nodule characteristics, a 39% risk of malignancy was determined by the Solitary Pulmonary Nodule Calculator. At this estimated risk, the patient was not comfortable with any invasive diagnostic procedures but was willing to undergo a follow-up PET/CT scan and a blood draw for Nodify Lung testing. PET/CT results had a standard uptake value (SUV) of 3.3, which is not a strong indicator of benign or malignant disease. The patient’s Nodify CDT post-test risk of malignancy was 90%. Through shared decision making based on the test results, the patient proceeded with a biopsy, which was diagnosed as cancerous. Early detection identified the patient as a candidate for a potentially curative procedure.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#2: Avoiding Unnecessary Procedures with Nodify XL2</w:t>
      </w:r>
    </w:p>
    <w:p>
      <w:pPr>
        <w:spacing w:after="0" w:line="113" w:lineRule="exact"/>
        <w:rPr>
          <w:sz w:val="20"/>
          <w:szCs w:val="20"/>
          <w:color w:val="auto"/>
        </w:rPr>
      </w:pPr>
    </w:p>
    <w:p>
      <w:pPr>
        <w:jc w:val="both"/>
        <w:ind w:left="460" w:right="420" w:firstLine="431"/>
        <w:spacing w:after="0" w:line="266" w:lineRule="auto"/>
        <w:rPr>
          <w:sz w:val="20"/>
          <w:szCs w:val="20"/>
          <w:color w:val="auto"/>
        </w:rPr>
      </w:pPr>
      <w:r>
        <w:rPr>
          <w:rFonts w:ascii="Arial" w:cs="Arial" w:eastAsia="Arial" w:hAnsi="Arial"/>
          <w:sz w:val="18"/>
          <w:szCs w:val="18"/>
          <w:b w:val="1"/>
          <w:bCs w:val="1"/>
          <w:color w:val="auto"/>
        </w:rPr>
        <w:t>Outcome</w:t>
      </w:r>
      <w:r>
        <w:rPr>
          <w:rFonts w:ascii="Arial" w:cs="Arial" w:eastAsia="Arial" w:hAnsi="Arial"/>
          <w:sz w:val="18"/>
          <w:szCs w:val="18"/>
          <w:color w:val="auto"/>
        </w:rPr>
        <w:t>: Traditional diagnostic risk assessment and testing indicated that this patient had a higher risk of malignancy, but because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health condition, a biopsy was not preferred. A 6% post-Nodify XL2 risk of malignancy result led the physician and patient to make a shared decision to monitor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720"/>
        <w:spacing w:after="0" w:line="308" w:lineRule="auto"/>
        <w:rPr>
          <w:sz w:val="20"/>
          <w:szCs w:val="20"/>
          <w:color w:val="auto"/>
        </w:rPr>
      </w:pPr>
      <w:r>
        <w:rPr>
          <w:rFonts w:ascii="Arial" w:cs="Arial" w:eastAsia="Arial" w:hAnsi="Arial"/>
          <w:sz w:val="17"/>
          <w:szCs w:val="17"/>
          <w:color w:val="auto"/>
        </w:rPr>
        <w:t>nodule with a short-term follow-up CT. The follow-up CT demonstrated a reduction in size, indicating a benign diagnosis. Blood-based risk classification provided additional information that enabled a decision to avoid an unnecessary invasive procedure.</w:t>
      </w:r>
    </w:p>
    <w:p>
      <w:pPr>
        <w:spacing w:after="0" w:line="34" w:lineRule="exact"/>
        <w:rPr>
          <w:sz w:val="20"/>
          <w:szCs w:val="20"/>
          <w:color w:val="auto"/>
        </w:rPr>
      </w:pPr>
    </w:p>
    <w:p>
      <w:pPr>
        <w:ind w:left="460" w:right="100" w:firstLine="431"/>
        <w:spacing w:after="0" w:line="254" w:lineRule="auto"/>
        <w:rPr>
          <w:sz w:val="20"/>
          <w:szCs w:val="20"/>
          <w:color w:val="auto"/>
        </w:rPr>
      </w:pPr>
      <w:r>
        <w:rPr>
          <w:rFonts w:ascii="Arial" w:cs="Arial" w:eastAsia="Arial" w:hAnsi="Arial"/>
          <w:sz w:val="18"/>
          <w:szCs w:val="18"/>
          <w:b w:val="1"/>
          <w:bCs w:val="1"/>
          <w:color w:val="auto"/>
        </w:rPr>
        <w:t>Case Background</w:t>
      </w:r>
      <w:r>
        <w:rPr>
          <w:rFonts w:ascii="Arial" w:cs="Arial" w:eastAsia="Arial" w:hAnsi="Arial"/>
          <w:sz w:val="18"/>
          <w:szCs w:val="18"/>
          <w:color w:val="auto"/>
        </w:rPr>
        <w:t>: A 74-year-old male with severe chronic obstructive pulmonary disease (COPD) presented for medical evaluation.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pulmonary function tests showed severe obstruction. A CT scan was completed for evaluation for candidacy of procedure which revealed a spiculated 10 mm nodule in the patient’s left upper lobe. The pre-test risk of malignancy with the Solitary Pulmonary Nodule Calculator was calculated as 49%, however biopsy was not a preferred option due to the patient’s poor pulmonary function and the difficult location of the lung nodule. The Nodify XL2 test was ordered and returned a result of Likely Benign, with a 6% post-Nodify XL2 risk of malignancy. Subsequent PET/CT imaging showed SUV of 7.0, which is concerning for a lung malignancy. Based upon the Nodify XL2 results and patient preference, a wait and watch approach with repeat chest imaging was pursued. A repeat CT scan demonstrated a reduction in size of the nodule to 7 mm, indicating an inflammatory or benign etiology.</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#3: Biodesix Lung Reflex Results Changed Patient’s Cancer Treatment Plan</w:t>
      </w:r>
    </w:p>
    <w:p>
      <w:pPr>
        <w:spacing w:after="0" w:line="113" w:lineRule="exact"/>
        <w:rPr>
          <w:sz w:val="20"/>
          <w:szCs w:val="20"/>
          <w:color w:val="auto"/>
        </w:rPr>
      </w:pPr>
    </w:p>
    <w:p>
      <w:pPr>
        <w:ind w:left="460" w:right="40" w:firstLine="431"/>
        <w:spacing w:after="0" w:line="294" w:lineRule="auto"/>
        <w:rPr>
          <w:sz w:val="20"/>
          <w:szCs w:val="20"/>
          <w:color w:val="auto"/>
        </w:rPr>
      </w:pPr>
      <w:r>
        <w:rPr>
          <w:rFonts w:ascii="Arial" w:cs="Arial" w:eastAsia="Arial" w:hAnsi="Arial"/>
          <w:sz w:val="16"/>
          <w:szCs w:val="16"/>
          <w:b w:val="1"/>
          <w:bCs w:val="1"/>
          <w:color w:val="auto"/>
        </w:rPr>
        <w:t>Outcome</w:t>
      </w:r>
      <w:r>
        <w:rPr>
          <w:rFonts w:ascii="Arial" w:cs="Arial" w:eastAsia="Arial" w:hAnsi="Arial"/>
          <w:sz w:val="16"/>
          <w:szCs w:val="16"/>
          <w:color w:val="auto"/>
        </w:rPr>
        <w:t>: It is important for physicians to have a holistic view of each patient’s dynamic disease state to make more informed patient care</w:t>
      </w:r>
      <w:r>
        <w:rPr>
          <w:rFonts w:ascii="Arial" w:cs="Arial" w:eastAsia="Arial" w:hAnsi="Arial"/>
          <w:sz w:val="16"/>
          <w:szCs w:val="16"/>
          <w:b w:val="1"/>
          <w:bCs w:val="1"/>
          <w:color w:val="auto"/>
        </w:rPr>
        <w:t xml:space="preserve"> </w:t>
      </w:r>
      <w:r>
        <w:rPr>
          <w:rFonts w:ascii="Arial" w:cs="Arial" w:eastAsia="Arial" w:hAnsi="Arial"/>
          <w:sz w:val="16"/>
          <w:szCs w:val="16"/>
          <w:color w:val="auto"/>
        </w:rPr>
        <w:t>decisions. Prior to receiving Biodesix Lung Reflex results, the physician was considering putting the patient on single agent immunotherapy due to her high PD-L1 expression status and potential for less treatment-related adverse events. The patient’s GeneStrat result came back negative for driver mutations, indicating to the physician that the patient was eligible for immunotherapy regimens. However, the patient’s VeriStrat Poor result identified the need to expedite time to treatment and be more aggressive, leading to the physician changing his initial treatment recommendation to a combination immunotherapy and chemotherapy regimen. The patient has been alive for over 18 months.</w:t>
      </w:r>
    </w:p>
    <w:p>
      <w:pPr>
        <w:spacing w:after="0" w:line="52" w:lineRule="exact"/>
        <w:rPr>
          <w:sz w:val="20"/>
          <w:szCs w:val="20"/>
          <w:color w:val="auto"/>
        </w:rPr>
      </w:pPr>
    </w:p>
    <w:p>
      <w:pPr>
        <w:ind w:left="460" w:firstLine="431"/>
        <w:spacing w:after="0" w:line="255" w:lineRule="auto"/>
        <w:rPr>
          <w:sz w:val="20"/>
          <w:szCs w:val="20"/>
          <w:color w:val="auto"/>
        </w:rPr>
      </w:pPr>
      <w:r>
        <w:rPr>
          <w:rFonts w:ascii="Arial" w:cs="Arial" w:eastAsia="Arial" w:hAnsi="Arial"/>
          <w:sz w:val="18"/>
          <w:szCs w:val="18"/>
          <w:b w:val="1"/>
          <w:bCs w:val="1"/>
          <w:color w:val="auto"/>
        </w:rPr>
        <w:t>Case Background</w:t>
      </w:r>
      <w:r>
        <w:rPr>
          <w:rFonts w:ascii="Arial" w:cs="Arial" w:eastAsia="Arial" w:hAnsi="Arial"/>
          <w:sz w:val="18"/>
          <w:szCs w:val="18"/>
          <w:color w:val="auto"/>
        </w:rPr>
        <w:t>: A 55-year-old female presented to the clinic with a cough, fever, and chest pain. The patient was a former smoker who had</w:t>
      </w:r>
      <w:r>
        <w:rPr>
          <w:rFonts w:ascii="Arial" w:cs="Arial" w:eastAsia="Arial" w:hAnsi="Arial"/>
          <w:sz w:val="18"/>
          <w:szCs w:val="18"/>
          <w:b w:val="1"/>
          <w:bCs w:val="1"/>
          <w:color w:val="auto"/>
        </w:rPr>
        <w:t xml:space="preserve"> </w:t>
      </w:r>
      <w:r>
        <w:rPr>
          <w:rFonts w:ascii="Arial" w:cs="Arial" w:eastAsia="Arial" w:hAnsi="Arial"/>
          <w:sz w:val="18"/>
          <w:szCs w:val="18"/>
          <w:color w:val="auto"/>
        </w:rPr>
        <w:t>quit over a year ago. Imaging identified multiple lung lesions and metastases, including in the brain, and was staged as stage IV adenocarcinoma. The physician advised the patient of her potential eligibility for single agent immunotherapy based on her high PD-L1 expression status (PD-L1&gt;50%), but wanted to order molecular testing to confirm. A blood sample was collected for Biodesix Lung Reflex testing. The GeneStrat test result was mutation negative and the VeriStrat test result was Poor. The VeriStrat results lead to the physician changing his initial treatment recommendation to a more aggressive combination immunotherapy and chemotherapy regimen, which has been successful for the patient who has been alive for over 18 months.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Case Study #4: First Do No Harm – Biodesix Lung Reflex Supports Shared Decision Making</w:t>
      </w:r>
    </w:p>
    <w:p>
      <w:pPr>
        <w:spacing w:after="0" w:line="113" w:lineRule="exact"/>
        <w:rPr>
          <w:sz w:val="20"/>
          <w:szCs w:val="20"/>
          <w:color w:val="auto"/>
        </w:rPr>
      </w:pPr>
    </w:p>
    <w:p>
      <w:pPr>
        <w:ind w:left="460" w:firstLine="431"/>
        <w:spacing w:after="0" w:line="258" w:lineRule="auto"/>
        <w:rPr>
          <w:sz w:val="20"/>
          <w:szCs w:val="20"/>
          <w:color w:val="auto"/>
        </w:rPr>
      </w:pPr>
      <w:r>
        <w:rPr>
          <w:rFonts w:ascii="Arial" w:cs="Arial" w:eastAsia="Arial" w:hAnsi="Arial"/>
          <w:sz w:val="18"/>
          <w:szCs w:val="18"/>
          <w:b w:val="1"/>
          <w:bCs w:val="1"/>
          <w:color w:val="auto"/>
        </w:rPr>
        <w:t>Outcome</w:t>
      </w:r>
      <w:r>
        <w:rPr>
          <w:rFonts w:ascii="Arial" w:cs="Arial" w:eastAsia="Arial" w:hAnsi="Arial"/>
          <w:sz w:val="18"/>
          <w:szCs w:val="18"/>
          <w:color w:val="auto"/>
        </w:rPr>
        <w:t>: Lung cancer is a deadly disease, and often patients with advanced disease on average live about 10 months. In this case, an elderly</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was diagnosed with advanced NSCLC, but was hesitant to receive further surgical procedures. This patient received the unfortunate combination of a VeriStrat Poor and a KRAS mutation. The results facilitated a conversation with the physician and the patient’s family regarding her overall poor prognosis and short estimated survival. The patient and family decided to pursue end-of-life palliative care, saving the patient from unnecessary procedures and adverse effects.</w:t>
      </w:r>
    </w:p>
    <w:p>
      <w:pPr>
        <w:spacing w:after="0" w:line="75" w:lineRule="exact"/>
        <w:rPr>
          <w:sz w:val="20"/>
          <w:szCs w:val="20"/>
          <w:color w:val="auto"/>
        </w:rPr>
      </w:pPr>
    </w:p>
    <w:p>
      <w:pPr>
        <w:ind w:left="460" w:firstLine="431"/>
        <w:spacing w:after="0" w:line="256" w:lineRule="auto"/>
        <w:rPr>
          <w:sz w:val="20"/>
          <w:szCs w:val="20"/>
          <w:color w:val="auto"/>
        </w:rPr>
      </w:pPr>
      <w:r>
        <w:rPr>
          <w:rFonts w:ascii="Arial" w:cs="Arial" w:eastAsia="Arial" w:hAnsi="Arial"/>
          <w:sz w:val="18"/>
          <w:szCs w:val="18"/>
          <w:b w:val="1"/>
          <w:bCs w:val="1"/>
          <w:color w:val="auto"/>
        </w:rPr>
        <w:t>Case Background</w:t>
      </w:r>
      <w:r>
        <w:rPr>
          <w:rFonts w:ascii="Arial" w:cs="Arial" w:eastAsia="Arial" w:hAnsi="Arial"/>
          <w:sz w:val="18"/>
          <w:szCs w:val="18"/>
          <w:color w:val="auto"/>
        </w:rPr>
        <w:t>: A 92-year-old female presented with back and chest pain and recent difficulty breathing. The patient had also lost 8 to 10</w:t>
      </w:r>
      <w:r>
        <w:rPr>
          <w:rFonts w:ascii="Arial" w:cs="Arial" w:eastAsia="Arial" w:hAnsi="Arial"/>
          <w:sz w:val="18"/>
          <w:szCs w:val="18"/>
          <w:b w:val="1"/>
          <w:bCs w:val="1"/>
          <w:color w:val="auto"/>
        </w:rPr>
        <w:t xml:space="preserve"> </w:t>
      </w:r>
      <w:r>
        <w:rPr>
          <w:rFonts w:ascii="Arial" w:cs="Arial" w:eastAsia="Arial" w:hAnsi="Arial"/>
          <w:sz w:val="18"/>
          <w:szCs w:val="18"/>
          <w:color w:val="auto"/>
        </w:rPr>
        <w:t>pounds in recent weeks and had a productive cough. The patient had a 40 pack-year smoking history but had quit over 35 years prior. A PET/CT scan revealed metastatic disease with multiple brain metastases, leading to a diagnosis of stage IV lung cancer. The patient and her family were hesitant to proceed with an invasive procedure for further diagnosis and clinical staging to inform a treatment plan. Biodesix Lung Reflex testing was ordered to inform potential treatment pathways. The GeneStrat test result showed the patient was positive for a KRAS G12V mutation, implying a worse prognosis. Additionally, the VeriStrat test result was Poor.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Diagnostic Tests in Development</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With the goal of finding solutions for clinical unmet needs related to diagnosis, treatment and monitoring in lung disease, our diagnostic tests in development include the following: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Early Stage NSCLC—Risk of Recurrence</w:t>
      </w:r>
    </w:p>
    <w:p>
      <w:pPr>
        <w:spacing w:after="0" w:line="117"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Currently, surgical resection of the tumor without systemic or radiation therapy is standard of care for stage I NSCLC patients. However, 20 to 40% of surgically treated patients will suffer a recurrence within 5 years after surgery. From market research with pulmonologists, thoracic surgeons, and medical oncologists, we identified a significant clinical unmet need for a blood-based test to help identify stage I NSCLC patients who are at a higher risk of recurrence and may benefit from neoadjuvant or adjuvant systemic treatment. With this information, we discovered the Risk of Recurrence (ROR) test, which is a pre-surgery blood-based proteomic test, designed with the Diagnostic Cortex to predict whether a stage I NSCLC patient has a higher risk of recurrence post-surgical resection. Knowing this information early and before surgery may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Late Stage NSCLC—Immunotherapy Treatment Guidance</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 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immune response to their cancer and stratify by who is likely to respond to ICI treatment. Our PIR test has been validated in multiple independent sample sets for advanced stage NSCLC patients treated with single agent ICI, and we are currently working with major academic institutions across the United States to further validate the test in a prospective study called BEACON-Lung.</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Monitoring – Progression &amp; Resistance</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Arial" w:cs="Arial" w:eastAsia="Arial" w:hAnsi="Arial"/>
          <w:sz w:val="18"/>
          <w:szCs w:val="18"/>
          <w:i w:val="1"/>
          <w:iCs w:val="1"/>
          <w:color w:val="auto"/>
        </w:rPr>
        <w:t>EGFR</w:t>
      </w:r>
      <w:r>
        <w:rPr>
          <w:rFonts w:ascii="Arial" w:cs="Arial" w:eastAsia="Arial" w:hAnsi="Arial"/>
          <w:sz w:val="18"/>
          <w:szCs w:val="18"/>
          <w:color w:val="auto"/>
        </w:rPr>
        <w:t xml:space="preserve"> ddPCR test in all three of these indications. The test can identify disease progression up to 3 months (median) in advance of standard imaging. Using ddPCR for longitudinal blood-based monitoring of EGFR cell-free DNA mutations is a cost-effective testing method while patients are being treated with targeted therapies.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121"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4 of which are ongoing, and have published over 275 peer-reviewed publications and presentations. The following are our ongoing clinical studies for our diagnostic testing solutions.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320" w:top="459" w:right="3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ORACLE Registry Study (NCT03766958)</w:t>
      </w:r>
    </w:p>
    <w:p>
      <w:pPr>
        <w:spacing w:after="0" w:line="11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The ORACLE registry study was designed to develop real-world clinical utility data for Nodify XL2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As of May 1, 2020, 423 patients have been enrolled and are undergoing primary endpoint analysis, with 2-year follow-up estimated to be completed by the first half of 2022.</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ALTITUDE Clinical Utility Study (NCT04171492)</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ALTITUDE clinical utility study is designed to evaluate the performance of Nodify Lung (Nodify XL2 and Nodify CDT) in a randomized controlled study (RCT). The study is titled “A Multicenter, Randomized Controlled Trial, Prospectively Evaluating the Clinical Utility of the Nodify XL2 Proteomic Test in Incidentally Discovered Low to Moderate Risk Lung Nodules”. We received central investigational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Nodify XL2. First patient first visit is expected the second half of 2020. Phase 1 of the study with only Nodify XL2 is expected to enroll 500 patients. Phase 2 of the adaptive study design will include an open-label arm for Nodify CDT, which is aligned with our commercial testing algorithm.</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INSIGHT Observational Study (NCT03289780)</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INSIGHT observational study is designed to evaluate the real-world clinical utility and performance of the Biodesix Lung Reflex (GeneStrat and VeriStrat) testing strategy. The title is “Observational Study Assessing the Clinical Effectiveness of VeriStrat and Validating Immunotherapy Tests in Subjects with Non-Small Cell Lung Cancer (INSIGHT)” and the first patient enrolled was on May 11, 2016. To date, we have over 3,500 patients enrolled with a target 5,000 enrollment goal. Final analysis with 3-year follow-up is estimated to be completed by 2024. Results of an interim analysis were presented at ASCO 2020. The study rationale is to guide the adoption of VeriStrat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BEACON-Lung Clinical Study (Pending IRB Submission)</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In partnership with ALCMI (Addario Lung Cancer Medical Institute), the BEACON-Lung clinical study is intended to evaluate the performance and utility of our proteomic product currently in development, PIR, in advanced stage NSCLC patients who express high PD-L1. The study title is “A Biomarker Analysis in High PD-L1 Expressing NSCLC Patients Treated With An Immune Checkpoint Inhibitor (ICI) With or Without Platinum-Based Chemotherapy.” IRB submission is planned for the second half of 2020. The study design is an observational, multicenter, open-label study to assess biomarkers (serum, microbiome, radiomics and tissue) as predictive of early progression in 390 treatment-naive patients with advanced stage NSCLC and PD-L1 greater than or equal to 50% treated with two standard of care regimens, triplet therapy (platinum-based chemotherapy plus ICI regimen) and ICI monotherapy (single agent ICI). The objectives are to collect biospecimens and evaluate candidate biomarkers, with a focus on PIR, to detect early progression on ICI monotherapy versus triplet therapy.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19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Patients with pulmonary nodules are concentrated in this sub-specialty, where additional resources such as lung cancer screening and nodule management clinics may exist to provide an increased level of care. We are also engaging large hospital systems in a “top-down” approach, with a goal of incorporating our tests into system wide pathways and protocols.</w:t>
      </w:r>
    </w:p>
    <w:p>
      <w:pPr>
        <w:spacing w:after="0" w:line="184"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After a physician orders our tests, blood is collected either in the physician office or laboratory, third 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65"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For our Biodesix WorkSafe COVID-19 testing program, we have a dedicated outreach team that works with healthcare providers and hospitals, and employers looking to safely return to work across many industries, including food services, oil and gas, biotechnology and pharmaceuticals, sports teams, universities, and many small businesses. We recognize everyone’s COVID-19 situation is unique, which is why we provide end-to-end customized solutions to support testing for our different customers, such as risk assessment tools, physician ordering services, on-site testing, phlebotomy services, shipping logistics, and ongoing support.</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The primary source of reimbursement for our tests in the United States is from third-party payers including government payers, such as Medicare, and commercial payers, such as insurance companies. For our COVID-19 testing program, the primary source of reimbursement is through contracts with hospitals, companies providing wellness testing for their employees, or direct pay from patients.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161" w:lineRule="exact"/>
        <w:rPr>
          <w:sz w:val="20"/>
          <w:szCs w:val="20"/>
          <w:color w:val="auto"/>
        </w:rPr>
      </w:pPr>
    </w:p>
    <w:p>
      <w:pPr>
        <w:jc w:val="both"/>
        <w:ind w:right="320" w:firstLine="449"/>
        <w:spacing w:after="0" w:line="311" w:lineRule="auto"/>
        <w:rPr>
          <w:sz w:val="20"/>
          <w:szCs w:val="20"/>
          <w:color w:val="auto"/>
        </w:rPr>
      </w:pPr>
      <w:r>
        <w:rPr>
          <w:rFonts w:ascii="Arial" w:cs="Arial" w:eastAsia="Arial" w:hAnsi="Arial"/>
          <w:sz w:val="16"/>
          <w:szCs w:val="16"/>
          <w:color w:val="auto"/>
        </w:rPr>
        <w:t>Under the Families First Coronavirus Response Act (FFCRA) and Coronavirus Aid, Relief, and Economic Security (CARES) Act, Congress has imposed a broad requirement that Medicare fee-for-service, Medicare Advantage, Medicaid, and commercial payers generally cover clinical diagnostic laboratory tests administered during the Public Health Emergency for the detection of SARS-CoV-2 or the diagnosis of the virus that causes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COVID-19. Where applicable, the FFCRA and CARES require payers to cover COVID-19 tests without cost sharing or medical management techniques like prior authorization. Medicare fee-for-service does not require cost sharing or prior authorization for any clinical diagnostic laboratory tests.</w:t>
      </w:r>
    </w:p>
    <w:p>
      <w:pPr>
        <w:spacing w:after="0" w:line="124"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Department of Health &amp; Human Services (HHS) has indicated in guidance that the coverage requirements of the FFCRA and CARES can apply both to infection and serological testing, but that they are only applicable to testing that is “diagnostic,” which “may include testing of individuals with signs or symptoms compatible with COVID-19, as well as asymptomatic individuals with known or suspected recent exposure to SARS-CoV-2.” Testing that is “not primarily intended for individualized diagnosis or treatment of COVID-19 or another health condition,” including “testing conducted to screen for general workplace health and safety,” is beyond the scope of the statutory coverage requirements. We believe these coverage requirements apply to the Biodesix SARS-CoV-2 ddPCR test and the Biodesix Platelia SARS-CoV-2 Total AB test when performed for diagnostic purposes. In some cases, we submit claims to insurance payers for the Biodesix SARS-CoV-2 ddPCR test and/or the Biodesix Platelia SARS-CoV-2 Total AB test. In these cases, insurance payers may have a different position on the scope of mandatory coverage of our tests under the FFCRA and CARES. More commonly, we enter into arrangements with clients under which the client pays us directly for testing.</w:t>
      </w:r>
    </w:p>
    <w:p>
      <w:pPr>
        <w:spacing w:after="0" w:line="18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payment rate for the Biodesix SARS-CoV-2 ddPCR test and the Biodesix Platelia SARS-CoV-2 Total AB test depends on the payer. We bill for the Biodesix SARS-CoV-2 ddPCR test using the Healthcare Common Procedure Coding System (HCPCS) code U0003 (Infectious agent detection by nucleic acid (DNA or RNA); severe acute respiratory syndrome coronavirus 2 (SARS-CoV-2) (Coronavirus disease [COVID-19]), 2 amplified probe technique, making use of high throughput technologies as described by CMS-2020-01-R). Medicare has established a payment rate of $100 for U0003. We bill for the Biodesix Platelia SARS-CoV-2 Total AB test using HCPCS code 86769 (Antibody; severe acute respiratory syndrome coronavirus 2 (SAR-CoV-2). Medicare has established a payment rate of $42.13 for 86769. These payment rates may be subject to change effective January 1, 2021, under Medicare’s annual basis of payment determination process for new or substantially revised HCPCS codes. When covered under the FFCRA and CARES, commercial insurance payers must make payment for the Biodesix SARS-CoV-2 ddPCR test and the Biodesix Platelia SARS-CoV-2 Total AB test at the cash price for the test listed by us on our website or at a lower negotiated rate. When entering into arrangements with clients under which the client pays us directly for testing, we and the client negotiate a payment rate for the test.</w:t>
      </w:r>
    </w:p>
    <w:p>
      <w:pPr>
        <w:spacing w:after="0" w:line="185"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Compliance with applicable laws and regulations, as well as internal compliance policies and procedures adds complexity to the billing process. The CMS are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CPT codes, as defined by the American Medical Association. For some of the tests we conduct, there may not be a specific CPT or HCPCS code, in which case the test may be billed under a miscellaneous code for an unlisted molecular pathology procedure or unlisted multiple analyte assay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Payers</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Medicare is limited to items and services that are within the scope of a Medicare benefit category and that are reasonable and necessary for the diagnosis and treatment of an illness or an injury. Medicare develops National Coverage Determinations (NCDs) and Local Coverage Determinations (LCDs), setting forth additional requirements for coverage for tests such as ours using an evidence-based coverage process with opportunity for public participation. Median age at diagnosis for lung cancer is 71 years old; therefore the Medicare eligible population represents approximately 60-65 % of the addressable market in lung cancer.</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320" w:top="459" w:right="3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 xml:space="preserve">Novitas Solutions, the MAC responsible for developing coverage policies for tests performed in the region that includes our Boulder, Colorado clinical laboratory, issued a final LCD </w:t>
      </w:r>
      <w:r>
        <w:rPr>
          <w:rFonts w:ascii="Arial" w:cs="Arial" w:eastAsia="Arial" w:hAnsi="Arial"/>
          <w:sz w:val="18"/>
          <w:szCs w:val="18"/>
          <w:i w:val="1"/>
          <w:iCs w:val="1"/>
          <w:color w:val="auto"/>
        </w:rPr>
        <w:t>Biomarkers for Oncology</w:t>
      </w:r>
      <w:r>
        <w:rPr>
          <w:rFonts w:ascii="Arial" w:cs="Arial" w:eastAsia="Arial" w:hAnsi="Arial"/>
          <w:sz w:val="18"/>
          <w:szCs w:val="18"/>
          <w:color w:val="auto"/>
        </w:rPr>
        <w:t xml:space="preserve"> (L35396) that included coverage for the VeriStrat test on October 1, 2015 (most recently revised effective July 1, 2020). This policy provides coverage for patients with non-small cell lung cancer whose </w:t>
      </w:r>
      <w:r>
        <w:rPr>
          <w:rFonts w:ascii="Arial" w:cs="Arial" w:eastAsia="Arial" w:hAnsi="Arial"/>
          <w:sz w:val="18"/>
          <w:szCs w:val="18"/>
          <w:i w:val="1"/>
          <w:iCs w:val="1"/>
          <w:color w:val="auto"/>
        </w:rPr>
        <w:t>EGFR</w:t>
      </w:r>
      <w:r>
        <w:rPr>
          <w:rFonts w:ascii="Arial" w:cs="Arial" w:eastAsia="Arial" w:hAnsi="Arial"/>
          <w:sz w:val="18"/>
          <w:szCs w:val="18"/>
          <w:color w:val="auto"/>
        </w:rPr>
        <w:t xml:space="preserve"> gene mutation status is either wild type (negative) or mutation status unknown. The </w:t>
      </w:r>
      <w:r>
        <w:rPr>
          <w:rFonts w:ascii="Arial" w:cs="Arial" w:eastAsia="Arial" w:hAnsi="Arial"/>
          <w:sz w:val="18"/>
          <w:szCs w:val="18"/>
          <w:i w:val="1"/>
          <w:iCs w:val="1"/>
          <w:color w:val="auto"/>
        </w:rPr>
        <w:t>Biomarkers for Oncology</w:t>
      </w:r>
      <w:r>
        <w:rPr>
          <w:rFonts w:ascii="Arial" w:cs="Arial" w:eastAsia="Arial" w:hAnsi="Arial"/>
          <w:sz w:val="18"/>
          <w:szCs w:val="18"/>
          <w:color w:val="auto"/>
        </w:rPr>
        <w:t xml:space="preserve"> LCD also includes coverage for the genes in the GeneStrat test for patients with non-small cell lung cancer.</w:t>
      </w:r>
    </w:p>
    <w:p>
      <w:pPr>
        <w:spacing w:after="0" w:line="188"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Palmetto GBA, the MAC responsible for administering the molecular diagnostics services program covering many other regions of the United States including the De Soto, Kansas clinical laboratory, issued a positive coverage LCD for the Nodify XL2 test, known under the generic name BDX-XL2 (L37031), effective July 10, 2017 (most recently revised effective October 24, 2019). The test is covered for patients who are 40 years or older, have a suspicious pulmonary nodule between 8 and 30mm, and have a pre-test risk of cancer of equal to or less than 50% as assessed by the Solitary Pulmonary Nodule Malignancy Risk calculator (Mayo Clinic). There is currently no Medicare coverage, and as a result, no Medicare reimbursement, for the Nodify CDT test, but we are actively engaged in efforts to gain such coverage and reimbursement by Medicare.</w:t>
      </w:r>
    </w:p>
    <w:p>
      <w:pPr>
        <w:spacing w:after="0" w:line="17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tests and those like ours are typically paid by Medicare Part B under the Clinical Laboratory Fee Schedule (CLFS). In April 2014, Congress passed the Protecting Access to Medicare Act of 2014 (PAMA) which included changes to how prices are assigned to billing codes used to identify these tests. Under PAMA, entities who receive a majority of their Medicare payments under that CLFS or the Physician Fee Schedule are required to report private payer payment rates and volumes every three years, or every year for tests with the Advanced Diagnostic Laboratory Test (ADLT) designation. CMS calculates a weighted median rate for each code, which establishes the Medicare CLFS reimbursement rate for the subsequent three years, or one year for ADLTs.</w:t>
      </w:r>
    </w:p>
    <w:p>
      <w:pPr>
        <w:spacing w:after="0" w:line="19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On December 21, 2018, CMS determined that VeriStrat met the criteria for an “existing ADLT,” meaning an advanced test that was paid on the CLFS prior to January 1, 2018. Assignment of this status meant that beginning on January 1, 2020, the reimbursement rate assigned to the code used to identify VeriStrat would be set annually. Data collected from January to June of 2018 was reported to CMS in the first quarter of 2019 and set the rate of $2,871 for calendar year 2020, representing no change from the rate paid for VeriStrat for calendar year 2019. Data collected from January to June 2019 was reported in the first quarter of 2020 that will be used to set the rate for calendar year 2021.</w:t>
      </w:r>
    </w:p>
    <w:p>
      <w:pPr>
        <w:spacing w:after="0" w:line="176"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On May 17, 2019, CMS determined that Nodify XL2 met the criteria for “new ADLT” status. From July 1, 2019 through March 31, 2020, Medicare paid the list price of $3,520. During the period from July 2019 to November 2019, we collected the required commercial payment data and reported to CMS in December 2019. The data from this period was used to set the payment rate for the test from April 1, 2020 through December 31, 2021, which remains priced at $3,520. The rate for 2022 will be set based on data collected in the first half of 2020 and reported in the first quarter of 2021.</w:t>
      </w:r>
    </w:p>
    <w:p>
      <w:pPr>
        <w:spacing w:after="0" w:line="157" w:lineRule="exact"/>
        <w:rPr>
          <w:sz w:val="20"/>
          <w:szCs w:val="20"/>
          <w:color w:val="auto"/>
        </w:rPr>
      </w:pPr>
    </w:p>
    <w:p>
      <w:pPr>
        <w:jc w:val="both"/>
        <w:ind w:right="380" w:firstLine="449"/>
        <w:spacing w:after="0" w:line="311" w:lineRule="auto"/>
        <w:rPr>
          <w:sz w:val="20"/>
          <w:szCs w:val="20"/>
          <w:color w:val="auto"/>
        </w:rPr>
      </w:pPr>
      <w:r>
        <w:rPr>
          <w:rFonts w:ascii="Arial" w:cs="Arial" w:eastAsia="Arial" w:hAnsi="Arial"/>
          <w:sz w:val="16"/>
          <w:szCs w:val="16"/>
          <w:color w:val="auto"/>
        </w:rPr>
        <w:t>Medicare Advantage plans, which are an alternative to original Medicare and are offered by private companies, such as commercial payers, also cover and reimburse our products. Medicare Advantage plans must provide at least the same level of coverage for Medicare beneficiaries as traditional Medicare; however, reimbursement for our tests by Medicare Advantage plans can depend on our contracts with each plan.</w:t>
      </w:r>
    </w:p>
    <w:p>
      <w:pPr>
        <w:spacing w:after="0" w:line="149" w:lineRule="exact"/>
        <w:rPr>
          <w:sz w:val="20"/>
          <w:szCs w:val="20"/>
          <w:color w:val="auto"/>
        </w:rPr>
      </w:pPr>
    </w:p>
    <w:p>
      <w:pPr>
        <w:ind w:right="960" w:firstLine="449"/>
        <w:spacing w:after="0" w:line="277" w:lineRule="auto"/>
        <w:rPr>
          <w:sz w:val="20"/>
          <w:szCs w:val="20"/>
          <w:color w:val="auto"/>
        </w:rPr>
      </w:pPr>
      <w:r>
        <w:rPr>
          <w:rFonts w:ascii="Arial" w:cs="Arial" w:eastAsia="Arial" w:hAnsi="Arial"/>
          <w:sz w:val="18"/>
          <w:szCs w:val="18"/>
          <w:color w:val="auto"/>
        </w:rPr>
        <w:t>State-based Medicaid and Managed Medicaid plans offered by private companies such as commercial payers, have limited coverage and reimbursement of our products. Payment by Managed Medicaid is also dependent on our contracts with each plan.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Commercial Third-Party Payers</w:t>
      </w:r>
    </w:p>
    <w:p>
      <w:pPr>
        <w:spacing w:after="0" w:line="11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We are actively engaged in efforts to achieve broad coverage and adequate reimbursement for all of our marketed tests. Reimbursement from commercial payers differs depending on if they have established coverage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if we are contracted as a “participating provider” or do not have a contract and are considered a “non-participating provider.” Approval of a claim is dependent on coverage, and reimbursement rate and timing of payment is based on the terms of or presence of a contract. When we are not reimbursed in full or at all, we may submit appeals of the denial or underpayment or seek payment from the patient. However, insurance appeal and patient collection efforts take a substantial amount of time and can have varying levels of success.</w:t>
      </w:r>
    </w:p>
    <w:p>
      <w:pPr>
        <w:spacing w:after="0" w:line="187" w:lineRule="exact"/>
        <w:rPr>
          <w:sz w:val="20"/>
          <w:szCs w:val="20"/>
          <w:color w:val="auto"/>
        </w:rPr>
      </w:pPr>
    </w:p>
    <w:p>
      <w:pPr>
        <w:jc w:val="both"/>
        <w:ind w:right="140" w:firstLine="449"/>
        <w:spacing w:after="0" w:line="342" w:lineRule="auto"/>
        <w:rPr>
          <w:sz w:val="20"/>
          <w:szCs w:val="20"/>
          <w:color w:val="auto"/>
        </w:rPr>
      </w:pPr>
      <w:r>
        <w:rPr>
          <w:rFonts w:ascii="Arial" w:cs="Arial" w:eastAsia="Arial" w:hAnsi="Arial"/>
          <w:sz w:val="16"/>
          <w:szCs w:val="16"/>
          <w:color w:val="auto"/>
        </w:rPr>
        <w:t>We bill for the VeriStrat and Nodify XL2 tests using test specific CPT codes—81538 and 0080U, respectively. The GeneStrat test is billed based on the genes that are ordered by the physician using the existing molecular pathology codes. The Nodify CDT test is billed using the unlisted MAAA code.</w:t>
      </w:r>
    </w:p>
    <w:p>
      <w:pPr>
        <w:spacing w:after="0" w:line="124"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color w:val="auto"/>
        </w:rPr>
        <w:t>With the evolution of genomic testing, individual commercial third-party payers’ medical coverage policies around the CPT codes we bill and their associated payment rates have changed over time, resulting in changes to our reimbursement revenues. We believe all of our products provide significant clinical value and reduction in downstream healthcare spend, as evidenced in research studies and clinical publications, which we believe will continue to support and drive third-party payer reimbursement.</w:t>
      </w:r>
    </w:p>
    <w:p>
      <w:pPr>
        <w:spacing w:after="0" w:line="18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Our strategy includes educating commercial third-party payers and evidence review organizations regarding our strong clinical data, which we believe validates the value of our tests and will eventually result in more commercial third-party payers covering our tests. The VeriStrat test is covered by many private payers including Aetna, Cigna, Humana, and various Blue Cross Blue Shield plans. We are actively engaged with private payers to expand coverage and contracting for all of our marketed tests.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121"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Diagnosis—Nodule Management</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Prognosis, Treatment Guidance and Monitoring—NSCLC</w:t>
      </w:r>
    </w:p>
    <w:p>
      <w:pPr>
        <w:spacing w:after="0" w:line="117"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We are unaware of any other diagnostic test available, commercially or in development, that will compete with our VeriStrat immune profiling test. There is substantial interest and activity in tumor profiling through liquid biopsy. Our genomic test offering, GeneStrat, faces competition from academic hospital laboratories, and companies such as Guardant Health and Foundation Medicine. We believe that there are several companies and academic research institutions in the process of developing tests for monitoring patients on or following treatment for recurrence or progression of lung cancer.</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COVID-19 Testing</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believe that our competitors include national and state laboratories, reference laboratories such as Lab Corporation and Quest Diagnostics, in-hospital laboratories, and a number of other diagnostic providers. We are aware that a number of other companies have announced development efforts to develop COVID-19 tests.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Biopharmaceutical Diagnostic Discovery, Development &amp; Testing Services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Laboratory Operations</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perform the VeriStrat, GeneStrat, and COVID-19 ddPCR tests in our Boulder, Colorado clinical laboratory. The laboratory is CAP-accredited, CLIA-certified, New York Department of Health (NYSDOH)— 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are performed in the Boulder, Colorado facility. The proprietary testing methods use semi-automated workflows that facilitate the successful delivery of greater than 90% of our tests within 3 days, and we believe our existing workflows will continue to successfully deliver our tests within this timeframe.</w:t>
      </w:r>
    </w:p>
    <w:p>
      <w:pPr>
        <w:spacing w:after="0" w:line="178"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Nodify XL2, Nodify CDT, and COVID-19 complete antibody tests are performed in our De Soto, Kansas clinical laboratory. This clinical laboratory is CLIA-certified, COLA-accredited, New York Department of Health—permitted and licensed, and licensed by California, Maryland, Pennsylvania, and Rhode Island. Efforts are underway with the NYSDOH to become permitted and licensed to perform Nodify XL2 and Nodify CDT testing for samples from the state of New York. Receipt of requisitions and testing is performed in our De Soto, Kansas clinical laboratory. Delivery of the test results is performed by personnel from our Boulder, Colorado headquarters. The proprietary testing methods use semi-automated workflows that facilitate the successful delivery of greater than 90% of our tests within 5 days, and we believe our existing workflows will continue to successfully deliver our tests within this timeframe.</w:t>
      </w:r>
    </w:p>
    <w:p>
      <w:pPr>
        <w:spacing w:after="0" w:line="195"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Personnel in both facilities are responsible for quality assurance oversight, licensing, and regulation compliance and maintenance to ensure data integrity and consistent, validated processes.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as described below, is the sole source supplier for our GeneStrat test and COVID-19 diagnostic and antibody testing program. Oncimmune is also the sole source supplier for our Nodify CDT tests but there are known secondary suppliers for these materials. We have initiated the second source qualification process for the majority of these critical components.</w:t>
      </w:r>
    </w:p>
    <w:p>
      <w:pPr>
        <w:spacing w:after="0" w:line="19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addition, we purchase supplies through purchase orders without long-term supply agreements with, or guaranteed commitments from, many of our suppliers, including single source suppliers. Additionally, at present, we rely on contract manufacturers for the production of our diagnostic tests. We depend on our suppliers and contract manufacturers to provide us and our customers with materials in a timely manner that meet our and their quality, quantity and cost requirements.</w:t>
      </w:r>
    </w:p>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and SARS CoV-2 tests until alternatives could be validated.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While we have initiated the second source qualification process for the majority of these critical components, we may not be successful in securing second sourcing for all of them at all or on a timely basis. A disruption to this supply would negatively impact our ability to perform these tests until an alternative supplier could be validated.</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All materials for our VeriStrat test and Nodify XL2 tests have alternative suppliers readily available, and a disruption in any single supplier would not materially impact our ability to deliver the test.</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COVID-19 pandemic has allowed us to pressure-test our supply chain and logistics processes as we purchased additional manufacturing capacity above our normal run rates to ensure that supply to execute on tests for the foreseeable future was available in-stock and in-house. Our suppliers have been able to allocate sufficient capacity to meet this increased demand with reasonable lead times and therefore we believe sufficient capacity exists for all tests for the next 24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19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We have invested heavily in the protection of our key assets, namely the VeriStrat</w:t>
      </w:r>
      <w:r>
        <w:rPr>
          <w:rFonts w:ascii="Arial" w:cs="Arial" w:eastAsia="Arial" w:hAnsi="Arial"/>
          <w:sz w:val="14"/>
          <w:szCs w:val="14"/>
          <w:color w:val="auto"/>
        </w:rPr>
        <w:t>®</w:t>
      </w:r>
      <w:r>
        <w:rPr>
          <w:rFonts w:ascii="Arial" w:cs="Arial" w:eastAsia="Arial" w:hAnsi="Arial"/>
          <w:sz w:val="17"/>
          <w:szCs w:val="17"/>
          <w:color w:val="auto"/>
        </w:rPr>
        <w:t xml:space="preserve"> and GeneStrat</w:t>
      </w:r>
      <w:r>
        <w:rPr>
          <w:rFonts w:ascii="Arial" w:cs="Arial" w:eastAsia="Arial" w:hAnsi="Arial"/>
          <w:sz w:val="14"/>
          <w:szCs w:val="14"/>
          <w:color w:val="auto"/>
        </w:rPr>
        <w:t>®</w:t>
      </w:r>
      <w:r>
        <w:rPr>
          <w:rFonts w:ascii="Arial" w:cs="Arial" w:eastAsia="Arial" w:hAnsi="Arial"/>
          <w:sz w:val="17"/>
          <w:szCs w:val="17"/>
          <w:color w:val="auto"/>
        </w:rPr>
        <w:t xml:space="preserve"> tests, and we acquired a patent portfolio relating to the Nodify XL2</w:t>
      </w:r>
      <w:r>
        <w:rPr>
          <w:rFonts w:ascii="Arial" w:cs="Arial" w:eastAsia="Arial" w:hAnsi="Arial"/>
          <w:sz w:val="14"/>
          <w:szCs w:val="14"/>
          <w:color w:val="auto"/>
        </w:rPr>
        <w:t>®</w:t>
      </w:r>
      <w:r>
        <w:rPr>
          <w:rFonts w:ascii="Arial" w:cs="Arial" w:eastAsia="Arial" w:hAnsi="Arial"/>
          <w:sz w:val="17"/>
          <w:szCs w:val="17"/>
          <w:color w:val="auto"/>
        </w:rPr>
        <w:t xml:space="preserve"> and CDT</w:t>
      </w:r>
      <w:r>
        <w:rPr>
          <w:rFonts w:ascii="Arial" w:cs="Arial" w:eastAsia="Arial" w:hAnsi="Arial"/>
          <w:sz w:val="14"/>
          <w:szCs w:val="14"/>
          <w:color w:val="auto"/>
        </w:rPr>
        <w:t>™</w:t>
      </w:r>
      <w:r>
        <w:rPr>
          <w:rFonts w:ascii="Arial" w:cs="Arial" w:eastAsia="Arial" w:hAnsi="Arial"/>
          <w:sz w:val="17"/>
          <w:szCs w:val="17"/>
          <w:color w:val="auto"/>
        </w:rPr>
        <w:t xml:space="preserve"> tests in our acquisitions of Integrated Diagnostics in June 2018, and of Oncimmune USA in October 2019 from Oncimmune Limited (Oncimmune). We own patents and patent applications as well as trade secrets relating to our products currently in development, collection device for whole blood,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w:t>
      </w:r>
      <w:r>
        <w:rPr>
          <w:rFonts w:ascii="Arial" w:cs="Arial" w:eastAsia="Arial" w:hAnsi="Arial"/>
          <w:sz w:val="14"/>
          <w:szCs w:val="14"/>
          <w:color w:val="auto"/>
        </w:rPr>
        <w:t>™</w:t>
      </w:r>
      <w:r>
        <w:rPr>
          <w:rFonts w:ascii="Arial" w:cs="Arial" w:eastAsia="Arial" w:hAnsi="Arial"/>
          <w:sz w:val="17"/>
          <w:szCs w:val="17"/>
          <w:color w:val="auto"/>
        </w:rPr>
        <w:t xml:space="preserve"> technology developed by Bio-Rad and which we employ in our GeneStrat test.</w:t>
      </w:r>
    </w:p>
    <w:p>
      <w:pPr>
        <w:spacing w:after="0" w:line="178"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Our patent strategy has focused on creating and acquiring protection for our VeriStrat and Nodify XL2 proteomic tests, while utilizing trade secret and some methods patent protection for our genomic test (the GeneStrat test)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For more information regarding this license and supply agreement, please see “—Material Agreements—Agreements with Bio-Rad.” Bio-Rad owns patents relating to ddPCR and to which we have a non-exclusive license to utilize for the performance of ddPCR in cancer detection testing for third parties as set forth in the Bio-Rad License Agreement. In addition, we have separately been granted permission by Bio-Rad to use the Bio-Rad SARS-CoV-2 ddPCR assay and Platelia SARS-CoV-2 Total Ab assay for commercial diagnostic services. For more information regarding the permission granted to us by Bio-Rad with respect to such tests, please see “Business—Material Agreements—Agreements with Bio-Rad.” We are unaware of patents owned by Bio-Rad relating to its COVID-19 antibody test but acknowledge that Bio-Rad has know-how and trade secrets relating to this assay.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w:t>
      </w:r>
      <w:r>
        <w:rPr>
          <w:rFonts w:ascii="Arial" w:cs="Arial" w:eastAsia="Arial" w:hAnsi="Arial"/>
          <w:sz w:val="14"/>
          <w:szCs w:val="14"/>
          <w:color w:val="auto"/>
        </w:rPr>
        <w:t>®</w:t>
      </w:r>
      <w:r>
        <w:rPr>
          <w:rFonts w:ascii="Arial" w:cs="Arial" w:eastAsia="Arial" w:hAnsi="Arial"/>
          <w:sz w:val="17"/>
          <w:szCs w:val="17"/>
          <w:color w:val="auto"/>
        </w:rPr>
        <w:t xml:space="preserve"> technologies and our approaches to using mass shot matrix-assisted laser desorption time of flight (MALDI-TOF) technology (DeepMALDI</w:t>
      </w:r>
      <w:r>
        <w:rPr>
          <w:rFonts w:ascii="Arial" w:cs="Arial" w:eastAsia="Arial" w:hAnsi="Arial"/>
          <w:sz w:val="14"/>
          <w:szCs w:val="14"/>
          <w:color w:val="auto"/>
        </w:rPr>
        <w:t>®</w:t>
      </w:r>
      <w:r>
        <w:rPr>
          <w:rFonts w:ascii="Arial" w:cs="Arial" w:eastAsia="Arial" w:hAnsi="Arial"/>
          <w:sz w:val="17"/>
          <w:szCs w:val="17"/>
          <w:color w:val="auto"/>
        </w:rPr>
        <w:t xml:space="preserve"> techniques). Additionally, our first device patent was issued in 2019 for our internally designed blood collection device.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As of October 21, 2020, our patent portfolio includes approximately 48 issued United States patents, 35 issued foreign patents, which includes 2 European patents that were nationalized in multiple European countries, and 38 pending applications (including 1 PCT applications and 23 foreign patent applications). With regard to our product development efforts, PCT applications have been filed around our risk of recurrence and primary immunoresistance tests.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 can be broken down into 5 categories:</w:t>
      </w:r>
    </w:p>
    <w:p>
      <w:pPr>
        <w:spacing w:after="0" w:line="131" w:lineRule="exact"/>
        <w:rPr>
          <w:sz w:val="20"/>
          <w:szCs w:val="20"/>
          <w:color w:val="auto"/>
        </w:rPr>
      </w:pPr>
    </w:p>
    <w:p>
      <w:pPr>
        <w:ind w:left="1000" w:hanging="37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the VeriStrat and Nodify tests and uses of these tests;</w:t>
      </w:r>
    </w:p>
    <w:p>
      <w:pPr>
        <w:spacing w:after="0" w:line="130" w:lineRule="exact"/>
        <w:rPr>
          <w:rFonts w:ascii="Arial" w:cs="Arial" w:eastAsia="Arial" w:hAnsi="Arial"/>
          <w:sz w:val="18"/>
          <w:szCs w:val="18"/>
          <w:color w:val="auto"/>
        </w:rPr>
      </w:pPr>
    </w:p>
    <w:p>
      <w:pPr>
        <w:ind w:left="1000" w:right="840" w:hanging="372"/>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methods for developing classifiers using the Diagnostic Cortex and DeepMALDI technologies;</w:t>
      </w:r>
    </w:p>
    <w:p>
      <w:pPr>
        <w:spacing w:after="0" w:line="75" w:lineRule="exact"/>
        <w:rPr>
          <w:rFonts w:ascii="Arial" w:cs="Arial" w:eastAsia="Arial" w:hAnsi="Arial"/>
          <w:sz w:val="18"/>
          <w:szCs w:val="18"/>
          <w:color w:val="auto"/>
        </w:rPr>
      </w:pPr>
    </w:p>
    <w:p>
      <w:pPr>
        <w:ind w:left="1000" w:hanging="37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currently in development;</w:t>
      </w:r>
    </w:p>
    <w:p>
      <w:pPr>
        <w:spacing w:after="0" w:line="130" w:lineRule="exact"/>
        <w:rPr>
          <w:rFonts w:ascii="Arial" w:cs="Arial" w:eastAsia="Arial" w:hAnsi="Arial"/>
          <w:sz w:val="18"/>
          <w:szCs w:val="18"/>
          <w:color w:val="auto"/>
        </w:rPr>
      </w:pPr>
    </w:p>
    <w:p>
      <w:pPr>
        <w:ind w:left="1000" w:hanging="37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our novel blood collection device; and</w:t>
      </w:r>
    </w:p>
    <w:p>
      <w:pPr>
        <w:spacing w:after="0" w:line="130" w:lineRule="exact"/>
        <w:rPr>
          <w:rFonts w:ascii="Arial" w:cs="Arial" w:eastAsia="Arial" w:hAnsi="Arial"/>
          <w:sz w:val="18"/>
          <w:szCs w:val="18"/>
          <w:color w:val="auto"/>
        </w:rPr>
      </w:pPr>
    </w:p>
    <w:p>
      <w:pPr>
        <w:ind w:left="1000" w:hanging="372"/>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developed for our third-party partners.</w:t>
      </w:r>
    </w:p>
    <w:p>
      <w:pPr>
        <w:spacing w:after="0" w:line="22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The patents relating to the VeriStrat test are scheduled to expire between 2026 and 2032. The patents relating to the Nodify XL2 test are scheduled to expire beginning in 2031 (excluding any patent term extension granted by the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18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Pending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and United States non-provisional patent applications, if such PCT or United States non-provisional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195"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459" w:right="3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adjustment to the term of any of our patents. As a result, our owned and licensed patent portfolio may not provide us with sufficient rights to exclude others from commercializing products similar or identical to ours.</w:t>
      </w:r>
    </w:p>
    <w:p>
      <w:pPr>
        <w:spacing w:after="0" w:line="170"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171"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tradename (Biodesix), the names of four of our commercial tests (namely the VeriStrat, GeneStrat, Nodify XL2 and Nodify CDT tests), and a suite of research tests (ImmunoStrat), as well as having trademark protection for our core development and methodological platforms, such as our Diagnostic Cortex and DeepMALDI technologies. In all, as of September 21, 2020, we have 20 uniquely registered United States trademarks 7 of which (including Biodesix, VeriStrat, and GeneStrat) have received foreign issuances as well. We will continue to pursue protection in the United States and abroad for our branded assets and will continue to use branding to protect products currently in development, key Biodesix developments and non-trade secret methodologies.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also rely on trade secrets, including know how, confidential information, unpatented technologies and other proprietary information, to</w:t>
      </w:r>
    </w:p>
    <w:p>
      <w:pPr>
        <w:spacing w:after="0" w:line="35" w:lineRule="exact"/>
        <w:rPr>
          <w:sz w:val="20"/>
          <w:szCs w:val="20"/>
          <w:color w:val="auto"/>
        </w:rPr>
      </w:pPr>
    </w:p>
    <w:p>
      <w:pPr>
        <w:ind w:right="20" w:firstLine="8"/>
        <w:spacing w:after="0" w:line="268" w:lineRule="auto"/>
        <w:tabs>
          <w:tab w:leader="none" w:pos="2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strengthen or enhance our competitive position, (2) protect and maintain aspects of our business that are not amenable to, or that we do not presently consider appropriate for, patent protection, and (3)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17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8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Clinical laboratory tests like our diagnostic tests are regulated under the CLIA and State law. The FDA regulates medical devices pursuant to the FDCA, including many diagnostic test kits, such as IVDs. However, most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in vitro clinical tests (IVCTs) that are intended for clinical use and developed, validated, and offered within a single laboratory for use only in that laboratory. 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83" w:lineRule="exact"/>
        <w:rPr>
          <w:sz w:val="20"/>
          <w:szCs w:val="20"/>
          <w:color w:val="auto"/>
        </w:rPr>
      </w:pPr>
    </w:p>
    <w:p>
      <w:pPr>
        <w:ind w:left="1000" w:right="100" w:hanging="547"/>
        <w:spacing w:after="0" w:line="263"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July 9, 2012, Congress passed legislation in the FDASIA requiring the agency to notify the Committee on Health, Education, Labor, and Pensions and the House Committee on Energy and Commerce of its intent to regulate LDTs. This law, though enacted, had a 5-year sunset provision, meaning that FDA is no longer subject to this notification requirement.</w:t>
      </w:r>
    </w:p>
    <w:p>
      <w:pPr>
        <w:spacing w:after="0" w:line="89" w:lineRule="exact"/>
        <w:rPr>
          <w:rFonts w:ascii="Arial" w:cs="Arial" w:eastAsia="Arial" w:hAnsi="Arial"/>
          <w:sz w:val="18"/>
          <w:szCs w:val="18"/>
          <w:color w:val="auto"/>
        </w:rPr>
      </w:pPr>
    </w:p>
    <w:p>
      <w:pPr>
        <w:ind w:left="1000" w:hanging="547"/>
        <w:spacing w:after="0" w:line="255"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 October 2014, the FDA issued two draft guidance documents: </w:t>
      </w:r>
      <w:r>
        <w:rPr>
          <w:rFonts w:ascii="Arial" w:cs="Arial" w:eastAsia="Arial" w:hAnsi="Arial"/>
          <w:sz w:val="18"/>
          <w:szCs w:val="18"/>
          <w:i w:val="1"/>
          <w:iCs w:val="1"/>
          <w:color w:val="auto"/>
        </w:rPr>
        <w:t>Framework for Regulatory Oversight of Laboratory Developed Tests</w:t>
      </w:r>
      <w:r>
        <w:rPr>
          <w:rFonts w:ascii="Arial" w:cs="Arial" w:eastAsia="Arial" w:hAnsi="Arial"/>
          <w:sz w:val="18"/>
          <w:szCs w:val="18"/>
          <w:color w:val="auto"/>
        </w:rPr>
        <w:t xml:space="preserve">, which provided an overview of how the FDA would regulate LDTs through a risk-based approach, and </w:t>
      </w:r>
      <w:r>
        <w:rPr>
          <w:rFonts w:ascii="Arial" w:cs="Arial" w:eastAsia="Arial" w:hAnsi="Arial"/>
          <w:sz w:val="18"/>
          <w:szCs w:val="18"/>
          <w:i w:val="1"/>
          <w:iCs w:val="1"/>
          <w:color w:val="auto"/>
        </w:rPr>
        <w:t>FDA Notification and Medical Device</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for Laboratory Developed Tests</w:t>
      </w:r>
      <w:r>
        <w:rPr>
          <w:rFonts w:ascii="Arial" w:cs="Arial" w:eastAsia="Arial" w:hAnsi="Arial"/>
          <w:sz w:val="18"/>
          <w:szCs w:val="18"/>
          <w:color w:val="auto"/>
        </w:rPr>
        <w:t>, which provided guidance on how the FDA intends to collect information on existing LDTs,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adverse event reports. In the Framework for Regulatory Oversight draft guidance, the FDA asserted that LDT manufacturers would be subject to medical device premarket submission, registration, listing, and adverse event reporting requirements phased in over several years based on which tests posed the highest risk to public health.</w:t>
      </w:r>
    </w:p>
    <w:p>
      <w:pPr>
        <w:spacing w:after="0" w:line="97"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November 18, 2016, however, the FDA announced that it would not release the final guidance and would instead continue to work with stakeholders, the new administration, and Congress to determine the right approach.</w:t>
      </w:r>
    </w:p>
    <w:p>
      <w:pPr>
        <w:spacing w:after="0" w:line="75" w:lineRule="exact"/>
        <w:rPr>
          <w:rFonts w:ascii="Arial" w:cs="Arial" w:eastAsia="Arial" w:hAnsi="Arial"/>
          <w:sz w:val="18"/>
          <w:szCs w:val="18"/>
          <w:color w:val="auto"/>
        </w:rPr>
      </w:pPr>
    </w:p>
    <w:p>
      <w:pPr>
        <w:ind w:left="1000" w:right="220" w:hanging="547"/>
        <w:spacing w:after="0" w:line="259"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January 13, 2017, the FDA released a discussion paper on possible approaches to regulate LDTs in which it described a policy wherein previously marketed LDTs would not be expected to comply with most or all FDA oversight requirements, except for adverse event and malfunction reporting. In addition, certain new and significantly modified LDTs would not be expected to comply with pre-market review unless the agency determines certain tests could lead to patient harm.</w:t>
      </w:r>
    </w:p>
    <w:p>
      <w:pPr>
        <w:spacing w:after="0" w:line="92"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March 2017, the draft Diagnostic Accuracy and Innovation Act (DAIA) was introduced and outlined a regulatory approach for IVCT tests, i.e., IVDs and LDTs, that was risk-based and flexible.</w:t>
      </w:r>
    </w:p>
    <w:p>
      <w:pPr>
        <w:spacing w:after="0" w:line="75"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April 2017, the FDA issued a document describing 20 case studies of LDTs that raised concerns about the safety and efficacy of this category of tests.</w:t>
      </w:r>
    </w:p>
    <w:p>
      <w:pPr>
        <w:spacing w:after="0" w:line="75" w:lineRule="exact"/>
        <w:rPr>
          <w:rFonts w:ascii="Arial" w:cs="Arial" w:eastAsia="Arial" w:hAnsi="Arial"/>
          <w:sz w:val="18"/>
          <w:szCs w:val="18"/>
          <w:color w:val="auto"/>
        </w:rPr>
      </w:pPr>
    </w:p>
    <w:p>
      <w:pPr>
        <w:ind w:left="1000" w:right="340" w:hanging="547"/>
        <w:spacing w:after="0" w:line="263"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August 2018, the FDA responded to the DAIA draft with its own proposal for IVCTs, including PMA, provisional approval, and precertification, in addition to authority to revoke approval, request raw data, and take corrective action against test developers to protect public health.</w:t>
      </w:r>
    </w:p>
    <w:p>
      <w:pPr>
        <w:spacing w:after="0" w:line="89" w:lineRule="exact"/>
        <w:rPr>
          <w:rFonts w:ascii="Arial" w:cs="Arial" w:eastAsia="Arial" w:hAnsi="Arial"/>
          <w:sz w:val="18"/>
          <w:szCs w:val="18"/>
          <w:color w:val="auto"/>
        </w:rPr>
      </w:pPr>
    </w:p>
    <w:p>
      <w:pPr>
        <w:ind w:left="1000" w:right="40" w:hanging="547"/>
        <w:spacing w:after="0" w:line="273"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On October 31, 2018, the FDA issued its Safety Communication entitled “The FDA Warns Against the Use of Many Genetic Tests with Unapproved Claims to Predict Patient Response to Specific Medications” alleging that the agency was “aware” of healthcare providers making “inappropriate changes to a patient’s antidepressant medication based on the results from genetic tests.” Following this Safety Alert, the FDA contacted several laboratories that offered tests that made claims regarding drug responses for specific medications. While most laboratories addressed the FDA’s concerns by removing specific medication names from their labeling, the FDA issued an enforcement letter against a laboratory for making such claims without first undergoing the FDA premarket review.</w:t>
      </w:r>
    </w:p>
    <w:p>
      <w:pPr>
        <w:spacing w:after="0" w:line="83" w:lineRule="exact"/>
        <w:rPr>
          <w:rFonts w:ascii="Arial" w:cs="Arial" w:eastAsia="Arial" w:hAnsi="Arial"/>
          <w:sz w:val="17"/>
          <w:szCs w:val="17"/>
          <w:color w:val="auto"/>
        </w:rPr>
      </w:pPr>
    </w:p>
    <w:p>
      <w:pPr>
        <w:ind w:left="1000" w:right="60" w:hanging="547"/>
        <w:spacing w:after="0" w:line="308"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December 2018, a new draft bill which revised the DAIA and incorporated feedback from the FDA was released. The Verifying Accurate, Leading-edge, IVCT Development (VALID) Act creates a risk-based regulatory framework for IVCT regulation.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320" w:top="459" w:right="3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20" w:hanging="547"/>
        <w:spacing w:after="0" w:line="279" w:lineRule="auto"/>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On April 4, 2019, the FDA issued a warning letter to Inova Genomics Laboratory for its pharmacogenomics tests, i.e., tests that predict medication response, among other things. In this letter, the FDA rebutted Inova’s argument that it believed it was operating within the scope of FDA’s LDT exemption and not subject to the FDA’s premarket review or labeling requirements by noting that the FDA has not created a legal “carve-out” or exemption for LDTs and that it ultimately retains discretion to take action when appropriate.</w:t>
      </w:r>
    </w:p>
    <w:p>
      <w:pPr>
        <w:spacing w:after="0" w:line="76" w:lineRule="exact"/>
        <w:rPr>
          <w:rFonts w:ascii="Arial" w:cs="Arial" w:eastAsia="Arial" w:hAnsi="Arial"/>
          <w:sz w:val="17"/>
          <w:szCs w:val="17"/>
          <w:color w:val="auto"/>
        </w:rPr>
      </w:pPr>
    </w:p>
    <w:p>
      <w:pPr>
        <w:ind w:left="1000" w:hanging="547"/>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March 5, 2020, identical versions of the VALID Act were introduced in both chambers of Congress.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August 19, 2020, HHS announced a new policy determining that FDA must engage in notice-and-comment rulemaking before requiring premarket review of LDTs.</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19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To date, the FDA has not engaged in notice-and-comment rulemaking or released broad-sweeping guidance, but it could choose to do so in the future and if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currently 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are monitoring developments and anticipate that our products will be able to comply with requirements that may be imposed by the FDA. In the meantime, we maintain our CLIA accreditation, which permits the use of LDTs for diagnostics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Emergency Use Authorization</w:t>
      </w:r>
    </w:p>
    <w:p>
      <w:pPr>
        <w:spacing w:after="0" w:line="121" w:lineRule="exact"/>
        <w:rPr>
          <w:sz w:val="20"/>
          <w:szCs w:val="20"/>
          <w:color w:val="auto"/>
        </w:rPr>
      </w:pPr>
    </w:p>
    <w:p>
      <w:pPr>
        <w:ind w:right="440" w:firstLine="449"/>
        <w:spacing w:after="0" w:line="286" w:lineRule="auto"/>
        <w:rPr>
          <w:sz w:val="20"/>
          <w:szCs w:val="20"/>
          <w:color w:val="auto"/>
        </w:rPr>
      </w:pPr>
      <w:r>
        <w:rPr>
          <w:rFonts w:ascii="Arial" w:cs="Arial" w:eastAsia="Arial" w:hAnsi="Arial"/>
          <w:sz w:val="17"/>
          <w:szCs w:val="17"/>
          <w:color w:val="auto"/>
        </w:rPr>
        <w:t>Section 564 of the FDCA allows the FDA to authorize the shipment of drugs, biological products, or medical devices that either lack required approval, licensure, or clearance (unapproved products), or are approved but are to be used for unapproved ways to diagnose, treat, or prevent serious diseases or conditions in the event of an emergency declaration by the HHS Secretary. 21 U.S.C. § 360bbb-3(a)(1)-(2).</w:t>
      </w:r>
    </w:p>
    <w:p>
      <w:pPr>
        <w:spacing w:after="0" w:line="165" w:lineRule="exact"/>
        <w:rPr>
          <w:sz w:val="20"/>
          <w:szCs w:val="20"/>
          <w:color w:val="auto"/>
        </w:rPr>
      </w:pPr>
    </w:p>
    <w:p>
      <w:pPr>
        <w:jc w:val="both"/>
        <w:ind w:right="520" w:firstLine="449"/>
        <w:spacing w:after="0" w:line="263" w:lineRule="auto"/>
        <w:rPr>
          <w:sz w:val="20"/>
          <w:szCs w:val="20"/>
          <w:color w:val="auto"/>
        </w:rPr>
      </w:pPr>
      <w:r>
        <w:rPr>
          <w:rFonts w:ascii="Arial" w:cs="Arial" w:eastAsia="Arial" w:hAnsi="Arial"/>
          <w:sz w:val="18"/>
          <w:szCs w:val="18"/>
          <w:color w:val="auto"/>
        </w:rPr>
        <w:t>On February 4, 2020, HHS Secretary Alex M. Azar II declared a public health emergency for COVID-19, under 21 U.S.C. § 360bbb-3(b)(1), justifying the authorization of emergency use of IVDs for detection and/or diagnosis of COVID-19. This determination was published in the Federal Register on February 7, 2020. 85 Fed. Reg. 7316 (Feb. 7, 2020).</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While this emergency declaration is effective, the FDA may authorize the use of an unapproved product or an unapproved use of an approved product if it concludes that:</w:t>
      </w:r>
    </w:p>
    <w:p>
      <w:pPr>
        <w:spacing w:after="0" w:line="76" w:lineRule="exact"/>
        <w:rPr>
          <w:sz w:val="20"/>
          <w:szCs w:val="20"/>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agent referred to in the emergency declaration could cause a serious or life-threatening disease or condition;</w:t>
      </w:r>
    </w:p>
    <w:p>
      <w:pPr>
        <w:spacing w:after="0" w:line="130" w:lineRule="exact"/>
        <w:rPr>
          <w:rFonts w:ascii="Arial" w:cs="Arial" w:eastAsia="Arial" w:hAnsi="Arial"/>
          <w:sz w:val="18"/>
          <w:szCs w:val="18"/>
          <w:color w:val="auto"/>
        </w:rPr>
      </w:pPr>
    </w:p>
    <w:p>
      <w:pPr>
        <w:ind w:left="1000" w:right="360" w:hanging="547"/>
        <w:spacing w:after="0" w:line="308"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it is reasonable to believe that the authorized product may be effective in diagnosing, treating, or preventing that disease or condition or a serious or life-threatening disease or condition caused by an approved product or a product marketed under an EUA;</w:t>
      </w:r>
    </w:p>
    <w:p>
      <w:pPr>
        <w:spacing w:after="0" w:line="51" w:lineRule="exact"/>
        <w:rPr>
          <w:rFonts w:ascii="Arial" w:cs="Arial" w:eastAsia="Arial" w:hAnsi="Arial"/>
          <w:sz w:val="17"/>
          <w:szCs w:val="17"/>
          <w:color w:val="auto"/>
        </w:rPr>
      </w:pPr>
    </w:p>
    <w:p>
      <w:pPr>
        <w:ind w:left="1000" w:right="420" w:hanging="547"/>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known and potential benefits of the authorized product, when used for that disease or condition, outweigh known and potential risks, taking into consideration the material threat of agents identified in the emergency declaration;</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is no adequate, approved, and available alternative to the authorized product for diagnosing, preventing, or treating the relevant disease or condition;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any other criteria prescribed by the FDA is satisfied. </w:t>
      </w:r>
      <w:r>
        <w:rPr>
          <w:rFonts w:ascii="Arial" w:cs="Arial" w:eastAsia="Arial" w:hAnsi="Arial"/>
          <w:sz w:val="18"/>
          <w:szCs w:val="18"/>
          <w:i w:val="1"/>
          <w:iCs w:val="1"/>
          <w:color w:val="auto"/>
        </w:rPr>
        <w:t>Id.</w:t>
      </w:r>
      <w:r>
        <w:rPr>
          <w:rFonts w:ascii="Arial" w:cs="Arial" w:eastAsia="Arial" w:hAnsi="Arial"/>
          <w:sz w:val="18"/>
          <w:szCs w:val="18"/>
          <w:color w:val="auto"/>
        </w:rPr>
        <w:t xml:space="preserve"> § 360bbb-3(c).</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Bio-Rad SARS-CoV-2 ddPCR test and the Platelia SARS-CoV-2 Total Ab test have been granted FDA EUA pursuant to the current emergency declaration. We have completed all required performance verification studies to validate the use of the tests in our laboratories in accordance with the FDA Policy for Coronavirus Disease-2019 Tests During the Public Health Emergency, CAP and New York State Clinical Laboratory Standards of Practice (NYS CLEP) requirements. The FDA Policy for COVID-19 Tests is a guidance document that explains the FDA’s current thinking on the topic, is subject to change, and does not establish any legally enforceable responsibilities. As stated in the FDA’s Policy for COVID-19, the FDA does not expect a separate notification or EUA request from laboratories that are performing testing using EUA-authorized test kits purchased from commercial manufacturers or their distributors. According to the FDA Policy for COVID-19 Tests, a laboratory may make certain modifications to an EUA-authorized test if the modified test is validated using a bridging study without submitting an EUA amendment or formal notification. A laboratory may modify an EUA authorized test for use of a new specimen through a bridging study when the new specimen type has been previously authorized for another test of the same technology without submitting an EUA amendment or formal notification.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Laboratory Licensing Requirements</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Biodesix Boulder, Colorado clinical laboratory is a CAP-accredited clinical laboratory regulated by CMS pursuant to CLIA. CMS has granted CAP deeming authority under CLIA, which allows CAP to inspect laboratories in lieu of CMS. The CAP accreditation program involves unannounced on-site inspections of our laboratories. In addition to holding a CLIA Certificate and CAP laboratory accreditation, Biodesix’s Quality Management System (QMS) holds an ISO 13485:2016 certificate. The Biodesix Boulder, Colorado clinical laboratory has received approval from NYSDOH, NYS CLEP in Soluble Tumor Markers and Molecular, Cellular Tumor Markers as well as holding state permits and licenses in California, Maryland, New York, Pennsylvania, and Rhode Island.</w:t>
      </w:r>
    </w:p>
    <w:p>
      <w:pPr>
        <w:spacing w:after="0" w:line="192"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is inspected biennially as part of its ongoing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certification under CLIA certificate of accreditation by CAP. The Boulder, Colorado clinical laboratory most recently passed its CAP inspection in February 2019.</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Biodesix De Soto, Kansas clinical laboratory is a COLA-accredited clinical laboratory regulated by CMS pursuant to CLIA. COLA Inc. (COLA) was founded in 1988 as a private alternative to help laboratories stay in compliance with CLIA. In 1993, the Health Care Financing Administration (now CMS) granted COLA deeming authority under CLIA, and in 1997 The Joint Commission also recognized COLA Inc.’s laboratory accreditation program. The De Soto, Kansas clinical laboratory is inspected biennially by COLA. The De Soto, Kansas clinical laboratory most recently passed inspection in August 2019. The De Soto, Kansas clinical laboratory also holds state permits and licenses in California, Maryland, New York, Pennsylvania, and Rhode Island.</w:t>
      </w:r>
    </w:p>
    <w:p>
      <w:pPr>
        <w:spacing w:after="0" w:line="19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The FDA recently proposed a rule to harmonize and modernize its QSR, which would supplant the existing requirements with ISO 13485:2016. In March 2020, we passed an ISO 13485:2016 inspection.</w:t>
      </w:r>
    </w:p>
    <w:p>
      <w:pPr>
        <w:spacing w:after="0" w:line="192"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64"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 Because our Boulder,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Boulder, Colorado and De Soto, Kansas laboratories with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49"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12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Our Boulder, Colorado and De Soto, Kansas laboratories are certified and adhere to the NYS CLEP, based on New York State Public Health Law, Article 5 Title 5. NYS CLEP is exempt from CLIA and establishes their own method of laboratory certification and assay validation approval. To process NYS patient specimens a laboratory must submit a robust analytical and clinical validation package to demonstrate clinical utility of the test and receive approval prior to offing the test in the state of New York. Our GeneStrat and VeriStrat tests have received NYS CLEP approval. NYS CLEP requires semi-annual inspections to ensure the laboratory meets all general and specialty standards. Biodesix passed NYS CLEP inspection in May 2019 and is currently scheduled for a routine re-inspection in May 2021. Although delays related to NYS CLEP’s COVID-19 response resulted in the department’s inability to complete the review of our Boulder, Colorado and De Soto, Kansas laboratories prior to the permit expiration date, the current permit expiration dates have been extended until NYS CLEP has made a final determination of the application.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framework for medical devices in the United States</w:t>
      </w:r>
    </w:p>
    <w:p>
      <w:pPr>
        <w:spacing w:after="0" w:line="121"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Medical devices are subject to extensive regulation in the United States and elsewhere, including by the FDA and its foreign counterparts.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regulations specific to medical devices are wide ranging and govern, among other things:</w:t>
      </w:r>
    </w:p>
    <w:p>
      <w:pPr>
        <w:spacing w:after="0" w:line="116" w:lineRule="exact"/>
        <w:rPr>
          <w:sz w:val="20"/>
          <w:szCs w:val="20"/>
          <w:color w:val="auto"/>
        </w:rPr>
      </w:pPr>
    </w:p>
    <w:p>
      <w:pPr>
        <w:ind w:left="1000" w:hanging="547"/>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Device classification</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188" w:lineRule="exact"/>
        <w:rPr>
          <w:sz w:val="20"/>
          <w:szCs w:val="20"/>
          <w:color w:val="auto"/>
        </w:rPr>
      </w:pPr>
    </w:p>
    <w:p>
      <w:pPr>
        <w:ind w:right="320" w:firstLine="449"/>
        <w:spacing w:after="0" w:line="301" w:lineRule="auto"/>
        <w:rPr>
          <w:sz w:val="20"/>
          <w:szCs w:val="20"/>
          <w:color w:val="auto"/>
        </w:rPr>
      </w:pPr>
      <w:r>
        <w:rPr>
          <w:rFonts w:ascii="Arial" w:cs="Arial" w:eastAsia="Arial" w:hAnsi="Arial"/>
          <w:sz w:val="16"/>
          <w:szCs w:val="16"/>
          <w:color w:val="auto"/>
        </w:rPr>
        <w:t>Class II devices are subject to the General Controls as well as any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15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Premarket submission process</w:t>
      </w:r>
    </w:p>
    <w:p>
      <w:pPr>
        <w:spacing w:after="0" w:line="121"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PMA; or (3) de novo classification and authorization. These processes can be resource intensive, expensive, and lengthy, and require payment of significant user fees.</w:t>
      </w:r>
    </w:p>
    <w:p>
      <w:pPr>
        <w:spacing w:after="0" w:line="171"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166" w:lineRule="exact"/>
        <w:rPr>
          <w:sz w:val="20"/>
          <w:szCs w:val="20"/>
          <w:color w:val="auto"/>
        </w:rPr>
      </w:pPr>
    </w:p>
    <w:p>
      <w:pPr>
        <w:ind w:right="280" w:firstLine="449"/>
        <w:spacing w:after="0" w:line="311" w:lineRule="auto"/>
        <w:rPr>
          <w:sz w:val="20"/>
          <w:szCs w:val="20"/>
          <w:color w:val="auto"/>
        </w:rPr>
      </w:pPr>
      <w:r>
        <w:rPr>
          <w:rFonts w:ascii="Arial" w:cs="Arial" w:eastAsia="Arial" w:hAnsi="Arial"/>
          <w:sz w:val="16"/>
          <w:szCs w:val="16"/>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18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8"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149"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Prior to approval of a PMA, the FDA may conduct inspections of any clinical trial data and clinical trial sites, as well as inspections of any manufacturing facility and processes. The FDA’s review of a PMA application generally takes between one and three years, but may take significantly longer.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192"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16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8"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Alternatively, the FDA also allows the submission of a direct de novo petition. This procedure allows a manufacturer whose novel device is automatically classified into Class III to request down-classification of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medical device into Class I or Class II on the basis that the device presents low or moderate risk, rather than requiring the submission and approval of a PMA application. Prior to the enactment of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188"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The 510(k), de-novo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Companion Diagnostics and the Premarket Process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195"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Post-Market FDA Regulation</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Fraud and Abuse Laws</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184"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AKS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188"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EKRA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 party payers. EKRA includes a number of statutory exceptions that provide protection from EKRA liability if the applicable requirements are met.</w:t>
      </w:r>
    </w:p>
    <w:p>
      <w:pPr>
        <w:spacing w:after="0" w:line="15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Stark Law generally prohibits, among other things, clinical laboratories and other so-called “designated health services” entities from billing Medicare for any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188"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The FCA imposes civil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of $11,665 to $23,331 per false claim or statement for penalties assessed after June 19, 2020, with respect to violations occurring after November 2, 2015.</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8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18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187"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w:t>
      </w:r>
    </w:p>
    <w:p>
      <w:pPr>
        <w:spacing w:after="0" w:line="12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FCPA and similar international bribery laws make it unlawful for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 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Protection Laws</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Numerous federal and state laws and regulations, including HIPAA, as amended by the HITECH, govern the collection, dissemination, security, use and confidentiality of protected health information (PHI) and personal information. In the course of performing our business we obtain personal information, including PHI. Laws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9" w:right="3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regulations relating to privacy, data protection, and consumer protection are evolving and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we are at times either a CE or a BA, as defined by HIPAA. Our subcontractors that create, receive, maintain, transmit or otherwise process PHI on our behalf are HIPAA BAs and must also comply with HIPAA, as applicable.</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HIPAA and HITECH include the privacy and security rules, breach notification requirements and electronic transaction standards. The privacy rule governs the use and disclosure of PHI by CEs and BAs. The privacy rule generally prohibits the use or disclosure of PHI except as permitted under the rule. The rule also sets forth individual patient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HITECH’s breach notification rule, a CE must notify individuals, the Secretary of HHS, and in some circumstances, the media of certain breaches of unsecured PHI or ePHI.</w:t>
      </w:r>
    </w:p>
    <w:p>
      <w:pPr>
        <w:spacing w:after="0" w:line="19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Penalties for failure to comply with a requirement of HIPAA and HITECH vary depending on the number and nature of the violations, but can be significant and include civil monetary or criminal penalties. HIPAA is enforced by the Department of Health and Human Services, Office of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the misuse or breach of PHI. In addition, HIPAA mandates that the Secretary of HHS conduct periodic compliance audits of HIPAA CEs, such as us, and their BAs for compliance with the HIPAA privacy and security standards. It also tasks HHS with establishing a methodology whereby harmed individuals who were the victims of breaches of unsecured PHI may receive a percentage of the civil monetary penalty paid by the violator.</w:t>
      </w:r>
    </w:p>
    <w:p>
      <w:pPr>
        <w:spacing w:after="0" w:line="16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State laws may be more stringent, broader in scope or offer greater individual rights with respect to PHI than HIPAA, and state laws may differ from each other, which may complicate compliance efforts. For instance, the CCPA became effective on January 1, 2020.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a new California ballot initiative, the California Privacy Rights Act (CPRA), has garnered enough signatures to be included on the November 2020 ballot in California. If voted into law by California residents, the CPRA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and if passed, such laws may have potentially conflicting requirements that could continue to make compliance challenging and costly.</w:t>
      </w:r>
    </w:p>
    <w:p>
      <w:pPr>
        <w:spacing w:after="0" w:line="22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8" w:lineRule="exact"/>
        <w:rPr>
          <w:sz w:val="20"/>
          <w:szCs w:val="20"/>
          <w:color w:val="auto"/>
        </w:rPr>
      </w:pPr>
    </w:p>
    <w:p>
      <w:pPr>
        <w:ind w:right="120" w:firstLine="449"/>
        <w:spacing w:after="0" w:line="286" w:lineRule="auto"/>
        <w:rPr>
          <w:sz w:val="20"/>
          <w:szCs w:val="20"/>
          <w:color w:val="auto"/>
        </w:rPr>
      </w:pPr>
      <w:r>
        <w:rPr>
          <w:rFonts w:ascii="Arial" w:cs="Arial" w:eastAsia="Arial" w:hAnsi="Arial"/>
          <w:sz w:val="16"/>
          <w:szCs w:val="16"/>
          <w:color w:val="auto"/>
        </w:rPr>
        <w:t>We may also be subject to laws and regulations in foreign countries covering data privacy and other protection of health and employee information that may add additional compliance burden and complexity. For example, in the EEA and the United Kingdom, the collection and use of personal data is governed by the GDPR.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data protection authorities may interpret the GDPR and national laws differently and impose additional requirements, which adds to the complexity of processing personal data in or from the EEA or United Kingdom. Guidance on implementation and compliance practices are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2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or sensitive trade secrets or other proprietary information. Any wrongful use or disclosure of PHI, other personal information, trade secrets or other proprietary information by us or our third-party service providers could subject us to regulatory fines or penalties, third 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 Moreover, data security incidents or data breaches, as well as attacks on our IT systems, could result in operational disruptions or data loss or corruption that could adversely impact our business and operations, result in substantial investment of resources to investigate, recover and remediate and subject us to heightened regulatory scrutiny.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459"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Regulations</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92"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8" w:lineRule="exact"/>
        <w:rPr>
          <w:sz w:val="20"/>
          <w:szCs w:val="20"/>
          <w:color w:val="auto"/>
        </w:rPr>
      </w:pPr>
    </w:p>
    <w:p>
      <w:pPr>
        <w:ind w:right="260" w:firstLine="449"/>
        <w:spacing w:after="0" w:line="275" w:lineRule="auto"/>
        <w:rPr>
          <w:sz w:val="20"/>
          <w:szCs w:val="20"/>
          <w:color w:val="auto"/>
        </w:rPr>
      </w:pPr>
      <w:r>
        <w:rPr>
          <w:rFonts w:ascii="Arial" w:cs="Arial" w:eastAsia="Arial" w:hAnsi="Arial"/>
          <w:sz w:val="17"/>
          <w:szCs w:val="17"/>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r>
        <w:rPr>
          <w:rFonts w:ascii="Arial" w:cs="Arial" w:eastAsia="Arial" w:hAnsi="Arial"/>
          <w:sz w:val="17"/>
          <w:szCs w:val="17"/>
          <w:b w:val="1"/>
          <w:bCs w:val="1"/>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In March 2010, the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76"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The Trump administration and Congress have, and we expect they will continue to, seek to modify, repeal, or otherwise invalidate all, or certain provisions of, the ACA. Since January 2017, the Trump administration has issued three executive orders and other directives designed to delay the implementation of certain provisions of the ACA or otherwise circumvent some of the requirements for health insurance mandated by the ACA. For example, on January 22, 2018, the Trump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Concurrently, Congress has considered legislation that would repeal or repeal and replace all or part of the ACA. While Congress has not passed comprehensive repeal legislation, two bills affecting the implementation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taxes under the ACA have been signed into law. The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unconstitutional. The United States Supreme Court granted certiorari on March 2, 2020, and the case is expected to be decided in 2021.</w:t>
      </w:r>
    </w:p>
    <w:p>
      <w:pPr>
        <w:spacing w:after="0" w:line="19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cut through FY 2030 to offset the cost of such temporary suspension. The American Taxpayer Relief Act of 2012 made other changes, including reduced Medicare payments to several types of providers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Regulations</w:t>
      </w:r>
    </w:p>
    <w:p>
      <w:pPr>
        <w:spacing w:after="0" w:line="121"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hazardous materials and wastes and worker health and safety. Our operations involve the generation, use, storage and disposal of hazardous materials, and the risk of injury, contamination or non-compliance with environmental, health and safety laws and regulations or permitting or licensing requirements cannot be eliminated. In particular, the introduction of our Bio-Rad SARS-CoV-2 ddPCR and Platelia SARS-CoV-2 Total Ab tests requires that we maintain compliance with applicable and evolving federal and state laws and regulations relating to COVID-19, including the generation, use, storage, and disposal of testing materials and agents. Compliance with environmental laws and regulations has not had a material effect on our capital expenditures, earning or competitive position.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Integrated Diagnostics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On June 30, 2018, we purchased select assets and liabilities from Integrated Diagnostics, Inc. and IND Funding, LLC (collectively, the Seller) which included CLIA lab in Seattle, Washington and all rights to the Nodify XL2 test and the intellectual property related to that test. The purchase was made for total consideration of $27.6 million, consisting of $8.0 million (10,649,604 shares) of our Company’s Series G Preferred Stock and contingent consideration with an initial fair market value of $19.6 million.</w:t>
      </w:r>
    </w:p>
    <w:p>
      <w:pPr>
        <w:spacing w:after="0" w:line="18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acquisition of Integrated Diagnostics included a contingent consideration arrangement that requires additional consideration to be paid by us to the Seller based on the Milestone of the attainment of a three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9" w:right="3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consecutive month gross margin target of $2 million within a seven-year period. The amount can be payable in stock or cash at our and the Seller’s option. The total amount of undiscounted contingent consideration which we may be required to pay under the arrangement is $37.0 million. For the 6 months following the achievement of the Milestone, the Seller has the option to require us to pay the contingent consideration in cash over 8 equal installments due each calendar quarter. If the Seller elects not to exercise this option, have 12 months to either settle the contingent consideration in two equal quarterly cash installments or in 14,959,114 of Series G Preferred Stock. As of June 30, 2020, we have not made any payments in connection with the contingent consideration.</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Oncimmune USA</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On October 31, 2019, we completed an acquisition of United Kingdom-based Oncimmune’s United States operations including its CLIA clinical laboratory in De Soto, Kansas and its IPN malignancy test, then marketed in the United States as the EarlyCDT-Lung. We renamed the test and relaunched the test on February 28, 2020 as the Nodify CDT test and the De Soto, Kansas clinical laboratory will be the sole United States provider of the Nodify CDT test.</w:t>
      </w:r>
    </w:p>
    <w:p>
      <w:pPr>
        <w:spacing w:after="0" w:line="18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As part of the acquisition, we and Oncimmune entered into several agreements to govern the relationship between the parties and to allow us to provide the Nodify CDT test. The overarching umbrella PCA defines the general relationship between the parties. Included under the PCA was (a) an asset purchase agreement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w:t>
      </w:r>
    </w:p>
    <w:p>
      <w:pPr>
        <w:spacing w:after="0" w:line="166"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As consideration for the rights granted to us, we agreed to payments of $1.2 million and further agreed to an option fee for the screening option of $9 million due within 30 days of exercising the option. We also agreed to a revenue share payment of 8% of recognized revenue for non-screening tests up to an annual minimum volume and 5% thereafter, with an escalating minimum through the first four years of sales. The minimum sales volumes will be adjusted upwards in the event we exercise the screening option. Royalty payments of $0.1 million were paid for the six months ended June 30, 2020. As of June 30, 2020, we have paid $1.0 million of the agreed upon payments. In July 2020, we paid the remaining $0.2 million. In September 2020, we notified Oncimmune that we would not exercise this option for expansion of the field of use.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Agreements with Bio-Rad</w:t>
      </w:r>
    </w:p>
    <w:p>
      <w:pPr>
        <w:spacing w:after="0" w:line="117"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In August 2019, we entered into the Bio-Rad License. Bio-Rad is a key supplier of equipment and reagents used to perform ddPCR testing—a service offered by us under a fee for service agreement—and the core technology powering the GeneStrat and COVID ddPCR tests.</w:t>
      </w:r>
    </w:p>
    <w:p>
      <w:pPr>
        <w:spacing w:after="0" w:line="124"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Under the terms of the Bio-Rad License, we received a non-exclusive license, without the right to grant sublicenses, to utilize certain of Bio-Rad’s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pursuant to a separately executed supply agreement with Bio-Rad. As further consideration for the non-exclusive license, we agreed to pay a royalty of 2.5% on the net revenue received for the performance of such ddPCR testing collected from third parties.</w:t>
      </w:r>
    </w:p>
    <w:p>
      <w:pPr>
        <w:spacing w:after="0" w:line="176"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 Bio-Rad License expires in August 2024. Either party may terminate for the other’s uncured material breach or bankruptcy events. Bio-Rad may terminate the Bio-Rad License if we do not purchase licensed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9" w:right="3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products under the separate supply agreement for a consecutive twelve month period or for any material breach by us of the supply agreement.</w:t>
      </w:r>
    </w:p>
    <w:p>
      <w:pPr>
        <w:spacing w:after="0" w:line="23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March 2020, we entered into a Material Transfer Agreement, which was amended in April 2020, with Bio-Rad for the purpose of collaborating to submit for an EUA for Bio-Rad’s SARS-CoV-2 ddPCR test pursuant to which Biodesix was granted a non-exclusive license, without the right to grant sublicenses, to use certain testing materials provided by Bio-Rad, including reagents and assays, for such purpose. The intent of the agreement was for Biodesix to create, validate and file Bio-Rad’s SARS-CoV-2 ddPCR assay for EUA with the FDA specifically for use in our laboratory in Colorado. Additionally, under the agreement, Bio-Rad agreed to file a kit manufacturer SARS-CoV-2 EUA with the FDA for broad distribution in the U.S. Additionally, under the agreement, we performed feasibility, verification and validation studies, including developing software for process automation, sample accessioning, data management and reporting, all required to demonstrate that the test operated as claimed by the manufacturer, and further, to validate the test as required by our certifying regulatory agencies for high complexity laboratory testing. As part of the validation effort, we agreed to supply the ddPCR testing equipment, trained laboratory personnel, extraction kits and process testing, patient samples and full access to all resulting data for use in joint publications and purposes. We entered into an amendment to include additional materials that Bio-Rad had the option to purchase from us, including nasopharyngeal swab samples and other reagents necessary for the validation efforts. In a separate letter from Bio-Rad, we were additionally granted permission by Bio-Rad to use the Bio-Rad SARS-CoV-2 ddPCR assay for commercial diagnostic services.</w:t>
      </w:r>
    </w:p>
    <w:p>
      <w:pPr>
        <w:spacing w:after="0" w:line="16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April 2020, we entered into a second Material Transfer Agreement with respect to Bio-Rad’s Platelia SARS-CoV-2 Total Ab assay for the purpose of evaluating the performance of such assay pursuant to which Biodesix was granted a non-exclusive license to use such assays provided by Bio-Rad for such purpose. In a separate letter from Bio-Rad, we were also granted permission by Bio-Rad to use the Platelia SARS-CoV-2 Total Ab assay for commercial diagnostic services.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February 2018, we entered into an agreement with Innovatus Life Sciences Lending Fund to refinance long-term debt carried over from earlier loan agreements. The initial amount borrowed under the 2018 Notes was $23 million and the maturity date is February 2023. We are required to make quarterly interest payments that began in June 2018 and outstanding principal is due in 24 equal installments commencing in March 2021. The agreement has been amended multiple times to adjust terms to account for our acquisitions and growth.</w:t>
      </w:r>
    </w:p>
    <w:p>
      <w:pPr>
        <w:spacing w:after="0" w:line="187"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The loan may be prepaid by us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w:t>
      </w:r>
    </w:p>
    <w:p>
      <w:pPr>
        <w:spacing w:after="0" w:line="16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2018 Notes contain customary affirmative and negative covenants for a loan, requires us to comply with a minimum daily liquidity covenant, and has a rolling monthly revenue requirement. Failure to comply with the covenants and loan requirements may result in early amortization of the loan in a 24 or 36-month payment schedule. Further, we granted the lender a security interest in all of our assets through a pledge and security agreement, patent security agreement and trademark security agreement, each between us and the lender.</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Drug Co-Development</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April 2014, we and AVEO entered into a Co-Development and Collaboration Agreement (AVEO Agreement) whereby the two parties agreed to co-develop AVEO’s compound ficlatuzumab and our VeriStrat test. Under the AVEO Agreement, we agreed to use commercially reasonable efforts to continue to develop the VeriStrat test and obtain regulatory approval for VeriStrat as a companion diagnostic for ficlatuzumab in certain major markets. We agreed with AVEO to agree on a development plan for ficlatuzumab and VeriStrat.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320" w:top="459" w:right="3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Under the AVEO Agreement, we agreed to co-develop their clinical trial asset, ficlatuzumab (HGF-inhibitor), along with our proteomic test, BDX004 (a variant of our VeriStrat test), a test that identifies a subgroup of individuals who derive the most benefit from this drug. In collaboration with AVEO, we reported early clinical data on ficlatuzumab in head and neck cancer, acute myeloid leukemia, and pancreatic cancer. Most recently, we announced data from our phase 1b study in pancreatic cancer, a challenging disease to treat, that demonstrated encouraging responses that support the further assessment of the drug. We believe BDX004 could help differentiate patient benefit to ficlatuzumab across multiple indications and support decision making in therapeutic selection.</w:t>
      </w:r>
    </w:p>
    <w:p>
      <w:pPr>
        <w:spacing w:after="0" w:line="192"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As part of the AVEO Agreement, we granted AVEO a perpetual, non-exclusive, royalty-free license to certain background intellectual property related to VeriStrat, our interest in joint inventions developed under the AVEO Agreement and certain diagnostic data to develop, manufacture, seek regulatory approval for and commercialize ficlatuzumab and certain IVD devices for use in connection with ficlatuzumab. AVEO granted us a perpetual, non-exclusive, royalty-free license to certain background intellectual property related to ficlatuzumab, their interest in joint inventions developed under the AVEO Agreement and certain clinical data and biomarker data to develop, manufacture and commercialize VeriStrat and certain IVD devices other than VeriStrat. We solely own inventions relating to VeriStrat (excluding ficlatuzumab) and AVEO solely owns inventions relating to ficlatuzumab (excluding VeriStrat), and we jointly own all other inventions under the AVEO Agreement.</w:t>
      </w:r>
    </w:p>
    <w:p>
      <w:pPr>
        <w:spacing w:after="0" w:line="177"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As consideration for the licenses under the AVEO Agreement, we agreed to reimburse AVEO for $15 million of certain ficlatuzumab clinical development costs. Additionally, we agreed to pay half of AVEO’s clinical development costs above that $15 million cap. Unless we or AVEO exercises our right to opt-out of the co-development, we equally share in any income received from licensing rights to ficlatuzumab to any third parties. If either party exercises the right to opt-out prior to the first commercial sale of ficlatuzumab, the party that opts out will receive 25% of any such income. In September 2020, we exercised our opt-out right for the payment of half of the development and regulatory costs for ficlatuzumab. This opt-out is effective as of December 2, 2020 with remaining obligations estimated to be $0.3 million. Following the effective date, we will be entitled to a 10% royalty of net sales of ficlatuzumab and 25% of license income generated from the licensing of ficlatuzumab.</w:t>
      </w:r>
    </w:p>
    <w:p>
      <w:pPr>
        <w:spacing w:after="0" w:line="17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In any event, we and AVEO agreed to negotiate a definitive commercialization agreement for ficlatuzumab in good faith upon results of a clinical trial for ficlatuzumab, pursuant to which AVEO would be the lead commercialization party. Such commercialization agreement would allocate commercialization responsibilities, provide decision-making processes, and include other terms related to the commercialization of ficlatuzumab. The AVEO Agreement provides that under such commercialization agreement, we would share all profits and losses from the commercialization of ficlatuzumab, except that each party would have the option to opt-out of commercialization activities and we would be entitled to receive a low single-digit royalty of net sales of ficlatuzumab made by AVEO. The AVEO Agreement also sets forth certain key provisions to be included in the definitive commercialization agreement. We and AVEO agreed that under such commercialization agreement, we would share all profits and losses from the commercialization of ficlatuzumab, except that each party would have the option to opt-out of commercialization activities and instead receive a low single-digit royalty of net sales of ficlatuzumab made by the other party.</w:t>
      </w:r>
    </w:p>
    <w:p>
      <w:pPr>
        <w:spacing w:after="0" w:line="181"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AVEO Agreement continues in force until terminated by either party for the other’s uncured material breach or bankruptcy events, or as terminated under the terms of the commercialization agreement. If we terminate the AVEO Agreement for anything other than a breach by AVEO that prevents or irreparably disrupts certain clinical activities, AVEO will be deemed to have exercised its opt-out rights and will receive 25% of any income received by us for licenses under ficlatuzumab to third parties. If we terminate for a breach by AVEO that prevents or irreparably disrupts certain clinical activities, AVEO will instead receive 12.5% of any such income.</w:t>
      </w:r>
    </w:p>
    <w:p>
      <w:pPr>
        <w:spacing w:after="0" w:line="188"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October 2016 we and AVEO amended the AVEO Agreement to deem our obligation to cover initial pre-clinical costs satisfied in exchange for a one-time payment of all applicable development costs incurred to that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date, and to provide that we and AVEO would share development costs. Under the amended terms, we agreed to allow AVEO to recapture these costs that it otherwise would not have been responsible for sharing, from any royalties or revenues eventually derived under the AVEO Agreement.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Ficlatuzumab is currently being evaluated in SCCHN, PDAC, and AML.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As of June 30, 2020, we had 154 full time employees, 43 of whom were engaged in development activities, and 38 of whom were engaged in general and administrative functions. Our employees are primarily located in Boulder, Colorado, with additional employees located in De Soto, Kansas and remotely across the country. None of our employees are represented by any collective bargaining agreements. We believe that we maintain good relations with our employees.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occupy approximately 29,722 square feet of office and laboratory space in Boulder, Colorado under a lease that ends on January 14, 2023. We also occupy 9,066 square feet of office and laboratory space in De Soto, Kansas under a lease that ends on October 31, 2020. A portion of our employees are located outside of Colorado and Kansas, and others work from home. We believe our existing facilities meet our current needs. We will need additional office space in the future as we continue to build our development, commercial and support teams. We believe we can find suitable additional space in the future on commercially reasonable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may from time to time be involved in various legal proceedings and other matters arising in the normal course of business. For example, we have received, and may in the future continue to, receive letters, claims or complaints from others alleging false advertising, patent infringement, violation of employment practices and trademark infringement. We have also instituted, and may in the future institute additional, legal proceedings to enforce our rights and seek remedies, such as monetary damages, injunctive relief and declaratory relief. We cannot predict the results of any such disputes, and despite the potential outcomes, the existence thereof may have an adverse material impact on us because of diversion of management time and attention as well as the financial costs related to resolving such disputes.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459" w:right="3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following table sets forth information concerning certain individuals, including their ages as of June 30, 2020, who are expected to serve as our directors and executive officers upon completion of this offering.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80" w:type="dxa"/>
            <w:vAlign w:val="bottom"/>
          </w:tcPr>
          <w:p>
            <w:pPr>
              <w:spacing w:after="0"/>
              <w:rPr>
                <w:sz w:val="16"/>
                <w:szCs w:val="16"/>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3700" w:type="dxa"/>
            <w:vAlign w:val="bottom"/>
          </w:tcPr>
          <w:p>
            <w:pPr>
              <w:spacing w:after="0"/>
              <w:rPr>
                <w:sz w:val="16"/>
                <w:szCs w:val="16"/>
                <w:color w:val="auto"/>
              </w:rPr>
            </w:pPr>
          </w:p>
        </w:tc>
      </w:tr>
      <w:tr>
        <w:trPr>
          <w:trHeight w:val="257"/>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3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700" w:type="dxa"/>
            <w:vAlign w:val="bottom"/>
          </w:tcPr>
          <w:p>
            <w:pPr>
              <w:spacing w:after="0"/>
              <w:rPr>
                <w:sz w:val="22"/>
                <w:szCs w:val="22"/>
                <w:color w:val="auto"/>
              </w:rPr>
            </w:pP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Robin Harper Cowie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Kieran O’Kane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Commercial Officer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Robert Georgantas III,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w w:val="88"/>
              </w:rPr>
              <w:t>Senior Vice President, Research and Translational Science</w:t>
            </w:r>
          </w:p>
        </w:tc>
      </w:tr>
      <w:tr>
        <w:trPr>
          <w:trHeight w:val="284"/>
        </w:trPr>
        <w:tc>
          <w:tcPr>
            <w:tcW w:w="4360" w:type="dxa"/>
            <w:vAlign w:val="bottom"/>
            <w:gridSpan w:val="2"/>
          </w:tcPr>
          <w:p>
            <w:pPr>
              <w:spacing w:after="0"/>
              <w:rPr>
                <w:sz w:val="20"/>
                <w:szCs w:val="20"/>
                <w:color w:val="auto"/>
              </w:rPr>
            </w:pPr>
            <w:r>
              <w:rPr>
                <w:rFonts w:ascii="Arial" w:cs="Arial" w:eastAsia="Arial" w:hAnsi="Arial"/>
                <w:sz w:val="18"/>
                <w:szCs w:val="18"/>
                <w:color w:val="auto"/>
              </w:rPr>
              <w:t>Gary Pestano,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Chief Development Officer</w:t>
            </w: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84"/>
        </w:trPr>
        <w:tc>
          <w:tcPr>
            <w:tcW w:w="436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Chairman and 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Jean Franchi</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Hany Massarany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97"/>
        </w:trPr>
        <w:tc>
          <w:tcPr>
            <w:tcW w:w="4360" w:type="dxa"/>
            <w:vAlign w:val="bottom"/>
            <w:gridSpan w:val="2"/>
          </w:tcPr>
          <w:p>
            <w:pPr>
              <w:spacing w:after="0"/>
              <w:rPr>
                <w:sz w:val="20"/>
                <w:szCs w:val="20"/>
                <w:color w:val="auto"/>
              </w:rPr>
            </w:pPr>
            <w:r>
              <w:rPr>
                <w:rFonts w:ascii="Arial" w:cs="Arial" w:eastAsia="Arial" w:hAnsi="Arial"/>
                <w:sz w:val="18"/>
                <w:szCs w:val="18"/>
                <w:color w:val="auto"/>
              </w:rPr>
              <w:t>Jack Schuler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79</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3"/>
        </w:trPr>
        <w:tc>
          <w:tcPr>
            <w:tcW w:w="436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60" w:type="dxa"/>
            <w:vAlign w:val="bottom"/>
            <w:gridSpan w:val="2"/>
          </w:tcPr>
          <w:p>
            <w:pPr>
              <w:spacing w:after="0"/>
              <w:rPr>
                <w:sz w:val="20"/>
                <w:szCs w:val="20"/>
                <w:color w:val="auto"/>
              </w:rPr>
            </w:pPr>
            <w:r>
              <w:rPr>
                <w:rFonts w:ascii="Arial" w:cs="Arial" w:eastAsia="Arial" w:hAnsi="Arial"/>
                <w:sz w:val="18"/>
                <w:szCs w:val="18"/>
                <w:color w:val="auto"/>
              </w:rPr>
              <w:t>Charles Watts,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8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are brief biographies describing the backgrounds of our executive officers and non-employee directors:</w:t>
      </w:r>
    </w:p>
    <w:p>
      <w:pPr>
        <w:spacing w:after="0" w:line="33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Scott Hutton </w:t>
      </w:r>
      <w:r>
        <w:rPr>
          <w:rFonts w:ascii="Arial" w:cs="Arial" w:eastAsia="Arial" w:hAnsi="Arial"/>
          <w:sz w:val="17"/>
          <w:szCs w:val="17"/>
          <w:color w:val="auto"/>
        </w:rPr>
        <w:t>has served as our President, Chief Executive Officer and Director since January 2020, and previously held the role of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Officer from March 2018 to December 2019. Additionally, Mr. Hutton has served on the board of Eximis Surgical since February 2018 and was an Observer on the Board of Directors of Aqueduct Critical Care from September 2014 to January 2017. Mr. Hutton joined Biodesix from Spectranetics Corp (NASDAQ: SPNC), a U.S.-based global leader in vascular intervention and lead management solutions (now part of Royal Philips (NYSE: PHG)),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(NYSE: MDT),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in Health and Kinesiology from Purdue University. In July 2011, Mr. Hutton received the </w:t>
      </w:r>
      <w:r>
        <w:rPr>
          <w:rFonts w:ascii="Arial" w:cs="Arial" w:eastAsia="Arial" w:hAnsi="Arial"/>
          <w:sz w:val="17"/>
          <w:szCs w:val="17"/>
          <w:i w:val="1"/>
          <w:iCs w:val="1"/>
          <w:color w:val="auto"/>
        </w:rPr>
        <w:t>Medtronic Wallin Leadership Award</w:t>
      </w:r>
      <w:r>
        <w:rPr>
          <w:rFonts w:ascii="Arial" w:cs="Arial" w:eastAsia="Arial" w:hAnsi="Arial"/>
          <w:sz w:val="17"/>
          <w:szCs w:val="17"/>
          <w:color w:val="auto"/>
        </w:rPr>
        <w:t xml:space="preserve"> for his focus on talent development, business performance, and his personal and intentional demonstration of leadership.</w:t>
      </w:r>
    </w:p>
    <w:p>
      <w:pPr>
        <w:spacing w:after="0" w:line="179"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b w:val="1"/>
          <w:bCs w:val="1"/>
          <w:i w:val="1"/>
          <w:iCs w:val="1"/>
          <w:color w:val="auto"/>
        </w:rPr>
        <w:t xml:space="preserve">Robin Harper Cowie </w:t>
      </w:r>
      <w:r>
        <w:rPr>
          <w:rFonts w:ascii="Arial" w:cs="Arial" w:eastAsia="Arial" w:hAnsi="Arial"/>
          <w:sz w:val="18"/>
          <w:szCs w:val="18"/>
          <w:color w:val="auto"/>
        </w:rPr>
        <w:t>has served as our Chief Financial Officer since April 2017. She has been with the Company in multiple financial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reimbursement positions since March 2011, serving as Vice President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Cowie holds a B.S. in Molecular Biology from the University of Pittsburgh, and an M.B.A. in Finance from the Joseph M. Katz Graduate School of Business from the University of Pittsburgh.</w:t>
      </w:r>
    </w:p>
    <w:p>
      <w:pPr>
        <w:spacing w:after="0" w:line="164"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b w:val="1"/>
          <w:bCs w:val="1"/>
          <w:i w:val="1"/>
          <w:iCs w:val="1"/>
          <w:color w:val="auto"/>
        </w:rPr>
        <w:t xml:space="preserve">Kieran O’Kane </w:t>
      </w:r>
      <w:r>
        <w:rPr>
          <w:rFonts w:ascii="Arial" w:cs="Arial" w:eastAsia="Arial" w:hAnsi="Arial"/>
          <w:sz w:val="18"/>
          <w:szCs w:val="18"/>
          <w:color w:val="auto"/>
        </w:rPr>
        <w:t>has served as our Chief Commercial Officer since March 2020 and has been with the Company in multiple marketing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roles since February 2018. From April 2016 to February 2018, prior to joining Biodesix, Mr. O’Kane lead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w:t>
      </w:r>
    </w:p>
    <w:p>
      <w:pPr>
        <w:spacing w:after="0" w:line="192"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b w:val="1"/>
          <w:bCs w:val="1"/>
          <w:i w:val="1"/>
          <w:iCs w:val="1"/>
          <w:color w:val="auto"/>
        </w:rPr>
        <w:t xml:space="preserve">Gary Pestano, Ph.D. </w:t>
      </w:r>
      <w:r>
        <w:rPr>
          <w:rFonts w:ascii="Arial" w:cs="Arial" w:eastAsia="Arial" w:hAnsi="Arial"/>
          <w:sz w:val="16"/>
          <w:szCs w:val="16"/>
          <w:color w:val="auto"/>
        </w:rPr>
        <w:t>has served as our Chief Development Officer since October 2018 and has been with the Company in Product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since March 2012. Prior to joining Biodesix, Dr. Pestano held senior positions in Pharma Services, R&amp;D and Project Leadership at Ventana Medical Systems, a member of the Roche Group, from 2003 to 2012. Dr. Pestano’s experience in laboratory operations management and assay development for high complexity molecular diagnostics in oncology and virology include molecular and proteomic testing. Dr. Pestano is the co-inventor on multiple national and international patents for diagnostic tests. He has also fostered many collaborations in academia and industry as a part of new product development. Dr. Pestano received a B.S. in Biochemistry from The City College of New York, his Ph.D. in Molecular Cell Biology at The Graduate Center, City University of New York where his thesis focused on vaccine development for novel genetic variants of HIV-1. He conducted his post-doctoral training in Cancer Immunology and AIDS at the Dana Farber Cancer Institute, Harvard Medical School.</w:t>
      </w:r>
    </w:p>
    <w:p>
      <w:pPr>
        <w:spacing w:after="0" w:line="165"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b w:val="1"/>
          <w:bCs w:val="1"/>
          <w:i w:val="1"/>
          <w:iCs w:val="1"/>
          <w:color w:val="auto"/>
        </w:rPr>
        <w:t xml:space="preserve">Robert W. Georgantas III, Ph.D. </w:t>
      </w:r>
      <w:r>
        <w:rPr>
          <w:rFonts w:ascii="Arial" w:cs="Arial" w:eastAsia="Arial" w:hAnsi="Arial"/>
          <w:sz w:val="18"/>
          <w:szCs w:val="18"/>
          <w:color w:val="auto"/>
        </w:rPr>
        <w:t>has served as our Senior Vice President of Research and Translational Science since August 2019. From 2014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prior to joining Biodesix, Dr. Georgantas worked at AbbVie where he served as Director of Immunology Programs and Biomarkers within the Genomics Research Center of Excellence, a group of experts tasked with applying genetics, genomics, epigenetics, and metagenomics to inform the product pipeline primarily regarding new target discovery, biomarkers for clinical trials, and asset positioning. Dr. Georgantas is recognized as a leader of immunology translational science and strategy. Dr. Georgantas completed his Ph.D. in pharmacology and molecular medicine at The Johns Hopkins University School of Medicine.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John Patience has served as a Director of the Company since June 2008 and Chairman of the Board since September 2020. Mr. Patience currently serves as both a Director and Chairman of the board of Accelerate Diagnostics, Inc. (NASDAQ: AXDX) and has served in that capacity since joining the board in 2012. Mr. Patience served as a director of Ventana Medical Systems, Inc. from 1989 and as Vice Chairman from 1999 until Ventana’s acquisition by Roche in 2008. Mr. Patience also served as a director of Stericycle, Inc. (NASDAQ: SRCL) since its founding in 1989 to June 2018. Mr. Patience is also a founding partner of Crabtree Partners, a private equity investment partnership in Lake Forest, Illinois. Mr. Patience was previously a partner of a venture capital investment firm that provided both Ventana and Stericycle with early stage funding. Mr. Patience was also previously a partner at the consulting firm McKinsey &amp; Co., Inc., specializing in health care. Mr. Patience holds a B.A. in Liberal Arts and an L.L.B. from the University of Sydney, Australia, and an M.B.A. from the University of Pennsylvania’s Wharton School of Business.</w:t>
      </w:r>
    </w:p>
    <w:p>
      <w:pPr>
        <w:spacing w:after="0" w:line="178"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b w:val="1"/>
          <w:bCs w:val="1"/>
          <w:i w:val="1"/>
          <w:iCs w:val="1"/>
          <w:color w:val="auto"/>
        </w:rPr>
        <w:t xml:space="preserve">Jean M. Franchi </w:t>
      </w:r>
      <w:r>
        <w:rPr>
          <w:rFonts w:ascii="Arial" w:cs="Arial" w:eastAsia="Arial" w:hAnsi="Arial"/>
          <w:sz w:val="18"/>
          <w:szCs w:val="18"/>
          <w:color w:val="auto"/>
        </w:rPr>
        <w:t>has served as a Director of the Company since April 2020. Ms. Franchi is currently Chief Financial Officer at Replimune,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biotechnology company developing oncolytic immuno-gene therapies. Prior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459"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Replimmune, Ms. Franchi was Chief Financial Officer at Merrimack Pharmaceuticals from 2017 to 2019, Dimension Therapeutics from 2015 to 2017, and Good Start Genetics from 2012 to 2015. From 1995 to 2011, Ms. Franchi held various positions at Genzyme Corporation, including Senior Vice President of Corporation Finance, Senior Vice President of Business Unit Finance, and Vice President of Finance and Controller, Product Line and International Group. Ms. Franchi currently serves on the boards of directors of Biophytis BSA and Visioneering Technologies, Inc. Ms. Franchi received her B.A. in Accounting from Hofstra University.</w:t>
      </w:r>
    </w:p>
    <w:p>
      <w:pPr>
        <w:spacing w:after="0" w:line="188"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b w:val="1"/>
          <w:bCs w:val="1"/>
          <w:i w:val="1"/>
          <w:iCs w:val="1"/>
          <w:color w:val="auto"/>
        </w:rPr>
        <w:t xml:space="preserve">Hany Massarany </w:t>
      </w:r>
      <w:r>
        <w:rPr>
          <w:rFonts w:ascii="Arial" w:cs="Arial" w:eastAsia="Arial" w:hAnsi="Arial"/>
          <w:sz w:val="17"/>
          <w:szCs w:val="17"/>
          <w:color w:val="auto"/>
        </w:rPr>
        <w:t>has served as a Director of the Company since July 2020. Mr. Massarany was President and Chief Executive Officer of GenMark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Diagnostics, Inc. (NASDAQ: GNMK) from April 2011 to March 2020. From February 2009 to April 2011, Mr. Massarany served as President of at Ventana Medical Systems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8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b w:val="1"/>
          <w:bCs w:val="1"/>
          <w:i w:val="1"/>
          <w:iCs w:val="1"/>
          <w:color w:val="auto"/>
        </w:rPr>
        <w:t xml:space="preserve">Jack Schuler </w:t>
      </w:r>
      <w:r>
        <w:rPr>
          <w:rFonts w:ascii="Arial" w:cs="Arial" w:eastAsia="Arial" w:hAnsi="Arial"/>
          <w:sz w:val="17"/>
          <w:szCs w:val="17"/>
          <w:color w:val="auto"/>
        </w:rPr>
        <w:t>has served as a Director of the Company since June 2008. Mr. Schuler served as a director of Ventana Medical Systems, Inc. from 1991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Chairman of the board from 1995 until Ventana’s acquisition by Roche in 2008. Prior to joining Ventana, Mr. Schuler was President and Chief Operating Officer of Abbott Laboratories, a diversified health care company, which he joined in 1972 and where he held a number of management and marketing positions, also serving as a director from April 1985 to August 1989. Additionally, Mr. Schuler has served as a director of Abbott Laboratories (NYSE:ABT), Medtronic (Lead Director) (NYSE: MDT), Stericyle (Chairman) (NASDAQ: SRCL), Chiron Corporation, and Quidel Corporation (NASDAQ: QDEL), and currently serves on the board of directors of Accelerate Diagnostics (NASDAQ: AXDX). Mr. Schuler holds a B.S. in Mechanical Engineering from Tufts University and an M.B.A. from Stanford University Graduate School of Business Administration.</w:t>
      </w:r>
    </w:p>
    <w:p>
      <w:pPr>
        <w:spacing w:after="0" w:line="17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b w:val="1"/>
          <w:bCs w:val="1"/>
          <w:i w:val="1"/>
          <w:iCs w:val="1"/>
          <w:color w:val="auto"/>
        </w:rPr>
        <w:t>Matthew Strobeck, Ph.D</w:t>
      </w:r>
      <w:r>
        <w:rPr>
          <w:rFonts w:ascii="Arial" w:cs="Arial" w:eastAsia="Arial" w:hAnsi="Arial"/>
          <w:sz w:val="17"/>
          <w:szCs w:val="17"/>
          <w:color w:val="auto"/>
        </w:rPr>
        <w:t>. has served as a Director of the Company since January 2012. Dr. Strobeck is currently the Managing Partner of Birchview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In addition, Dr. Strobeck is currently a Director of Quidel Corporation (NASDAQ: QDEL), Accelerate Diagnostics (NASDAQ: AXDX), Tepha Inc., and Monteris Medical. Dr. Strobeck received a B.S. from St. Lawrence University, a Ph.D. from the University of Cincinnati, a S.M. from the Harvard University/MIT Health Sciences Technology Program, and a S.M. from the MIT Sloan School of Management.</w:t>
      </w:r>
    </w:p>
    <w:p>
      <w:pPr>
        <w:spacing w:after="0" w:line="17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b w:val="1"/>
          <w:bCs w:val="1"/>
          <w:i w:val="1"/>
          <w:iCs w:val="1"/>
          <w:color w:val="auto"/>
        </w:rPr>
        <w:t>Charles Watts, M.D</w:t>
      </w:r>
      <w:r>
        <w:rPr>
          <w:rFonts w:ascii="Arial" w:cs="Arial" w:eastAsia="Arial" w:hAnsi="Arial"/>
          <w:sz w:val="16"/>
          <w:szCs w:val="16"/>
          <w:color w:val="auto"/>
        </w:rPr>
        <w:t>. has served as a Director of the Company since July 2019. Until his retirement, Dr. Watts served as Chief Medical Officer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Northwestern Memorial Hospital (NMH) and Associate Dean for Clinical Affairs at the Feinberg School of Medicine, Northwestern University from 2001 to 2011. Prior to his tenure at Northwestern, Dr. Watts served as Chief of Clinical Affairs and Associate Dean at the University of Michigan Medical Center. He has also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color w:val="auto"/>
        </w:rPr>
        <w:t>The primary responsibilities of our Board of Directors are to provide oversight, strategic guidance, counseling and direction to our management. Our Board of Directors meets on a regular basis and additionally as required. Our Board of Directors currently consists of ten directors.</w:t>
      </w:r>
    </w:p>
    <w:p>
      <w:pPr>
        <w:spacing w:after="0" w:line="124"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that will go into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92" w:lineRule="exact"/>
        <w:rPr>
          <w:sz w:val="20"/>
          <w:szCs w:val="20"/>
          <w:color w:val="auto"/>
        </w:rPr>
      </w:pPr>
    </w:p>
    <w:p>
      <w:pPr>
        <w:ind w:left="1000" w:right="8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Class I directors will be John Patience and Scott Hutton, and their terms will expire at our first annual meeting of stockholders following this offering;</w:t>
      </w:r>
    </w:p>
    <w:p>
      <w:pPr>
        <w:spacing w:after="0" w:line="75"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Class II directors will be Matthew Strobeck, Ph.D. and Charles Watts, M.D., and their terms will expire at our second annual meeting of stockholders following this offering; and</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Class III directors will be Jean Franchi, Hany Massarany and Jack Schuler, and their terms will be expire at our third annual meeting of stockholders following this offering.</w:t>
      </w:r>
    </w:p>
    <w:p>
      <w:pPr>
        <w:spacing w:after="0" w:line="170"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Our amended and restated certificate of incorporation and amended and restated bylaws that will go into effect upon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Under the listing requirements and rules of Nasdaq Global Market, independent directors must comprise a majority of our Board of Directors as a listed company within one year of the closing of this offering.</w:t>
      </w:r>
    </w:p>
    <w:p>
      <w:pPr>
        <w:spacing w:after="0" w:line="17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and Messrs. Massarany, Strobeck, Watts, Schuler and Patience do not have any relationships that would interfere with the exercise of independent judgment in carrying out the responsibilities of a director and that each of these directors is “independent” as that term is defined under the applicable listing requirements and rules of the Nasdaq Global Market.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w:t>
      </w:r>
    </w:p>
    <w:p>
      <w:pPr>
        <w:spacing w:after="0" w:line="121" w:lineRule="exact"/>
        <w:rPr>
          <w:sz w:val="20"/>
          <w:szCs w:val="20"/>
          <w:color w:val="auto"/>
        </w:rPr>
      </w:pPr>
    </w:p>
    <w:p>
      <w:pPr>
        <w:jc w:val="both"/>
        <w:ind w:right="160" w:firstLine="449"/>
        <w:spacing w:after="0" w:line="259" w:lineRule="auto"/>
        <w:rPr>
          <w:sz w:val="20"/>
          <w:szCs w:val="20"/>
          <w:color w:val="auto"/>
        </w:rPr>
      </w:pPr>
      <w:r>
        <w:rPr>
          <w:rFonts w:ascii="Arial" w:cs="Arial" w:eastAsia="Arial" w:hAnsi="Arial"/>
          <w:sz w:val="18"/>
          <w:szCs w:val="18"/>
          <w:color w:val="auto"/>
        </w:rPr>
        <w:t>Our corporate governance guidelines, which will become effective immediately prior to the completion of this offering, will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Patience currently serves as the Chairman of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Our Board of Directors may establish other committees to facilitate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459" w:right="3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management of our business. The composition and functions of each committee are described below. Members serve on these committees until their resignation or until otherwise determined by our Board of Directors.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Effective as of the date the registration statement of which this prospectus forms a part is declared effective by the SEC, our audit committee will consist of Ms. Franchi and Messrs. Massarany and Strobeck, each of whom our Board of Directors has determined satisfies the independence requirements under the applicable listing requirements and rules of the Nasdaq Global Market and Rule 10A-3(b)(1)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83" w:lineRule="exact"/>
        <w:rPr>
          <w:sz w:val="20"/>
          <w:szCs w:val="20"/>
          <w:color w:val="auto"/>
        </w:rPr>
      </w:pPr>
    </w:p>
    <w:p>
      <w:pPr>
        <w:ind w:left="1000" w:hanging="547"/>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discussing with our management the adequacy and effectiveness of our disclosure controls and procedures;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assisting with design and implementation of our risk assessment functions;</w:t>
      </w:r>
    </w:p>
    <w:p>
      <w:pPr>
        <w:spacing w:after="0" w:line="130"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registered public accounting firm and deciding whether to retain its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monitoring the rotation of partners of our independent registered public accounting firm on our engagement team as required by law;</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an independent registered public accounting firm;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audit committee and adequacy of its charter.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our compensation committee will consist of Messrs. Massarany, Patience and Watts, and the chair of our compensation committee will be Mr. Massarany. Our Board of Directors has determined that each of Messrs. Massarany, Patience and Watts is independent under the applicable listing requirements and rules of the Nasdaq Global Market and is a “non-employee director” as defined in Rule 16b-3 promulgated under the Exchange Act. The functions of this committee include:</w:t>
      </w:r>
    </w:p>
    <w:p>
      <w:pPr>
        <w:spacing w:after="0" w:line="63" w:lineRule="exact"/>
        <w:rPr>
          <w:sz w:val="20"/>
          <w:szCs w:val="20"/>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modifying and overseeing overall compensation strategy and policies;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approving the compensation and other terms of employment of our chief executive officer, other executive officers and senior management, as appropriate;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reviewing and approving the compensation arrangements with our executive officers and other senior management, as appropriate;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recommending to the full Board of Directors the compensation of our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459" w:right="3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appointing and overseeing the work of compensation consultants, legal counsel or any other advisors and consultants engaged for the purpose of advising the compensation committee;</w:t>
      </w:r>
    </w:p>
    <w:p>
      <w:pPr>
        <w:spacing w:after="0" w:line="75"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adopting and administering equity award plans, compensation plans and similar programs, as well as modification or termination of plans and programs;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evaluating with the chief executive officer the succession plans for our executive officers;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compensation committee and the adequacy of its charter.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420" w:firstLine="449"/>
        <w:spacing w:after="0" w:line="259" w:lineRule="auto"/>
        <w:rPr>
          <w:sz w:val="20"/>
          <w:szCs w:val="20"/>
          <w:color w:val="auto"/>
        </w:rPr>
      </w:pPr>
      <w:r>
        <w:rPr>
          <w:rFonts w:ascii="Arial" w:cs="Arial" w:eastAsia="Arial" w:hAnsi="Arial"/>
          <w:sz w:val="18"/>
          <w:szCs w:val="18"/>
          <w:color w:val="auto"/>
        </w:rPr>
        <w:t>Effective as of the date the registration statement of which this prospectus forms a part is declared effective by the SEC, our nominating and corporate governance committee consists of Ms. Franchi and Messrs. Strobeck and Schuler and the chair of our nominating and corporate governance committee will be Mr. Strobeck. Our Board of Directors has determined that Ms. Franchi and Messrs. Strobeck and Schuler are independent under the applicable listing standards. The functions of this committee include:</w:t>
      </w:r>
    </w:p>
    <w:p>
      <w:pPr>
        <w:spacing w:after="0" w:line="92" w:lineRule="exact"/>
        <w:rPr>
          <w:sz w:val="20"/>
          <w:szCs w:val="20"/>
          <w:color w:val="auto"/>
        </w:rPr>
      </w:pPr>
    </w:p>
    <w:p>
      <w:pPr>
        <w:ind w:left="1000" w:right="240" w:hanging="547"/>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identifying, evaluating, nominating and recommending individuals for membership on our Board of Directors;</w:t>
      </w:r>
    </w:p>
    <w:p>
      <w:pPr>
        <w:spacing w:after="0" w:line="130" w:lineRule="exact"/>
        <w:rPr>
          <w:rFonts w:ascii="Arial" w:cs="Arial" w:eastAsia="Arial" w:hAnsi="Arial"/>
          <w:sz w:val="18"/>
          <w:szCs w:val="18"/>
          <w:color w:val="auto"/>
        </w:rPr>
      </w:pPr>
    </w:p>
    <w:p>
      <w:pPr>
        <w:ind w:left="1000" w:right="120" w:hanging="547"/>
        <w:spacing w:after="0" w:line="308" w:lineRule="auto"/>
        <w:tabs>
          <w:tab w:leader="none" w:pos="10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amendments to our corporate governance policies; and</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have adopted a Code of Conduct that applies to all of our employees, officers (including our principal executive officer, principal financial officer and principal accounting officer or controller, or persons performing similar functions), agents and representatives, including directors and consultants. The full text of our Code of Conduct will be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The information contained on, or accessible from, or hyperlinked to, our website is not part of, and is not incorporated into, this prospectus.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 or has served during the last calendar year, as a member of the Board of Directors or compensation committee of any entity that has one or more executive officers serving as a member of our Board of Directors or compensation committee.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During the year ended December 31, 2019, none of our non-employee directors received retainers or other cash payments with respect to service on our Board of Directors or any of its committees. In connection with this offering, we expect to adopt a formal non-employee director compensation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Director Compensation Table</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following table sets forth information for the fiscal year ended December 31, 2019 regarding the compensation awarded to, earned by or paid to our non-employee directors. The only compensation received by our non-employee directors was in the form of restricted stock units (RSUs) and option awards.</w:t>
      </w:r>
    </w:p>
    <w:p>
      <w:pPr>
        <w:spacing w:after="0" w:line="184"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In respect of 2019 service, Messrs. Schuler, Patience, Miller, and Strobeck each received stock options representing the right to purchase 35,158 shares of our common stock. Dr. Watts joined the Board of Directors as of July 16, 2019. The Board of Directors granted him a new member equity award and a pro-rata award for the term from his first board meeting until March 31, 2020, upon availability from the stock option pool. As such, Dr. Watts received stock options representing the right to purchase 26,368 shares of our common stock. These stock options vest in a series of twelve (12) successive, equal monthly installments measured from the vesting commencement date. Moreover, Dr. Watts received an RSU award with respect to 26,368 shares of our common stock. Two-fifths (2/5) of the shares subject to this RSU award vest on the second anniversary of the vesting commencement date, with the remaining balance vesting in a series of thirty-six (36) successive equal monthly installments measured from the second anniversary of the vesting commencement date, provided that, no shares will be issued until the earlier of Dr. Watts’ separation from service other than for cause and the fifth anniversary of the vesting commencement date. In the event Dr. Watts is terminated for cause, this award will be forfeited and no shares will be issued.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600" w:type="dxa"/>
            <w:vAlign w:val="bottom"/>
            <w:vMerge w:val="restart"/>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600" w:type="dxa"/>
            <w:vAlign w:val="bottom"/>
            <w:vMerge w:val="continue"/>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2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8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Jack Schuler</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16,689</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John Patience</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 Miller</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Matthew Strobeck, Ph.D</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16,689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Watts, M.D.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20,348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12,517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5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market value of the RSUs, calculated in accordance with FASB ASC Topic 718 based on the assumption that the value of each RSU was equal to $0.77.</w:t>
      </w:r>
    </w:p>
    <w:p>
      <w:pPr>
        <w:spacing w:after="0" w:line="1" w:lineRule="exact"/>
        <w:rPr>
          <w:rFonts w:ascii="Arial" w:cs="Arial" w:eastAsia="Arial" w:hAnsi="Arial"/>
          <w:sz w:val="18"/>
          <w:szCs w:val="18"/>
          <w:color w:val="auto"/>
        </w:rPr>
      </w:pPr>
    </w:p>
    <w:p>
      <w:pPr>
        <w:ind w:left="460" w:right="100" w:hanging="452"/>
        <w:spacing w:after="0" w:line="252"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market value of the stock options calculated in accordance with FASB ASC Topic 718. The assumptions used in calculating the grant date fair value of the award disclosed in this column are set forth in Note 11 of our audited financial statements included elsewhere in this prospectus and under the heading “Management’s Discussion and Analysis of Financial Condition and Results of Operations—Critical Accounting Policies and Significant Judgments and Estimates—Stock-based compensation and common stock valuation” in this prospectus. These amounts do not correspond to the actual value that may be recognized by the named executive officers upon vesting of the applicable awards.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Our current executive compensation program is intended to align executive compensation with our performance objectives and business strategy and to enable us to attract, motivate, retain and reward executive officers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the year ended December 31, 2019, the material elements of our executive compensation program were base salary, discretionary cash bonus and equity awards in the form of stock options.</w:t>
      </w:r>
    </w:p>
    <w:p>
      <w:pPr>
        <w:spacing w:after="0" w:line="164"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color w:val="auto"/>
        </w:rPr>
        <w:t>Following this offering, we expect that our executive compensation program will evolve to reflect our status as a newly publicly-traded company, while still supporting our overall business and compensation objectives. The compensation committee of our Board of Directors (Compensation Committee) oversees our executive compensation program. In addition, during the year ended December 31, 2019, we retained an independent executive compensation consultant to help advise on elements of our executive compensation program. This section provides a discussion of the compensation paid or awarded to our Chief Executive Officer and our two other most highly compensated executive officers serving as of December 31, 2019, the end of fiscal 2019. We refer to these individuals as our “named executive officers.” For the year ended December 31, 2019, our named executive officers were:</w:t>
      </w:r>
    </w:p>
    <w:p>
      <w:pPr>
        <w:spacing w:after="0" w:line="70" w:lineRule="exact"/>
        <w:rPr>
          <w:sz w:val="20"/>
          <w:szCs w:val="20"/>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David Brunel, Former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Robin Harper Cowie, Chief Financial Officer;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Scott Hutton, Former Chief Operating Officer.</w:t>
      </w:r>
    </w:p>
    <w:p>
      <w:pPr>
        <w:spacing w:after="0" w:line="225" w:lineRule="exact"/>
        <w:rPr>
          <w:sz w:val="20"/>
          <w:szCs w:val="20"/>
          <w:color w:val="auto"/>
        </w:rPr>
      </w:pPr>
    </w:p>
    <w:p>
      <w:pPr>
        <w:ind w:right="220" w:firstLine="449"/>
        <w:spacing w:after="0" w:line="293" w:lineRule="auto"/>
        <w:rPr>
          <w:sz w:val="20"/>
          <w:szCs w:val="20"/>
          <w:color w:val="auto"/>
        </w:rPr>
      </w:pPr>
      <w:r>
        <w:rPr>
          <w:rFonts w:ascii="Arial" w:cs="Arial" w:eastAsia="Arial" w:hAnsi="Arial"/>
          <w:sz w:val="16"/>
          <w:szCs w:val="16"/>
          <w:color w:val="auto"/>
        </w:rPr>
        <w:t>Effective December 31, 2019, Mr. Brunel ceased to be our Company’s Chief Executive Officer. Effective January 1, 2020, Mr. Brunel became our Company’s Chairman of the Board of Directors. Pursuant to the Brunel Consulting Agreement as described in the section titled “Certain 2020 Actions”, Mr. Brunel resigned from his position as Chairman of the Board of Directors and ceased to be a member of the Board of Directors effective as of September 14, 2020. As of such resignation, Mr. Brunel began service at the pleasure of the Board of Directors as a Director Emeritus. He will cease providing services to the Company as an employee on December 31, 2020 and will provide consulting services to the Company beginning on January 1, 2021. Effective January 1, 2020, Mr. Hutton ceased to be our Chief Operating Officer and became our President and Chief Executive Officer.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320" w:top="459" w:right="3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executive officer’s scope of responsibility and accountability to us. Please see the “Salary” column in the 2019 Summary Compensation Table for the base salary amounts received by each named executive officer during the year ended December 31, 2019.</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187" w:lineRule="exact"/>
        <w:rPr>
          <w:sz w:val="20"/>
          <w:szCs w:val="20"/>
          <w:color w:val="auto"/>
        </w:rPr>
      </w:pPr>
    </w:p>
    <w:p>
      <w:pPr>
        <w:ind w:right="280" w:firstLine="449"/>
        <w:spacing w:after="0" w:line="296" w:lineRule="auto"/>
        <w:rPr>
          <w:sz w:val="20"/>
          <w:szCs w:val="20"/>
          <w:color w:val="auto"/>
        </w:rPr>
      </w:pPr>
      <w:r>
        <w:rPr>
          <w:rFonts w:ascii="Arial" w:cs="Arial" w:eastAsia="Arial" w:hAnsi="Arial"/>
          <w:sz w:val="16"/>
          <w:szCs w:val="16"/>
          <w:color w:val="auto"/>
        </w:rPr>
        <w:t>Generally, our Compensation Committee establishes a Company-based performance metric as a threshold vesting criteria for any payouts for a particular annual bonus period. In determining bonus payouts, if any, individual performance of our named executive officers with respect to individual goals established at the beginning of the applicable year is only considered if that metric is met or exceeded. For 2019, the Compensation Committee determined that the Company’s revenue would be the applicable Company-based metric, and at year end, measured actual revenue against targeted revenue, determined in accordance with U.S. GAAP. No payouts were earned or made under the 2019 annual cash bonus program.</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To further align the interests of our executive officers with the interests of our stockholders and to further focus our executive officers on our long-term performance, we have historically granted equity compensation in the form of stock options. In the year ended December 31, 2019, the Board of Directors awarded Messrs. Brunel, Hutton, and Ms. Harper Cowie stock options (Time-Vested Options) representing the right to purchase 45,485, 42,116, and 35,377 shares of our common stock, respectively, on a five-year vesting schedule. Two fifths (2/5) of the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service through the applicable vesting date. In September 2020, the Board of Directors amended the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1"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In the year ended December 31, 2019, the Board of Directors also awarded Messrs. Brunel, Hutton, and Ms. Harper Cowie stock options (Performance-Vested Options) representing the right to purchase 26,954, 25,269, and 17,688 shares of our common stock, respectively, on a three-year vesting schedule subject to the achievement of applicable performance criteria. One third (1/3) of these Performance-Vested Options vest after each of the first (2019 Tranche), second (2020 Tranche) and third (2021 Tranche)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168"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Please see “Outstanding Equity Awards at Fiscal 2019 Year-End” for a summary of the outstanding equity awards held by each of the named executive officers as of 2019 year-end.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459" w:right="3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12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during the year ended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Fiscal</w:t>
            </w: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Salary</w:t>
            </w: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478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4780" w:type="dxa"/>
            <w:vAlign w:val="bottom"/>
            <w:vMerge w:val="continue"/>
          </w:tcPr>
          <w:p>
            <w:pPr>
              <w:spacing w:after="0"/>
              <w:rPr>
                <w:sz w:val="15"/>
                <w:szCs w:val="15"/>
                <w:color w:val="auto"/>
              </w:rPr>
            </w:pPr>
          </w:p>
        </w:tc>
        <w:tc>
          <w:tcPr>
            <w:tcW w:w="8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Year</w:t>
            </w: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00" w:type="dxa"/>
            <w:vAlign w:val="bottom"/>
          </w:tcPr>
          <w:p>
            <w:pPr>
              <w:jc w:val="right"/>
              <w:ind w:right="22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5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David Brunel</w:t>
            </w: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2019</w:t>
            </w: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343,750</w:t>
            </w:r>
          </w:p>
        </w:tc>
        <w:tc>
          <w:tcPr>
            <w:tcW w:w="3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7"/>
              </w:rPr>
              <w:t>41,157</w:t>
            </w:r>
          </w:p>
        </w:tc>
        <w:tc>
          <w:tcPr>
            <w:tcW w:w="3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6"/>
              </w:rPr>
              <w:t>384,907</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Former Chief Executive Officer </w:t>
            </w:r>
            <w:r>
              <w:rPr>
                <w:rFonts w:ascii="Arial" w:cs="Arial" w:eastAsia="Arial" w:hAnsi="Arial"/>
                <w:sz w:val="15"/>
                <w:szCs w:val="15"/>
                <w:color w:val="auto"/>
              </w:rPr>
              <w:t>(1)</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656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298,475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38,285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336,760</w:t>
            </w:r>
          </w:p>
        </w:tc>
        <w:tc>
          <w:tcPr>
            <w:tcW w:w="0" w:type="dxa"/>
            <w:vAlign w:val="bottom"/>
          </w:tcPr>
          <w:p>
            <w:pPr>
              <w:spacing w:after="0"/>
              <w:rPr>
                <w:sz w:val="1"/>
                <w:szCs w:val="1"/>
                <w:color w:val="auto"/>
              </w:rPr>
            </w:pPr>
          </w:p>
        </w:tc>
      </w:tr>
      <w:tr>
        <w:trPr>
          <w:trHeight w:val="23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 xml:space="preserve">Former Chief Operating Officer </w:t>
            </w:r>
            <w:r>
              <w:rPr>
                <w:rFonts w:ascii="Arial" w:cs="Arial" w:eastAsia="Arial" w:hAnsi="Arial"/>
                <w:sz w:val="15"/>
                <w:szCs w:val="15"/>
                <w:color w:val="auto"/>
              </w:rPr>
              <w:t>(2)</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6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Robin Harper Cowie</w:t>
            </w:r>
          </w:p>
        </w:tc>
        <w:tc>
          <w:tcPr>
            <w:tcW w:w="8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w w:val="95"/>
              </w:rPr>
              <w:t>263,525</w:t>
            </w:r>
          </w:p>
        </w:tc>
        <w:tc>
          <w:tcPr>
            <w:tcW w:w="1260" w:type="dxa"/>
            <w:vAlign w:val="bottom"/>
            <w:gridSpan w:val="2"/>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30,150</w:t>
            </w:r>
          </w:p>
        </w:tc>
        <w:tc>
          <w:tcPr>
            <w:tcW w:w="7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293,675</w:t>
            </w:r>
          </w:p>
        </w:tc>
        <w:tc>
          <w:tcPr>
            <w:tcW w:w="0" w:type="dxa"/>
            <w:vAlign w:val="bottom"/>
          </w:tcPr>
          <w:p>
            <w:pPr>
              <w:spacing w:after="0"/>
              <w:rPr>
                <w:sz w:val="1"/>
                <w:szCs w:val="1"/>
                <w:color w:val="auto"/>
              </w:rPr>
            </w:pPr>
          </w:p>
        </w:tc>
      </w:tr>
      <w:tr>
        <w:trPr>
          <w:trHeight w:val="244"/>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4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55"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Brunel’s service as our Chief Executive Officer terminated on December 31, 2019, after which he became Chairman of our Board of Directors. Mr. Brunel resigned from the Board of Directors in September 2020. Effective January 1, 2021, Mr. Brunel is expected to transition into a consulting role for which he will be paid a quarterly fee of $5,000.</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Mr. Hutton’s service as our Chief Operating Officer terminated on January 1, 2020, after which he became the President and Chief Executive Officer.</w:t>
      </w:r>
    </w:p>
    <w:p>
      <w:pPr>
        <w:spacing w:after="0" w:line="3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our 2019 performance measured against the Company’s objectives, our Compensation Committee determined not to award payouts under the 2019 annual cash bonus program.</w:t>
      </w:r>
    </w:p>
    <w:p>
      <w:pPr>
        <w:ind w:left="460" w:right="580" w:hanging="452"/>
        <w:spacing w:after="0" w:line="253"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the award as calculated in accordance with FASB ASC Topic 718. The assumptions used in calculating the grant date fair value of the award disclosed in this column are set forth in Note 11 of our audited financial statements included elsewhere in this prospectus. These amounts do not correspond to the actual value that may be recognized by the named executive officers upon vesting of the applicable awards.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2019 Year-End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regarding the outstanding equity awards held by each of the named executive officers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As of the year ended December 31, 2019, none of the named executive officers held any outstanding restricted stock units or other stock awards.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vMerge w:val="continue"/>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6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Grant</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60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7"/>
        </w:trPr>
        <w:tc>
          <w:tcPr>
            <w:tcW w:w="2560" w:type="dxa"/>
            <w:vAlign w:val="bottom"/>
            <w:vMerge w:val="continue"/>
          </w:tcPr>
          <w:p>
            <w:pPr>
              <w:spacing w:after="0"/>
              <w:rPr>
                <w:sz w:val="13"/>
                <w:szCs w:val="13"/>
                <w:color w:val="auto"/>
              </w:rPr>
            </w:pPr>
          </w:p>
        </w:tc>
        <w:tc>
          <w:tcPr>
            <w:tcW w:w="2600" w:type="dxa"/>
            <w:vAlign w:val="bottom"/>
          </w:tcPr>
          <w:p>
            <w:pPr>
              <w:jc w:val="right"/>
              <w:ind w:right="392"/>
              <w:spacing w:after="0" w:line="157" w:lineRule="exact"/>
              <w:rPr>
                <w:sz w:val="20"/>
                <w:szCs w:val="20"/>
                <w:color w:val="auto"/>
              </w:rPr>
            </w:pPr>
            <w:r>
              <w:rPr>
                <w:rFonts w:ascii="Arial" w:cs="Arial" w:eastAsia="Arial" w:hAnsi="Arial"/>
                <w:sz w:val="14"/>
                <w:szCs w:val="14"/>
                <w:b w:val="1"/>
                <w:bCs w:val="1"/>
                <w:color w:val="auto"/>
              </w:rPr>
              <w:t>Date</w:t>
            </w:r>
          </w:p>
        </w:tc>
        <w:tc>
          <w:tcPr>
            <w:tcW w:w="1300" w:type="dxa"/>
            <w:vAlign w:val="bottom"/>
          </w:tcPr>
          <w:p>
            <w:pPr>
              <w:jc w:val="center"/>
              <w:spacing w:after="0" w:line="157" w:lineRule="exact"/>
              <w:rPr>
                <w:sz w:val="20"/>
                <w:szCs w:val="20"/>
                <w:color w:val="auto"/>
              </w:rPr>
            </w:pPr>
            <w:r>
              <w:rPr>
                <w:rFonts w:ascii="Arial" w:cs="Arial" w:eastAsia="Arial" w:hAnsi="Arial"/>
                <w:sz w:val="14"/>
                <w:szCs w:val="14"/>
                <w:b w:val="1"/>
                <w:bCs w:val="1"/>
                <w:u w:val="single" w:color="auto"/>
                <w:color w:val="auto"/>
                <w:w w:val="91"/>
              </w:rPr>
              <w:t>(#) Exercisable</w:t>
            </w:r>
          </w:p>
        </w:tc>
        <w:tc>
          <w:tcPr>
            <w:tcW w:w="1440" w:type="dxa"/>
            <w:vAlign w:val="bottom"/>
          </w:tcPr>
          <w:p>
            <w:pPr>
              <w:jc w:val="center"/>
              <w:spacing w:after="0" w:line="157" w:lineRule="exact"/>
              <w:rPr>
                <w:sz w:val="20"/>
                <w:szCs w:val="20"/>
                <w:color w:val="auto"/>
              </w:rPr>
            </w:pPr>
            <w:r>
              <w:rPr>
                <w:rFonts w:ascii="Arial" w:cs="Arial" w:eastAsia="Arial" w:hAnsi="Arial"/>
                <w:sz w:val="14"/>
                <w:szCs w:val="14"/>
                <w:b w:val="1"/>
                <w:bCs w:val="1"/>
                <w:u w:val="single" w:color="auto"/>
                <w:color w:val="auto"/>
                <w:w w:val="91"/>
              </w:rPr>
              <w:t>(#) Unexercisable</w:t>
            </w:r>
          </w:p>
        </w:tc>
        <w:tc>
          <w:tcPr>
            <w:tcW w:w="1140" w:type="dxa"/>
            <w:vAlign w:val="bottom"/>
          </w:tcPr>
          <w:p>
            <w:pPr>
              <w:jc w:val="center"/>
              <w:spacing w:after="0" w:line="157" w:lineRule="exact"/>
              <w:rPr>
                <w:sz w:val="20"/>
                <w:szCs w:val="20"/>
                <w:color w:val="auto"/>
              </w:rPr>
            </w:pPr>
            <w:r>
              <w:rPr>
                <w:rFonts w:ascii="Arial" w:cs="Arial" w:eastAsia="Arial" w:hAnsi="Arial"/>
                <w:sz w:val="14"/>
                <w:szCs w:val="14"/>
                <w:b w:val="1"/>
                <w:bCs w:val="1"/>
                <w:u w:val="single" w:color="auto"/>
                <w:color w:val="auto"/>
                <w:w w:val="94"/>
              </w:rPr>
              <w:t>Options (#)</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29"/>
        </w:trPr>
        <w:tc>
          <w:tcPr>
            <w:tcW w:w="2560" w:type="dxa"/>
            <w:vAlign w:val="bottom"/>
          </w:tcPr>
          <w:p>
            <w:pPr>
              <w:spacing w:after="0"/>
              <w:rPr>
                <w:sz w:val="20"/>
                <w:szCs w:val="20"/>
                <w:color w:val="auto"/>
              </w:rPr>
            </w:pPr>
            <w:r>
              <w:rPr>
                <w:rFonts w:ascii="Arial" w:cs="Arial" w:eastAsia="Arial" w:hAnsi="Arial"/>
                <w:sz w:val="18"/>
                <w:szCs w:val="18"/>
                <w:color w:val="auto"/>
              </w:rPr>
              <w:t>David Brunel</w:t>
            </w: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4/26/2010</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7,045</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16.33</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4/25/2020</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4/22/2011</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11,281</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16.33</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4/21/2021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8/8/2011</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21,058</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3.33</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8/7/2021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1/30/2012</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19,373</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3.33</w:t>
            </w:r>
          </w:p>
        </w:tc>
        <w:tc>
          <w:tcPr>
            <w:tcW w:w="1200" w:type="dxa"/>
            <w:vAlign w:val="bottom"/>
          </w:tcPr>
          <w:p>
            <w:pPr>
              <w:jc w:val="right"/>
              <w:spacing w:after="0"/>
              <w:rPr>
                <w:sz w:val="20"/>
                <w:szCs w:val="20"/>
                <w:color w:val="auto"/>
              </w:rPr>
            </w:pPr>
            <w:r>
              <w:rPr>
                <w:rFonts w:ascii="Arial" w:cs="Arial" w:eastAsia="Arial" w:hAnsi="Arial"/>
                <w:sz w:val="18"/>
                <w:szCs w:val="18"/>
                <w:color w:val="auto"/>
              </w:rPr>
              <w:t>1/29/2022</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1/30/2012</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8,495</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20.90</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1/29/2022</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2/5/2013</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884</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23.75</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2/4/2023</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3/11/2013</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18,784</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3.45</w:t>
            </w:r>
          </w:p>
        </w:tc>
        <w:tc>
          <w:tcPr>
            <w:tcW w:w="1200" w:type="dxa"/>
            <w:vAlign w:val="bottom"/>
          </w:tcPr>
          <w:p>
            <w:pPr>
              <w:jc w:val="right"/>
              <w:spacing w:after="0"/>
              <w:rPr>
                <w:sz w:val="20"/>
                <w:szCs w:val="20"/>
                <w:color w:val="auto"/>
              </w:rPr>
            </w:pPr>
            <w:r>
              <w:rPr>
                <w:rFonts w:ascii="Arial" w:cs="Arial" w:eastAsia="Arial" w:hAnsi="Arial"/>
                <w:sz w:val="18"/>
                <w:szCs w:val="18"/>
                <w:color w:val="auto"/>
              </w:rPr>
              <w:t>3/10/2023</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2/4/2014</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18,531</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4.40</w:t>
            </w:r>
          </w:p>
        </w:tc>
        <w:tc>
          <w:tcPr>
            <w:tcW w:w="1200" w:type="dxa"/>
            <w:vAlign w:val="bottom"/>
          </w:tcPr>
          <w:p>
            <w:pPr>
              <w:jc w:val="right"/>
              <w:spacing w:after="0"/>
              <w:rPr>
                <w:sz w:val="20"/>
                <w:szCs w:val="20"/>
                <w:color w:val="auto"/>
              </w:rPr>
            </w:pPr>
            <w:r>
              <w:rPr>
                <w:rFonts w:ascii="Arial" w:cs="Arial" w:eastAsia="Arial" w:hAnsi="Arial"/>
                <w:sz w:val="18"/>
                <w:szCs w:val="18"/>
                <w:color w:val="auto"/>
              </w:rPr>
              <w:t>2/3/2024</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2/20/2014</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14,381</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24.34</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2/19/2024</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4/8/2015</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8,282</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140</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4.40</w:t>
            </w:r>
          </w:p>
        </w:tc>
        <w:tc>
          <w:tcPr>
            <w:tcW w:w="1200" w:type="dxa"/>
            <w:vAlign w:val="bottom"/>
          </w:tcPr>
          <w:p>
            <w:pPr>
              <w:jc w:val="right"/>
              <w:spacing w:after="0"/>
              <w:rPr>
                <w:sz w:val="20"/>
                <w:szCs w:val="20"/>
                <w:color w:val="auto"/>
              </w:rPr>
            </w:pPr>
            <w:r>
              <w:rPr>
                <w:rFonts w:ascii="Arial" w:cs="Arial" w:eastAsia="Arial" w:hAnsi="Arial"/>
                <w:sz w:val="18"/>
                <w:szCs w:val="18"/>
                <w:color w:val="auto"/>
              </w:rPr>
              <w:t>4/7/2025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4/7/2016</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51,564</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9,125</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0.84</w:t>
            </w:r>
          </w:p>
        </w:tc>
        <w:tc>
          <w:tcPr>
            <w:tcW w:w="1200" w:type="dxa"/>
            <w:vAlign w:val="bottom"/>
          </w:tcPr>
          <w:p>
            <w:pPr>
              <w:jc w:val="right"/>
              <w:spacing w:after="0"/>
              <w:rPr>
                <w:sz w:val="20"/>
                <w:szCs w:val="20"/>
                <w:color w:val="auto"/>
              </w:rPr>
            </w:pPr>
            <w:r>
              <w:rPr>
                <w:rFonts w:ascii="Arial" w:cs="Arial" w:eastAsia="Arial" w:hAnsi="Arial"/>
                <w:sz w:val="18"/>
                <w:szCs w:val="18"/>
                <w:color w:val="auto"/>
              </w:rPr>
              <w:t>4/6/2026</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10/14/2016</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4,643</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0.84</w:t>
            </w:r>
          </w:p>
        </w:tc>
        <w:tc>
          <w:tcPr>
            <w:tcW w:w="1200" w:type="dxa"/>
            <w:vAlign w:val="bottom"/>
          </w:tcPr>
          <w:p>
            <w:pPr>
              <w:jc w:val="right"/>
              <w:spacing w:after="0"/>
              <w:rPr>
                <w:sz w:val="20"/>
                <w:szCs w:val="20"/>
                <w:color w:val="auto"/>
              </w:rPr>
            </w:pPr>
            <w:r>
              <w:rPr>
                <w:rFonts w:ascii="Arial" w:cs="Arial" w:eastAsia="Arial" w:hAnsi="Arial"/>
                <w:sz w:val="18"/>
                <w:szCs w:val="18"/>
                <w:color w:val="auto"/>
              </w:rPr>
              <w:t>10/13/2026</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5/16/2017</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19,654</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14,038</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0.42</w:t>
            </w:r>
          </w:p>
        </w:tc>
        <w:tc>
          <w:tcPr>
            <w:tcW w:w="1200" w:type="dxa"/>
            <w:vAlign w:val="bottom"/>
          </w:tcPr>
          <w:p>
            <w:pPr>
              <w:jc w:val="right"/>
              <w:spacing w:after="0"/>
              <w:rPr>
                <w:sz w:val="20"/>
                <w:szCs w:val="20"/>
                <w:color w:val="auto"/>
              </w:rPr>
            </w:pPr>
            <w:r>
              <w:rPr>
                <w:rFonts w:ascii="Arial" w:cs="Arial" w:eastAsia="Arial" w:hAnsi="Arial"/>
                <w:sz w:val="18"/>
                <w:szCs w:val="18"/>
                <w:color w:val="auto"/>
              </w:rPr>
              <w:t>5/15/2027</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4/4/2018</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12,915</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20,777</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0.42</w:t>
            </w:r>
          </w:p>
        </w:tc>
        <w:tc>
          <w:tcPr>
            <w:tcW w:w="1200" w:type="dxa"/>
            <w:vAlign w:val="bottom"/>
          </w:tcPr>
          <w:p>
            <w:pPr>
              <w:jc w:val="right"/>
              <w:spacing w:after="0"/>
              <w:rPr>
                <w:sz w:val="20"/>
                <w:szCs w:val="20"/>
                <w:color w:val="auto"/>
              </w:rPr>
            </w:pPr>
            <w:r>
              <w:rPr>
                <w:rFonts w:ascii="Arial" w:cs="Arial" w:eastAsia="Arial" w:hAnsi="Arial"/>
                <w:sz w:val="18"/>
                <w:szCs w:val="18"/>
                <w:color w:val="auto"/>
              </w:rPr>
              <w:t>4/3/2028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4/4/2018</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67,386</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4.46</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12/31/2027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3/22/2019</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45,485</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26,954</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0.78</w:t>
            </w:r>
          </w:p>
        </w:tc>
        <w:tc>
          <w:tcPr>
            <w:tcW w:w="1200" w:type="dxa"/>
            <w:vAlign w:val="bottom"/>
          </w:tcPr>
          <w:p>
            <w:pPr>
              <w:jc w:val="right"/>
              <w:spacing w:after="0"/>
              <w:rPr>
                <w:sz w:val="20"/>
                <w:szCs w:val="20"/>
                <w:color w:val="auto"/>
              </w:rPr>
            </w:pPr>
            <w:r>
              <w:rPr>
                <w:rFonts w:ascii="Arial" w:cs="Arial" w:eastAsia="Arial" w:hAnsi="Arial"/>
                <w:sz w:val="18"/>
                <w:szCs w:val="18"/>
                <w:color w:val="auto"/>
              </w:rPr>
              <w:t>12/31/2028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Scott Hutton</w:t>
            </w: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4/4/2018</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84,233</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0.42</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4/3/2028</w:t>
            </w:r>
          </w:p>
        </w:tc>
        <w:tc>
          <w:tcPr>
            <w:tcW w:w="0" w:type="dxa"/>
            <w:vAlign w:val="bottom"/>
          </w:tcPr>
          <w:p>
            <w:pPr>
              <w:spacing w:after="0"/>
              <w:rPr>
                <w:sz w:val="1"/>
                <w:szCs w:val="1"/>
                <w:color w:val="auto"/>
              </w:rPr>
            </w:pPr>
          </w:p>
        </w:tc>
      </w:tr>
      <w:tr>
        <w:trPr>
          <w:trHeight w:val="228"/>
        </w:trPr>
        <w:tc>
          <w:tcPr>
            <w:tcW w:w="2560" w:type="dxa"/>
            <w:vAlign w:val="bottom"/>
          </w:tcPr>
          <w:p>
            <w:pPr>
              <w:spacing w:after="0"/>
              <w:rPr>
                <w:sz w:val="19"/>
                <w:szCs w:val="19"/>
                <w:color w:val="auto"/>
              </w:rPr>
            </w:pPr>
          </w:p>
        </w:tc>
        <w:tc>
          <w:tcPr>
            <w:tcW w:w="2600" w:type="dxa"/>
            <w:vAlign w:val="bottom"/>
          </w:tcPr>
          <w:p>
            <w:pPr>
              <w:jc w:val="right"/>
              <w:ind w:right="92"/>
              <w:spacing w:after="0"/>
              <w:rPr>
                <w:sz w:val="20"/>
                <w:szCs w:val="20"/>
                <w:color w:val="auto"/>
              </w:rPr>
            </w:pPr>
            <w:r>
              <w:rPr>
                <w:rFonts w:ascii="Arial" w:cs="Arial" w:eastAsia="Arial" w:hAnsi="Arial"/>
                <w:sz w:val="18"/>
                <w:szCs w:val="18"/>
                <w:color w:val="auto"/>
              </w:rPr>
              <w:t>3/22/2019</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42,116</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25,269</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0.78</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12/31/2028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-2475230</wp:posOffset>
            </wp:positionV>
            <wp:extent cx="7132320" cy="22028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22028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Robin Harper Cowie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4/22/2011</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2,526</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4/21/2021</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2/4/2014</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10,107</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4.40</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2/3/2024</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4/8/2015</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6,626</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112</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4.40</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4/7/2025</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4/7/2016</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35,885</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7,665</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0.84</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4/6/2026</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5/16/2017</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9,827</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7,019</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0.42</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5/15/2027</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4/4/2018</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8,072</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12,985</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0.42</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4/3/2028</w:t>
            </w:r>
          </w:p>
        </w:tc>
      </w:tr>
      <w:tr>
        <w:trPr>
          <w:trHeight w:val="216"/>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3/22/2019</w:t>
            </w:r>
          </w:p>
        </w:tc>
        <w:tc>
          <w:tcPr>
            <w:tcW w:w="17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35,377</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17,688</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0.78</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12/31/2028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These stock options vest in a series of sixty (60) successive, equal monthly installments measured from the vesting commencement date.</w:t>
      </w:r>
    </w:p>
    <w:p>
      <w:pPr>
        <w:spacing w:after="0" w:line="34"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2" w:lineRule="exact"/>
        <w:rPr>
          <w:rFonts w:ascii="Arial" w:cs="Arial" w:eastAsia="Arial" w:hAnsi="Arial"/>
          <w:sz w:val="18"/>
          <w:szCs w:val="18"/>
          <w:color w:val="auto"/>
        </w:rPr>
      </w:pPr>
    </w:p>
    <w:p>
      <w:pPr>
        <w:jc w:val="both"/>
        <w:ind w:left="460" w:right="40" w:hanging="452"/>
        <w:spacing w:after="0" w:line="255"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Two fifths (2/5) of these Time-Vested Options vest on the second anniversary of the vesting commencement date, with the remaining balance vesting in a series of thirty-six (36) successive equal monthly installments measured from the second anniversary of the vesting commencement date, subject to the award recipient’s continued employment through the applicable vesting date.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40" w:hanging="452"/>
        <w:spacing w:after="0" w:line="283"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the year ended December 31, 2019, the Board of Directors awarded Messrs. Brunel, Hutton, and Ms. Harper Cowie stock options representing the right to purchase 26,954, 25,269 and 17,688 shares of our common stock, respectively. One third (1/3) of these performance-based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(1/3) of each executive’s award was cancelled, and the remaining two thirds (2/3) of each of Mr. Hutton’s and Ms. Cowie’s awards are currently outstanding.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believes that the achievement of the performance hurdles remains uncertain, and retains ultimate discretion to determine whether such performance hurdles have been met.</w:t>
      </w:r>
    </w:p>
    <w:p>
      <w:pPr>
        <w:spacing w:after="0" w:line="2"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Under the terms of the Brunel Consulting Agreement, the expiration date of these stock options has been amended to be the earlier of (i) December 31, 2021, (ii) thirty (30) days after the termination of the Brunel Consulting Agreement, and (iii) the original expiration date of such term as reflected in the table above.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Harper Cowie Offer Letters</w:t>
      </w:r>
    </w:p>
    <w:p>
      <w:pPr>
        <w:spacing w:after="0" w:line="117" w:lineRule="exact"/>
        <w:rPr>
          <w:sz w:val="20"/>
          <w:szCs w:val="20"/>
          <w:color w:val="auto"/>
        </w:rPr>
      </w:pPr>
    </w:p>
    <w:p>
      <w:pPr>
        <w:jc w:val="both"/>
        <w:ind w:right="160" w:firstLine="449"/>
        <w:spacing w:after="0" w:line="311" w:lineRule="auto"/>
        <w:rPr>
          <w:sz w:val="20"/>
          <w:szCs w:val="20"/>
          <w:color w:val="auto"/>
        </w:rPr>
      </w:pPr>
      <w:r>
        <w:rPr>
          <w:rFonts w:ascii="Arial" w:cs="Arial" w:eastAsia="Arial" w:hAnsi="Arial"/>
          <w:sz w:val="16"/>
          <w:szCs w:val="16"/>
          <w:color w:val="auto"/>
        </w:rPr>
        <w:t>For the year ended December 31, 2019, Ms. Harper Cowie was party to an offer letter agreement with the Company, dated as of March 11, 2011, as amended (the 2011 Harper Cowie Offer Letter). Effective February 16, 2019, Ms. Harper Cowie’s base salary was raised to $265,000 annually, and she is eligible to receive a bonus of up to 50% of her base salary if certain milestones and objectives determined by the Company were achieved.</w:t>
      </w:r>
    </w:p>
    <w:p>
      <w:pPr>
        <w:spacing w:after="0" w:line="149"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Ms. Harper Cowie and the Company entered into a new offer letter agreement, dated as of February 23, 2020, which supersedes the 2011 Harper Cowie Offer Letter (the 2020 Harper Cowie Offer Letter). Under the terms of the 2020 Harper Cowie Offer Letter, Ms. Harper Cowie is entitled to a base salary of $290,000 annually effective the beginning of the first month after this offering,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as defined in the 2011 Harper Cowie Offer Letter, including but not limited to a termination following a change in control. The severance benefits consist of (i) base salary continuation for a period of 6 months following the effective date of a general release of claims, less standard deductions and withholdings, and (ii) if Ms. Harper Cowie timely elects healthcare continuation coverage under the Consolidated Omnibus Reconciliation Act of 1985, as amended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Pursuant to the 2020 Harper Cowie Offer Letter, in the event Ms. Harper Cowie resigned, or if her employment was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Hutton Offer Letters</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For the year ended December 31, 2019, Mr. Hutton was party to an offer letter agreement with the Company, dated as of February 8, 2018, as amended (the 2018 Hutton Offer Letter). Effective February 16, 2019, Mr. Hutton’s base salary was raised to $300,000 annually. Under the terms of the 2018 Hutton Offer Letter, Mr. Hutton is eligible to receive a bonus of up to 50% of his base salary if certain milestones and objectives determined by the Company are achieved. Mr. Hutton and the Company entered into a new offer letter agreement, dated as of February 23, 2020, which supersedes the 2018 Hutton Offer Letter (the 2020 Hutton Offer Letter). Under the terms of the 2020 Hutton Offer Letter, effective January 1, 2020, Mr. Hutton’s base salary was raised to $350,000 annually. Effective the beginning of the first month after this offering, Mr. Hutton’s base salary will be further adjusted to $425,000 annually, and he will be eligible to receive a bonus of up to 100% of his base salary.</w:t>
      </w:r>
    </w:p>
    <w:p>
      <w:pPr>
        <w:spacing w:after="0" w:line="17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addition, Mr. Hutton is entitled to certain severance benefits in the event that his employment with the Company is terminated without Cause, as defined in the 2018 Hutton Offer Letter, including but not limited to a termination following a change in control or, following a change in control, a successor’s failure to assume the terms and conditions of the 2018 Hutton Offer Letter as it relates to Mr. Hutton’s salary, duties and responsibilities or severance provisions. The severance benefits consist of (i) base salary continuation for a period of 12 months following the effective date of a general release of claims, less standard deductions and withholdings, and (ii) if Mr. Hutton timely elects healthcare continuation coverage under COBRA, Company-paid COBRA premiums (including in respect of coverage for eligible dependents) for a period starting on Mr. Hutton’s termination date and ending 12 months thereafter, subject to earlier termination if Mr. Hutton becomes eligible for health coverage from a subsequent employer, or if Mr. Hutton ceases to be eligible for COBRA continuation for any reason including plan termination.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w:t>
      </w:r>
    </w:p>
    <w:p>
      <w:pPr>
        <w:spacing w:after="0" w:line="18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Pursuant to the 2018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shall cease to vest and be forfeited on Mr. Hutton’s last day of employment. In the event that Mr. Hutton’s employment is terminated by the Company without Cause, as defined in the 2020 Hutton Offer Letter, he is entitled to the same severance benefits as provided for under the 2018 Hutton Offer Letter, plus an additional payout of target bonus previously established by the Compensation Committee. Furthermore, any change in control which results in a change of position will trigger the accelerated vesting of 100% of all unvested and then outstanding options held by Mr. Hutton.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320" w:top="459" w:right="3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In 2016, our Board of Directors adopted our 2016 Equity Incentive Plan (the 2016 Incentive Plan). The following summary describes the material terms of the 2016 Incentive Plan. This summary is not a complete description of all provisions of the 2016 Incentive Plan and is qualified in its entirety by reference to the 2016 Incentive Plan, which will be filed as an exhibit to the registration statement of which this prospectus is a part.</w:t>
      </w:r>
    </w:p>
    <w:p>
      <w:pPr>
        <w:spacing w:after="0" w:line="165"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purpose of the 2016 Incentive Plan is to help secure and retain persons performing services to the Company, provide incentives for such persons to exert maximum efforts for the success of the Company and any affiliate, and provide a means by which such persons may benefit from increases in value of the Company’s common stock. The 2016 Incentive Plan provides for the grant of incentive stock options (within the meaning of Section 422 of the Code), nonstatutory stock options, stock appreciation rights, restricted stock awards, restricted stock units (RSUs), and other stock awards. Only directors, employees and consultants who provide services to us or any affiliate of ours are eligible to receive such awards.</w:t>
      </w:r>
    </w:p>
    <w:p>
      <w:pPr>
        <w:spacing w:after="0" w:line="17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i w:val="1"/>
          <w:iCs w:val="1"/>
          <w:color w:val="auto"/>
        </w:rPr>
        <w:t xml:space="preserve">Stock Subject to the Plan. </w:t>
      </w:r>
      <w:r>
        <w:rPr>
          <w:rFonts w:ascii="Arial" w:cs="Arial" w:eastAsia="Arial" w:hAnsi="Arial"/>
          <w:sz w:val="18"/>
          <w:szCs w:val="18"/>
          <w:color w:val="auto"/>
        </w:rPr>
        <w:t>The number of shares reserved for issuance under the 2016 Incentive Plan as of December 31, 2019 was 1,853,026, all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issued in satisfaction of incentive stock option awards.</w:t>
      </w:r>
    </w:p>
    <w:p>
      <w:pPr>
        <w:spacing w:after="0" w:line="170"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To the extent an equity award granted under the 2016 Incentive Plan or the Company’s predecessor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In addition, to the extent shares subject to an award are withheld to satisfy a participant’s tax withholding obligations on a stock award, or are reacquired by the Company as consideration for the exercise or purchase price of a stock award, such shares will become available for future issuance under the 2016 Incentive Plan.</w:t>
      </w:r>
    </w:p>
    <w:p>
      <w:pPr>
        <w:spacing w:after="0" w:line="161"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As of December 31, 2019, our employees, directors and consultants hold outstanding stock options granted under the 2016 Incentive Plan for the purchase of up to 1,665,384 shares of our common stock, with 621,806 of those options vested as of such date, and outstanding RSUs with respect to 26,368 shares of our common stock.</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or committees delegated by our Board of Directors, administers the 2016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Subject to the terms of the 2016 Incentive Plan, our Board of Directors will have the authority to determine the eligibility for awards and the terms, conditions, and restrictions, including vesting terms, the number of shares subject to an award, and any performance goals applicable to awards made under the 2016 Incentive Plan. The Board of Directors also will have the authority, subject to the terms of the 2016 Incentive Plan, to construe and interpret the 2016 Incentive Plan and awards.</w:t>
      </w:r>
    </w:p>
    <w:p>
      <w:pPr>
        <w:spacing w:after="0" w:line="188"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any affiliate are eligible to participate in the 2016 Incentive Plan, if 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for participation by the plan administrator.</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i w:val="1"/>
          <w:iCs w:val="1"/>
          <w:color w:val="auto"/>
        </w:rPr>
        <w:t xml:space="preserve">Stock Options and Stock Appreciation Rights. </w:t>
      </w:r>
      <w:r>
        <w:rPr>
          <w:rFonts w:ascii="Arial" w:cs="Arial" w:eastAsia="Arial" w:hAnsi="Arial"/>
          <w:sz w:val="17"/>
          <w:szCs w:val="17"/>
          <w:color w:val="auto"/>
        </w:rPr>
        <w:t>Our Board of Directors may grant incentive stock options, nonstatutory stock options,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under the 2016 Incentive Plan, provided that incentive stock options are granted only to employees of the Company, a parent corporation or a subsidiary corporation. The exercise price of stock options and stock appreciation rights under the 2016 Incentive Plan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2016 Incentive Plan, the Board of Directors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Board of Directors permits otherwise), as specified in the award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459" w:right="3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Our Board of Directors will decide at the time of grant whether an award will be in the form of restricted stock, RSUs, or other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The Board of Directors will determine the terms of the awards, including the number of shares subject to the award, vesting, and the nature of any performance measures. Our Board of Directors may grant other stock awards that are valued in whole or in part by reference to, or otherwise based on, shares of our common stock, including the appreciation in value thereof.</w:t>
      </w:r>
    </w:p>
    <w:p>
      <w:pPr>
        <w:spacing w:after="0" w:line="18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The 2016 Incentive Plan does not allow options or stock appreciation rights to be transferred other than by will or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descent and distribution following the participant’s death. Restricted stock awards may be transferable by the participant only upon such terms and conditions as set forth in the award agreement, as the Board of Directors determines in its sole discretion.</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If any change is made in our common stock, without the receipt of consideration by us, such as through a merger,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reincorporation, recapitalization, stock dividend, dividend in property other than cash, large nonrecurring cash dividend, stock split, reverse stock split, liquidating dividend, combination of shares, exchange of shares, change in corporate structure, or any similar equity restructuring transaction, appropriate and proportionate adjustments will be made in the number, class, and price of shares subject to each outstanding award and the number and kind of shares subject to the plan.</w:t>
      </w:r>
    </w:p>
    <w:p>
      <w:pPr>
        <w:spacing w:after="0" w:line="188"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we experience a corporate transaction under the terms of the 2016 Incentive Plan, subject to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award agreement or any other written agreement between the participant and the Company or any affiliate, or unless otherwise expressly provided by the Board of Directors at the time of grant of an award, our Board of Directors may (i) arrange for the surviving or acquiring corporation to assume or continue the stock awards, or to substitute stock awards; (ii) arrange for the assignment of any reacquisition or repurchase rights held by the Company in respect of common stock issued pursuant to stock awards to the surviving or acquiring corporation; (iii) accelerate the vesting, in whole or in part, of stock awards, and terminate such awards if not exercised; (iv) arrange for the lapse, in whole or in part, of any reacquisition or repurchase rights held by the Company with respect to stock awards; (v) cancel or arrange for the cancellation of stock awards in exchange for such cash consideration or no consideration as our Board of Directors, in its sole discretion, may consider appropriate; or (vi) make a payment (in the form determined by the Board of Directors) equal to the excess, if any, of the value of the property a participant would have received upon the exercise of a stock award immediately prior to the effective time of the corporate transaction over any exercise price payable by such participant in connection with such exercise, which payments may be made subject to conditions or contingencies applicable to shareholders of common stock in the transaction. The Board of Directors is not required to take the same action or actions with respect to all stock awards or portions thereof with respect to all participants, and may take different actions with respected to vested and unvested portions of stock awards.</w:t>
      </w:r>
    </w:p>
    <w:p>
      <w:pPr>
        <w:spacing w:after="0" w:line="18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we experience a change in control under the terms of the 2016 Incentive Plan, an award may be subject to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as may be provided in the award agreement or in any other written agreement between the Company or any affiliate and the participant.</w:t>
      </w:r>
    </w:p>
    <w:p>
      <w:pPr>
        <w:spacing w:after="0" w:line="184" w:lineRule="exact"/>
        <w:rPr>
          <w:sz w:val="20"/>
          <w:szCs w:val="20"/>
          <w:color w:val="auto"/>
        </w:rPr>
      </w:pPr>
    </w:p>
    <w:p>
      <w:pPr>
        <w:ind w:right="200" w:firstLine="449"/>
        <w:spacing w:after="0" w:line="286" w:lineRule="auto"/>
        <w:rPr>
          <w:sz w:val="20"/>
          <w:szCs w:val="20"/>
          <w:color w:val="auto"/>
        </w:rPr>
      </w:pPr>
      <w:r>
        <w:rPr>
          <w:rFonts w:ascii="Arial" w:cs="Arial" w:eastAsia="Arial" w:hAnsi="Arial"/>
          <w:sz w:val="17"/>
          <w:szCs w:val="17"/>
          <w:i w:val="1"/>
          <w:iCs w:val="1"/>
          <w:color w:val="auto"/>
        </w:rPr>
        <w:t xml:space="preserve">New Plan Benefits. </w:t>
      </w:r>
      <w:r>
        <w:rPr>
          <w:rFonts w:ascii="Arial" w:cs="Arial" w:eastAsia="Arial" w:hAnsi="Arial"/>
          <w:sz w:val="17"/>
          <w:szCs w:val="17"/>
          <w:color w:val="auto"/>
        </w:rPr>
        <w:t>The Board of Directors has the discretion to grant awards under the 2016 Incentive Plan, and therefore it is not possible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filing of this prospectus to determine future awards that will be received by our named executive officers or others under the 2016 Incentive Plan. Only directors, employees, and consultants are eligible for consideration to participate in the 2016 Incentive Plan.</w:t>
      </w:r>
    </w:p>
    <w:p>
      <w:pPr>
        <w:spacing w:after="0" w:line="165"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has the authority to amend or terminate the 2016 Incentive Plan, subject to any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required by law. No amendment may impair the rights of a holder of an outstanding award without the consent of such holder.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2006 Employee, Director and Consultant Stock Plan</w:t>
      </w:r>
    </w:p>
    <w:p>
      <w:pPr>
        <w:spacing w:after="0" w:line="117"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following is a description of the material terms of the Biodesix, Inc. 2006 Employee, Director and Consultant Stock Plan, as amended and restated in 2008, 2011 and 2013 (the 2006 Incentive Plan). The summary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below does not contain a complete description of all provisions of the 2006 Incentive Plan and is qualified in its entirety by reference to the plan, a copy of which will be included as an exhibit to the registration statement of which this prospectus forms a part.</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2006 Incentive Plan was replaced by the 2016 Incentive Plan. The 2006 Incentive Plan governs outstanding awards granted prior to the adoption of the 2016 Incentive Plan, but no further awards will be granted pursuant to the 2006 Incentive Plan.</w:t>
      </w:r>
    </w:p>
    <w:p>
      <w:pPr>
        <w:spacing w:after="0" w:line="170"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At the time the 2006 Incentive Plan was replaced by the 2016 Incentive Plan, 135,040 shares of our common stock remained</w:t>
      </w:r>
      <w:r>
        <w:rPr>
          <w:rFonts w:ascii="Arial" w:cs="Arial" w:eastAsia="Arial" w:hAnsi="Arial"/>
          <w:sz w:val="17"/>
          <w:szCs w:val="17"/>
          <w:i w:val="1"/>
          <w:iCs w:val="1"/>
          <w:color w:val="auto"/>
        </w:rPr>
        <w:t xml:space="preserve"> </w:t>
      </w:r>
      <w:r>
        <w:rPr>
          <w:rFonts w:ascii="Arial" w:cs="Arial" w:eastAsia="Arial" w:hAnsi="Arial"/>
          <w:sz w:val="17"/>
          <w:szCs w:val="17"/>
          <w:color w:val="auto"/>
        </w:rPr>
        <w:t>reserved for issuance under the 2006 Incentive Plan and became available for issuance under the 2016 Incentive Plan. In addition, from and after the date on which the 2016 Incentive Plan was adopted, to the extent that any equity award granted under the 2006 Incentive Plan expires or otherwise terminates without having been exercised or settled in full, or is settled in cash, or the shares underlying an award are forfeited, cancelled or repurchased by the Company, the shares subject to such award will become available for future issuance under the 2016 Incentive Plan. As of December 31, 2019, our employees, directors and consultants hold outstanding stock options granted under the 2006 Incentive Plan for the purchase of up to 250,708 shares of our common stock, with 247,277 of those options vested as of such date.</w:t>
      </w:r>
    </w:p>
    <w:p>
      <w:pPr>
        <w:spacing w:after="0" w:line="17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delegated by our board of directors, administers the 2006 Incentive Plan.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our 2006 Incentive Plan, the plan administrator has the authority to, among other things, determine the eligibility for awards and the terms, conditions, and restrictions, including vesting terms, the number of shares subject to an award, and any performance goals applicable to awards made under the 2006 Incentive Plan, construe and interpret the 2006 Incentive Plan and all awards granted thereunder, and to exercise powers and to perform acts necessary or expedient to promote the best interests of the Company.</w:t>
      </w:r>
    </w:p>
    <w:p>
      <w:pPr>
        <w:spacing w:after="0" w:line="188"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any affiliate were eligible to participate in the 2006 Incentive Plan, if</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for participation by the plan administrator.</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i w:val="1"/>
          <w:iCs w:val="1"/>
          <w:color w:val="auto"/>
        </w:rPr>
        <w:t xml:space="preserve">Types and Terms of Awards. </w:t>
      </w:r>
      <w:r>
        <w:rPr>
          <w:rFonts w:ascii="Arial" w:cs="Arial" w:eastAsia="Arial" w:hAnsi="Arial"/>
          <w:sz w:val="18"/>
          <w:szCs w:val="18"/>
          <w:color w:val="auto"/>
        </w:rPr>
        <w:t>Under the 2006 Incentive Plan, we were authorized to grant stock options, stock appreciation rights,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awards, RSUs, and other stock awards.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Under the terms of the 2006 Incentive Plan relating to stock options and stock appreciation rights, upon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service, the participant may exercise his or her options or stock appreciation rights, to the extent vested (unless the Board of Directors permits otherwise), as specified in the award agreement.</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 xml:space="preserve">Certain Adjustments. </w:t>
      </w:r>
      <w:r>
        <w:rPr>
          <w:rFonts w:ascii="Arial" w:cs="Arial" w:eastAsia="Arial" w:hAnsi="Arial"/>
          <w:sz w:val="16"/>
          <w:szCs w:val="16"/>
          <w:color w:val="auto"/>
        </w:rPr>
        <w:t>If any change is made in our common stock, without the receipt of consideration by us, such as through a merger,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reincorporation, recapitalization, stock dividend, dividend in property other than cash, stock split, reverse stock split, liquidating dividend, combination of shares, exchange of shares, change in corporate structure, or other similar transaction, appropriate and proportionate adjustments will be made in the number, class, and price of shares subject to each outstanding award and the number and kind of shares subject to the plan.</w:t>
      </w:r>
    </w:p>
    <w:p>
      <w:pPr>
        <w:spacing w:after="0" w:line="15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we experience a corporate transaction under the terms of the 2006 Incentive Plan, subject to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instrument evidencing the stock award or any other written agreement between the participant and the Company or any affiliate, or unless otherwise expressly provided by the Board of Directors at the time of grant of an award, the surviving or acquiring corporation may assume or continue any or all outstanding stock awards, or substitute similar stock awards, and any reacquisition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459"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repurchase rights held by the Company in respect of common stock issued pursuant to stock awards may be assigned by the Company to its successor in connection with such corporate transaction. However, if a surviving or acquiring corporation or its respective parent chooses to assume or substitute none or only a portion of the stock awards, the stock awards that have not been assumed, continued, or substituted for similar awards, unless otherwise determined by the Board of Directors, terminate if not exercised at or prior to the effective time of the corporate transaction, and any reacquisition or repurchase rights held by the Company with respect to the stock awards shall lapse. Notwithstanding the forgoing, in the event a stock award will terminate if not exercised prior to the effective time of a corporate transaction, our Board of Directors may provide, in its sole discretion, that the participant will receive a payment (in the form determined by the Board of Directors) equal to the excess, if any, of the value of the property the participant would have received upon the exercise of a stock award immediately prior to the effective time of the corporate transaction over any exercise price payable by such participant in connection with such exercise.</w:t>
      </w:r>
    </w:p>
    <w:p>
      <w:pPr>
        <w:spacing w:after="0" w:line="18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we experience a change in control under the terms of the 2006 Incentive Plan, an award may be subject to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as may be provided in the award agreement or in any other written agreement between the Company or any affiliate and the participant.</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Board of Directors may, at any time, amend or terminate the 2006 Incentive Plan as it shall deem advisable,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stockholder approval required by law. No amendment may impair the rights of a holder of an outstanding award without the consent of such holder.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Bonus-to-Options Program</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following is a description of the material terms of the Biodesix, Inc. Bonus-to-Options Program, as amended and restated in 2015 (the Bonus-to-Options Program). The Bonus-to-Options Program was initially adopted by the Board of Directors in 2008, and subsequently amended and restated in 2010, 2011 and 2015. The summary below does not contain a complete description of all provisions of the Bonus-to-Options Program and is qualified in its entirety by reference to the plan, a copy of which will be included as an exhibit to the registration statement of which this prospectus forms a part.</w:t>
      </w:r>
    </w:p>
    <w:p>
      <w:pPr>
        <w:spacing w:after="0" w:line="188"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Bonus-to-Options Program is only available to the Chief Executive Officer, direct reports to the Chief Executive Officer and vice presidents of the Company. The Bonus-to-Options Program allows executives to convert some or all of their annual cash bonus into fully vested, non-qualified stock options to purchase shares of our common stock. Executives must declare their intent to participate in this program not later than the last day of the calendar year prior to the taxable year for which bonuses will be awarded. For the first year in which an executive becomes eligible to participate, the executive has 30 days to declare his or her intent to participate in this program. Executives may declare their intent to convert a percentage of their bonus, up to 100%, or designate a maximum dollar amount of bonus to be converted into options under this program. None of our named executive officers received option awards under this program during the year ended December 31, 2019.</w:t>
      </w:r>
    </w:p>
    <w:p>
      <w:pPr>
        <w:spacing w:after="0" w:line="17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The exercise price for the options under the Bonus-to-Options Program equals the greater of the “Deemed Preferred Price” or the then current price for the shares of our common stock. The Deemed Preferred Price is determined by dividing (i) the sum of the products of (A) the share price in each of the most recent sales of preferred stock of the Company and (B) with respect to each such sale, the number of months elapsed between such sale and earlier to occur of the next subsequent sale of preferred stock of the Company or the final day of the calendar year by (ii) 12, rounded down to the nearest whole cent. Options issued under this program must be exercised within a ten-year term.</w:t>
      </w:r>
    </w:p>
    <w:p>
      <w:pPr>
        <w:spacing w:after="0" w:line="176"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A maximum of 1% of the fully-diluted equity, as of December 31 of the year for which the bonus was awarded, may be issued in any one year to the executives. If the executive team has elected to receive options that, in the aggregate, would total more than the maximum allotment for the year, then a maximum percentage of each person’s bonus to be converted to options will be set such that the 1% threshold is not exceeded. As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459" w:right="3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June 30, 2020, our executives held outstanding stock options granted under the Bonus-to-Options Program for the purchase of up to 173,233 shares of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2020 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Brunel Consulting Agreement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Mr. Brunel resigned his position as Chairman of the Board of Directors, resigned from any committees of the Board of Directors of which he was a part, and ceased being a member of the Board of Directors effective September 14, 2020. Thereafter he began his service at the pleasure of the Board of Directors as a Director Emeritus. In addition, Mr. Brunel and the Company entered into a consulting agreement, dated as of September 19, 2020 (the Brunel Consulting Agreement), pursuant to which Mr. Brunel will cease providing services to the Company as an employee on December 31, 2020 and will provide consulting services to the Company beginning on January 1, 2021.</w:t>
      </w:r>
    </w:p>
    <w:p>
      <w:pPr>
        <w:spacing w:after="0" w:line="188" w:lineRule="exact"/>
        <w:rPr>
          <w:sz w:val="20"/>
          <w:szCs w:val="20"/>
          <w:color w:val="auto"/>
        </w:rPr>
      </w:pPr>
    </w:p>
    <w:p>
      <w:pPr>
        <w:ind w:right="240" w:firstLine="449"/>
        <w:spacing w:after="0" w:line="308" w:lineRule="auto"/>
        <w:rPr>
          <w:sz w:val="20"/>
          <w:szCs w:val="20"/>
          <w:color w:val="auto"/>
        </w:rPr>
      </w:pPr>
      <w:r>
        <w:rPr>
          <w:rFonts w:ascii="Arial" w:cs="Arial" w:eastAsia="Arial" w:hAnsi="Arial"/>
          <w:sz w:val="17"/>
          <w:szCs w:val="17"/>
          <w:color w:val="auto"/>
        </w:rPr>
        <w:t>The consulting period under the Brunel Consulting Agreement will extend from and including January 1, 2021 through December 31, 2021 unless earlier terminated by either party. During the consulting period Mr. Brunel will be entitled to receive a quarterly consulting fee of $5,000.</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Brunel Consulting Agreement further provides that each stock option held by Mr. Brunel, other than those stock options granted under the Bonus-to-Options Program, as amended and restated, be amended to provide that the expiration date of such stock option is the earlier of (i) December 31, 2021, (ii) thirty (30) days after the termination of the Brunel Consulting Agreement, and (iii) the original expiration date of such term. For any outstanding stock options held by Mr. Brunel that remain subject to time-based vesting, the parties agreed that such vesting would continue through January 1, 2021, and that the unvested portion of any such option would be cancelled. The 2020 Tranche of Mr. Brunel’s Performance-Vested Option remains outstanding and will have the opportunity to vest based on the Company’s recognized revenue in 2020. However, the 2021 Tranche of Mr. Brunel’s Performance-Vested Option was cancelled.</w:t>
      </w:r>
    </w:p>
    <w:p>
      <w:pPr>
        <w:spacing w:after="0" w:line="195" w:lineRule="exact"/>
        <w:rPr>
          <w:sz w:val="20"/>
          <w:szCs w:val="20"/>
          <w:color w:val="auto"/>
        </w:rPr>
      </w:pPr>
    </w:p>
    <w:p>
      <w:pPr>
        <w:ind w:right="640" w:firstLine="449"/>
        <w:spacing w:after="0" w:line="311" w:lineRule="auto"/>
        <w:rPr>
          <w:sz w:val="20"/>
          <w:szCs w:val="20"/>
          <w:color w:val="auto"/>
        </w:rPr>
      </w:pPr>
      <w:r>
        <w:rPr>
          <w:rFonts w:ascii="Arial" w:cs="Arial" w:eastAsia="Arial" w:hAnsi="Arial"/>
          <w:sz w:val="16"/>
          <w:szCs w:val="16"/>
          <w:color w:val="auto"/>
        </w:rPr>
        <w:t>Mr. Brunel is subject to restrictive covenants as set forth in the Brunel Consulting Agreement, including perpetual non-disparagement and confidentiality covenants, and, during a restricted period commencing on the effective date of such agreement and expiring on December 31, 2021, covenants regarding non-competition, no interference with customers and suppliers of the Company, non-solicitation, and no-hire.</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Modifications of Prior Equity Grants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As described above, in September 2020 the Board of Directors of the Company amended the Time-Vested Options and the Performance-Vested Options as follows.</w:t>
      </w:r>
    </w:p>
    <w:p>
      <w:pPr>
        <w:spacing w:after="0" w:line="170"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Under the original vesting schedule for the Time-Vested Awards, two fifths (2/5) of the stock options vest two years after the vesting commencement date, and the remaining balance vest in a series of thirty-six (36) successive equal monthly installments measured from the second anniversary of the vesting commencement. As amended, twenty-one sixtieths (21/60) of the Time-Vested Options vest on the date that is twenty-one (21) months after the vesting commencement date, with the remaining balance vesting in a series of thirty-nine (39) successive equal monthly installments measured from such date.</w:t>
      </w:r>
    </w:p>
    <w:p>
      <w:pPr>
        <w:spacing w:after="0" w:line="18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Under the original terms of the Performance-Vested Awards, one third (1/3) of stock options vest (or could have vested)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Directors determined that the performance hurdle was not met. As a result, one third (1/3) of each executive’s award was cancelled, and the remaining two thirds (2/3) of each of Mr. Hutton’s and Ms. Cowie’s award is currently outstanding. The 2020 Tranche of Mr. Brunel’s Performance-Vested Option also remains outstanding, and will have the opportunity to vest based on the Company’s recognized revenue in 2020. However, under the terms of the Brunel Consulting Agreement, the 2021 Tranche of Mr. Brunel’s award was cancelled. In addition, in September 2020 and in light of the impact of the COVID-19 pandemic on the Company’s operations and other considerations, the Board of Directors amended the Performance-Vested Options to provide that the performance hurdles for the 2020 Tranche and the 2021 Tranche are $28.6 million and $51.5 million, respectively. The Board of Directors retains ultimate discretion to determine whether such performance hurdles have been met, and at the time of the amendment believed that such achievement was uncertain.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connection with this offering, our board of directors and our current stockholders are expected to approve the 2020 Incentive Plan, to be effective prior to the completion of this offering. The 2020 Incentive Plan, if created, would replace the 2016 Incentive Plan, as described above. The following summary describes what we expect to be the material terms of the 2020 Incentive Plan. This summary is not a complete description of all provisions of the 2020 Incentive Plan and is qualified in its entirety by reference to the 2020 Incentive Plan, which will be filed as an exhibit to the registration statement of which this prospectus is a part.</w:t>
      </w:r>
    </w:p>
    <w:p>
      <w:pPr>
        <w:spacing w:after="0" w:line="188"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The purposes of the 2020 Incentive Plan are to align the interests of the Company’s stockholders and those eligible for awards, to retain officers, directors, employees, and other service providers, and to motivate such persons to act in the long-term best interests of the Company and its stockholders. The 2020 Incentive Plan provides for the grant of incentive stock options (within the meaning of Section 422 of the Code), nonstatutory stock options, stock appreciation rights, restricted stock awards, restricted stock units, performance awards and other stock awards. Officers, directors, employees, consultants, agents and independent contractors who provide services to us or to any subsidiary of ours are eligible to receive such awards.</w:t>
      </w:r>
    </w:p>
    <w:p>
      <w:pPr>
        <w:spacing w:after="0" w:line="161"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i w:val="1"/>
          <w:iCs w:val="1"/>
          <w:color w:val="auto"/>
        </w:rPr>
        <w:t>Stock Subject to the Plan</w:t>
      </w:r>
      <w:r>
        <w:rPr>
          <w:rFonts w:ascii="Arial" w:cs="Arial" w:eastAsia="Arial" w:hAnsi="Arial"/>
          <w:sz w:val="16"/>
          <w:szCs w:val="16"/>
          <w:color w:val="auto"/>
        </w:rPr>
        <w:t>. The number of shares reserved for issuance under the 2020 Incentive Plan is 1,893,395, plus an annual increase added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day of each calendar year, beginning with the calendar year ending December 31, 2022, and continuing until, and including, the calendar year ending December 31, 2030. The annual increase will be equal to the lesser of (i) 4% of the number of shares of our common stock issued and outstanding as of the December 31st of the immediately preceding calendar year and (ii) such lesser amount determined by the board of directors. Up to 4,790,481 shares of our common stock that may be issued under the 2020 Incentive Plan may be issued in satisfaction of incentive stock option awards.</w:t>
      </w:r>
    </w:p>
    <w:p>
      <w:pPr>
        <w:spacing w:after="0" w:line="161"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To the extent an equity award granted under the 2020 Incentive Plan (other than any substitute award) or granted under any other equity plan maintained by us under which awards are outstanding as of the effective date of the 2020 Incentive Plan (the Prior Plans) expires or otherwise terminates without having been exercised or paid in full, or is settled in cash, the shares subject to such award will become available for future grant under the 2020 Incentive Plan. In addition, to the extent shares subject to an award are withheld to satisfy a participant’s tax withholding obligation upon the exercise or settlement of such award (other than any substitute award) or to pay the exercise price of a stock option granted under the 2020 Incentive Plan or a Prior Plan, such shares will become available for future grant under the 2020 Incentive Plan.</w:t>
      </w:r>
    </w:p>
    <w:p>
      <w:pPr>
        <w:spacing w:after="0" w:line="17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i w:val="1"/>
          <w:iCs w:val="1"/>
          <w:color w:val="auto"/>
        </w:rPr>
        <w:t>Director Compensation Limit</w:t>
      </w:r>
      <w:r>
        <w:rPr>
          <w:rFonts w:ascii="Arial" w:cs="Arial" w:eastAsia="Arial" w:hAnsi="Arial"/>
          <w:sz w:val="18"/>
          <w:szCs w:val="18"/>
          <w:color w:val="auto"/>
        </w:rPr>
        <w:t>. The aggregate value of cash compensation paid and the grant date fair value of equity awards granted during any year</w:t>
      </w:r>
      <w:r>
        <w:rPr>
          <w:rFonts w:ascii="Arial" w:cs="Arial" w:eastAsia="Arial" w:hAnsi="Arial"/>
          <w:sz w:val="18"/>
          <w:szCs w:val="18"/>
          <w:i w:val="1"/>
          <w:iCs w:val="1"/>
          <w:color w:val="auto"/>
        </w:rPr>
        <w:t xml:space="preserve"> </w:t>
      </w:r>
      <w:r>
        <w:rPr>
          <w:rFonts w:ascii="Arial" w:cs="Arial" w:eastAsia="Arial" w:hAnsi="Arial"/>
          <w:sz w:val="18"/>
          <w:szCs w:val="18"/>
          <w:color w:val="auto"/>
        </w:rPr>
        <w:t>to any non-employee director will not exceed $600,000 for incumbent non-employee directors and $1,050,000 for non-employee directors who are first appointed to our board of directors in such year.</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Compensation Committee will administer the 2020 Incentive Plan. Our board of directors has the authority to amend and</w:t>
      </w:r>
      <w:r>
        <w:rPr>
          <w:rFonts w:ascii="Arial" w:cs="Arial" w:eastAsia="Arial" w:hAnsi="Arial"/>
          <w:sz w:val="18"/>
          <w:szCs w:val="18"/>
          <w:i w:val="1"/>
          <w:iCs w:val="1"/>
          <w:color w:val="auto"/>
        </w:rPr>
        <w:t xml:space="preserve"> </w:t>
      </w:r>
      <w:r>
        <w:rPr>
          <w:rFonts w:ascii="Arial" w:cs="Arial" w:eastAsia="Arial" w:hAnsi="Arial"/>
          <w:sz w:val="18"/>
          <w:szCs w:val="18"/>
          <w:color w:val="auto"/>
        </w:rPr>
        <w:t>modify the plan, subject to any stockholder approval required by law 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60"/>
          </w:cols>
          <w:pgMar w:left="320" w:top="459"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stock exchange rules. Subject to the terms of the 2020 Incentive Plan, our Compensation Committee will have the authority to determine the eligibility for awards and the terms, conditions, and restrictions, including vesting terms, the number of shares subject to an award, and any performance goals applicable to grants made under the 2020 Incentive Plan. The Compensation Committee also will have the authority, subject to the terms of the 2020 Incentive Plan, to construe and interpret the 2020 Incentive Plan and awards, and amend outstanding awards at any time.</w:t>
      </w:r>
    </w:p>
    <w:p>
      <w:pPr>
        <w:spacing w:after="0" w:line="171"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i w:val="1"/>
          <w:iCs w:val="1"/>
          <w:color w:val="auto"/>
        </w:rPr>
        <w:t>Stock Options and Stock Appreciation Rights</w:t>
      </w:r>
      <w:r>
        <w:rPr>
          <w:rFonts w:ascii="Arial" w:cs="Arial" w:eastAsia="Arial" w:hAnsi="Arial"/>
          <w:sz w:val="16"/>
          <w:szCs w:val="16"/>
          <w:color w:val="auto"/>
        </w:rPr>
        <w:t>. Our Compensation Committee may grant incentive stock options, nonstatutory stock options, and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under the 2020 Incentive Plan, provided that incentive stock options are granted only to employees. The exercise price of stock options and stock appreciation rights under the 2020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2020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2020 Incentive Plan prohibits the payment of dividend equivalents with respect to options and stock appreciation rights and prohibits the repricing of options and stock appreciation rights without stockholder approval.</w:t>
      </w:r>
    </w:p>
    <w:p>
      <w:pPr>
        <w:spacing w:after="0" w:line="17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Our Compensation Committee will decide at the time of grant whether an award will be in the form of restricted stock,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provided that (i) a distribution with respect to shares of common stock, other than a regular cash dividend, and (ii) a regular cash dividend with respect to shares of common stock that are subject to performance-based vesting conditions, in each case, will be deposited with us and will be subject to the same restrictions as the underlying shares of common stock. The recipient of restricted stock units will not have voting rights, but his or her award agreement may provide for the receipt of dividend equivalents, provided that any dividend equivalents with respect to restricted stock units that are subject to performance-based vesting conditions will be subject to the same restrictions as the underlying restricted stock units. 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w:t>
      </w:r>
    </w:p>
    <w:p>
      <w:pPr>
        <w:spacing w:after="0" w:line="172"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Our Compensation Committee will determine the value of any performance award, the vesting and nature of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and whether the award is denominated or settled in cash or in shares of our common stock. The performance goals applicable to a particular award will be determined by our Compensation Committee at the time of grant. Any dividends or dividend equivalents with respect to a performance award subject to performance-based vesting conditions will be subject to the same restrictions as such performance award.</w:t>
      </w:r>
    </w:p>
    <w:p>
      <w:pPr>
        <w:spacing w:after="0" w:line="15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Transferability of Awards</w:t>
      </w:r>
      <w:r>
        <w:rPr>
          <w:rFonts w:ascii="Arial" w:cs="Arial" w:eastAsia="Arial" w:hAnsi="Arial"/>
          <w:sz w:val="18"/>
          <w:szCs w:val="18"/>
          <w:color w:val="auto"/>
        </w:rPr>
        <w:t>. The 2020 Incentive Plan does not allow awards to be transferred other than by will or the laws of inheritance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death, and options may be exercised, during the lifetime of the participant, only by the participant. However, an award agreement may permit a participant to assign an award to a family member by gift or pursuant to a domestic relations order, or to a trust, family limited partnership or similar entity established for one of the participant’s family members. A participant may also designate a beneficiary who will receive outstanding awards upon the participant’s death.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If any change is made in our common stock, without the receipt of consideration by us, such as through a stock split,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extraordinary distribution, recapitalization, combination of shares, exchange of shares or other similar transaction, appropriate adjustments will be made in the number, class, and price of shares subject to each outstanding award and the numerical share limits contained in the plan.</w:t>
      </w:r>
    </w:p>
    <w:p>
      <w:pPr>
        <w:spacing w:after="0" w:line="14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Subject to the terms of the applicable award agreement, upon a “change in control” (as defined in the 2020 Incentive Plan),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may, in its discretion, determine whether some or all outstanding options and stock appreciation rights will become exercisable in full or in part, whether the restriction period and performance period applicable to some or all outstanding restricted stock awards and restricted stock unit awards will lapse in full or in part and whether the performance measures applicable to some or all outstanding awards will be deemed to be satisfied. Our board of directors may further require that shares of stock of the corporation resulting from such a change in control, or a parent corporation thereof, be substituted for some or all of our shares of common stock subject to an outstanding award and that any outstanding awards, in whole or in part, be surrendered to us by the holder and be immediately cancelled by us in exchange for a cash payment, shares of capital stock of the corporation resulting from or succeeding us, other property or a combination of cash, such shares of stock or other property.</w:t>
      </w:r>
    </w:p>
    <w:p>
      <w:pPr>
        <w:spacing w:after="0" w:line="178"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Awards granted under the 2020 Incentive Plan and any cash payment or shares of our common stock delivered pursuant to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2020 Incentive Plan are subject to forfeiture, recovery, or other action pursuant to the applicable award agreement or any clawback or recoupment policy that we may adopt.</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Compensation Committee has the authority to amend, suspend or terminate the 2020 Incentive Plan,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required by law or stock exchange rules. Our 2020 Incentive Plan will terminate on the ten-year anniversary of its approval by our board of directors, unless we terminate it earlier.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right="520" w:firstLine="449"/>
        <w:spacing w:after="0" w:line="259" w:lineRule="auto"/>
        <w:rPr>
          <w:sz w:val="20"/>
          <w:szCs w:val="20"/>
          <w:color w:val="auto"/>
        </w:rPr>
      </w:pPr>
      <w:r>
        <w:rPr>
          <w:rFonts w:ascii="Arial" w:cs="Arial" w:eastAsia="Arial" w:hAnsi="Arial"/>
          <w:sz w:val="18"/>
          <w:szCs w:val="18"/>
          <w:color w:val="auto"/>
        </w:rPr>
        <w:t>In connection with this offering, our board of directors and our current stockholders are expected to approve the ESPP to be effective upon the completion of this offering. The following summary describes what we expect to be the material terms of the ESPP. This summary is not a complete description of all provisions of the ESPP and is qualified in its entirety by reference to the ESPP, which will be filed as an exhibit to the registration statement of which this prospectus is a part.</w:t>
      </w:r>
    </w:p>
    <w:p>
      <w:pPr>
        <w:spacing w:after="0" w:line="187"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Generally, all of our full-time employees (including those of our consolidated subsidiaries, other than those subsidiaries excluded from participation by our board of directors or Compensation Committee) are eligible to participate in the ESPP. The Compensation Committee retains the discretion to change the scope of eligible participants, subject to applicable limitations under the Code. The ESPP permits employees to purchase our common stock through payroll deductions during six-month offering periods. The Compensation Committee retains the discretion to change the duration of future offering periods, subject to applicable limitations under the Code. Subject to applicable Code limitations,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although the Compensation Committee retains the discretion to change the duration of future purchase periods, subject to the limitations under the Code. Under the terms of the ESPP, the purchase price per share with respect to an offering period will equal the lesser of (i) 85% of the fair market value of a share of our common stock on the first business day of such offering period and</w:t>
      </w:r>
    </w:p>
    <w:p>
      <w:pPr>
        <w:spacing w:after="0" w:line="6" w:lineRule="exact"/>
        <w:rPr>
          <w:sz w:val="20"/>
          <w:szCs w:val="20"/>
          <w:color w:val="auto"/>
        </w:rPr>
      </w:pPr>
    </w:p>
    <w:p>
      <w:pPr>
        <w:ind w:firstLine="8"/>
        <w:spacing w:after="0" w:line="253" w:lineRule="auto"/>
        <w:tabs>
          <w:tab w:leader="none" w:pos="2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Except as otherwise determined by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459" w:right="3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Compensation Committee with respect to future offering periods, no participant may purchase more than 10,000 shares of our common stock during any offering period.</w:t>
      </w:r>
    </w:p>
    <w:p>
      <w:pPr>
        <w:spacing w:after="0" w:line="17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Subject to adjustment for stock splits, stock dividends or other changes in our capital stock, 338,106 shares of our common stock have been reserved for issuance under the ESPP. Subject to the adjustment provisions contained in the ESPP, the maximum number of shares of our common stock available under the ESPP will automatically increase on the first trading day of each calendar year, commencing January 2021, by an amount equal to the lesser of</w:t>
      </w:r>
    </w:p>
    <w:p>
      <w:pPr>
        <w:spacing w:after="0" w:line="2" w:lineRule="exact"/>
        <w:rPr>
          <w:sz w:val="20"/>
          <w:szCs w:val="20"/>
          <w:color w:val="auto"/>
        </w:rPr>
      </w:pPr>
    </w:p>
    <w:p>
      <w:pPr>
        <w:ind w:right="720" w:firstLine="8"/>
        <w:spacing w:after="0" w:line="260" w:lineRule="auto"/>
        <w:tabs>
          <w:tab w:leader="none" w:pos="2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1% of the shares of our common stock issued and outstanding on December 31 of the immediately preceding calendar year, and (ii) an amount determined by our board of directors.</w:t>
      </w:r>
    </w:p>
    <w:p>
      <w:pPr>
        <w:spacing w:after="0" w:line="185"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the exercise of its sole discretion, in lieu of such assumption or substitution to either terminate all outstanding options under the ESPP and return to each participant the payroll deductions credited to such participant’s account or to provide for the offering period in progress to end on a date prior to the consummation of such sale or merger.</w:t>
      </w:r>
    </w:p>
    <w:p>
      <w:pPr>
        <w:spacing w:after="0" w:line="19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ESPP will be administered by the Compensation Committee or a designee of the Compensation Committee.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320" w:top="459" w:right="3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right="460" w:firstLine="449"/>
        <w:spacing w:after="0" w:line="259" w:lineRule="auto"/>
        <w:rPr>
          <w:sz w:val="20"/>
          <w:szCs w:val="20"/>
          <w:color w:val="auto"/>
        </w:rPr>
      </w:pPr>
      <w:r>
        <w:rPr>
          <w:rFonts w:ascii="Arial" w:cs="Arial" w:eastAsia="Arial" w:hAnsi="Arial"/>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five percent of our voting securities and their affiliates and immediate family members, other than compensation arrangements which are described in the sections titled “Executive Compensation” and “Management—Non-Employee Director Compensation.”</w:t>
      </w:r>
    </w:p>
    <w:p>
      <w:pPr>
        <w:spacing w:after="0" w:line="187"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We have established a written related party transaction policy that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Financings</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have issued preferred stock from time to time to finance our operations or to make acquisitions. The purchasers of some of our preferred stock are covered persons or their affiliates.</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2,129,981 shares that were deposited in an escrow account to be used to satisfy any indemnification obligations of the seller that may arise.</w:t>
      </w:r>
    </w:p>
    <w:p>
      <w:pPr>
        <w:spacing w:after="0" w:line="184"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2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following table sets forth the number of shares of Series G Preferred Stock and Series H Preferred Stock purchased in the foregoing transactions by holders of more than 5% of our capital stock and their affiliated entities and our directors. None of our executive officers purchased shares of Series G Preferred Stock or Series H Preferred Stock in the foregoing transactions.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Series 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Series H</w:t>
            </w:r>
          </w:p>
        </w:tc>
        <w:tc>
          <w:tcPr>
            <w:tcW w:w="0" w:type="dxa"/>
            <w:vAlign w:val="bottom"/>
          </w:tcPr>
          <w:p>
            <w:pPr>
              <w:spacing w:after="0"/>
              <w:rPr>
                <w:sz w:val="1"/>
                <w:szCs w:val="1"/>
                <w:color w:val="auto"/>
              </w:rPr>
            </w:pPr>
          </w:p>
        </w:tc>
      </w:tr>
      <w:tr>
        <w:trPr>
          <w:trHeight w:val="158"/>
        </w:trPr>
        <w:tc>
          <w:tcPr>
            <w:tcW w:w="8760" w:type="dxa"/>
            <w:vAlign w:val="bottom"/>
            <w:gridSpan w:val="2"/>
            <w:vMerge w:val="continue"/>
          </w:tcPr>
          <w:p>
            <w:pPr>
              <w:spacing w:after="0"/>
              <w:rPr>
                <w:sz w:val="13"/>
                <w:szCs w:val="13"/>
                <w:color w:val="auto"/>
              </w:rPr>
            </w:pPr>
          </w:p>
        </w:tc>
        <w:tc>
          <w:tcPr>
            <w:tcW w:w="13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Jack Schuler and entities affiliated with Jack Schuler</w:t>
            </w:r>
            <w:r>
              <w:rPr>
                <w:rFonts w:ascii="Arial" w:cs="Arial" w:eastAsia="Arial" w:hAnsi="Arial"/>
                <w:sz w:val="15"/>
                <w:szCs w:val="15"/>
                <w:color w:val="auto"/>
              </w:rPr>
              <w:t>(1)</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12,556,262</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8,959,765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John Patience and entities affiliated with John Patience</w:t>
            </w:r>
            <w:r>
              <w:rPr>
                <w:rFonts w:ascii="Arial" w:cs="Arial" w:eastAsia="Arial" w:hAnsi="Arial"/>
                <w:sz w:val="15"/>
                <w:szCs w:val="15"/>
                <w:color w:val="auto"/>
              </w:rPr>
              <w:t>(2)</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7,668,930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4,182,413</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Manlia Limited</w:t>
            </w:r>
            <w:r>
              <w:rPr>
                <w:rFonts w:ascii="Arial" w:cs="Arial" w:eastAsia="Arial" w:hAnsi="Arial"/>
                <w:sz w:val="15"/>
                <w:szCs w:val="15"/>
                <w:color w:val="auto"/>
              </w:rPr>
              <w:t>(3)</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4,913,376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2,024,338</w:t>
            </w:r>
          </w:p>
        </w:tc>
        <w:tc>
          <w:tcPr>
            <w:tcW w:w="0" w:type="dxa"/>
            <w:vAlign w:val="bottom"/>
          </w:tcPr>
          <w:p>
            <w:pPr>
              <w:spacing w:after="0"/>
              <w:rPr>
                <w:sz w:val="1"/>
                <w:szCs w:val="1"/>
                <w:color w:val="auto"/>
              </w:rPr>
            </w:pPr>
          </w:p>
        </w:tc>
      </w:tr>
      <w:tr>
        <w:trPr>
          <w:trHeight w:val="216"/>
        </w:trPr>
        <w:tc>
          <w:tcPr>
            <w:tcW w:w="8760" w:type="dxa"/>
            <w:vAlign w:val="bottom"/>
            <w:gridSpan w:val="2"/>
          </w:tcPr>
          <w:p>
            <w:pPr>
              <w:spacing w:after="0"/>
              <w:rPr>
                <w:sz w:val="20"/>
                <w:szCs w:val="20"/>
                <w:color w:val="auto"/>
              </w:rPr>
            </w:pPr>
            <w:r>
              <w:rPr>
                <w:rFonts w:ascii="Arial" w:cs="Arial" w:eastAsia="Arial" w:hAnsi="Arial"/>
                <w:sz w:val="18"/>
                <w:szCs w:val="18"/>
                <w:color w:val="auto"/>
              </w:rPr>
              <w:t>Matthew Strobeck and entities affiliated with Matthew Strobeck</w:t>
            </w:r>
            <w:r>
              <w:rPr>
                <w:rFonts w:ascii="Arial" w:cs="Arial" w:eastAsia="Arial" w:hAnsi="Arial"/>
                <w:sz w:val="15"/>
                <w:szCs w:val="15"/>
                <w:color w:val="auto"/>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1,660,268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996,664</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Sciences Alternative Financing and entities affiliated with Life Sciences Alternative Financing</w:t>
            </w:r>
            <w:r>
              <w:rPr>
                <w:rFonts w:ascii="Arial" w:cs="Arial" w:eastAsia="Arial" w:hAnsi="Arial"/>
                <w:sz w:val="15"/>
                <w:szCs w:val="15"/>
                <w:color w:val="auto"/>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10,649,904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1,651,389</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Lawrence T. Kennedy, Jr. Revocable Trust UAD 6/19/01</w:t>
            </w:r>
            <w:r>
              <w:rPr>
                <w:rFonts w:ascii="Arial" w:cs="Arial" w:eastAsia="Arial" w:hAnsi="Arial"/>
                <w:sz w:val="15"/>
                <w:szCs w:val="15"/>
                <w:color w:val="auto"/>
              </w:rPr>
              <w:t>(6)</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4,000,000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2,597,236</w:t>
            </w:r>
          </w:p>
        </w:tc>
        <w:tc>
          <w:tcPr>
            <w:tcW w:w="0" w:type="dxa"/>
            <w:vAlign w:val="bottom"/>
          </w:tcPr>
          <w:p>
            <w:pPr>
              <w:spacing w:after="0"/>
              <w:rPr>
                <w:sz w:val="1"/>
                <w:szCs w:val="1"/>
                <w:color w:val="auto"/>
              </w:rPr>
            </w:pPr>
          </w:p>
        </w:tc>
      </w:tr>
      <w:tr>
        <w:trPr>
          <w:trHeight w:val="350"/>
        </w:trPr>
        <w:tc>
          <w:tcPr>
            <w:tcW w:w="8760" w:type="dxa"/>
            <w:vAlign w:val="bottom"/>
            <w:gridSpan w:val="2"/>
          </w:tcPr>
          <w:p>
            <w:pPr>
              <w:ind w:left="5480"/>
              <w:spacing w:after="0"/>
              <w:rPr>
                <w:sz w:val="20"/>
                <w:szCs w:val="20"/>
                <w:color w:val="auto"/>
              </w:rPr>
            </w:pPr>
            <w:r>
              <w:rPr>
                <w:rFonts w:ascii="Arial" w:cs="Arial" w:eastAsia="Arial" w:hAnsi="Arial"/>
                <w:sz w:val="18"/>
                <w:szCs w:val="18"/>
                <w:color w:val="auto"/>
              </w:rPr>
              <w:t>183</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886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right="60" w:hanging="452"/>
        <w:spacing w:after="0" w:line="255"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shares of preferred stock purchased by Jack Schuler, a member of our Board of Directors who together with his affiliates holds more than 5% of our capital stock, and by Jack W. Schuler Living Trust, Schuler GC 2010 Continuation Trust, Schuler Grandchildren LLC, Tanya Eva Schuler, Trust, Therese Heidi Shuler, Trust, and Tino Hans Schuler, Trust.</w:t>
      </w:r>
    </w:p>
    <w:p>
      <w:pPr>
        <w:spacing w:after="0" w:line="2" w:lineRule="exact"/>
        <w:rPr>
          <w:rFonts w:ascii="Arial" w:cs="Arial" w:eastAsia="Arial" w:hAnsi="Arial"/>
          <w:sz w:val="18"/>
          <w:szCs w:val="18"/>
          <w:color w:val="auto"/>
        </w:rPr>
      </w:pPr>
    </w:p>
    <w:p>
      <w:pPr>
        <w:ind w:left="460" w:right="300" w:hanging="452"/>
        <w:spacing w:after="0" w:line="265" w:lineRule="auto"/>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Includes shares of preferred stock purchased by John Patience Trust, dated July 23, 1993 and Patience Enterprises LP, entities affiliated with John Patience, a member of our Board of Directors who together with his affiliates holds more than 5% of our capital stock.</w:t>
      </w: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Cawthorn is an affiliate of Manlia Limited, which holds more than 5% of our capital stock.</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shares of preferred stock purchased by Clajer Capital LLC. Dr. Strobeck, a member of our Board of Directors is an affiliate of Clajer Capital LLC.</w:t>
      </w:r>
    </w:p>
    <w:p>
      <w:pPr>
        <w:ind w:left="460" w:right="6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shares of preferred stock acquired by Life Sciences Alternative Financing LLC and IND Funding LLC in connection with the acquisition of certain assets and liabilities of Integrated Diagnostics, Inc., which together hold more than 5% of our capital stock.</w:t>
      </w: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Lawrence T. Kennedy, Jr. Revocable Trust UAD 6/19/01 holds more than 5% of our capital stock.</w:t>
      </w:r>
    </w:p>
    <w:p>
      <w:pPr>
        <w:spacing w:after="0" w:line="211"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0.1684664 share of common stock. Upon the closing of this offering, each share of Series B-1 Preferred Stock will convert into approximately 0.196 shares of common stock. For a description of the material rights and privileges of the preferred stock, see “Description of Capital Stock—Preferred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Financings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March 2020, we issued $10.0 million in convertible debt (the March 2020 Notes) that was scheduled to mature in August 2020. In August 2020, the maturity date of this debt was extended to June 30, 2021. The March 2020 Notes were issued in two tranches of $5 million, with the first tranche being funded in March 2020 and the second tranche in June 2020. Interest on the March 2020 Notes 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185"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In December 2019, we issued $6.0 million in convertible debt (the December 2019 Notes), that were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included a number of our directors and their affiliates.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August and September 2019 we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81"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including the right to demand that we file a registration statement or request that their shares be covered by a registration statement that we are otherwise filing. The IRA also provides certain major stockholders with information rights, which will terminate upon the closing of this offering, and a right of first refusal with regard to certain issuances of our capital stock, which will not apply to, and will terminate upon, the closing of, this offering. After the closing of this offering, the holders of 20,090,745 shares of common stock issuable on conversion of outstanding preferred stock, will be entitled to rights with respect to the registration of their shares of common stock under the Securities Act under this agreement. For a description of these registration rights, see “Description of Capital Stock—Registration Rights.”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October 2018, we entered into an amended and restated voting agreement with certain holders of our preferred stock and common stock, including certain holders of 5% of our capital stock, and including certain members of, and affiliates of, our directors and certain of our executive officers. Pursuant to the Voting Agreement, certain holders of our preferred stock and common stock have agreed to vote their shares in favor of specified transactions approved by the requisite supermajority of the shares of our voting capital stock held by investors party thereto. The Voting Agreement will terminate upon the closing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121"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In October 2018, we entered into an amended and restated right of first refusal and co-sale agreement (Co-Sale Agreement) with certain holders of our preferred stock and common stock, including certain holders of 5% of our capital stock, and including certain members of, and affiliates of, our directors and certain of our executive officers. Pursuant to the Co-Sale Agreement, we have a right of first refusal in respect of certain sales of securities by certain holders of our capital stock. To the extent we do not exercise such right in full, certain holders of our preferred stock are granted certain rights of first refusal and co-sale in respect of such sales. The Co-Sale Agreement will terminate upon the closing of this offering.</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00"/>
          </w:cols>
          <w:pgMar w:left="320" w:top="459" w:right="3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Value Rights Agreement</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February 2016, we entered into a contingent value rights agreement (CVR Agreement) with certain holders of our preferred and common stock, including several members of our Board. Pursuant to the CVR Agreement, the holders would be eligible to receive in the aggregate up to 15% of any future income and proceeds that we would receive, subject to a number of conditions and offsets, with respect to ficlatuzumab rights under our agreement with AVEO.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right="560" w:firstLine="449"/>
        <w:spacing w:after="0" w:line="342" w:lineRule="auto"/>
        <w:rPr>
          <w:sz w:val="20"/>
          <w:szCs w:val="20"/>
          <w:color w:val="auto"/>
        </w:rPr>
      </w:pPr>
      <w:r>
        <w:rPr>
          <w:rFonts w:ascii="Arial" w:cs="Arial" w:eastAsia="Arial" w:hAnsi="Arial"/>
          <w:sz w:val="16"/>
          <w:szCs w:val="16"/>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459" w:right="3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October 15, 2020:</w:t>
      </w:r>
    </w:p>
    <w:p>
      <w:pPr>
        <w:spacing w:after="0" w:line="142" w:lineRule="exact"/>
        <w:rPr>
          <w:sz w:val="20"/>
          <w:szCs w:val="20"/>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October 15, 2020,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7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based percentage ownership of common stock before this offering on 20,405,792 shares of common stock outstanding as of October 15, 2020, which includes 20,090,745 shares of common stock resulting from the conversion of all outstanding shares of preferred stock immediately upon the closing of this offering, as if this conversion had occurred as of October 15, 2020. Percentage ownership of common stock after this offering assumes the sale of 4,166,667 shares of common stock in this offering and no exercise of the underwriters’ over-allotment option, as well as the conversion of all convertible debt into an aggregate of 1,848,280 shares of common stock immediately upon the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The table below does not reflect any shares of common stock that may be purchased in this offering, including through the directed share program described under “Underwriters—Directed Share Program.” Unless otherwise indicated, the address for each beneficial owner listed in the table below is c/o Biodesix, Inc., 2970 Wilderness Place, Suite 100, Boulder, Colorado 80301.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Shares Beneficially</w:t>
            </w: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7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6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Owned Following</w:t>
            </w:r>
          </w:p>
        </w:tc>
        <w:tc>
          <w:tcPr>
            <w:tcW w:w="0" w:type="dxa"/>
            <w:vAlign w:val="bottom"/>
          </w:tcPr>
          <w:p>
            <w:pPr>
              <w:spacing w:after="0"/>
              <w:rPr>
                <w:sz w:val="1"/>
                <w:szCs w:val="1"/>
                <w:color w:val="auto"/>
              </w:rPr>
            </w:pPr>
          </w:p>
        </w:tc>
      </w:tr>
      <w:tr>
        <w:trPr>
          <w:trHeight w:val="17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5480" w:type="dxa"/>
            <w:vAlign w:val="bottom"/>
            <w:vMerge w:val="restart"/>
          </w:tcPr>
          <w:p>
            <w:pPr>
              <w:spacing w:after="0"/>
              <w:rPr>
                <w:sz w:val="14"/>
                <w:szCs w:val="14"/>
                <w:color w:val="auto"/>
              </w:rPr>
            </w:pPr>
          </w:p>
        </w:tc>
        <w:tc>
          <w:tcPr>
            <w:tcW w:w="17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this Offering</w:t>
            </w: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this Offering</w:t>
            </w:r>
          </w:p>
        </w:tc>
        <w:tc>
          <w:tcPr>
            <w:tcW w:w="0" w:type="dxa"/>
            <w:vAlign w:val="bottom"/>
          </w:tcPr>
          <w:p>
            <w:pPr>
              <w:spacing w:after="0"/>
              <w:rPr>
                <w:sz w:val="1"/>
                <w:szCs w:val="1"/>
                <w:color w:val="auto"/>
              </w:rPr>
            </w:pPr>
          </w:p>
        </w:tc>
      </w:tr>
      <w:tr>
        <w:trPr>
          <w:trHeight w:val="148"/>
        </w:trPr>
        <w:tc>
          <w:tcPr>
            <w:tcW w:w="2440" w:type="dxa"/>
            <w:vAlign w:val="bottom"/>
            <w:tcBorders>
              <w:bottom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02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Principal Stockholders:</w:t>
            </w: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Jack Schuler and entities affiliated with Jack Schuler</w:t>
            </w:r>
            <w:r>
              <w:rPr>
                <w:rFonts w:ascii="Arial" w:cs="Arial" w:eastAsia="Arial" w:hAnsi="Arial"/>
                <w:sz w:val="15"/>
                <w:szCs w:val="15"/>
                <w:color w:val="auto"/>
              </w:rPr>
              <w:t>(1)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6,704,263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7,670,069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29.0%</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Patience and entities affiliated with John Patience</w:t>
            </w:r>
            <w:r>
              <w:rPr>
                <w:rFonts w:ascii="Arial" w:cs="Arial" w:eastAsia="Arial" w:hAnsi="Arial"/>
                <w:sz w:val="15"/>
                <w:szCs w:val="15"/>
                <w:color w:val="auto"/>
              </w:rPr>
              <w:t>(2)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4,634,979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4,823,315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18.2%</w:t>
            </w:r>
          </w:p>
        </w:tc>
        <w:tc>
          <w:tcPr>
            <w:tcW w:w="0" w:type="dxa"/>
            <w:vAlign w:val="bottom"/>
          </w:tcPr>
          <w:p>
            <w:pPr>
              <w:spacing w:after="0"/>
              <w:rPr>
                <w:sz w:val="1"/>
                <w:szCs w:val="1"/>
                <w:color w:val="auto"/>
              </w:rPr>
            </w:pPr>
          </w:p>
        </w:tc>
      </w:tr>
      <w:tr>
        <w:trPr>
          <w:trHeight w:val="202"/>
        </w:trPr>
        <w:tc>
          <w:tcPr>
            <w:tcW w:w="7920" w:type="dxa"/>
            <w:vAlign w:val="bottom"/>
            <w:gridSpan w:val="2"/>
          </w:tcPr>
          <w:p>
            <w:pPr>
              <w:spacing w:after="0" w:line="201" w:lineRule="exact"/>
              <w:rPr>
                <w:sz w:val="20"/>
                <w:szCs w:val="20"/>
                <w:color w:val="auto"/>
              </w:rPr>
            </w:pPr>
            <w:r>
              <w:rPr>
                <w:rFonts w:ascii="Arial" w:cs="Arial" w:eastAsia="Arial" w:hAnsi="Arial"/>
                <w:sz w:val="18"/>
                <w:szCs w:val="18"/>
                <w:color w:val="auto"/>
                <w:w w:val="97"/>
              </w:rPr>
              <w:t>Life Sciences Alternative Financing LLC and entities affiliated with Life Sciences Alternative Financing</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180"/>
              <w:spacing w:after="0"/>
              <w:rPr>
                <w:sz w:val="20"/>
                <w:szCs w:val="20"/>
                <w:color w:val="auto"/>
              </w:rPr>
            </w:pPr>
            <w:r>
              <w:rPr>
                <w:rFonts w:ascii="Arial" w:cs="Arial" w:eastAsia="Arial" w:hAnsi="Arial"/>
                <w:sz w:val="18"/>
                <w:szCs w:val="18"/>
                <w:color w:val="auto"/>
              </w:rPr>
              <w:t>LLC</w:t>
            </w:r>
            <w:r>
              <w:rPr>
                <w:rFonts w:ascii="Arial" w:cs="Arial" w:eastAsia="Arial" w:hAnsi="Arial"/>
                <w:sz w:val="15"/>
                <w:szCs w:val="15"/>
                <w:color w:val="auto"/>
              </w:rPr>
              <w:t>(3)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2,072,353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2,190,427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Cawthorn and entities affiliated with Robert Cawthorn</w:t>
            </w:r>
            <w:r>
              <w:rPr>
                <w:rFonts w:ascii="Arial" w:cs="Arial" w:eastAsia="Arial" w:hAnsi="Arial"/>
                <w:sz w:val="15"/>
                <w:szCs w:val="15"/>
                <w:color w:val="auto"/>
              </w:rPr>
              <w:t>(4)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1,836,766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1,987,475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Entities affiliated with Lawrence T. Kennedy, Jr.</w:t>
            </w:r>
            <w:r>
              <w:rPr>
                <w:rFonts w:ascii="Arial" w:cs="Arial" w:eastAsia="Arial" w:hAnsi="Arial"/>
                <w:sz w:val="15"/>
                <w:szCs w:val="15"/>
                <w:color w:val="auto"/>
              </w:rPr>
              <w:t>(5)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1,111,412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1,245,101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94"/>
        </w:trPr>
        <w:tc>
          <w:tcPr>
            <w:tcW w:w="24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Scott Hutton</w:t>
            </w:r>
            <w:r>
              <w:rPr>
                <w:rFonts w:ascii="Arial" w:cs="Arial" w:eastAsia="Arial" w:hAnsi="Arial"/>
                <w:sz w:val="15"/>
                <w:szCs w:val="15"/>
                <w:color w:val="auto"/>
              </w:rPr>
              <w:t>(6)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90,268</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90,268</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Harper Cowie</w:t>
            </w:r>
            <w:r>
              <w:rPr>
                <w:rFonts w:ascii="Arial" w:cs="Arial" w:eastAsia="Arial" w:hAnsi="Arial"/>
                <w:sz w:val="15"/>
                <w:szCs w:val="15"/>
                <w:color w:val="auto"/>
              </w:rPr>
              <w:t>(7)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106,931</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106,931</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David Brunel</w:t>
            </w:r>
            <w:r>
              <w:rPr>
                <w:rFonts w:ascii="Arial" w:cs="Arial" w:eastAsia="Arial" w:hAnsi="Arial"/>
                <w:sz w:val="15"/>
                <w:szCs w:val="15"/>
                <w:color w:val="auto"/>
              </w:rPr>
              <w:t>(8)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424,539</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424,539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Schuler</w:t>
            </w:r>
            <w:r>
              <w:rPr>
                <w:rFonts w:ascii="Arial" w:cs="Arial" w:eastAsia="Arial" w:hAnsi="Arial"/>
                <w:sz w:val="15"/>
                <w:szCs w:val="15"/>
                <w:color w:val="auto"/>
              </w:rPr>
              <w:t>(9)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6,704,263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7,670,069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29.0%</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John Patience</w:t>
            </w:r>
            <w:r>
              <w:rPr>
                <w:rFonts w:ascii="Arial" w:cs="Arial" w:eastAsia="Arial" w:hAnsi="Arial"/>
                <w:sz w:val="15"/>
                <w:szCs w:val="15"/>
                <w:color w:val="auto"/>
              </w:rPr>
              <w:t>(10)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4,634,979</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4,823,315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18.2%</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Cawthorn</w:t>
            </w:r>
            <w:r>
              <w:rPr>
                <w:rFonts w:ascii="Arial" w:cs="Arial" w:eastAsia="Arial" w:hAnsi="Arial"/>
                <w:sz w:val="15"/>
                <w:szCs w:val="15"/>
                <w:color w:val="auto"/>
              </w:rPr>
              <w:t>(11)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1,836,766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1,987,475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Matthew Strobeck, Ph.D.</w:t>
            </w:r>
            <w:r>
              <w:rPr>
                <w:rFonts w:ascii="Arial" w:cs="Arial" w:eastAsia="Arial" w:hAnsi="Arial"/>
                <w:sz w:val="15"/>
                <w:szCs w:val="15"/>
                <w:color w:val="auto"/>
              </w:rPr>
              <w:t>(12)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915,685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1,024,988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Miller</w:t>
            </w:r>
            <w:r>
              <w:rPr>
                <w:rFonts w:ascii="Arial" w:cs="Arial" w:eastAsia="Arial" w:hAnsi="Arial"/>
                <w:sz w:val="15"/>
                <w:szCs w:val="15"/>
                <w:color w:val="auto"/>
              </w:rPr>
              <w:t>(13)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256,679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256,679</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Charles Watts, M.D.</w:t>
            </w:r>
            <w:r>
              <w:rPr>
                <w:rFonts w:ascii="Arial" w:cs="Arial" w:eastAsia="Arial" w:hAnsi="Arial"/>
                <w:sz w:val="15"/>
                <w:szCs w:val="15"/>
                <w:color w:val="auto"/>
              </w:rPr>
              <w:t>(14)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49,806</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49,806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 Franchi</w:t>
            </w:r>
            <w:r>
              <w:rPr>
                <w:rFonts w:ascii="Arial" w:cs="Arial" w:eastAsia="Arial" w:hAnsi="Arial"/>
                <w:sz w:val="15"/>
                <w:szCs w:val="15"/>
                <w:color w:val="auto"/>
              </w:rPr>
              <w:t>(15)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19,576</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19,576</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Hany Massarany</w:t>
            </w:r>
            <w:r>
              <w:rPr>
                <w:rFonts w:ascii="Arial" w:cs="Arial" w:eastAsia="Arial" w:hAnsi="Arial"/>
                <w:sz w:val="15"/>
                <w:szCs w:val="15"/>
                <w:color w:val="auto"/>
              </w:rPr>
              <w:t>(16)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14,649</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14,649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named executive officers as a group (14 persons)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15,054,141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16,468,295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460" w:hanging="452"/>
        <w:spacing w:after="0" w:line="284"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Consists of (a) 58,596 shares of common stock issuable upon the exercise of options held by Jack Schuler that are vested and exercisable within 60 days of October 15, 2020, (b) 165,029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JS Grandchildren Trust, (c) 165,029 shares of common stock issuable upon conversion of (i) 49,975 shares of Series D Preferred Stock, (ii) 51,317 shares of Series E Preferred Stock, (iii) 218,713 shares of Series F Preferred Stock, (iv) 313,690 shares of Series G Preferred Stock and (v) 345,906 shares of Series H Preferred Stock held by Schuler Descendants Trust, (d) 344,932 shares of common stock issuable upon conversion of (i) 83,085 shares of Series C Preferred Stock, (ii) 99,950 shares of Series D Preferred Stock, (iii) 107,834 shares of Series E Preferred Stock, (iv) 437,427 shares of Series F Preferred Stock, (v) 627,380 shares of Series G Preferred Stock and (vi) 691,812 shares of Series H Preferred Stock held by Schuler Grandchildren LLC, (e) 354,530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Therese Heidi Schuler, Trust, (f) 352,530 shares of common stock issuable upon conversion of (i) 83,416 shares of Series C Preferred Stock, (ii) 99,950 shares of Series D Preferred Stock, (iii) 107,834 shares of Series E Preferred Stock, (iv) 437,427 shares of Series F Preferred Stock, (v) 627,380 shares of Series G Preferred Stock and (vi) 736,577 shares of Series H Preferred Stock held by Tanya Eva Schuler, Trust, (g) 4,913,087 shares of common stock issuable upon conversion of (i) 1,454,545 shares of Series B Preferred Stock, (ii) 1,250,000 shares of Series B-1 Preferred Stock, (iii) 333,333 shares of Series C Preferred Stock, (iv) 3,101,784 shares of Series D Preferred Stock, (v) 1,759,853 shares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459"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20"/>
        <w:spacing w:after="0" w:line="287" w:lineRule="auto"/>
        <w:rPr>
          <w:sz w:val="20"/>
          <w:szCs w:val="20"/>
          <w:color w:val="auto"/>
        </w:rPr>
      </w:pPr>
      <w:r>
        <w:rPr>
          <w:rFonts w:ascii="Arial" w:cs="Arial" w:eastAsia="Arial" w:hAnsi="Arial"/>
          <w:sz w:val="16"/>
          <w:szCs w:val="16"/>
          <w:color w:val="auto"/>
        </w:rPr>
        <w:t>Series E Preferred Stock, (vi) 6,273,780 shares of Series F Preferred Stock, (vii) 9,419,362 shares of Series G Preferred Stock, and (viii) 5,366,411 shares of Series H Preferred Stock held by Jack W. Schuler Living Trust and (h) 352,530 shares of common stock issuable upon conversion of (i) 83,416 shares of Series C Preferred Stock, (ii) 99,950 shares of Series D Preferred Stock, (iii) 107,834 shares of Series E Preferred Stock,</w:t>
      </w:r>
    </w:p>
    <w:p>
      <w:pPr>
        <w:spacing w:after="0" w:line="2" w:lineRule="exact"/>
        <w:rPr>
          <w:sz w:val="20"/>
          <w:szCs w:val="20"/>
          <w:color w:val="auto"/>
        </w:rPr>
      </w:pPr>
    </w:p>
    <w:p>
      <w:pPr>
        <w:ind w:left="460"/>
        <w:spacing w:after="0" w:line="281" w:lineRule="auto"/>
        <w:rPr>
          <w:sz w:val="20"/>
          <w:szCs w:val="20"/>
          <w:color w:val="auto"/>
        </w:rPr>
      </w:pPr>
      <w:r>
        <w:rPr>
          <w:rFonts w:ascii="Arial" w:cs="Arial" w:eastAsia="Arial" w:hAnsi="Arial"/>
          <w:sz w:val="16"/>
          <w:szCs w:val="16"/>
          <w:color w:val="auto"/>
        </w:rPr>
        <w:t>(iv) 437,427 shares of Series F Preferred Stock, (v) 627,380 shares of Series G Preferred Stock and (vi) 736,577 shares of Series H Preferred Stock held by Tino Hans Schuler, Trust. The number of shares listed as beneficially owned after this offering includes (a) 25,271 shares of common stock to be issued to JS Grandchildren Trust, (b) 17,454 shares of common stock to be issued to Schuler Descendants Trust, (c) 37,535 shares of common stock to be issued to Schuler Grandchildren LLC, (d) 44,239 shares of common stock to be issued to Therese Heidi Schuler, Trust, (d) 44,239 shares of common stock to be issued to Tanya Eva Schuler, Trust, (e) 752,829 shares of common stock to be issued to Jack W. Schuler Living Trust, and</w:t>
      </w:r>
    </w:p>
    <w:p>
      <w:pPr>
        <w:spacing w:after="0" w:line="2" w:lineRule="exact"/>
        <w:rPr>
          <w:sz w:val="20"/>
          <w:szCs w:val="20"/>
          <w:color w:val="auto"/>
        </w:rPr>
      </w:pPr>
    </w:p>
    <w:p>
      <w:pPr>
        <w:jc w:val="both"/>
        <w:ind w:left="460" w:right="140"/>
        <w:spacing w:after="0" w:line="265" w:lineRule="auto"/>
        <w:rPr>
          <w:sz w:val="20"/>
          <w:szCs w:val="20"/>
          <w:color w:val="auto"/>
        </w:rPr>
      </w:pPr>
      <w:r>
        <w:rPr>
          <w:rFonts w:ascii="Arial" w:cs="Arial" w:eastAsia="Arial" w:hAnsi="Arial"/>
          <w:sz w:val="17"/>
          <w:szCs w:val="17"/>
          <w:color w:val="auto"/>
        </w:rPr>
        <w:t>(f) 44,239 shares of common stock to be issued to Tino Hans Schuler, Trust, in each case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 Mr. Schuler disclaims beneficial ownership of all shares other than those held by Mr. Schuler personally or by the Jack W. Schuler Living Trust.</w:t>
      </w:r>
    </w:p>
    <w:p>
      <w:pPr>
        <w:ind w:left="460" w:right="20" w:hanging="452"/>
        <w:spacing w:after="0" w:line="265"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Consists of (a) 58,596 shares of common stock issuable upon the exercise of options held by John Patience that are vested and exercisable within 60 days of October 15, 2020, (b) 1,829,368 shares of common stock issuable upon conversion of (i) 1,454,545 shares of Series B Preferred Stock, (ii) 250,000 shares of Series D Preferred Stock, (iii) 809,200 shares of Series E Preferred Stock, (iv) 3,205,681 shares of Series F Preferred Stock, (v) 957,114 shares of Series G Preferred Stock and (vi) 4,182,413 shares of Series H Preferred Stock held by Patience Enterprises LP and (c) 2,747,015 shares of common stock issuable upon conversion of (i) 1,250,000 shares of Series B-1 Preferred Stock, (ii) 666,666 shares of Series C Preferred Stock, (iii) 2,932,534 shares of Series D Preferred Stock, (iv) 1,484,624 shares of Series E Preferred Stock, (v) 3,055,837 shares of Series F Preferred Stock and (vi) 6,711,816 shares of Series G Preferred Stock held by John Patience Trust, dated July 23, 1993. The number of shares listed as beneficially owned after this offering includes (a) 81,502 shares of common stock to be issued to Patience Enterprises LP, (b) 64,338 shares of common stock to be issued to John Patience Trust, dated July 23, 1993, and (c) 42,496 shares of common stock to be issued to Patience Capital Partners LLC, in each case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1" w:lineRule="exact"/>
        <w:rPr>
          <w:rFonts w:ascii="Arial" w:cs="Arial" w:eastAsia="Arial" w:hAnsi="Arial"/>
          <w:sz w:val="17"/>
          <w:szCs w:val="17"/>
          <w:color w:val="auto"/>
        </w:rPr>
      </w:pPr>
    </w:p>
    <w:p>
      <w:pPr>
        <w:ind w:left="460" w:right="60" w:hanging="452"/>
        <w:spacing w:after="0" w:line="281"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Consists of (a) 1,794,150 shares of common stock issuable upon conversion of 10,649,904 shares of Series G Preferred Stock held by IND Funding LLC and (b) 278,203 shares of common stock issuable upon conversion of 1,651,389 shares of Series H Preferred Stock held by Life Sciences Alternative Financing LLC. The number of shares listed as beneficially owned after this offering includes (a) 102,224 shares of common stock to be issued to IND Funding LLC, and (b) 15,850 shares of common stock to be issued to Life Science Alternative Financing LLC, in each case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3"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Consists of (a) 1 share of common stock, (b) 58,596 shares of common stock issuable upon the exercise of options held by Robert Cawthorn that are vested and exercisable within 60 days of October 15, 2020 and (c) 1,778,169 shares of common stock issuable upon conversion of (i) 392,292 shares of Series A-1 Preferred Stock, (ii) 60,000 shares of Series A-2 Preferred Stock, (iii) 120,665 shares of Series A-3 Preferred Stock, (iv) 187,273 shares of Series B Preferred Stock, (v) 312,500 shares of Series B-1 Preferred Stock, (vi) 233,333 shares of Series C Preferred Stock, (vii) 299,000 shares of Series D Preferred Stock, (viii) 452,602 shares of Series E Preferred Stock, (ix) 1,508,529 shares of Series F Preferred Stock, (x) 4,913,376 shares of Series G Preferred Stock and (xi) 2,024,338 shares of Series H Preferred Stock held by Manlia Limited. The number of shares listed as beneficially owned after this offering includes 150,709 shares of common stock to be issued to Manlia Limited upon the conversion of convertible debt immediately upon closing of this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9"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80"/>
        <w:spacing w:after="0" w:line="258" w:lineRule="auto"/>
        <w:rPr>
          <w:sz w:val="20"/>
          <w:szCs w:val="20"/>
          <w:color w:val="auto"/>
        </w:rPr>
      </w:pPr>
      <w:r>
        <w:rPr>
          <w:rFonts w:ascii="Arial" w:cs="Arial" w:eastAsia="Arial" w:hAnsi="Arial"/>
          <w:sz w:val="18"/>
          <w:szCs w:val="18"/>
          <w:color w:val="auto"/>
        </w:rPr>
        <w:t>offering, based on interest accrued through October 15, 2020 and the assumed initial public offering price of $18.00 per share, which is the midpoint of the estimated offering price range set forth on the cover page of this prospectus.</w:t>
      </w:r>
    </w:p>
    <w:p>
      <w:pPr>
        <w:spacing w:after="0" w:line="1" w:lineRule="exact"/>
        <w:rPr>
          <w:sz w:val="20"/>
          <w:szCs w:val="20"/>
          <w:color w:val="auto"/>
        </w:rPr>
      </w:pPr>
    </w:p>
    <w:p>
      <w:pPr>
        <w:ind w:left="460" w:right="240" w:hanging="452"/>
        <w:spacing w:after="0" w:line="281"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of (a) 774,044 shares of common stock issuable upon conversion of (i) 2,666,668 shares of Series G Preferred Stock and (ii) 1,927,983 shares of Series H Preferred Stock held by Lawrence T. Kennedy, Jr. Revocable Trust UAD 6/19/01 and as amended from time to time and (b) 337,368 shares of common stock issuable upon conversion of (i) 1,333,332 shares of Series G Preferred Stock and (ii) 669,253 shares of Series H Preferred Stock held by Lawrence T. Kennedy, Jr. Perpetuity Trust UAD 6/30/16. The number of shares listed as beneficially owned after this offering includes 133,689 shares of common stock to be issued to Lawrence T. Kennedy, Jr. Perpetuity Trust UAD 6/30/16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w:t>
      </w:r>
    </w:p>
    <w:p>
      <w:pPr>
        <w:spacing w:after="0" w:line="4"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90,268 shares of common stock issuable upon the exercise of options held by Scott Hutton that are vested and exercisable within 60 days of October 15, 2020.</w:t>
      </w:r>
    </w:p>
    <w:p>
      <w:pPr>
        <w:ind w:left="460" w:right="48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106,931 shares of common stock issuable upon the exercise of options held by Robin Harper Cowie that are vested and exercisable within 60 days of October 15, 2020.</w:t>
      </w:r>
    </w:p>
    <w:p>
      <w:pPr>
        <w:ind w:left="460" w:right="60" w:hanging="452"/>
        <w:spacing w:after="0" w:line="281"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of (a) 76,732 shares of common stock, (b) 316,709 shares of common stock issuable upon the exercise of options held by David Brunel that are vested and exercisable within 60 days of October 15, 2020 and (c) 31,098 shares of common stock issuable upon conversion of (i) 660 shares of Series A-1 Preferred Stock, (ii) 110,399 shares of Series A-3 Preferred Stock and (iii) 73,540 shares of Series B Preferred Stock.</w:t>
      </w:r>
    </w:p>
    <w:p>
      <w:pPr>
        <w:spacing w:after="0" w:line="1"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6,704,263 shares beneficially owned by Jack Schuler and entities affiliated with Jack Schuler, as set forth in footnote (1). The number of shares listed as beneficially owned after this offering includes 965,806 shares of common stock to be issued to entities affiliated with Jack Schuler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 as set forth in footnote (1). Mr. Schuler disclaims beneficial ownership of all shares other than those held by Mr. Schuler personally or by the Jack W. Schuler Living Trust.</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4,634,979 shares beneficially owned by John Patience and entities affiliated with John Patience, as set forth in footnote (2). The number of shares listed as beneficially owned after this offering includes 188,336 shares of common stock to be issued to entities affiliated with John Patience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 as set forth in footnote (2).</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1,836,766 shares beneficially owned by Robert Cawthorn and entities affiliated with Robert Cawthorn, as set forth in footnote (4). The number of shares listed as beneficially owned after this offering includes 150,709 shares of common stock to be issued to an entity affiliated with Robert Cawthorn upon the conversion of convertible debt immediately upon closing of this offering, based on interest accrued through October 15, 2020 and the assumed initial public offering price of $18.00 per share, which is the midpoint of the estimated offering price range set forth on the cover page of this prospectus, as set forth in footnote (4).</w:t>
      </w:r>
    </w:p>
    <w:p>
      <w:pPr>
        <w:spacing w:after="0" w:line="1" w:lineRule="exact"/>
        <w:rPr>
          <w:rFonts w:ascii="Arial" w:cs="Arial" w:eastAsia="Arial" w:hAnsi="Arial"/>
          <w:sz w:val="18"/>
          <w:szCs w:val="18"/>
          <w:color w:val="auto"/>
        </w:rPr>
      </w:pPr>
    </w:p>
    <w:p>
      <w:pPr>
        <w:ind w:left="460" w:right="100" w:hanging="452"/>
        <w:spacing w:after="0" w:line="287"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Consists of (a) 61,965 shares of common stock issuable upon the exercise of options held by Dr. Matthew Strobeck that are vested and exercisable within 60 days of October 15, 2020 and (b) 831,747 shares of common stock issuable upon conversion of (i) 100,000 shares of Series C Preferred Stock, (ii) 686,250 shares of Series D Preferred Stock, (iii) 750,907 shares of Series E Preferred Stock, (iv) 903,516 shares of Series F Preferred Stock, (v) 1,660,268 shares of Series G Preferred Stock and (vi) 836,231 shares of Series H Preferred Stock held by Dr. Matthew Strobeck and (c) 21,973 shares of common stock issuable upon conversion of 130,433 shares of Series H Preferred Stock held by Clajer Capital LLC. The number of shares listed as beneficially owned after this offering includes (a) 76,539 shares of common stock to be issued to Matthew Strobeck, (b) 18,692 shares of common stock to be issued to Clajer Capital LLC, and (c) 14,072 shares of common stock to be issued to the minor children of Matthew Strobeck, in each case upon the conversion of convertible debt immediately upon closing of this offering, based on interest accrued through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9" w:right="3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260"/>
        <w:spacing w:after="0" w:line="258" w:lineRule="auto"/>
        <w:rPr>
          <w:sz w:val="20"/>
          <w:szCs w:val="20"/>
          <w:color w:val="auto"/>
        </w:rPr>
      </w:pPr>
      <w:r>
        <w:rPr>
          <w:rFonts w:ascii="Arial" w:cs="Arial" w:eastAsia="Arial" w:hAnsi="Arial"/>
          <w:sz w:val="18"/>
          <w:szCs w:val="18"/>
          <w:color w:val="auto"/>
        </w:rPr>
        <w:t>October 15, 2020 and the assumed initial public offering price of $18.00 per share, which is the midpoint of the estimated offering price range set forth on the cover page of this prospectus.</w:t>
      </w:r>
    </w:p>
    <w:p>
      <w:pPr>
        <w:spacing w:after="0" w:line="1" w:lineRule="exact"/>
        <w:rPr>
          <w:sz w:val="20"/>
          <w:szCs w:val="20"/>
          <w:color w:val="auto"/>
        </w:rPr>
      </w:pPr>
    </w:p>
    <w:p>
      <w:pPr>
        <w:ind w:left="460" w:right="10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(a) 61,965 shares of common stock issuable upon the exercise of options held by Mark Miller that are vested and exercisable within 60 days of October 15, 2020, (b) 183,484 shares of common stock issuable upon conversion of (i) 726,750 shares of Series D Preferred Stock and (ii) 362,398 shares of Series E Preferred Stock held by Tiger’s Family LLC and (c) 11,230 shares of common stock issuable upon conversion of 66,666 shares of Series C Preferred Stock held by Mark C. Miller Trust. Mark Miller disclaims beneficial ownership of the shares the 362,398 shares of Series E Preferred Stock held by Tiger’s Family LLC.</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49,806 shares of common stock issuable upon the exercise of options held by Dr. Charles Watts that are vested and exercisable within 60 days of October 15, 2020.</w:t>
      </w:r>
    </w:p>
    <w:p>
      <w:pPr>
        <w:ind w:left="46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19,576 shares of common stock issuable upon the exercise of options held by Jean Franchi that are vested and exercisable within 60 days of October 15, 2020.</w:t>
      </w:r>
    </w:p>
    <w:p>
      <w:pPr>
        <w:ind w:left="460" w:right="80" w:hanging="452"/>
        <w:spacing w:after="0" w:line="26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14,649 shares of common stock issuable upon the exercise of options held by Hany Massarany that are vested and exercisable within 60 days of October 15, 2020.</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80"/>
          </w:cols>
          <w:pgMar w:left="320" w:top="459" w:right="3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to be in effect upon the closing of this offering, which are filed as exhibits to the registration statement of which this prospectus is part, and by the applicable provisions of Delaware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20" w:firstLine="449"/>
        <w:spacing w:after="0" w:line="308" w:lineRule="auto"/>
        <w:rPr>
          <w:sz w:val="20"/>
          <w:szCs w:val="20"/>
          <w:color w:val="auto"/>
        </w:rPr>
      </w:pPr>
      <w:r>
        <w:rPr>
          <w:rFonts w:ascii="Arial" w:cs="Arial" w:eastAsia="Arial" w:hAnsi="Arial"/>
          <w:sz w:val="17"/>
          <w:szCs w:val="17"/>
          <w:color w:val="auto"/>
        </w:rPr>
        <w:t>Upon the closing of this offering, our amended and restated certificate of incorporation will authorize us to issue up to 200,000,000 shares of common stock, $0.001 par value per share, and 5,000,000 shares of preferred stock, $0.001 par value per share.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October 15, 2020, there were 315,047 shares of common stock issued and outstanding, held by 60 stockholders of record.</w:t>
      </w:r>
    </w:p>
    <w:p>
      <w:pPr>
        <w:spacing w:after="0" w:line="22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As of October 15, 2020, after giving effect to the conversion of all outstanding shares of preferred stock into 20,090,745 shares of common stock and the conversion of all convertible debt into 1,848,280 shares of common stock, based on the assumed initial public offering price of $18.00 per share, which is the midpoint of the estimated offering price range set forth on the cover page of this prospectus, there would have been 22,254,072 shares of common stock issued and outstanding, held by 344 stockholders of record.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Under our amended and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right="440" w:firstLine="449"/>
        <w:spacing w:after="0" w:line="263" w:lineRule="auto"/>
        <w:rPr>
          <w:sz w:val="20"/>
          <w:szCs w:val="20"/>
          <w:color w:val="auto"/>
        </w:rPr>
      </w:pPr>
      <w:r>
        <w:rPr>
          <w:rFonts w:ascii="Arial" w:cs="Arial" w:eastAsia="Arial" w:hAnsi="Arial"/>
          <w:sz w:val="18"/>
          <w:szCs w:val="18"/>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459" w:right="3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As of October 15, 2020, there were 118,766,273 shares of preferred stock outstanding, which will be converted into 20,090,745 shares of common stock upon the closing of the offering. On the closing of this offering and under our amended and restated certificate of incorporation, 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 No shares of preferred stock will be outstanding immediately following the closing of this offering. We have no present plan to issue any shares of preferred stock.</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Stock Financings</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have issued preferred stock from time to time to finance our operations or to make acquisitions. The purchasers of some of our preferred stock are covered persons or their affiliates.</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we sold an aggregate of 35,496,613 shares of Series G Preferred Stock to accredited investors at a purchase price of $0.75 per share for an aggregate purchase price of approximately $26.6 million, including conversion of indebtedness.</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June 2018, we issued an aggregate of 10,649,904 shares of Series G Preferred Stock to Integrated Diagnostics as consideration for certain assets and liabilities. See “Business—Material Agreements.” The shares issued at closing also include 2,129,981 shares that were deposited in an escrow account to be used to satisfy any indemnification obligations of the seller that may arise.</w:t>
      </w:r>
    </w:p>
    <w:p>
      <w:pPr>
        <w:spacing w:after="0" w:line="184"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In October 2018, February 2019, and May 2019, we sold an aggregate of 23,923,188 shares of Series H Preferred Stock to accredited investors at a purchase price of $1.15 per share for an aggregate purchase price of approximately $27.5 million, including conversion of indebtedness.</w:t>
      </w:r>
    </w:p>
    <w:p>
      <w:pPr>
        <w:spacing w:after="0" w:line="124"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Upon the closing of this offering, each outstanding share of Series A-1 Preferred Stock, Series A-2 Preferred Stock, Series A-3 Preferred Stock, Series B Preferred Stock, Series C Preferred Stock, Series D Preferred Stock, Series E Preferred Stock, Series F Preferred Stock, Series G Preferred Stock and Series H Preferred Stock will convert into 0.1684664 shares of common stock. Upon the closing of this offering, each share of Series B-1 Preferred Stock will convert into approximately 0.196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w:t>
      </w:r>
    </w:p>
    <w:p>
      <w:pPr>
        <w:spacing w:after="0" w:line="121"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The March 2020 Notes were scheduled to mature in August 2020, but in August 2020 we extended the maturity date of this debt to June 30, 2021. The March 2020 Notes were issued in two tranches of $5.0 million, with the first tranche funded in March 2020 and the second tranche in June 2020. Interest on the March 2020 Notes is 3% per annum and is payable in full upon maturity through the conversion to Series H Preferred Stock at 80% of the original issuance price of $1.15 per share. On or before the maturity date if the March 2020 Notes are unpaid, the outstanding principal and unpaid accrued interest under the March 2020 Notes shall be automatically converted into common stock at the completion of this offering. The conversion price will be equal to 80% of the price per share paid for the common stock sold in this offering. We may prepay the March 2020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March 2020 Notes include a number of our directors and their affiliates.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459"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December 2019 Notes were scheduled to mature in August 2020, but in August 2020 we extended the maturity date of this debt to June 30,</w:t>
      </w:r>
    </w:p>
    <w:p>
      <w:pPr>
        <w:spacing w:after="0" w:line="46"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2021. The December 2019 Notes were issued in two tranches of $3.0 million, with the first tranche funded in December 2019 and the second tranche in February 2020.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We may prepay the December 2019 Notes in whole or in part at any time with prior consent of at least two-thirds of the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December 2019 Notes include a number of our directors and their affiliates.</w:t>
      </w:r>
    </w:p>
    <w:p>
      <w:pPr>
        <w:spacing w:after="0" w:line="18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August 2019 Notes were scheduled to mature in August 2020, but in August 2020 we extended the maturity date of this debt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We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our equity securities in such transaction. The holders of the August 2019 Notes include a number of our directors and their affiliates.</w:t>
      </w:r>
    </w:p>
    <w:p>
      <w:pPr>
        <w:spacing w:after="0" w:line="1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discounts on the automatic conversions created a put option liability that was separated from the March 2020 Notes. The estimated value of the put option liability as of the issuance of the March 2020 Notes at June 30, 2020 was $2.5 million. The put option liability was reflected as a debt discount on the March 2020 Notes, which is being amortized over the term of the March 2020 Notes. The unamortized debt discount was $1.4 million as of June 30, 2020.</w:t>
      </w:r>
    </w:p>
    <w:p>
      <w:pPr>
        <w:spacing w:after="0" w:line="187"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The discounts on the automatic conversions created a put option liability that was separated from the December 2019 Notes. The estimated value of the put option liability as of the issuance of the December 2019 Notes and June 30, 2020 was $1.5 million. The put option liability was reflected as a debt discount on the December 2019 Notes, which is being amortized over the term of the December 2019 Notes. The unamortized debt discount was $0.3 million as of June 30, 2020.</w:t>
      </w:r>
    </w:p>
    <w:p>
      <w:pPr>
        <w:spacing w:after="0" w:line="18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as of June 30, 2020.</w:t>
      </w:r>
    </w:p>
    <w:p>
      <w:pPr>
        <w:spacing w:after="0" w:line="14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any subsequent qualified financing or the common stock in an initial public offering.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$2.0 million to a total estimated value of $2.5 million as of December 31, 2019. The increase in the value of the put option liability was reflected as a change in put option in the accompanying 2019 statement of operations.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320" w:top="459" w:right="3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2020, accrued interest of $0.4 million is included in the convertible debt balance included on the accompanying balance sheet.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right="200" w:firstLine="449"/>
        <w:spacing w:after="0" w:line="279" w:lineRule="auto"/>
        <w:rPr>
          <w:sz w:val="20"/>
          <w:szCs w:val="20"/>
          <w:color w:val="auto"/>
        </w:rPr>
      </w:pPr>
      <w:r>
        <w:rPr>
          <w:rFonts w:ascii="Arial" w:cs="Arial" w:eastAsia="Arial" w:hAnsi="Arial"/>
          <w:sz w:val="17"/>
          <w:szCs w:val="17"/>
          <w:color w:val="auto"/>
        </w:rPr>
        <w:t>We have issued warrants from time to time to purchase shares of preferred stock in conjunction with the sale of preferred stock and debt. The grant date fair value and fair value at each reporting date of the warrants was determined using the Black-Scholes option pricing model with weighted average assumptions relatively consistent with those for our granted stock options, other than term, which is the contractual term of the warrant and the use of the exercise price and current estimated fair value of the respective series of preferred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Series E</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Series G</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110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w w:val="92"/>
              </w:rPr>
              <w:t>Warrants</w:t>
            </w: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2019</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Outstanding - June 30, 2020</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 at June 30, 2020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Arial" w:cs="Arial" w:eastAsia="Arial" w:hAnsi="Arial"/>
                <w:sz w:val="18"/>
                <w:szCs w:val="18"/>
                <w:color w:val="auto"/>
                <w:w w:val="83"/>
              </w:rPr>
              <w:t>7.5 years</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As of October 15, 2020, options to purchase an aggregate of 249,370 shares of common stock were outstanding under our 2006 Incentive Plan. As of October 15, 2020, options to purchase an aggregate of 2,473,941 shares of common stock were outstanding under our 2016 Incentive Plan. For additional information regarding the terms of these plans, see the section titled “Executive Compensation—Employee Benefit Plans.”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80" w:firstLine="449"/>
        <w:spacing w:after="0" w:line="255" w:lineRule="auto"/>
        <w:rPr>
          <w:sz w:val="20"/>
          <w:szCs w:val="20"/>
          <w:color w:val="auto"/>
        </w:rPr>
      </w:pPr>
      <w:r>
        <w:rPr>
          <w:rFonts w:ascii="Arial" w:cs="Arial" w:eastAsia="Arial" w:hAnsi="Arial"/>
          <w:sz w:val="18"/>
          <w:szCs w:val="18"/>
          <w:color w:val="auto"/>
        </w:rPr>
        <w:t>We are party to an IRA which provides that certain holders of shares of common stock, including those shares of common stock that will be issued upon conversion of preferred stock in connection with this offering. These shares are referred to as registrable securities. The holders of these registrable securities possess registration rights pursuant to the terms of the IRA and are described in additional detail below. We, along with certain of our stockholders, are parties to the IRA. We entered into the IRA in connection with the issuance of Series H Preferred Stock in October 2018. The following summary discusses certain material provisions of the IRA and is qualified by the full text of the agreement, which is filed as an exhibit to the registration statement of which this prospectus is a part.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459"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registration of shares of common stock pursuant to the exercise of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8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Generally, in an underwritten offering, if we determine in good faith in consultation with the underwriters, we have the right, subject to specified conditions, to limit the number of shares the holders may include. The demand, piggyback and Form S-3 registration rights described below will terminate on the date five years following the closing part of this offering.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holders of an aggregate of 20,090,745 shares of common stock issuable upon conversion of outstanding shares of preferred stock will be entitled to certain demand registration rights. Ending on the date six months following the effective date of the registration statement of which this prospectus is a part, upon the written request of the holders of a majority of our registrable securities then outstanding that we file a registration statement under the Securities Act covering at least a majority of our registrable securities then outstanding, or lesser percent if the anticipated aggregate offering price, net of underwriting discounts and commissions, would exceed $5.0 million we are obligated to register the sale of all registrable securities that the holders may request in writing to be registered. We are required to effect no more than two registration statements that are declared or ordered effective. We may postpone the filing of a registration statement for up to 120 days once in a 12-month period if in the good faith judgment of our Board of Directors such registration would be seriously detrimental to us.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registrable securities will be entitled to certain piggyback registration rights.</w:t>
      </w:r>
    </w:p>
    <w:p>
      <w:pPr>
        <w:spacing w:after="0" w:line="22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If we register any of our securities for public sale, either for our own account or for the account of other security holders, we will also have to register all registrable securities that the holders of such securities request in writing be registered. This piggyback registration right does not apply to a registration relating to any of our stock plans, stock purchase or similar plan, a transaction under Rule 145 of the Securities Act or a registration related to stock issued upon conversion of debt securities. We, based on consultation with the underwriters of any underwritten offering will have the right to limit the number of shares registered by these holders if the underwriters determine that including all registrable securities will jeopardize the success of the offering.</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The holders of at least 10% of the registrable securities then outstanding will be entitled to certain registration rights on Form S-3. The holders of these shares can request that we register all or a portion of their shares on Form S-3 if we are eligible to file a registration statement on Form S-3 and the aggregate price to the public of the shares offered is in excess of $5.0 million. We are required to effect no more than two Form S-3 registration statements that are declared or ordered effective in any 12-month period. We may postpone the filing of a registration statement for up to 120 days not more than once in a 12-month period if in the good faith judgment of our Board of Directors such registration would be seriously detrimental to us.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320" w:top="459" w:right="3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00" w:right="280" w:hanging="547"/>
        <w:spacing w:after="0" w:line="277"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00" w:right="120" w:hanging="547"/>
        <w:spacing w:after="0" w:line="275" w:lineRule="auto"/>
        <w:tabs>
          <w:tab w:leader="none" w:pos="10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1" w:lineRule="exact"/>
        <w:rPr>
          <w:rFonts w:ascii="Arial" w:cs="Arial" w:eastAsia="Arial" w:hAnsi="Arial"/>
          <w:sz w:val="17"/>
          <w:szCs w:val="17"/>
          <w:color w:val="auto"/>
        </w:rPr>
      </w:pPr>
    </w:p>
    <w:p>
      <w:pPr>
        <w:ind w:left="1000" w:right="140" w:hanging="547"/>
        <w:spacing w:after="0" w:line="263"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00" w:hanging="547"/>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00" w:right="180" w:hanging="547"/>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Upon the Closing of this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 will:</w:t>
      </w:r>
    </w:p>
    <w:p>
      <w:pPr>
        <w:spacing w:after="0" w:line="131" w:lineRule="exact"/>
        <w:rPr>
          <w:sz w:val="20"/>
          <w:szCs w:val="20"/>
          <w:color w:val="auto"/>
        </w:rPr>
      </w:pPr>
    </w:p>
    <w:p>
      <w:pPr>
        <w:ind w:left="1000" w:right="420" w:hanging="547"/>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they may designate, including the right to approve an acquisition or other change of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320" w:top="459" w:right="3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w:t>
      </w:r>
    </w:p>
    <w:p>
      <w:pPr>
        <w:spacing w:after="0" w:line="130" w:lineRule="exact"/>
        <w:rPr>
          <w:rFonts w:ascii="Arial" w:cs="Arial" w:eastAsia="Arial" w:hAnsi="Arial"/>
          <w:sz w:val="18"/>
          <w:szCs w:val="18"/>
          <w:color w:val="auto"/>
        </w:rPr>
      </w:pPr>
    </w:p>
    <w:p>
      <w:pPr>
        <w:ind w:left="1000" w:right="160" w:hanging="547"/>
        <w:spacing w:after="0" w:line="263"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9"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75" w:lineRule="exact"/>
        <w:rPr>
          <w:rFonts w:ascii="Arial" w:cs="Arial" w:eastAsia="Arial" w:hAnsi="Arial"/>
          <w:sz w:val="18"/>
          <w:szCs w:val="18"/>
          <w:color w:val="auto"/>
        </w:rPr>
      </w:pPr>
    </w:p>
    <w:p>
      <w:pPr>
        <w:ind w:left="1000" w:right="40" w:hanging="547"/>
        <w:spacing w:after="0" w:line="263"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00" w:right="20" w:hanging="547"/>
        <w:spacing w:after="0" w:line="308" w:lineRule="auto"/>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51" w:lineRule="exact"/>
        <w:rPr>
          <w:rFonts w:ascii="Arial" w:cs="Arial" w:eastAsia="Arial" w:hAnsi="Arial"/>
          <w:sz w:val="17"/>
          <w:szCs w:val="17"/>
          <w:color w:val="auto"/>
        </w:rPr>
      </w:pPr>
    </w:p>
    <w:p>
      <w:pPr>
        <w:ind w:left="1000" w:right="260" w:hanging="547"/>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70"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amended and restated bylaws; or (iv) any action asserting a claim against us or any director or officer or other employee that is governed by the internal affairs doctrine. Notwithstanding the foregoing, the exclusive forum provision will not apply to any claim to enforce any liability or duty created by the Exchange Act or the Securities Act and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Exchange Act or the Securities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section titled “Executive Compensation—Limitations on Liability and Indemnification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common stock is currently not listed on any securities exchange. We have applied to list our common stock on The Nasdaq Global Market under the symbol “BDSX”.</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agent’s address 150 Royall Street, Canton, Massachusetts 02021, and its telephone number is (800) 962-4284.</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00"/>
          </w:cols>
          <w:pgMar w:left="320" w:top="459" w:right="3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340" w:firstLine="449"/>
        <w:spacing w:after="0" w:line="275" w:lineRule="auto"/>
        <w:rPr>
          <w:sz w:val="20"/>
          <w:szCs w:val="20"/>
          <w:color w:val="auto"/>
        </w:rPr>
      </w:pPr>
      <w:r>
        <w:rPr>
          <w:rFonts w:ascii="Arial" w:cs="Arial" w:eastAsia="Arial" w:hAnsi="Arial"/>
          <w:sz w:val="17"/>
          <w:szCs w:val="17"/>
          <w:color w:val="auto"/>
        </w:rPr>
        <w:t>Prior to this offering, no public market existed for our common stock. Future sales of shares of our common stock in the public market after this offering, and the availability of shares for future sale, could adversely affect the market price of our common stock prevailing from time to time. As described below, only a limited number of shares will be available for sale shortly after this offering due to contractual and legal restrictions on resale. Nonetheless, sales of substantial amounts of our common stock, or the perception that these sales could occur, could adversely affect prevailing market prices for our common stock and could impair our future ability to raise equity capital.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Shares</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Based on the number of shares outstanding on October 15, 2020, upon the closing of this offering, 26,420,739 shares of common stock will be outstanding, assuming no exercise of the underwriters’ over-allotment option, and no exercise of outstanding options. All of the shares of common stock sold in this offering will be freely tradable without restrictions or further registration under the Securities Act, except for any shares sold to our “affiliates,” as that term is defined under Rule 144 under the Securities Act.</w:t>
      </w:r>
    </w:p>
    <w:p>
      <w:pPr>
        <w:spacing w:after="0" w:line="187" w:lineRule="exact"/>
        <w:rPr>
          <w:sz w:val="20"/>
          <w:szCs w:val="20"/>
          <w:color w:val="auto"/>
        </w:rPr>
      </w:pPr>
    </w:p>
    <w:p>
      <w:pPr>
        <w:jc w:val="both"/>
        <w:ind w:right="80" w:firstLine="449"/>
        <w:spacing w:after="0" w:line="279" w:lineRule="auto"/>
        <w:rPr>
          <w:sz w:val="20"/>
          <w:szCs w:val="20"/>
          <w:color w:val="auto"/>
        </w:rPr>
      </w:pPr>
      <w:r>
        <w:rPr>
          <w:rFonts w:ascii="Arial" w:cs="Arial" w:eastAsia="Arial" w:hAnsi="Arial"/>
          <w:sz w:val="17"/>
          <w:szCs w:val="17"/>
          <w:color w:val="auto"/>
        </w:rPr>
        <w:t>The remaining shares of common stock and common stock subject to stock options will be on issuance “restricted securities,” as that term is defined in Rule 144 under the Securities Act. Restricted securities may be sold in the public market only if registered under the Securities Act or if they qualify for exemption from registration under Rules 144 or 701 under the Securities Act, which are summarized below. Restricted securities may also be sold outside of the United States to non-United States persons in accordance with Rule 904 of Regulation 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of our affiliates who own either restricted or unrestricted shares of our common stock, are entitled to sell their securities without registration with the SEC under an exemption from registration provided by Rule 144 under the Securities Act.</w:t>
      </w:r>
    </w:p>
    <w:p>
      <w:pPr>
        <w:spacing w:after="0" w:line="184"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 (ii) we have been subject to the Exchange Act periodic reporting requirements for at least 90 days before the sale, and (iii) we are current in our Exchange Act reporting at the time of sale. 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83" w:lineRule="exact"/>
        <w:rPr>
          <w:sz w:val="20"/>
          <w:szCs w:val="20"/>
          <w:color w:val="auto"/>
        </w:rPr>
      </w:pPr>
    </w:p>
    <w:p>
      <w:pPr>
        <w:ind w:left="1000" w:right="4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which will equal approximately 264,207 shares immediately after the closing of this offering based on the number of shares of common stock outstanding as of October 15, 2020; or</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the sale;</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459" w:right="3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of the restricted shares are subject to lock-up agreements as described below and in the section titled “Underwriters.”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“Underwriters” and will become eligible for sale upon the expiration of the restrictions set forth in those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121" w:lineRule="exact"/>
        <w:rPr>
          <w:sz w:val="20"/>
          <w:szCs w:val="20"/>
          <w:color w:val="auto"/>
        </w:rPr>
      </w:pPr>
    </w:p>
    <w:p>
      <w:pPr>
        <w:ind w:right="300" w:firstLine="449"/>
        <w:spacing w:after="0" w:line="301" w:lineRule="auto"/>
        <w:rPr>
          <w:sz w:val="20"/>
          <w:szCs w:val="20"/>
          <w:color w:val="auto"/>
        </w:rPr>
      </w:pPr>
      <w:r>
        <w:rPr>
          <w:rFonts w:ascii="Arial" w:cs="Arial" w:eastAsia="Arial" w:hAnsi="Arial"/>
          <w:sz w:val="16"/>
          <w:szCs w:val="16"/>
          <w:color w:val="auto"/>
        </w:rPr>
        <w:t>As soon as practicable after the closing of this offering, we intend to file with the SEC one or more registration statements on Form S-8 under the Securities Act to register the shares of common stock that are issuable pursuant to our 2006 Incentive Plan and 2016 Incentive Plan. These registration statements will become effective immediately upon filing. Shares covered by these registration statements will then be eligible for sale in the public markets, subject to vesting restrictions, the applicable lock-up agreements described below and Rule 144 limitations applicable to affiliates.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and all of our directors and officers, as well as the other holders of substantially all of our common stock and securities convertible into or exercisable or exchangeable for our common stock outstanding immediately upon the closing of this offering, have agreed with Morgan Stanley &amp; Co. LLC and William Blair &amp; Company, L.L.C. on behalf of the underwriters that, for a period ending on and including the 180th day following the date of this prospectus, subject to certain exceptions, we and they will not, and will not publicly disclose an intention to,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file any registration statement with the SEC relating to the offering of any shares of common stock or any securities convertible into or exercisable or exchangeable for common stock, or enter into any swap or other arrangement that transfers to another, in whole or in part, any of the economic consequences of ownership of the common stock, except with the prior written consent of Morgan Stanley &amp; Co. LLC and William Blair &amp; Company, L.L.C., in their sole discretion, with or without notice, on behalf of the underwriters. See the section titled “Underwriters” for a more complete description of the lock-up agreements with the underwriters.</w:t>
      </w:r>
    </w:p>
    <w:p>
      <w:pPr>
        <w:spacing w:after="0" w:line="18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certain security holders, including our IRA and our standard forms of notice of exercise under our 2006 Incentive Plan and our 2016 Incentive Plan, that contain market stand-off provisions imposing restrictions on the ability of such security holders to offer, sell or transfer our equity securities for a period ending on and including the 180th day following the date of this prospectus.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320" w:top="459" w:right="3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Upon the closing of this offering, the holders of 20,090,745 shares of our common stock issuable upon conversion of outstanding shares of preferred stock, or their transferees, will be entitled to certain rights with respect to the registration of their shares under the Securities Act. Registration of these shares under the Securities Act would result in the shares becoming freely tradable without restriction under the Securities Act immediately upon the effectiveness of the registration. See the section titled “Description of Capital Stock—Registration Rights” for additional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Shares purchased through the directed share program will not be subject to lockup restrictions with the underwriters, except in the case of shares purchased by any of our officers or directors, employees and certain of our existing stockholders. For additional information, see the section titled “Underwriters—Directed Share Program.”</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80"/>
          </w:cols>
          <w:pgMar w:left="320" w:top="459" w:right="3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NON-UNITED STATES HOLDERS OF OUR COMMON STOCK</w:t>
      </w:r>
    </w:p>
    <w:p>
      <w:pPr>
        <w:spacing w:after="0" w:line="211" w:lineRule="exact"/>
        <w:rPr>
          <w:sz w:val="20"/>
          <w:szCs w:val="20"/>
          <w:color w:val="auto"/>
        </w:rPr>
      </w:pPr>
    </w:p>
    <w:p>
      <w:pPr>
        <w:ind w:right="160" w:firstLine="449"/>
        <w:spacing w:after="0" w:line="289" w:lineRule="auto"/>
        <w:rPr>
          <w:sz w:val="20"/>
          <w:szCs w:val="20"/>
          <w:color w:val="auto"/>
        </w:rPr>
      </w:pPr>
      <w:r>
        <w:rPr>
          <w:rFonts w:ascii="Arial" w:cs="Arial" w:eastAsia="Arial" w:hAnsi="Arial"/>
          <w:sz w:val="16"/>
          <w:szCs w:val="16"/>
          <w:color w:val="auto"/>
        </w:rPr>
        <w:t>The following is a summary of the material United States federal income tax consequences to non-United States holders (as defined below) of the acquisition, ownership and disposition of our common stock issued pursuant to this offering. This discussion is not a complete analysis of all potential United States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United States federal tax laws. This discussion is based on the Code and applicable Treasury Regulations promulgated thereunder, judicial decisions and published rulings and administrative pronouncements of the Internal Revenue Service (IRS) all as in effect as of the date hereof. These authorities are subject to differing interpretations and may change, possibly retroactively, resulting in United States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This discussion is limited to non-United States holders who purchase our common stock pursuant to this offering and who hold our common stock as a “capital asset” within the meaning of Section 1221 of the Code (generally, property held for investment). This discussion does not address all of the United States federal income tax consequences that may be relevant to a particular holder in light of such holder’s particular circumstances. This discussion also does not consider any specific facts or circumstances that may be relevant to holders subject to special rules under the United States federal income tax laws, including:</w:t>
      </w:r>
    </w:p>
    <w:p>
      <w:pPr>
        <w:spacing w:after="0" w:line="93" w:lineRule="exact"/>
        <w:rPr>
          <w:sz w:val="20"/>
          <w:szCs w:val="20"/>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corporations that accumulate earnings to avoid United States federal income tax;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or dealers in securities;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foreign pension funds;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If an entity or arrangement that is classified as a partnership for United States federal income tax purposes holds our common stock, the United States federal income tax treatment of a partner in the partnership will generally depend on the status of the partner and the activities of the partnership. Partnerships (including entities or arrangements treated as partnerships for United States federal income tax purposes) holding our common stock and the partners in such partnerships are urged to consult their tax advisors about the particular United States federal income tax consequences to them of holding and disposing of our common stock.</w:t>
      </w:r>
    </w:p>
    <w:p>
      <w:pPr>
        <w:spacing w:after="0" w:line="184" w:lineRule="exact"/>
        <w:rPr>
          <w:sz w:val="20"/>
          <w:szCs w:val="20"/>
          <w:color w:val="auto"/>
        </w:rPr>
      </w:pPr>
    </w:p>
    <w:p>
      <w:pPr>
        <w:ind w:right="440" w:firstLine="449"/>
        <w:spacing w:after="0" w:line="282" w:lineRule="auto"/>
        <w:rPr>
          <w:sz w:val="20"/>
          <w:szCs w:val="20"/>
          <w:color w:val="auto"/>
        </w:rPr>
      </w:pPr>
      <w:r>
        <w:rPr>
          <w:rFonts w:ascii="Arial" w:cs="Arial" w:eastAsia="Arial" w:hAnsi="Arial"/>
          <w:sz w:val="18"/>
          <w:szCs w:val="18"/>
          <w:b w:val="1"/>
          <w:bCs w:val="1"/>
          <w:color w:val="auto"/>
        </w:rPr>
        <w:t>PROSPECTIVE INVESTORS SHOULD CONSULT THEIR TAX ADVISORS REGARDING THE PARTICULAR UNITED STATES FEDERAL INCOME TAX CONSEQUENCES TO THEM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459"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b w:val="1"/>
          <w:bCs w:val="1"/>
          <w:color w:val="auto"/>
        </w:rPr>
        <w:t>ACQUIRING, OWNING AND DISPOSING OF OUR COMMON STOCK, AS WELL AS ANY TAX CONSEQUENCES ARISING UNDER ANY STATE, LOCAL OR FOREIGN TAX LAWS, AN APPLICABLE TAX TREATY OR ANY OTHER UNITED STATES FEDERAL TAX LAWS. IN ADDITION, YOU SHOULD ALSO CONSULT WITH YOUR TAX ADVISOR WITH RESPECT TO POTENTIAL CHANGES IN UNITED STATES FEDERAL TAX LAW AS WELL AS POTENTIAL CHANGES IN STATE, LOCAL OR FOREIGN TAX LAWS.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Non-United States Holder</w:t>
      </w:r>
    </w:p>
    <w:p>
      <w:pPr>
        <w:spacing w:after="0" w:line="121" w:lineRule="exact"/>
        <w:rPr>
          <w:sz w:val="20"/>
          <w:szCs w:val="20"/>
          <w:color w:val="auto"/>
        </w:rPr>
      </w:pPr>
    </w:p>
    <w:p>
      <w:pPr>
        <w:jc w:val="both"/>
        <w:ind w:right="340" w:firstLine="449"/>
        <w:spacing w:after="0" w:line="286" w:lineRule="auto"/>
        <w:rPr>
          <w:sz w:val="20"/>
          <w:szCs w:val="20"/>
          <w:color w:val="auto"/>
        </w:rPr>
      </w:pPr>
      <w:r>
        <w:rPr>
          <w:rFonts w:ascii="Arial" w:cs="Arial" w:eastAsia="Arial" w:hAnsi="Arial"/>
          <w:sz w:val="17"/>
          <w:szCs w:val="17"/>
          <w:color w:val="auto"/>
        </w:rPr>
        <w:t>For purposes of this discussion, a non-United States holder is any beneficial owner of our common stock that is not a “United States person” or a partnership (including any entity or arrangement treated as a partnership) for United States federal income tax purposes. A United States person is any person that, for United States federal income tax purposes, is or is treated as any of the following:</w:t>
      </w:r>
    </w:p>
    <w:p>
      <w:pPr>
        <w:spacing w:after="0" w:line="71" w:lineRule="exact"/>
        <w:rPr>
          <w:sz w:val="20"/>
          <w:szCs w:val="20"/>
          <w:color w:val="auto"/>
        </w:rPr>
      </w:pPr>
    </w:p>
    <w:p>
      <w:pPr>
        <w:ind w:left="1000" w:hanging="547"/>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United States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 regardless of its source; or</w:t>
      </w:r>
    </w:p>
    <w:p>
      <w:pPr>
        <w:spacing w:after="0" w:line="130" w:lineRule="exact"/>
        <w:rPr>
          <w:rFonts w:ascii="Arial" w:cs="Arial" w:eastAsia="Arial" w:hAnsi="Arial"/>
          <w:sz w:val="18"/>
          <w:szCs w:val="18"/>
          <w:color w:val="auto"/>
        </w:rPr>
      </w:pPr>
    </w:p>
    <w:p>
      <w:pPr>
        <w:jc w:val="both"/>
        <w:ind w:left="1000" w:right="540" w:hanging="547"/>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United States court and which has one or more United States persons who have the authority to control all substantial decisions of the trust or (2) that has a valid election in effect under applicable Treasury Regulations to be treated as a United States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in the foreseeable future. However, 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Amounts not treated as dividends for United States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8"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Subject to the discussions below regarding effectively connected income, backup withholding and Sections 1471 through 1474 of the Code (commonly referred to as FATCA), dividends paid to a non-United States holder of our common stock generally will be subject to United States federal withholding tax at a rate of 30% of the gross amount of the dividends or such lower rate specified by an applicable income tax treaty. To receive the benefit of a reduced treaty rate, a non-United States holder must furnish us or our paying agent with a valid IRS Form W-8BEN or IRS Form W-8BEN-E (or applicable successor form) certifying such holder’s qualification for the reduced rate. This certification must be provided to us or our paying agent before the payment of dividends and must be updated periodically. If the non-United States holder holds the stock through a financial institution or other agent acting on the non-United States holder’s behalf, the non-United States holder will be required to provide appropriate documentation to the agent, which then will be required to provide certification to us or our paying agent, either directly or through other intermediaries.</w:t>
      </w:r>
    </w:p>
    <w:p>
      <w:pPr>
        <w:spacing w:after="0" w:line="16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Non-United States holders that do not provide the required certification on a timely basis, but that qualify for a reduced treaty rate, may be eligible to obtain a refund of any excess amounts withheld by timely filing an appropriate claim for refund with the IRS.</w:t>
      </w:r>
    </w:p>
    <w:p>
      <w:pPr>
        <w:spacing w:after="0" w:line="17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If a non-United States holder holds our common stock in connection with the conduct of a trade or business in the United States, and dividends paid on our common stock are effectively connected with such 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9"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United States trade or business (and are attributable to such holder’s permanent establishment in the United States if required by an applicable tax treaty), the non-United States holder will be exempt from United States federal withholding tax. To claim the exemption, the non-United States holder must generally furnish a valid IRS Form W-8ECI (or applicable successor form) to the applicable withholding agent certifying eligibility for exemption.</w:t>
      </w:r>
    </w:p>
    <w:p>
      <w:pPr>
        <w:spacing w:after="0" w:line="14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dividends. Non-United States holders should consult their tax advisors regarding any applicable income tax treaties that may provide for different rules.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non-United States holder generally will not be subject to United States federal income tax on any gain realized on the sale or other disposition of our common stock, unless:</w:t>
      </w:r>
    </w:p>
    <w:p>
      <w:pPr>
        <w:spacing w:after="0" w:line="76" w:lineRule="exact"/>
        <w:rPr>
          <w:sz w:val="20"/>
          <w:szCs w:val="20"/>
          <w:color w:val="auto"/>
        </w:rPr>
      </w:pPr>
    </w:p>
    <w:p>
      <w:pPr>
        <w:ind w:left="1000" w:right="80" w:hanging="547"/>
        <w:spacing w:after="0" w:line="342" w:lineRule="auto"/>
        <w:tabs>
          <w:tab w:leader="none" w:pos="10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gain is effectively connected with the non-United States holder’s conduct of a trade or business in the United States, and if required by an applicable income tax treaty, is attributable to a permanent establishment maintained by the non-United States holder in the United States;</w:t>
      </w:r>
    </w:p>
    <w:p>
      <w:pPr>
        <w:spacing w:after="0" w:line="29" w:lineRule="exact"/>
        <w:rPr>
          <w:rFonts w:ascii="Arial" w:cs="Arial" w:eastAsia="Arial" w:hAnsi="Arial"/>
          <w:sz w:val="16"/>
          <w:szCs w:val="16"/>
          <w:color w:val="auto"/>
        </w:rPr>
      </w:pPr>
    </w:p>
    <w:p>
      <w:pPr>
        <w:ind w:left="1000" w:right="8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non-United States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00" w:right="360" w:hanging="547"/>
        <w:spacing w:after="0" w:line="279"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(USRPHC) for United States federal income tax purposes at any time within the shorter of the five-year period preceding the disposition or the non-United States holder’s holding period for our common stock, and our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Determining whether we are a USRPHC depends on the fair market value of our United States real property interests relative to the fair market value of our other trade or business assets and our foreign real property interests. We believe that we are not currently and do not anticipate becoming a USRPHC for United States federal income tax purposes, although there can be no assurance we will not in the future become a USRPHC.</w:t>
      </w:r>
    </w:p>
    <w:p>
      <w:pPr>
        <w:spacing w:after="0" w:line="14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Gain described in the first bullet point above generally will be subject to United States federal income tax on a net income basis at the regular graduated United States federal income tax rates in the same manner as if such holder were a resident of the United States. A non-United States holder that is a foreign corporation also may be subject to an additional branch profits tax equal to 30% (or such lower rate specified by an applicable income tax treaty) of its effectively connected earnings and profits for the taxable year (as adjusted for certain items), which will include effectively connected gain. Gain described in the second bullet point above will be subject to United States federal income tax at a flat 30% rate (or such lower rate specified by an applicable income tax treaty), but may be offset by certain United States-source capital losses (even though the individual is not considered a resident of the United States), provided that the non-United States holder has timely filed United States federal income tax returns with respect to such losses. Non-United States holders should consult their tax advisors regarding any applicable income tax treaties that may provide for different rules.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Annual reports are required to be filed with the IRS and provided to each non-United States holder indicating the amount of dividends on our common stock paid to such holder and the amount of any tax withheld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respect to those dividends. These information reporting requirements apply even if no withholding was required because the dividends were effectively connected with the holder’s conduct of a United States trade or business, or withholding was reduced or eliminated by an applicable income tax treaty. This information also may be made available under a specific treaty or agreement with the tax authorities in the country in which the non-United States holder resides or is established. Backup withholding, currently at a 24% rate, generally will not apply to payments to a non-United States holder of dividends on or the gross proceeds of a disposition of our common stock provided the non-United States holder furnishes the required certification for its non-United States status, such as by providing a valid IRS Form W-8BEN, IRS Form W-8BEN-E or IRS Form W-8ECI, or certain other requirements are met. Backup withholding may apply if the payer has actual knowledge, or reason to know, that the holder is a United States person who is not an exempt recipient.</w:t>
      </w:r>
    </w:p>
    <w:p>
      <w:pPr>
        <w:spacing w:after="0" w:line="19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Information reporting and backup withholding generally are not required with respect to the amount of any proceeds from the sale or other disposition of our common stock by a non-United States holder outside the United States through a foreign office of a foreign broker that does not have certain specified connections to the United States. However, if a non-United States holder sells or otherwise disposes of its shares of common stock through a United States broker or the United States offices of a foreign broker, the broker will generally be required to report the amount of proceeds paid to the non-United States holder to the IRS and also backup withhold on that amount unless such non-United States holder provides appropriate certification to the broker of its status as a non-United States person (and the payer does not have actual knowledge or reason to know that such holder is a United States person) or otherwise establishes an exemption. Information reporting will also apply if a non-United States holder sells its shares of common stock through a foreign broker deriving more than a specified percentage of its income from United States sources or having certain other connections to the United States, unless such broker has documentary evidence in its records that such non-United States holder is a non-United States person (and the payer does not have actual knowledge or reason to know that such holder is a United States person) and certain other conditions are met, or such non-United States holder otherwise establishes an exemption.</w:t>
      </w:r>
    </w:p>
    <w:p>
      <w:pPr>
        <w:spacing w:after="0" w:line="182"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non-United States holder should consult with a United States tax advisor regarding the possibility of and procedure for obtaining a refund or a credit against the non-United States holder’s United States federal income tax liability, if 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FATCA imposes a United States federal withholding tax of 30% on dividends paid on our common stock to a “foreign financial institution” (as specially defined under these rules) unless such institution enters into an agreement with the United States government to withhold on certain payments and to collect and provide to the United States tax authorities substantial information regarding certain United States account holders of such institution (which includes certain equity and debt holders of such institution, as well as certain account holders that are foreign entities with United States owners) or an exemption applies. FATCA also generally will impose a United States federal withholding tax of 30% on dividends paid on our common stock to a non-financial foreign entity unless such entity provides the withholding agent a certification identifying certain direct and indirect United States owners of the entity or an exemption applies. An intergovernmental agreement between the United States and an applicable foreign country may modify these requirements. Under certain circumstances, a non-United States holder might be eligible for refunds or credits of such taxes. FATCA currently applies to dividends paid on our common stock. The Treasury Secretary has issued proposed regulations providing that the withholding provisions under FATCA do not apply with respect to gross proceeds from a sale or other disposition of our common stock, which may be relied upon by taxpayers until final regulations are issued.</w:t>
      </w:r>
    </w:p>
    <w:p>
      <w:pPr>
        <w:spacing w:after="0" w:line="182"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320" w:top="459" w:right="3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William Blair &amp; Company, L.L.C. are acting as representatives, have severally agreed to purchase, and we have agreed to sell to them, severally, the number of shares indicated below:</w:t>
      </w:r>
    </w:p>
    <w:p>
      <w:pPr>
        <w:sectPr>
          <w:pgSz w:w="11900" w:h="16838" w:orient="portrait"/>
          <w:cols w:equalWidth="0" w:num="1">
            <w:col w:w="11240"/>
          </w:cols>
          <w:pgMar w:left="320" w:top="459" w:right="339" w:bottom="1440" w:gutter="0" w:footer="0" w:header="0"/>
        </w:sectPr>
      </w:pPr>
    </w:p>
    <w:p>
      <w:pPr>
        <w:spacing w:after="0" w:line="351" w:lineRule="exact"/>
        <w:rPr>
          <w:sz w:val="20"/>
          <w:szCs w:val="20"/>
          <w:color w:val="auto"/>
        </w:rPr>
      </w:pPr>
    </w:p>
    <w:p>
      <w:pPr>
        <w:ind w:left="1420"/>
        <w:spacing w:after="0"/>
        <w:rPr>
          <w:sz w:val="20"/>
          <w:szCs w:val="20"/>
          <w:color w:val="auto"/>
        </w:rPr>
      </w:pPr>
      <w:r>
        <w:rPr>
          <w:rFonts w:ascii="Arial" w:cs="Arial" w:eastAsia="Arial" w:hAnsi="Arial"/>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15240</wp:posOffset>
            </wp:positionV>
            <wp:extent cx="534924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wp:posOffset>
            </wp:positionV>
            <wp:extent cx="534924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Canaccord Genuity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BTIG, LLC</w:t>
      </w:r>
    </w:p>
    <w:p>
      <w:pPr>
        <w:spacing w:after="0" w:line="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580"/>
        <w:spacing w:after="0"/>
        <w:rPr>
          <w:sz w:val="20"/>
          <w:szCs w:val="20"/>
          <w:color w:val="auto"/>
        </w:rPr>
      </w:pPr>
      <w:r>
        <w:rPr>
          <w:rFonts w:ascii="Arial" w:cs="Arial" w:eastAsia="Arial" w:hAnsi="Arial"/>
          <w:sz w:val="13"/>
          <w:szCs w:val="13"/>
          <w:b w:val="1"/>
          <w:bCs w:val="1"/>
          <w:color w:val="auto"/>
        </w:rPr>
        <w:t>Number of</w:t>
      </w:r>
    </w:p>
    <w:p>
      <w:pPr>
        <w:spacing w:after="0" w:line="15"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286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553720</wp:posOffset>
            </wp:positionV>
            <wp:extent cx="5575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4,166,667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29210</wp:posOffset>
            </wp:positionV>
            <wp:extent cx="55753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46355</wp:posOffset>
            </wp:positionV>
            <wp:extent cx="5575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280" w:space="720"/>
            <w:col w:w="2240"/>
          </w:cols>
          <w:pgMar w:left="320" w:top="459" w:right="339" w:bottom="1440" w:gutter="0" w:footer="0" w:header="0"/>
          <w:type w:val="continuous"/>
        </w:sectPr>
      </w:pPr>
    </w:p>
    <w:p>
      <w:pPr>
        <w:spacing w:after="0" w:line="79"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6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625,000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625,000 shares of common stock.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Per</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83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7"/>
              </w:rPr>
              <w:t>No Exercise</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00" w:type="dxa"/>
            <w:vAlign w:val="bottom"/>
            <w:tcBorders>
              <w:top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700" w:type="dxa"/>
            <w:vAlign w:val="bottom"/>
          </w:tcPr>
          <w:p>
            <w:pPr>
              <w:jc w:val="right"/>
              <w:ind w:right="517"/>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$4,000,000. We have agreed to reimburse the underwriters for expenses relating to clearance of this offering with the Financial Industry Regulatory Authority up to $40,000.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59" w:right="339" w:bottom="1440" w:gutter="0" w:footer="0" w:header="0"/>
          <w:type w:val="continuous"/>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trading symbol “BDSX”.</w:t>
      </w:r>
    </w:p>
    <w:p>
      <w:pPr>
        <w:spacing w:after="0" w:line="225"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We and all directors and officers and the holders of substantially all of our outstanding stock and stock options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89" w:lineRule="exact"/>
        <w:rPr>
          <w:sz w:val="20"/>
          <w:szCs w:val="20"/>
          <w:color w:val="auto"/>
        </w:rPr>
      </w:pPr>
    </w:p>
    <w:p>
      <w:pPr>
        <w:ind w:left="1000" w:right="140" w:hanging="547"/>
        <w:spacing w:after="0" w:line="263"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restrictions described in the immediately preceding paragraph do not apply to us in certain circumstances, subject to certain limitations and conditions set forth in the underwriting agreement, including:</w:t>
      </w:r>
    </w:p>
    <w:p>
      <w:pPr>
        <w:spacing w:after="0" w:line="62" w:lineRule="exact"/>
        <w:rPr>
          <w:sz w:val="20"/>
          <w:szCs w:val="20"/>
          <w:color w:val="auto"/>
        </w:rPr>
      </w:pPr>
    </w:p>
    <w:p>
      <w:pPr>
        <w:ind w:left="700" w:hanging="243"/>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issuance and sale of shares of common stock in this offering;</w:t>
      </w:r>
    </w:p>
    <w:p>
      <w:pPr>
        <w:spacing w:after="0" w:line="117" w:lineRule="exact"/>
        <w:rPr>
          <w:rFonts w:ascii="Arial" w:cs="Arial" w:eastAsia="Arial" w:hAnsi="Arial"/>
          <w:sz w:val="18"/>
          <w:szCs w:val="18"/>
          <w:color w:val="auto"/>
        </w:rPr>
      </w:pPr>
    </w:p>
    <w:p>
      <w:pPr>
        <w:ind w:right="620" w:firstLine="457"/>
        <w:spacing w:after="0" w:line="277" w:lineRule="auto"/>
        <w:tabs>
          <w:tab w:leader="none" w:pos="7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issuance of shares of our common stock upon the conversion of securities or the exercise of warrants outstanding as of the date of this prospectus;</w:t>
      </w:r>
    </w:p>
    <w:p>
      <w:pPr>
        <w:spacing w:after="0" w:line="62" w:lineRule="exact"/>
        <w:rPr>
          <w:rFonts w:ascii="Arial" w:cs="Arial" w:eastAsia="Arial" w:hAnsi="Arial"/>
          <w:sz w:val="18"/>
          <w:szCs w:val="18"/>
          <w:color w:val="auto"/>
        </w:rPr>
      </w:pPr>
    </w:p>
    <w:p>
      <w:pPr>
        <w:ind w:right="160" w:firstLine="457"/>
        <w:spacing w:after="0" w:line="277" w:lineRule="auto"/>
        <w:tabs>
          <w:tab w:leader="none" w:pos="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issuance and sale of shares of common stock or options to purchase shares to employees, officers, directors, advisors or consultants pursuant to employee benefit plans described in this prospectus;</w:t>
      </w:r>
    </w:p>
    <w:p>
      <w:pPr>
        <w:spacing w:after="0" w:line="62" w:lineRule="exact"/>
        <w:rPr>
          <w:rFonts w:ascii="Arial" w:cs="Arial" w:eastAsia="Arial" w:hAnsi="Arial"/>
          <w:sz w:val="18"/>
          <w:szCs w:val="18"/>
          <w:color w:val="auto"/>
        </w:rPr>
      </w:pPr>
    </w:p>
    <w:p>
      <w:pPr>
        <w:ind w:left="720" w:hanging="263"/>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filing by us of registration statements on Form S-8 with respect to the employee benefit plans described in this prospectus;</w:t>
      </w:r>
    </w:p>
    <w:p>
      <w:pPr>
        <w:spacing w:after="0" w:line="117" w:lineRule="exact"/>
        <w:rPr>
          <w:rFonts w:ascii="Arial" w:cs="Arial" w:eastAsia="Arial" w:hAnsi="Arial"/>
          <w:sz w:val="18"/>
          <w:szCs w:val="18"/>
          <w:color w:val="auto"/>
        </w:rPr>
      </w:pPr>
    </w:p>
    <w:p>
      <w:pPr>
        <w:ind w:right="60" w:firstLine="457"/>
        <w:spacing w:after="0" w:line="275" w:lineRule="auto"/>
        <w:tabs>
          <w:tab w:leader="none" w:pos="69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sale or issuance by us of, or our entry into an agreement to sell or issue shares of our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common stock that we may sell or issue or agree to sell or issue shall not exceed 5% of the total number of shares of common stock issued and outstanding immediately following the completion of this offering; and</w:t>
      </w:r>
    </w:p>
    <w:p>
      <w:pPr>
        <w:spacing w:after="0" w:line="68" w:lineRule="exact"/>
        <w:rPr>
          <w:rFonts w:ascii="Arial" w:cs="Arial" w:eastAsia="Arial" w:hAnsi="Arial"/>
          <w:sz w:val="17"/>
          <w:szCs w:val="17"/>
          <w:color w:val="auto"/>
        </w:rPr>
      </w:pPr>
    </w:p>
    <w:p>
      <w:pPr>
        <w:ind w:firstLine="457"/>
        <w:spacing w:after="0" w:line="257" w:lineRule="auto"/>
        <w:tabs>
          <w:tab w:leader="none" w:pos="67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459"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firstLine="449"/>
        <w:spacing w:after="0" w:line="342" w:lineRule="auto"/>
        <w:rPr>
          <w:sz w:val="20"/>
          <w:szCs w:val="20"/>
          <w:color w:val="auto"/>
        </w:rPr>
      </w:pPr>
      <w:r>
        <w:rPr>
          <w:rFonts w:ascii="Arial" w:cs="Arial" w:eastAsia="Arial" w:hAnsi="Arial"/>
          <w:sz w:val="16"/>
          <w:szCs w:val="16"/>
          <w:color w:val="auto"/>
        </w:rPr>
        <w:t>In addition, with respect to our directors, officers and the holders of substantially all of our outstanding stock and stock options, the restrictions described above do not apply in certain circumstances, subject to certain limitations and conditions set forth in the lock-up agreements, including:</w:t>
      </w:r>
    </w:p>
    <w:p>
      <w:pPr>
        <w:spacing w:after="0" w:line="16" w:lineRule="exact"/>
        <w:rPr>
          <w:sz w:val="20"/>
          <w:szCs w:val="20"/>
          <w:color w:val="auto"/>
        </w:rPr>
      </w:pPr>
    </w:p>
    <w:p>
      <w:pPr>
        <w:ind w:right="60" w:firstLine="457"/>
        <w:spacing w:after="0" w:line="277" w:lineRule="auto"/>
        <w:tabs>
          <w:tab w:leader="none" w:pos="69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open market transactions after the completion of this offering or as part of this offering (other than issuer-directed shares purchased in this offering);</w:t>
      </w:r>
    </w:p>
    <w:p>
      <w:pPr>
        <w:spacing w:after="0" w:line="62" w:lineRule="exact"/>
        <w:rPr>
          <w:rFonts w:ascii="Arial" w:cs="Arial" w:eastAsia="Arial" w:hAnsi="Arial"/>
          <w:sz w:val="18"/>
          <w:szCs w:val="18"/>
          <w:color w:val="auto"/>
        </w:rPr>
      </w:pPr>
    </w:p>
    <w:p>
      <w:pPr>
        <w:ind w:left="720" w:hanging="263"/>
        <w:spacing w:after="0"/>
        <w:tabs>
          <w:tab w:leader="none" w:pos="7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transfers of shares of common stock or any other securities convertible into or exercisable or exchangeable for common stock as a bona fide gift;</w:t>
      </w:r>
    </w:p>
    <w:p>
      <w:pPr>
        <w:spacing w:after="0" w:line="140" w:lineRule="exact"/>
        <w:rPr>
          <w:rFonts w:ascii="Arial" w:cs="Arial" w:eastAsia="Arial" w:hAnsi="Arial"/>
          <w:sz w:val="16"/>
          <w:szCs w:val="16"/>
          <w:color w:val="auto"/>
        </w:rPr>
      </w:pPr>
    </w:p>
    <w:p>
      <w:pPr>
        <w:ind w:left="700" w:hanging="243"/>
        <w:spacing w:after="0"/>
        <w:tabs>
          <w:tab w:leader="none" w:pos="7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transfers of shares of common stock or any other securities convertible into or exercisable or exchangeable for common stock to certain trusts;</w:t>
      </w:r>
    </w:p>
    <w:p>
      <w:pPr>
        <w:spacing w:after="0" w:line="140" w:lineRule="exact"/>
        <w:rPr>
          <w:rFonts w:ascii="Arial" w:cs="Arial" w:eastAsia="Arial" w:hAnsi="Arial"/>
          <w:sz w:val="16"/>
          <w:szCs w:val="16"/>
          <w:color w:val="auto"/>
        </w:rPr>
      </w:pPr>
    </w:p>
    <w:p>
      <w:pPr>
        <w:ind w:right="440" w:firstLine="457"/>
        <w:spacing w:after="0" w:line="277" w:lineRule="auto"/>
        <w:tabs>
          <w:tab w:leader="none" w:pos="7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distributions of shares of common stock or any other securities convertible into or exercisable or exchangeable for common stock to limited partners, general partners, members, stockholders or other equityholders;</w:t>
      </w:r>
    </w:p>
    <w:p>
      <w:pPr>
        <w:spacing w:after="0" w:line="62" w:lineRule="exact"/>
        <w:rPr>
          <w:rFonts w:ascii="Arial" w:cs="Arial" w:eastAsia="Arial" w:hAnsi="Arial"/>
          <w:sz w:val="18"/>
          <w:szCs w:val="18"/>
          <w:color w:val="auto"/>
        </w:rPr>
      </w:pPr>
    </w:p>
    <w:p>
      <w:pPr>
        <w:ind w:right="240" w:firstLine="457"/>
        <w:spacing w:after="0" w:line="277" w:lineRule="auto"/>
        <w:tabs>
          <w:tab w:leader="none" w:pos="69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affiliates or to certain related investment funds or entities;</w:t>
      </w:r>
    </w:p>
    <w:p>
      <w:pPr>
        <w:spacing w:after="0" w:line="62" w:lineRule="exact"/>
        <w:rPr>
          <w:rFonts w:ascii="Arial" w:cs="Arial" w:eastAsia="Arial" w:hAnsi="Arial"/>
          <w:sz w:val="18"/>
          <w:szCs w:val="18"/>
          <w:color w:val="auto"/>
        </w:rPr>
      </w:pPr>
    </w:p>
    <w:p>
      <w:pPr>
        <w:ind w:right="140" w:firstLine="457"/>
        <w:spacing w:after="0" w:line="277" w:lineRule="auto"/>
        <w:tabs>
          <w:tab w:leader="none" w:pos="67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any nominee or custodian of a person or entity to whom a transfer or disposition would be permissible under clauses (b) through (e) above;</w:t>
      </w:r>
    </w:p>
    <w:p>
      <w:pPr>
        <w:spacing w:after="0" w:line="62" w:lineRule="exact"/>
        <w:rPr>
          <w:rFonts w:ascii="Arial" w:cs="Arial" w:eastAsia="Arial" w:hAnsi="Arial"/>
          <w:sz w:val="18"/>
          <w:szCs w:val="18"/>
          <w:color w:val="auto"/>
        </w:rPr>
      </w:pPr>
    </w:p>
    <w:p>
      <w:pPr>
        <w:ind w:right="80" w:firstLine="457"/>
        <w:spacing w:after="0" w:line="277" w:lineRule="auto"/>
        <w:tabs>
          <w:tab w:leader="none" w:pos="7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by will or intestate succession;</w:t>
      </w:r>
    </w:p>
    <w:p>
      <w:pPr>
        <w:spacing w:after="0" w:line="62" w:lineRule="exact"/>
        <w:rPr>
          <w:rFonts w:ascii="Arial" w:cs="Arial" w:eastAsia="Arial" w:hAnsi="Arial"/>
          <w:sz w:val="18"/>
          <w:szCs w:val="18"/>
          <w:color w:val="auto"/>
        </w:rPr>
      </w:pPr>
    </w:p>
    <w:p>
      <w:pPr>
        <w:ind w:right="60" w:firstLine="457"/>
        <w:spacing w:after="0" w:line="259" w:lineRule="auto"/>
        <w:tabs>
          <w:tab w:leader="none" w:pos="7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us in connection with the exercise of options, warrants or other rights to acquire shares of common stock or any security convertible into or exercisable for shares of our common stock by way of net exercise and/or to cover withholding tax obligations in connection with such exercise pursuant to an employee benefit plan, option, warrant or other right disclosed in this prospectus;</w:t>
      </w:r>
    </w:p>
    <w:p>
      <w:pPr>
        <w:spacing w:after="0" w:line="78" w:lineRule="exact"/>
        <w:rPr>
          <w:rFonts w:ascii="Arial" w:cs="Arial" w:eastAsia="Arial" w:hAnsi="Arial"/>
          <w:sz w:val="18"/>
          <w:szCs w:val="18"/>
          <w:color w:val="auto"/>
        </w:rPr>
      </w:pPr>
    </w:p>
    <w:p>
      <w:pPr>
        <w:ind w:right="400" w:firstLine="457"/>
        <w:spacing w:after="0" w:line="342" w:lineRule="auto"/>
        <w:tabs>
          <w:tab w:leader="none" w:pos="66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transfers of shares of common stock or any other securities convertible into or exercisable or exchangeable for common stock pursuant to the automatic conversion of outstanding preferred stock or our convertible notes into shares of common stock as described in the prospectus;</w:t>
      </w:r>
    </w:p>
    <w:p>
      <w:pPr>
        <w:spacing w:after="0" w:line="15" w:lineRule="exact"/>
        <w:rPr>
          <w:rFonts w:ascii="Arial" w:cs="Arial" w:eastAsia="Arial" w:hAnsi="Arial"/>
          <w:sz w:val="16"/>
          <w:szCs w:val="16"/>
          <w:color w:val="auto"/>
        </w:rPr>
      </w:pPr>
    </w:p>
    <w:p>
      <w:pPr>
        <w:ind w:right="20" w:firstLine="457"/>
        <w:spacing w:after="0" w:line="342" w:lineRule="auto"/>
        <w:tabs>
          <w:tab w:leader="none" w:pos="66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transfers of shares of common stock or any other securities convertible into or exercisable or exchangeable for common stock by operation of law, including pursuant to a court or regulatory agency order, a settlement agreement, a qualified domestic order or in connection with a divorce settlement;</w:t>
      </w:r>
    </w:p>
    <w:p>
      <w:pPr>
        <w:spacing w:after="0" w:line="15" w:lineRule="exact"/>
        <w:rPr>
          <w:rFonts w:ascii="Arial" w:cs="Arial" w:eastAsia="Arial" w:hAnsi="Arial"/>
          <w:sz w:val="16"/>
          <w:szCs w:val="16"/>
          <w:color w:val="auto"/>
        </w:rPr>
      </w:pPr>
    </w:p>
    <w:p>
      <w:pPr>
        <w:ind w:right="220" w:firstLine="457"/>
        <w:spacing w:after="0" w:line="308" w:lineRule="auto"/>
        <w:tabs>
          <w:tab w:leader="none" w:pos="70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transfers of shares of common stock or any other securities convertible into or exercisable or exchangeable for common stock to us pursuant to any agreements under which we have the option to repurchase or a right of first refusal with respect to transfers of such shares;</w:t>
      </w:r>
    </w:p>
    <w:p>
      <w:pPr>
        <w:spacing w:after="0" w:line="38" w:lineRule="exact"/>
        <w:rPr>
          <w:rFonts w:ascii="Arial" w:cs="Arial" w:eastAsia="Arial" w:hAnsi="Arial"/>
          <w:sz w:val="17"/>
          <w:szCs w:val="17"/>
          <w:color w:val="auto"/>
        </w:rPr>
      </w:pPr>
    </w:p>
    <w:p>
      <w:pPr>
        <w:ind w:right="400" w:firstLine="457"/>
        <w:spacing w:after="0" w:line="263" w:lineRule="auto"/>
        <w:tabs>
          <w:tab w:leader="none" w:pos="6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of shares of common stock or any other securities convertible into or exercisable or exchangeable for common stock to a third party pursuant to a merger, consolidation, bona fide tender offer or other similar transaction made to all holders of shares of the common stock involving a change of control and approved by our board of directors; and</w:t>
      </w:r>
    </w:p>
    <w:p>
      <w:pPr>
        <w:spacing w:after="0" w:line="75" w:lineRule="exact"/>
        <w:rPr>
          <w:rFonts w:ascii="Arial" w:cs="Arial" w:eastAsia="Arial" w:hAnsi="Arial"/>
          <w:sz w:val="18"/>
          <w:szCs w:val="18"/>
          <w:color w:val="auto"/>
        </w:rPr>
      </w:pPr>
    </w:p>
    <w:p>
      <w:pPr>
        <w:ind w:firstLine="457"/>
        <w:spacing w:after="0" w:line="257" w:lineRule="auto"/>
        <w:tabs>
          <w:tab w:leader="none" w:pos="75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88"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representatives, in their sole discretion, may release the common stock and other securities subject to the lock-up agreements described above in whole or in part at any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20"/>
          </w:cols>
          <w:pgMar w:left="320" w:top="459" w:right="3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At our request, the underwriters have reserved up to 5% of the shares of common stock offered by this prospectus, for sale at the initial public offering price through a directed share program to certain individuals, including our directors, employees and certain of our existing stockholders. The sales will be made at our direction by Morgan Stanley &amp; Co. LLC and its affiliates through a directed share program. The number of shares of our common stock available for sale to the general public in this offering will be reduced to the extent that these individuals purchase such reserved shares. Any reserved shares that are not so purchased will be offered by the underwriters to the general public on the same terms as the other shares of common stock offered by this prospectus. Shares purchased through the directed share program will not be subject to lockup restrictions with the underwriters during the restricted period described above, except in the case of shares purchased by any of our officers or directors, employees and certain of our existing stockholders. We have agreed to indemnify the underwriters against certain liabilities and expenses, including liabilities under the Securities Act, in connection with the sales of the shares reserved for the directed share program.</w:t>
      </w:r>
    </w:p>
    <w:p>
      <w:pPr>
        <w:spacing w:after="0" w:line="285" w:lineRule="exact"/>
        <w:rPr>
          <w:sz w:val="20"/>
          <w:szCs w:val="20"/>
          <w:color w:val="auto"/>
        </w:rPr>
      </w:pPr>
    </w:p>
    <w:p>
      <w:pPr>
        <w:jc w:val="center"/>
        <w:ind w:right="9720"/>
        <w:spacing w:after="0"/>
        <w:rPr>
          <w:sz w:val="20"/>
          <w:szCs w:val="20"/>
          <w:color w:val="auto"/>
        </w:rPr>
      </w:pPr>
      <w:r>
        <w:rPr>
          <w:rFonts w:ascii="Arial" w:cs="Arial" w:eastAsia="Arial" w:hAnsi="Arial"/>
          <w:sz w:val="16"/>
          <w:szCs w:val="16"/>
          <w:b w:val="1"/>
          <w:bCs w:val="1"/>
          <w:color w:val="auto"/>
        </w:rPr>
        <w:t>Selling Restrictions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relation to each Member State of the EEA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00" w:hanging="422"/>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00" w:right="300" w:hanging="432"/>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00" w:hanging="422"/>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20"/>
          </w:cols>
          <w:pgMar w:left="320" w:top="459" w:right="3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46"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right="200" w:hanging="422"/>
        <w:spacing w:after="0" w:line="259"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00" w:hanging="432"/>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2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7"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320" w:top="459"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right="200" w:firstLine="449"/>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459" w:right="3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validity of the shares of common stock offered hereby will be passed upon for us by Sidley Austin LLP, San Francisco, California. Certain legal matters in connection with this offering will be passed upon for the underwriters by Davis Polk &amp; Wardwell LLP, New York, New York. Partners of Sidley Austin LLP own less than 1% of our outstanding common stock.</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financial statements of Biodesix, Inc. as of December 31, 2019 and 2018, and for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320" w:top="459" w:right="3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92"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are not currently subject to the informational requirements of the Exchange Act. Upon the closing of this offering, we will be subject to the information reporting requirements of the Exchange Act, and we will file reports, proxy statements and other information with the SEC. The SEC also maintains a website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reports, proxy and information statements and other information that we file electronically with the SEC. We also maintain a website at </w:t>
      </w:r>
      <w:r>
        <w:rPr>
          <w:rFonts w:ascii="Arial" w:cs="Arial" w:eastAsia="Arial" w:hAnsi="Arial"/>
          <w:sz w:val="18"/>
          <w:szCs w:val="18"/>
          <w:i w:val="1"/>
          <w:iCs w:val="1"/>
          <w:color w:val="auto"/>
        </w:rPr>
        <w:t>www.biodesix.com</w:t>
      </w:r>
      <w:r>
        <w:rPr>
          <w:rFonts w:ascii="Arial" w:cs="Arial" w:eastAsia="Arial" w:hAnsi="Arial"/>
          <w:sz w:val="18"/>
          <w:szCs w:val="18"/>
          <w:color w:val="auto"/>
        </w:rPr>
        <w:t>, at which you may access these materials free of charge as soon as reasonably practicable after they are electronically filed with, or furnished to, the SEC. The information contained on, or accessible from, or hyperlinked to, our website is not part of this prospectus by reference or otherwise.</w:t>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60"/>
          </w:cols>
          <w:pgMar w:left="32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80" w:type="dxa"/>
            <w:vAlign w:val="bottom"/>
            <w:vMerge w:val="restart"/>
          </w:tcPr>
          <w:p>
            <w:pPr>
              <w:spacing w:after="0"/>
              <w:rPr>
                <w:sz w:val="20"/>
                <w:szCs w:val="20"/>
                <w:color w:val="auto"/>
              </w:rPr>
            </w:pPr>
            <w:r>
              <w:rPr>
                <w:rFonts w:ascii="Arial" w:cs="Arial" w:eastAsia="Arial" w:hAnsi="Arial"/>
                <w:sz w:val="18"/>
                <w:szCs w:val="18"/>
                <w:color w:val="auto"/>
              </w:rPr>
              <w:t>Unaudited Interim Financial Statements</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23">
              <w:r>
                <w:rPr>
                  <w:rFonts w:ascii="Arial" w:cs="Arial" w:eastAsia="Arial" w:hAnsi="Arial"/>
                  <w:sz w:val="18"/>
                  <w:szCs w:val="18"/>
                  <w:u w:val="single" w:color="auto"/>
                  <w:color w:val="0000EE"/>
                </w:rPr>
                <w:t>Condensed Statements of Operations</w:t>
              </w:r>
            </w:hyperlink>
          </w:p>
        </w:tc>
        <w:tc>
          <w:tcPr>
            <w:tcW w:w="460" w:type="dxa"/>
            <w:vAlign w:val="bottom"/>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Condensed Balance Sheets</w:t>
              </w:r>
            </w:hyperlink>
          </w:p>
        </w:tc>
        <w:tc>
          <w:tcPr>
            <w:tcW w:w="460" w:type="dxa"/>
            <w:vAlign w:val="bottom"/>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Condensed Statements of Changes in Convertible Preferred Stock and Stockholders’ Deficit</w:t>
              </w:r>
            </w:hyperlink>
          </w:p>
        </w:tc>
        <w:tc>
          <w:tcPr>
            <w:tcW w:w="460" w:type="dxa"/>
            <w:vAlign w:val="bottom"/>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Condensed Statements of Cash Flows</w:t>
              </w:r>
            </w:hyperlink>
          </w:p>
        </w:tc>
        <w:tc>
          <w:tcPr>
            <w:tcW w:w="460" w:type="dxa"/>
            <w:vAlign w:val="bottom"/>
          </w:tcPr>
          <w:p>
            <w:pPr>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spacing w:after="0"/>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57">
              <w:r>
                <w:rPr>
                  <w:rFonts w:ascii="Arial" w:cs="Arial" w:eastAsia="Arial" w:hAnsi="Arial"/>
                  <w:sz w:val="18"/>
                  <w:szCs w:val="18"/>
                  <w:u w:val="single" w:color="auto"/>
                  <w:color w:val="0000EE"/>
                </w:rPr>
                <w:t>Statements of Operations</w:t>
              </w:r>
            </w:hyperlink>
          </w:p>
        </w:tc>
        <w:tc>
          <w:tcPr>
            <w:tcW w:w="460" w:type="dxa"/>
            <w:vAlign w:val="bottom"/>
          </w:tcPr>
          <w:p>
            <w:pPr>
              <w:spacing w:after="0"/>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Balance Sheets</w:t>
              </w:r>
            </w:hyperlink>
          </w:p>
        </w:tc>
        <w:tc>
          <w:tcPr>
            <w:tcW w:w="460" w:type="dxa"/>
            <w:vAlign w:val="bottom"/>
          </w:tcPr>
          <w:p>
            <w:pPr>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59">
              <w:r>
                <w:rPr>
                  <w:rFonts w:ascii="Arial" w:cs="Arial" w:eastAsia="Arial" w:hAnsi="Arial"/>
                  <w:sz w:val="18"/>
                  <w:szCs w:val="18"/>
                  <w:u w:val="single" w:color="auto"/>
                  <w:color w:val="0000EE"/>
                </w:rPr>
                <w:t>Statements of Changes in Convertible Preferred Stock and Stockholders’ Deficit</w:t>
              </w:r>
            </w:hyperlink>
          </w:p>
        </w:tc>
        <w:tc>
          <w:tcPr>
            <w:tcW w:w="460" w:type="dxa"/>
            <w:vAlign w:val="bottom"/>
          </w:tcPr>
          <w:p>
            <w:pPr>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216"/>
        </w:trPr>
        <w:tc>
          <w:tcPr>
            <w:tcW w:w="10780" w:type="dxa"/>
            <w:vAlign w:val="bottom"/>
          </w:tcPr>
          <w:p>
            <w:pPr>
              <w:ind w:left="360"/>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Statements of Cash Flows</w:t>
              </w:r>
            </w:hyperlink>
          </w:p>
        </w:tc>
        <w:tc>
          <w:tcPr>
            <w:tcW w:w="460" w:type="dxa"/>
            <w:vAlign w:val="bottom"/>
          </w:tcPr>
          <w:p>
            <w:pPr>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230"/>
        </w:trPr>
        <w:tc>
          <w:tcPr>
            <w:tcW w:w="10780" w:type="dxa"/>
            <w:vAlign w:val="bottom"/>
          </w:tcPr>
          <w:p>
            <w:pPr>
              <w:ind w:left="360"/>
              <w:spacing w:after="0"/>
              <w:rPr>
                <w:rFonts w:ascii="Arial" w:cs="Arial" w:eastAsia="Arial" w:hAnsi="Arial"/>
                <w:sz w:val="18"/>
                <w:szCs w:val="18"/>
                <w:u w:val="single" w:color="auto"/>
                <w:color w:val="0000EE"/>
              </w:rPr>
            </w:pPr>
            <w:hyperlink w:anchor="page264">
              <w:r>
                <w:rPr>
                  <w:rFonts w:ascii="Arial" w:cs="Arial" w:eastAsia="Arial" w:hAnsi="Arial"/>
                  <w:sz w:val="18"/>
                  <w:szCs w:val="18"/>
                  <w:u w:val="single" w:color="auto"/>
                  <w:color w:val="0000EE"/>
                </w:rPr>
                <w:t>Notes to Financial Statements</w:t>
              </w:r>
            </w:hyperlink>
          </w:p>
        </w:tc>
        <w:tc>
          <w:tcPr>
            <w:tcW w:w="460" w:type="dxa"/>
            <w:vAlign w:val="bottom"/>
          </w:tcPr>
          <w:p>
            <w:pPr>
              <w:spacing w:after="0"/>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364"/>
        </w:trPr>
        <w:tc>
          <w:tcPr>
            <w:tcW w:w="10780" w:type="dxa"/>
            <w:vAlign w:val="bottom"/>
          </w:tcPr>
          <w:p>
            <w:pPr>
              <w:ind w:left="550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12,339</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2,741</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5,007</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5,607</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14,914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15,868</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Accretion of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1,628</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663</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23,376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26,507</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(14,041)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(14,168)</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(4,241)</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(1,299)</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868</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(17,971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(14,599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(64.88)</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225</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 diluted</w:t>
            </w:r>
          </w:p>
        </w:tc>
        <w:tc>
          <w:tcPr>
            <w:tcW w:w="10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45,712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59" w:right="3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4"/>
                <w:szCs w:val="14"/>
                <w:color w:val="auto"/>
              </w:rPr>
            </w:pPr>
          </w:p>
        </w:tc>
        <w:tc>
          <w:tcPr>
            <w:tcW w:w="1180" w:type="dxa"/>
            <w:vAlign w:val="bottom"/>
            <w:gridSpan w:val="2"/>
            <w:vMerge w:val="restart"/>
          </w:tcPr>
          <w:p>
            <w:pPr>
              <w:jc w:val="right"/>
              <w:ind w:right="561"/>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2020</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11,674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2,946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30"/>
        </w:trPr>
        <w:tc>
          <w:tcPr>
            <w:tcW w:w="77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17,618</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17,618</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1,994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14,145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14,145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11,631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11,631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11,631</w:t>
            </w:r>
          </w:p>
        </w:tc>
        <w:tc>
          <w:tcPr>
            <w:tcW w:w="0" w:type="dxa"/>
            <w:vAlign w:val="bottom"/>
          </w:tcPr>
          <w:p>
            <w:pPr>
              <w:spacing w:after="0"/>
              <w:rPr>
                <w:sz w:val="1"/>
                <w:szCs w:val="1"/>
                <w:color w:val="auto"/>
              </w:rPr>
            </w:pPr>
          </w:p>
        </w:tc>
      </w:tr>
      <w:tr>
        <w:trPr>
          <w:trHeight w:val="230"/>
        </w:trPr>
        <w:tc>
          <w:tcPr>
            <w:tcW w:w="7760" w:type="dxa"/>
            <w:vAlign w:val="bottom"/>
          </w:tcPr>
          <w:p>
            <w:pPr>
              <w:ind w:left="72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27,860</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27,860</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45,478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45,478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41,633</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418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4,323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4,435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debt payable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24,676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Current portion of debt payable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4,064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Put option liability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6,601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13,770</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45,047</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Long-term debt payable</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20,163</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20,163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Paycheck protection program debt payable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3,092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29,114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29,114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52,916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53,613</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66,369</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97,963</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6"/>
              </w:rPr>
              <w:t>Convertible preferred stock, $0.001 par value, 185,432,719 (2020) and 174,237,067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7"/>
              </w:rPr>
              <w:t>authorized; 118,766,273 (2020 and 2019) issued and outstanding; liquidation preference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of $202,582 (2020 and 2019); no shares issued and outstanding pro forma</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w w:val="95"/>
              </w:rPr>
              <w:t>193,959</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193,959</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6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7"/>
              </w:rPr>
              <w:t>Common stock, $0.001 par value, 220,000,000 (2020) and 190,000,000 (2019) authorized;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9"/>
              </w:rPr>
              <w:t>274,523 (2020) and 254,918 (2019) issued and outstanding; 22,198,893 shares issued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outstanding pro forma</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6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229,651</w:t>
            </w:r>
          </w:p>
        </w:tc>
        <w:tc>
          <w:tcPr>
            <w:tcW w:w="100" w:type="dxa"/>
            <w:vAlign w:val="bottom"/>
          </w:tcPr>
          <w:p>
            <w:pPr>
              <w:spacing w:after="0"/>
              <w:rPr>
                <w:sz w:val="18"/>
                <w:szCs w:val="18"/>
                <w:color w:val="auto"/>
              </w:rPr>
            </w:pPr>
          </w:p>
        </w:tc>
        <w:tc>
          <w:tcPr>
            <w:tcW w:w="1180" w:type="dxa"/>
            <w:vAlign w:val="bottom"/>
            <w:gridSpan w:val="2"/>
          </w:tcPr>
          <w:p>
            <w:pPr>
              <w:jc w:val="right"/>
              <w:ind w:right="461"/>
              <w:spacing w:after="0"/>
              <w:rPr>
                <w:sz w:val="20"/>
                <w:szCs w:val="20"/>
                <w:color w:val="auto"/>
              </w:rPr>
            </w:pPr>
            <w:r>
              <w:rPr>
                <w:rFonts w:ascii="Arial" w:cs="Arial" w:eastAsia="Arial" w:hAnsi="Arial"/>
                <w:sz w:val="18"/>
                <w:szCs w:val="18"/>
                <w:color w:val="auto"/>
              </w:rPr>
              <w:t>2,389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(250,564)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8"/>
              </w:rPr>
              <w:t>(248,835)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(230,864)</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(20,891)</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(246,444</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(228,539)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45,478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45,478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CONVERTIBLE PREFERRED STOCK AND STOCKHOLDERS’ DEFICIT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Series A-2</w:t>
            </w:r>
          </w:p>
        </w:tc>
        <w:tc>
          <w:tcPr>
            <w:tcW w:w="1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Series A-3</w:t>
            </w: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Balance—June 30, 2020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3,642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9,907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2,999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980" w:type="dxa"/>
            <w:vAlign w:val="bottom"/>
          </w:tcPr>
          <w:p>
            <w:pPr>
              <w:spacing w:after="0"/>
              <w:rPr>
                <w:sz w:val="24"/>
                <w:szCs w:val="24"/>
                <w:color w:val="auto"/>
              </w:rPr>
            </w:pPr>
          </w:p>
        </w:tc>
        <w:tc>
          <w:tcPr>
            <w:tcW w:w="1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Series A-1</w:t>
            </w:r>
          </w:p>
        </w:tc>
        <w:tc>
          <w:tcPr>
            <w:tcW w:w="12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Series A-2</w:t>
            </w:r>
          </w:p>
        </w:tc>
        <w:tc>
          <w:tcPr>
            <w:tcW w:w="1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Series A-3</w:t>
            </w: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Series B</w:t>
            </w:r>
          </w:p>
        </w:tc>
        <w:tc>
          <w:tcPr>
            <w:tcW w:w="1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60" w:type="dxa"/>
            <w:vAlign w:val="bottom"/>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2018</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3"/>
              </w:rPr>
              <w:t>Issuance of Series H Preferred Stock, net of issuance costs of $44</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Balance—June 30, 2019</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9,907</w:t>
            </w: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9,551</w:t>
            </w:r>
          </w:p>
        </w:tc>
        <w:tc>
          <w:tcPr>
            <w:tcW w:w="6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CONVERTIBLE PREFERRED STOCK AND STOCKHOLDERS’ DEFICIT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Series E</w:t>
            </w:r>
          </w:p>
        </w:tc>
        <w:tc>
          <w:tcPr>
            <w:tcW w:w="1520" w:type="dxa"/>
            <w:vAlign w:val="bottom"/>
            <w:gridSpan w:val="6"/>
          </w:tcPr>
          <w:p>
            <w:pPr>
              <w:ind w:left="480"/>
              <w:spacing w:after="0"/>
              <w:rPr>
                <w:sz w:val="20"/>
                <w:szCs w:val="20"/>
                <w:color w:val="auto"/>
              </w:rPr>
            </w:pPr>
            <w:r>
              <w:rPr>
                <w:rFonts w:ascii="Arial" w:cs="Arial" w:eastAsia="Arial" w:hAnsi="Arial"/>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Balance—June 30, 2020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$ 7,040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$ 41,266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$ 32,736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Series D</w:t>
            </w:r>
          </w:p>
        </w:tc>
        <w:tc>
          <w:tcPr>
            <w:tcW w:w="14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Series E</w:t>
            </w:r>
          </w:p>
        </w:tc>
        <w:tc>
          <w:tcPr>
            <w:tcW w:w="1520" w:type="dxa"/>
            <w:vAlign w:val="bottom"/>
            <w:gridSpan w:val="5"/>
          </w:tcPr>
          <w:p>
            <w:pPr>
              <w:ind w:left="480"/>
              <w:spacing w:after="0"/>
              <w:rPr>
                <w:sz w:val="20"/>
                <w:szCs w:val="20"/>
                <w:color w:val="auto"/>
              </w:rPr>
            </w:pPr>
            <w:r>
              <w:rPr>
                <w:rFonts w:ascii="Arial" w:cs="Arial" w:eastAsia="Arial" w:hAnsi="Arial"/>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Shares</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2018</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$44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Balance—June 30, 2019</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19,468</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CONVERTIBLE PREFERRED STOCK AND STOCKHOLDERS’ DEFICIT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4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rPr>
              <w:t>Series G</w:t>
            </w:r>
          </w:p>
        </w:tc>
        <w:tc>
          <w:tcPr>
            <w:tcW w:w="220" w:type="dxa"/>
            <w:vAlign w:val="bottom"/>
            <w:vMerge w:val="restart"/>
          </w:tcPr>
          <w:p>
            <w:pPr>
              <w:spacing w:after="0"/>
              <w:rPr>
                <w:sz w:val="14"/>
                <w:szCs w:val="14"/>
                <w:color w:val="auto"/>
              </w:rPr>
            </w:pPr>
          </w:p>
        </w:tc>
        <w:tc>
          <w:tcPr>
            <w:tcW w:w="122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rPr>
              <w:t>Series 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4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vMerge w:val="restart"/>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12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2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5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Balance—December 31, 2019</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46,147</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23,923</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$27,465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193,959</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(230,864)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(228,539)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(17,971)</w:t>
            </w:r>
          </w:p>
        </w:tc>
        <w:tc>
          <w:tcPr>
            <w:tcW w:w="1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(17,971)</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Balance—June 30, 2020</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46,147</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34,537</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23,923</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27,465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193,959</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275</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(248,835)</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(246,444)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Series G</w:t>
            </w:r>
          </w:p>
        </w:tc>
        <w:tc>
          <w:tcPr>
            <w:tcW w:w="220" w:type="dxa"/>
            <w:vAlign w:val="bottom"/>
            <w:vMerge w:val="restart"/>
          </w:tcPr>
          <w:p>
            <w:pPr>
              <w:spacing w:after="0"/>
              <w:rPr>
                <w:sz w:val="14"/>
                <w:szCs w:val="14"/>
                <w:color w:val="auto"/>
              </w:rPr>
            </w:pPr>
          </w:p>
        </w:tc>
        <w:tc>
          <w:tcPr>
            <w:tcW w:w="12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Series 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40" w:type="dxa"/>
            <w:vAlign w:val="bottom"/>
            <w:gridSpan w:val="4"/>
            <w:vMerge w:val="restart"/>
          </w:tcPr>
          <w:p>
            <w:pPr>
              <w:jc w:val="right"/>
              <w:ind w:right="19"/>
              <w:spacing w:after="0"/>
              <w:rPr>
                <w:sz w:val="20"/>
                <w:szCs w:val="20"/>
                <w:color w:val="auto"/>
              </w:rPr>
            </w:pPr>
            <w:r>
              <w:rPr>
                <w:rFonts w:ascii="Arial" w:cs="Arial" w:eastAsia="Arial" w:hAnsi="Arial"/>
                <w:sz w:val="14"/>
                <w:szCs w:val="14"/>
                <w:b w:val="1"/>
                <w:bCs w:val="1"/>
                <w:color w:val="auto"/>
                <w:w w:val="99"/>
              </w:rPr>
              <w:t>Common Stock</w:t>
            </w:r>
          </w:p>
        </w:tc>
        <w:tc>
          <w:tcPr>
            <w:tcW w:w="220" w:type="dxa"/>
            <w:vAlign w:val="bottom"/>
            <w:vMerge w:val="restart"/>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12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3"/>
                <w:szCs w:val="13"/>
                <w:color w:val="auto"/>
              </w:rPr>
            </w:pPr>
          </w:p>
        </w:tc>
        <w:tc>
          <w:tcPr>
            <w:tcW w:w="1140" w:type="dxa"/>
            <w:vAlign w:val="bottom"/>
            <w:tcBorders>
              <w:bottom w:val="single" w:sz="8" w:color="auto"/>
            </w:tcBorders>
            <w:gridSpan w:val="4"/>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w:t>
            </w:r>
          </w:p>
        </w:tc>
        <w:tc>
          <w:tcPr>
            <w:tcW w:w="20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2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560" w:type="dxa"/>
            <w:vAlign w:val="bottom"/>
          </w:tcPr>
          <w:p>
            <w:pPr>
              <w:jc w:val="right"/>
              <w:ind w:right="22"/>
              <w:spacing w:after="0" w:line="119" w:lineRule="exact"/>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Balance—December 31, 2018</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46,147</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$34,537</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15,228</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$17,468</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183,962</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(200,138)</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(198,030)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20" w:type="dxa"/>
            <w:vAlign w:val="bottom"/>
          </w:tcPr>
          <w:p>
            <w:pPr>
              <w:spacing w:after="0"/>
              <w:rPr>
                <w:sz w:val="20"/>
                <w:szCs w:val="20"/>
                <w:color w:val="auto"/>
              </w:rPr>
            </w:pPr>
            <w:r>
              <w:rPr>
                <w:rFonts w:ascii="Arial" w:cs="Arial" w:eastAsia="Arial" w:hAnsi="Arial"/>
                <w:sz w:val="16"/>
                <w:szCs w:val="16"/>
                <w:color w:val="auto"/>
                <w:w w:val="99"/>
              </w:rPr>
              <w:t>Issuance of Series H Preferred Stock, net of</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20" w:type="dxa"/>
            <w:vAlign w:val="bottom"/>
          </w:tcPr>
          <w:p>
            <w:pPr>
              <w:ind w:left="180"/>
              <w:spacing w:after="0"/>
              <w:rPr>
                <w:sz w:val="20"/>
                <w:szCs w:val="20"/>
                <w:color w:val="auto"/>
              </w:rPr>
            </w:pPr>
            <w:r>
              <w:rPr>
                <w:rFonts w:ascii="Arial" w:cs="Arial" w:eastAsia="Arial" w:hAnsi="Arial"/>
                <w:sz w:val="16"/>
                <w:szCs w:val="16"/>
                <w:color w:val="auto"/>
              </w:rPr>
              <w:t>issuance costs of $44</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8,695</w:t>
            </w:r>
          </w:p>
        </w:tc>
        <w:tc>
          <w:tcPr>
            <w:tcW w:w="520" w:type="dxa"/>
            <w:vAlign w:val="bottom"/>
          </w:tcPr>
          <w:p>
            <w:pPr>
              <w:jc w:val="right"/>
              <w:spacing w:after="0"/>
              <w:rPr>
                <w:sz w:val="20"/>
                <w:szCs w:val="20"/>
                <w:color w:val="auto"/>
              </w:rPr>
            </w:pPr>
            <w:r>
              <w:rPr>
                <w:rFonts w:ascii="Arial" w:cs="Arial" w:eastAsia="Arial" w:hAnsi="Arial"/>
                <w:sz w:val="16"/>
                <w:szCs w:val="16"/>
                <w:color w:val="auto"/>
              </w:rPr>
              <w:t>9,997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9,997</w:t>
            </w:r>
          </w:p>
        </w:tc>
        <w:tc>
          <w:tcPr>
            <w:tcW w:w="2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(14,599)</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(14,599)</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auto"/>
              </w:rPr>
              <w:t>Balance—June 30, 2019</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20" w:type="dxa"/>
            <w:vAlign w:val="bottom"/>
            <w:vMerge w:val="continue"/>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46,147</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34,537</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23,923</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27,465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193,959</w:t>
            </w:r>
          </w:p>
        </w:tc>
        <w:tc>
          <w:tcPr>
            <w:tcW w:w="860" w:type="dxa"/>
            <w:vAlign w:val="bottom"/>
            <w:gridSpan w:val="3"/>
          </w:tcPr>
          <w:p>
            <w:pPr>
              <w:jc w:val="right"/>
              <w:ind w:right="220"/>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2,218</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(214,737)</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(212,518)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(17,971)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(14,599)</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convertible notes debt discount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Change in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2,291</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Accounts payable and other accrued liabilities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r>
      <w:tr>
        <w:trPr>
          <w:trHeight w:val="224"/>
        </w:trPr>
        <w:tc>
          <w:tcPr>
            <w:tcW w:w="9440" w:type="dxa"/>
            <w:vAlign w:val="bottom"/>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(8,840)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(9,781)</w:t>
            </w:r>
          </w:p>
        </w:tc>
        <w:tc>
          <w:tcPr>
            <w:tcW w:w="120" w:type="dxa"/>
            <w:vAlign w:val="bottom"/>
          </w:tcPr>
          <w:p>
            <w:pPr>
              <w:spacing w:after="0"/>
              <w:rPr>
                <w:sz w:val="19"/>
                <w:szCs w:val="19"/>
                <w:color w:val="auto"/>
              </w:rPr>
            </w:pPr>
          </w:p>
        </w:tc>
      </w:tr>
      <w:tr>
        <w:trPr>
          <w:trHeight w:val="107"/>
        </w:trPr>
        <w:tc>
          <w:tcPr>
            <w:tcW w:w="9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(781)</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w:t>
            </w:r>
          </w:p>
        </w:tc>
      </w:tr>
      <w:tr>
        <w:trPr>
          <w:trHeight w:val="324"/>
        </w:trPr>
        <w:tc>
          <w:tcPr>
            <w:tcW w:w="9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series H preferred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issuance of convertible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12,955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common stock options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long-term debt payable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16,046</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9,979</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6,094</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11,856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5,441</w:t>
            </w: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left="1840"/>
        <w:spacing w:after="0"/>
        <w:rPr>
          <w:sz w:val="20"/>
          <w:szCs w:val="20"/>
          <w:color w:val="auto"/>
        </w:rPr>
      </w:pPr>
      <w:r>
        <w:rPr>
          <w:rFonts w:ascii="Arial" w:cs="Arial" w:eastAsia="Arial" w:hAnsi="Arial"/>
          <w:sz w:val="17"/>
          <w:szCs w:val="17"/>
          <w:b w:val="1"/>
          <w:bCs w:val="1"/>
          <w:color w:val="auto"/>
        </w:rPr>
        <w:t>CONDENSED STATEMENTS OF CASH FLOWS (UNAUDITED)</w:t>
      </w:r>
    </w:p>
    <w:p>
      <w:pPr>
        <w:spacing w:after="0" w:line="39" w:lineRule="exact"/>
        <w:rPr>
          <w:sz w:val="20"/>
          <w:szCs w:val="20"/>
          <w:color w:val="auto"/>
        </w:rPr>
      </w:pPr>
    </w:p>
    <w:p>
      <w:pPr>
        <w:jc w:val="center"/>
        <w:ind w:left="1840"/>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There was no cash paid for income taxes during the six months ended June 30, 2020 and 2019.</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Cash paid for interest for the six-months ended June 30, 2020 and 2019 was $0.9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non-cash activity (in thousands):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Value of put option recorded at issuance of convertible debt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775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ind w:left="100"/>
        <w:spacing w:after="0"/>
        <w:tabs>
          <w:tab w:leader="none" w:pos="76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u w:val="single" w:color="auto"/>
          <w:color w:val="auto"/>
        </w:rPr>
        <w:t>2019</w:t>
      </w:r>
    </w:p>
    <w:p>
      <w:pPr>
        <w:spacing w:after="0" w:line="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$3,340</w:t>
      </w:r>
      <w:r>
        <w:rPr>
          <w:sz w:val="20"/>
          <w:szCs w:val="20"/>
          <w:color w:val="auto"/>
        </w:rPr>
        <w:tab/>
      </w:r>
      <w:r>
        <w:rPr>
          <w:rFonts w:ascii="Arial" w:cs="Arial" w:eastAsia="Arial" w:hAnsi="Arial"/>
          <w:sz w:val="16"/>
          <w:szCs w:val="16"/>
          <w:color w:val="auto"/>
        </w:rPr>
        <w:t>$ —</w:t>
      </w:r>
    </w:p>
    <w:p>
      <w:pPr>
        <w:spacing w:after="0" w:line="200" w:lineRule="exact"/>
        <w:rPr>
          <w:sz w:val="20"/>
          <w:szCs w:val="20"/>
          <w:color w:val="auto"/>
        </w:rPr>
      </w:pPr>
    </w:p>
    <w:p>
      <w:pPr>
        <w:sectPr>
          <w:pgSz w:w="11900" w:h="16838" w:orient="portrait"/>
          <w:cols w:equalWidth="0" w:num="2">
            <w:col w:w="9400" w:space="720"/>
            <w:col w:w="1060"/>
          </w:cols>
          <w:pgMar w:left="32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financial statements.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320" w:top="459" w:right="399"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and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Organization and Nature of Operations</w:t>
      </w:r>
    </w:p>
    <w:p>
      <w:pPr>
        <w:spacing w:after="0" w:line="11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7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The COVID-19 pandemic has disrupted, and the Company expects will continue to disrupt, its operations. In addition, the COVID-19 pandemic also has started to negatively affect, and the Company expects will continue to negatively affect, its non-COVID-19 testing-related revenue and its clinical studies.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condensed financial statements do not reflect any adjustments as a result of the pandemic.</w:t>
      </w:r>
    </w:p>
    <w:p>
      <w:pPr>
        <w:spacing w:after="0" w:line="16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accompanying unaudited condensed financial statements have been prepared in accordance with accounting principles generally accepted in the United States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accompanying unaudited condensed financial statements include all known adjustments necessary for a fair presentation of the results of interim periods as required by GAAP. These adjustments consist primarily of normal recurring accruals and estimates that impact the carrying value of assets and liabilities. Operating results for the period ended June 30, 2020 are not necessarily indicative of the results that may be expected for the year ending December 31, 2020.</w:t>
      </w:r>
    </w:p>
    <w:p>
      <w:pPr>
        <w:spacing w:after="0" w:line="19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condensed financial statements and the related notes for the year ended December 31, 2019, which are included elsewhere in this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Segment Information</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Comprehensive Loss</w:t>
      </w:r>
    </w:p>
    <w:p>
      <w:pPr>
        <w:spacing w:after="0" w:line="11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Comprehensive loss is defined as the change in equity during a period from transactions and other events and/or circumstances from non-owner sources. If the Company had comprehensive gains (losses), they would be reflected in the statement of operations and comprehensive loss and as a separate component in the statement of stockholders’ deficit. There were no elements of comprehensive loss during the six-months ended June 30, 2020 and 2019.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 Concentration of Risk</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Company is subject to credit risk from its accounts receivable related to services provided to its customers. Reimbursement on behalf of customers covered by Medicare accounted for 60% and 58% of the Company’s diagnostic test revenue for the six months ended June 30, 2020 and 2019, respectively and represented 29% and 18% of the Company’s total accounts receivable as of June 30, 2020 and December 31, 2019, respectively. One services customer represented 18% and 44% of the Company’s total accounts receivable balance as of June 30, 2020 and December 31, 2019, respectively. One diagnostic test customer represented 32% and 0% of the Company’s total accounts receivable balance as of June 30, 2020 and December 31, 2019, respectively.</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 Cash, Cash Equivalents, and Restricted Cash</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$10.6 million and $4.8 million at June 30, 2020 and December 31, 2019, respectively. These money market funds were measured using Level 1 inputs.</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Restricted cash consists of deposits related to the Company’s corporate credit card and a letter of credit related to an operating lease agreement. As of June 30, 2020 and December 31, 2019, the Company had $0.2 million in restricted cash, which was included in other current assets in the accompanying balance sheets.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 Accounts Receivable</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84"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June 30, 2020 and December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 Inventory</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$1.8 million and $0.8 million as of June 30, 2020 and December 31, 2019, respectively, and are included in other current assets in the accompanying balance sheets.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 Property and Equipment</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Property and equipment are stated at cost. Depreciation is provided utilizing the straight-line method over the estimated useful lives, ranging from three to five years.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 Intangible Assets</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Intangible assets are reviewed for impairment whenever events or changes in circumstances may affect the recoverability of the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reviews include an analysis of current results and take into consideration the undiscounted value of projected operating cash flows. See Note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for further information.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 Long-Lived Assets</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 Deferred Rent</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condensed financial statements.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320" w:top="459" w:right="3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 Goodwill</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the six months ended June 20, 2020 and 2019 to indicate that the fair value of goodwill exceeded its carrying value, and thus a quantitative analysis was not performed.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goodwill impairments for the six months ended June 30, 2020 and 2019.</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 Revenue Recognition</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Revenue is recognized when control of the promised services is transferred to customers, in an amount that reflects the consideration the Company expects to be entitled to in exchange for those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3"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9" w:lineRule="exact"/>
        <w:rPr>
          <w:rFonts w:ascii="Arial" w:cs="Arial" w:eastAsia="Arial" w:hAnsi="Arial"/>
          <w:sz w:val="18"/>
          <w:szCs w:val="18"/>
          <w:color w:val="auto"/>
        </w:rPr>
      </w:pPr>
    </w:p>
    <w:p>
      <w:pPr>
        <w:ind w:left="1000" w:right="580" w:hanging="547"/>
        <w:spacing w:after="0" w:line="308" w:lineRule="auto"/>
        <w:tabs>
          <w:tab w:leader="none" w:pos="10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2020 and 2019, revenue from these services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80" w:type="dxa"/>
            <w:vAlign w:val="bottom"/>
            <w:gridSpan w:val="6"/>
          </w:tcPr>
          <w:p>
            <w:pPr>
              <w:ind w:left="4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56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Diagnostic tests</w:t>
            </w:r>
          </w:p>
        </w:tc>
        <w:tc>
          <w:tcPr>
            <w:tcW w:w="4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6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Services</w:t>
            </w:r>
          </w:p>
        </w:tc>
        <w:tc>
          <w:tcPr>
            <w:tcW w:w="4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3,392</w:t>
            </w:r>
          </w:p>
        </w:tc>
      </w:tr>
      <w:tr>
        <w:trPr>
          <w:trHeight w:val="27"/>
        </w:trPr>
        <w:tc>
          <w:tcPr>
            <w:tcW w:w="55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4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9,335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12,339</w:t>
            </w:r>
          </w:p>
        </w:tc>
      </w:tr>
      <w:tr>
        <w:trPr>
          <w:trHeight w:val="20"/>
        </w:trPr>
        <w:tc>
          <w:tcPr>
            <w:tcW w:w="55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49"/>
        <w:spacing w:after="0" w:line="286" w:lineRule="auto"/>
        <w:rPr>
          <w:sz w:val="20"/>
          <w:szCs w:val="20"/>
          <w:color w:val="auto"/>
        </w:rPr>
      </w:pPr>
      <w:r>
        <w:rPr>
          <w:rFonts w:ascii="Arial" w:cs="Arial" w:eastAsia="Arial" w:hAnsi="Arial"/>
          <w:sz w:val="17"/>
          <w:szCs w:val="17"/>
          <w:color w:val="auto"/>
        </w:rPr>
        <w:t>Diagnostic test revenue that were reimbursed by Medicare comprised 60% and 58% of diagnostic test revenue for the six months ended June 30, 2020 and 2019, respectively. Two services customers comprised 15% and 26% of services revenue for the six months ended June 30, 2020 and 2019, respectively. For the six months ended June 30, 2020, one health care provider comprised 13% of diagnostic test revenue.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 The Company recognizes revenue for these patients when contracts as defined in ASC 606 are established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consideration to which it expects to be entitled or when the Company receives substantially all of the consideration subsequent to the performance obligations being satisfied.</w:t>
      </w:r>
    </w:p>
    <w:p>
      <w:pPr>
        <w:spacing w:after="0" w:line="19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 Deferred Revenue</w:t>
      </w:r>
    </w:p>
    <w:p>
      <w:pPr>
        <w:spacing w:after="0" w:line="117"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Deferred revenue has historically primarily consists of research, development, and testing services fee payments received in advance. As of June 30, 2020, deferred revenue also includes $3.5 million in a Medicare advance payment on testing services which can either be paid back or earned back starting 120 days from receipt.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 Research and Development Expenses and Accrued Research and Development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Stock-Based Compensation</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Income Taxes</w:t>
      </w:r>
    </w:p>
    <w:p>
      <w:pPr>
        <w:spacing w:after="0" w:line="11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Company recognizes deferred tax assets and liabilities based on the differences between the tax basis of assets and liabilities and their reported amounts in the financial statements and net operating loss carryforwards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9" w:right="3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that will result in taxable or deductible amounts in future years. The Company establishes a valuation allowance for all deferred tax assets to the extent it is more likely than not that a deferred tax asset will not be realized.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 Warrant Liability</w:t>
      </w:r>
    </w:p>
    <w:p>
      <w:pPr>
        <w:spacing w:after="0" w:line="117" w:lineRule="exact"/>
        <w:rPr>
          <w:sz w:val="20"/>
          <w:szCs w:val="20"/>
          <w:color w:val="auto"/>
        </w:rPr>
      </w:pPr>
    </w:p>
    <w:p>
      <w:pPr>
        <w:ind w:right="260" w:firstLine="449"/>
        <w:spacing w:after="0" w:line="275" w:lineRule="auto"/>
        <w:rPr>
          <w:sz w:val="20"/>
          <w:szCs w:val="20"/>
          <w:color w:val="auto"/>
        </w:rPr>
      </w:pPr>
      <w:r>
        <w:rPr>
          <w:rFonts w:ascii="Arial" w:cs="Arial" w:eastAsia="Arial" w:hAnsi="Arial"/>
          <w:sz w:val="17"/>
          <w:szCs w:val="17"/>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 Changes in Fair Value of Contingent Consideration</w:t>
      </w:r>
    </w:p>
    <w:p>
      <w:pPr>
        <w:spacing w:after="0" w:line="117" w:lineRule="exact"/>
        <w:rPr>
          <w:sz w:val="20"/>
          <w:szCs w:val="20"/>
          <w:color w:val="auto"/>
        </w:rPr>
      </w:pPr>
    </w:p>
    <w:p>
      <w:pPr>
        <w:jc w:val="both"/>
        <w:ind w:right="420" w:firstLine="449"/>
        <w:spacing w:after="0" w:line="259" w:lineRule="auto"/>
        <w:rPr>
          <w:sz w:val="20"/>
          <w:szCs w:val="20"/>
          <w:color w:val="auto"/>
        </w:rPr>
      </w:pPr>
      <w:r>
        <w:rPr>
          <w:rFonts w:ascii="Arial" w:cs="Arial" w:eastAsia="Arial" w:hAnsi="Arial"/>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 Fair Value of Financial Instruments</w:t>
      </w:r>
    </w:p>
    <w:p>
      <w:pPr>
        <w:spacing w:after="0" w:line="117"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The carrying amounts of financial instruments, including cash and cash equivalents, receivables, other current assets, accounts payable, and accrued liabilities, approximated fair value as of June 30, 2020 and December 31, 2019 because of the relatively short maturity of these instruments.</w:t>
      </w:r>
    </w:p>
    <w:p>
      <w:pPr>
        <w:spacing w:after="0" w:line="12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carrying amounts of long-term debt payable and convertible debt payable issued approximated fair value as of June 30, 2020 and December 31, 2019 because interest rates on these instruments approximate market interest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(x) Business Combinations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Financial Accounts Standards Board (“FASB”) issued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 Recently Issued Accounting Standards Not Yet Adopted</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 Net loss per share and unaudited pro format net loss per share</w:t>
      </w:r>
    </w:p>
    <w:p>
      <w:pPr>
        <w:spacing w:after="0" w:line="11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8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per share amounts):</w:t>
      </w:r>
    </w:p>
    <w:p>
      <w:pPr>
        <w:spacing w:after="0" w:line="189"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Six months ended</w:t>
      </w:r>
    </w:p>
    <w:p>
      <w:pPr>
        <w:jc w:val="center"/>
        <w:ind w:left="87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88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(17,971)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(14,599)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5460"/>
              <w:spacing w:after="0"/>
              <w:rPr>
                <w:sz w:val="20"/>
                <w:szCs w:val="20"/>
                <w:color w:val="auto"/>
              </w:rPr>
            </w:pPr>
            <w:r>
              <w:rPr>
                <w:rFonts w:ascii="Arial" w:cs="Arial" w:eastAsia="Arial" w:hAnsi="Arial"/>
                <w:sz w:val="18"/>
                <w:szCs w:val="18"/>
                <w:color w:val="auto"/>
              </w:rPr>
              <w:t>F-15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1240" w:type="dxa"/>
            <w:vAlign w:val="bottom"/>
            <w:tcBorders>
              <w:bottom w:val="single" w:sz="8" w:color="CCEEFF"/>
            </w:tcBorders>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6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119,257</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119,257</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w:t>
            </w: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r>
              <w:rPr>
                <w:rFonts w:ascii="Arial" w:cs="Arial" w:eastAsia="Arial" w:hAnsi="Arial"/>
                <w:sz w:val="15"/>
                <w:szCs w:val="15"/>
                <w:color w:val="auto"/>
              </w:rPr>
              <w:t>(1)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42,771</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165,507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123,747</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right="60" w:hanging="452"/>
        <w:spacing w:after="0" w:line="263"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June 30, 2020, as determined by the Company’s board of directors with assistance from a valuation firm. The ultimate conversion price will be based on the fair value of the Company’s common stock at the completion of an initial public offering.</w:t>
      </w:r>
    </w:p>
    <w:p>
      <w:pPr>
        <w:spacing w:after="0" w:line="29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84"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unaudited pro forma net loss per share (in thousands, except for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124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240" w:type="dxa"/>
            <w:vAlign w:val="bottom"/>
            <w:tcBorders>
              <w:bottom w:val="single" w:sz="8" w:color="CCEEFF"/>
            </w:tcBorders>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10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(17,971)</w:t>
            </w:r>
          </w:p>
        </w:tc>
      </w:tr>
      <w:tr>
        <w:trPr>
          <w:trHeight w:val="216"/>
        </w:trPr>
        <w:tc>
          <w:tcPr>
            <w:tcW w:w="10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 back: Interest expense on convertible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w:t>
            </w:r>
          </w:p>
        </w:tc>
      </w:tr>
      <w:tr>
        <w:trPr>
          <w:trHeight w:val="223"/>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Net loss used in computing proforma net loss per share, basic and diluted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10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 Assumed weighted-average effect of conversion of convertible preferred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20,091</w:t>
            </w:r>
          </w:p>
        </w:tc>
      </w:tr>
      <w:tr>
        <w:trPr>
          <w:trHeight w:val="223"/>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Adjust: Assumed weighted-average effect of conversion of convertible debt</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25,360</w:t>
            </w:r>
          </w:p>
        </w:tc>
        <w:tc>
          <w:tcPr>
            <w:tcW w:w="100" w:type="dxa"/>
            <w:vAlign w:val="bottom"/>
          </w:tcPr>
          <w:p>
            <w:pPr>
              <w:spacing w:after="0"/>
              <w:rPr>
                <w:sz w:val="19"/>
                <w:szCs w:val="19"/>
                <w:color w:val="auto"/>
              </w:rPr>
            </w:pPr>
          </w:p>
        </w:tc>
      </w:tr>
      <w:tr>
        <w:trPr>
          <w:trHeight w:val="216"/>
        </w:trPr>
        <w:tc>
          <w:tcPr>
            <w:tcW w:w="10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 used in computing pro forma net loss per share, basic and diluted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45,712</w:t>
            </w:r>
          </w:p>
        </w:tc>
        <w:tc>
          <w:tcPr>
            <w:tcW w:w="100" w:type="dxa"/>
            <w:vAlign w:val="bottom"/>
            <w:shd w:val="clear" w:color="auto" w:fill="CCEEFF"/>
          </w:tcPr>
          <w:p>
            <w:pPr>
              <w:spacing w:after="0"/>
              <w:rPr>
                <w:sz w:val="18"/>
                <w:szCs w:val="18"/>
                <w:color w:val="auto"/>
              </w:rPr>
            </w:pPr>
          </w:p>
        </w:tc>
      </w:tr>
      <w:tr>
        <w:trPr>
          <w:trHeight w:val="223"/>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Pro forma net loss per share, basic and diluted</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r>
      <w:tr>
        <w:trPr>
          <w:trHeight w:val="20"/>
        </w:trPr>
        <w:tc>
          <w:tcPr>
            <w:tcW w:w="12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8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right="320" w:hanging="452"/>
        <w:spacing w:after="0" w:line="277"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June 30, 2020, as determined by the Company’s board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directors with assistance from a valuation firm. The ultimate conversion price will be based on the fair value of the Company’s common stock at the completion of an initial public offering.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117" w:lineRule="exact"/>
        <w:rPr>
          <w:sz w:val="20"/>
          <w:szCs w:val="20"/>
          <w:color w:val="auto"/>
        </w:rPr>
      </w:pPr>
    </w:p>
    <w:p>
      <w:pPr>
        <w:ind w:right="340" w:firstLine="449"/>
        <w:spacing w:after="0" w:line="259" w:lineRule="auto"/>
        <w:rPr>
          <w:sz w:val="20"/>
          <w:szCs w:val="20"/>
          <w:color w:val="auto"/>
        </w:rPr>
      </w:pPr>
      <w:r>
        <w:rPr>
          <w:rFonts w:ascii="Arial" w:cs="Arial" w:eastAsia="Arial" w:hAnsi="Arial"/>
          <w:sz w:val="18"/>
          <w:szCs w:val="18"/>
          <w:color w:val="auto"/>
        </w:rPr>
        <w:t>The unaudited pro forma stockholders’ deficit as of June 30, 2020 gives effect to the automatic conversion of all outstanding shares of the Company’s convertible preferred stock into an aggregate of 20,090,745 shares of common stock and the automatic conversion of the Company’s convertible debt into an aggregate of 1,833,625 of common stock which will occur immediately prior to the completion of this offering, resulting in an aggregate of 22,198,893 outstanding shares of the Company’s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2—Liquidity</w:t>
      </w:r>
    </w:p>
    <w:p>
      <w:pPr>
        <w:spacing w:after="0" w:line="121"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The accompanying condensed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 sufficient to create positive cash flows and most likely will be dependent upon future private equity placements or additional borrowings to execute its business plan. The Company has cash and cash equivalents of $11.7 million, cumulative net losses of $ 248.8 million, and stockholders’ deficit of $246.4 million as of June 30, 2020. Based on cash and cash equivalents on hand at June 30, 2020, management has determined that additional private equity placement offerings will be necessary to fund operations through September 2021. As a result, the Company has obtained commitment letters from two significant investors which requires that they will provide funding to the Company to meet its obligations and debt service requirements through at least September 2021.</w:t>
      </w:r>
    </w:p>
    <w:p>
      <w:pPr>
        <w:spacing w:after="0" w:line="269" w:lineRule="exact"/>
        <w:rPr>
          <w:sz w:val="20"/>
          <w:szCs w:val="20"/>
          <w:color w:val="auto"/>
        </w:rPr>
      </w:pPr>
    </w:p>
    <w:p>
      <w:pPr>
        <w:jc w:val="center"/>
        <w:ind w:right="8720"/>
        <w:spacing w:after="0"/>
        <w:rPr>
          <w:sz w:val="20"/>
          <w:szCs w:val="20"/>
          <w:color w:val="auto"/>
        </w:rPr>
      </w:pPr>
      <w:r>
        <w:rPr>
          <w:rFonts w:ascii="Arial" w:cs="Arial" w:eastAsia="Arial" w:hAnsi="Arial"/>
          <w:sz w:val="15"/>
          <w:szCs w:val="15"/>
          <w:b w:val="1"/>
          <w:bCs w:val="1"/>
          <w:color w:val="auto"/>
        </w:rPr>
        <w:t>Note 3—Business Combinations</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Oncimmune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October 31, 2019, the Company purchased select assets and liabilities from Oncimmune Limited (“Oncimmune”) for total consideration of</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June 30, 2020, $1.0 million has been paid with the remaining amount due of $0.2 million being included in accounts payable and accrued liabilities.</w:t>
      </w:r>
    </w:p>
    <w:p>
      <w:pPr>
        <w:spacing w:after="0" w:line="16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80"/>
          </w:cols>
          <w:pgMar w:left="320" w:top="459" w:right="39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34"/>
        </w:trPr>
        <w:tc>
          <w:tcPr>
            <w:tcW w:w="1032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1032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320" w:type="dxa"/>
            <w:vAlign w:val="bottom"/>
          </w:tcPr>
          <w:p>
            <w:pPr>
              <w:ind w:left="4020"/>
              <w:spacing w:after="0"/>
              <w:rPr>
                <w:sz w:val="20"/>
                <w:szCs w:val="20"/>
                <w:color w:val="auto"/>
              </w:rPr>
            </w:pPr>
            <w:r>
              <w:rPr>
                <w:rFonts w:ascii="Arial" w:cs="Arial" w:eastAsia="Arial" w:hAnsi="Arial"/>
                <w:sz w:val="18"/>
                <w:szCs w:val="18"/>
                <w:b w:val="1"/>
                <w:bCs w:val="1"/>
                <w:color w:val="auto"/>
              </w:rPr>
              <w:t>NOTES TO FINANCIAL STATEMENTS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10320" w:type="dxa"/>
            <w:vAlign w:val="bottom"/>
          </w:tcPr>
          <w:p>
            <w:pPr>
              <w:ind w:left="460"/>
              <w:spacing w:after="0"/>
              <w:rPr>
                <w:sz w:val="20"/>
                <w:szCs w:val="20"/>
                <w:color w:val="auto"/>
              </w:rPr>
            </w:pPr>
            <w:r>
              <w:rPr>
                <w:rFonts w:ascii="Arial" w:cs="Arial" w:eastAsia="Arial" w:hAnsi="Arial"/>
                <w:sz w:val="18"/>
                <w:szCs w:val="18"/>
                <w:color w:val="auto"/>
                <w:w w:val="93"/>
              </w:rPr>
              <w:t>The following summarizes the aggregate consideration paid by the Company and the allocation of the purchase price (in thousands):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0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23"/>
        </w:trPr>
        <w:tc>
          <w:tcPr>
            <w:tcW w:w="10320" w:type="dxa"/>
            <w:vAlign w:val="bottom"/>
          </w:tcPr>
          <w:p>
            <w:pPr>
              <w:spacing w:after="0"/>
              <w:rPr>
                <w:sz w:val="20"/>
                <w:szCs w:val="20"/>
                <w:color w:val="auto"/>
              </w:rPr>
            </w:pPr>
            <w:r>
              <w:rPr>
                <w:rFonts w:ascii="Arial" w:cs="Arial" w:eastAsia="Arial" w:hAnsi="Arial"/>
                <w:sz w:val="18"/>
                <w:szCs w:val="18"/>
                <w:color w:val="auto"/>
              </w:rPr>
              <w:t>Total fair value of consideration transferred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1,206</w:t>
            </w:r>
          </w:p>
        </w:tc>
        <w:tc>
          <w:tcPr>
            <w:tcW w:w="10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Deposit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Purchase option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10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As of December 31, 2019, the Company has finalized its accounting for this business combination.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Diagnostics,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30, 2018, the Company purchased select assets and liabilities from Integrated Diagnostics, Inc. (“Indi”) for total consideration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9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aggregate consideration paid by the Company and the allocation of the purchase price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issued—10,694,904 shares</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fair value of consideration transferred</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27,587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Prepaid expenses and other assets</w:t>
            </w: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6160" w:type="dxa"/>
            <w:vAlign w:val="bottom"/>
            <w:gridSpan w:val="2"/>
          </w:tcPr>
          <w:p>
            <w:pPr>
              <w:jc w:val="right"/>
              <w:ind w:right="4767"/>
              <w:spacing w:after="0"/>
              <w:rPr>
                <w:sz w:val="20"/>
                <w:szCs w:val="20"/>
                <w:color w:val="auto"/>
              </w:rPr>
            </w:pPr>
            <w:r>
              <w:rPr>
                <w:rFonts w:ascii="Arial" w:cs="Arial" w:eastAsia="Arial" w:hAnsi="Arial"/>
                <w:sz w:val="18"/>
                <w:szCs w:val="18"/>
                <w:color w:val="auto"/>
              </w:rPr>
              <w:t>F-18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to require the issuance of additional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9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acquired, amortization method and estimated useful lives as of June 30, 2018 was as follows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Useful</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r>
      <w:tr>
        <w:trPr>
          <w:trHeight w:val="171"/>
        </w:trPr>
        <w:tc>
          <w:tcPr>
            <w:tcW w:w="8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Life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Method</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r>
      <w:tr>
        <w:trPr>
          <w:trHeight w:val="209"/>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1"/>
              </w:rPr>
              <w:t>Straight-line</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technology acquired from Indi consisted of the technology and related know-how of the XL2 test for which Indi had developed. The fair value of the technology was estimated by applying a multi-period excess earnings method. The results of this method are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Accounting</w:t>
      </w:r>
    </w:p>
    <w:p>
      <w:pPr>
        <w:spacing w:after="0" w:line="12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54"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determination of where assets and liabilities fall within this hierarchy is based upon the lowest level of input that is significant to the fair value measurement.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9"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following tables set forth by level, within the fair value hierarchy, the Company’s liabilities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7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Put option liability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gridSpan w:val="3"/>
          </w:tcPr>
          <w:p>
            <w:pPr>
              <w:spacing w:after="0"/>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7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Put option liability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Due to the unobservable inputs needed to calculate the fair value of these balances, these liabilities are classified as Level 3 liabilities. The following is a reconciliation of the beginning and ending balances for the six- month period ended June 30, 2020 for assets measured at fair value on a recurring basis using significant unobservable inputs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7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7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64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Contingent value rights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7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7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640" w:type="dxa"/>
            <w:vAlign w:val="bottom"/>
          </w:tcPr>
          <w:p>
            <w:pPr>
              <w:spacing w:after="0"/>
              <w:rPr>
                <w:sz w:val="8"/>
                <w:szCs w:val="8"/>
                <w:color w:val="auto"/>
              </w:rPr>
            </w:pPr>
          </w:p>
        </w:tc>
        <w:tc>
          <w:tcPr>
            <w:tcW w:w="70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Put option liability</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7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3,261</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7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3,340</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70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6,601</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7080" w:type="dxa"/>
            <w:vAlign w:val="bottom"/>
            <w:gridSpan w:val="2"/>
          </w:tcPr>
          <w:p>
            <w:pPr>
              <w:jc w:val="right"/>
              <w:ind w:right="4847"/>
              <w:spacing w:after="0"/>
              <w:rPr>
                <w:sz w:val="20"/>
                <w:szCs w:val="20"/>
                <w:color w:val="auto"/>
              </w:rPr>
            </w:pPr>
            <w:r>
              <w:rPr>
                <w:rFonts w:ascii="Arial" w:cs="Arial" w:eastAsia="Arial" w:hAnsi="Arial"/>
                <w:sz w:val="18"/>
                <w:szCs w:val="18"/>
                <w:color w:val="auto"/>
              </w:rPr>
              <w:t>F-20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41" w:name="page242"/>
    <w:bookmarkEnd w:id="2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7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2960" w:type="dxa"/>
            <w:vAlign w:val="bottom"/>
          </w:tcPr>
          <w:p>
            <w:pPr>
              <w:spacing w:after="0"/>
              <w:rPr>
                <w:sz w:val="24"/>
                <w:szCs w:val="24"/>
                <w:color w:val="auto"/>
              </w:rPr>
            </w:pPr>
          </w:p>
        </w:tc>
        <w:tc>
          <w:tcPr>
            <w:tcW w:w="8280" w:type="dxa"/>
            <w:vAlign w:val="bottom"/>
            <w:gridSpan w:val="3"/>
          </w:tcPr>
          <w:p>
            <w:pPr>
              <w:jc w:val="right"/>
              <w:ind w:right="4940"/>
              <w:spacing w:after="0"/>
              <w:rPr>
                <w:sz w:val="20"/>
                <w:szCs w:val="20"/>
                <w:color w:val="auto"/>
              </w:rPr>
            </w:pPr>
            <w:r>
              <w:rPr>
                <w:rFonts w:ascii="Arial" w:cs="Arial" w:eastAsia="Arial" w:hAnsi="Arial"/>
                <w:sz w:val="18"/>
                <w:szCs w:val="18"/>
                <w:b w:val="1"/>
                <w:bCs w:val="1"/>
                <w:color w:val="auto"/>
              </w:rPr>
              <w:t>BIODESIX, INC.</w:t>
            </w:r>
          </w:p>
        </w:tc>
      </w:tr>
      <w:tr>
        <w:trPr>
          <w:trHeight w:val="432"/>
        </w:trPr>
        <w:tc>
          <w:tcPr>
            <w:tcW w:w="2960" w:type="dxa"/>
            <w:vAlign w:val="bottom"/>
          </w:tcPr>
          <w:p>
            <w:pPr>
              <w:spacing w:after="0"/>
              <w:rPr>
                <w:sz w:val="24"/>
                <w:szCs w:val="24"/>
                <w:color w:val="auto"/>
              </w:rPr>
            </w:pPr>
          </w:p>
        </w:tc>
        <w:tc>
          <w:tcPr>
            <w:tcW w:w="8280" w:type="dxa"/>
            <w:vAlign w:val="bottom"/>
            <w:gridSpan w:val="3"/>
          </w:tcPr>
          <w:p>
            <w:pPr>
              <w:jc w:val="right"/>
              <w:ind w:right="4000"/>
              <w:spacing w:after="0"/>
              <w:rPr>
                <w:sz w:val="20"/>
                <w:szCs w:val="20"/>
                <w:color w:val="auto"/>
              </w:rPr>
            </w:pPr>
            <w:r>
              <w:rPr>
                <w:rFonts w:ascii="Arial" w:cs="Arial" w:eastAsia="Arial" w:hAnsi="Arial"/>
                <w:sz w:val="18"/>
                <w:szCs w:val="18"/>
                <w:b w:val="1"/>
                <w:bCs w:val="1"/>
                <w:color w:val="auto"/>
              </w:rPr>
              <w:t>NOTES TO FINANCIAL STATEMENTS</w:t>
            </w:r>
          </w:p>
        </w:tc>
      </w:tr>
      <w:tr>
        <w:trPr>
          <w:trHeight w:val="243"/>
        </w:trPr>
        <w:tc>
          <w:tcPr>
            <w:tcW w:w="296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7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8280" w:type="dxa"/>
            <w:vAlign w:val="bottom"/>
            <w:gridSpan w:val="3"/>
          </w:tcPr>
          <w:p>
            <w:pPr>
              <w:jc w:val="right"/>
              <w:ind w:right="100"/>
              <w:spacing w:after="0"/>
              <w:rPr>
                <w:sz w:val="20"/>
                <w:szCs w:val="20"/>
                <w:color w:val="auto"/>
              </w:rPr>
            </w:pPr>
            <w:r>
              <w:rPr>
                <w:rFonts w:ascii="Arial" w:cs="Arial" w:eastAsia="Arial" w:hAnsi="Arial"/>
                <w:sz w:val="18"/>
                <w:szCs w:val="18"/>
                <w:color w:val="auto"/>
              </w:rPr>
              <w:t>$29,114</w:t>
            </w: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7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Changes in fair value</w:t>
            </w:r>
          </w:p>
        </w:tc>
        <w:tc>
          <w:tcPr>
            <w:tcW w:w="8280" w:type="dxa"/>
            <w:vAlign w:val="bottom"/>
            <w:gridSpan w:val="3"/>
          </w:tcPr>
          <w:p>
            <w:pPr>
              <w:jc w:val="right"/>
              <w:ind w:right="40"/>
              <w:spacing w:after="0"/>
              <w:rPr>
                <w:sz w:val="20"/>
                <w:szCs w:val="20"/>
                <w:color w:val="auto"/>
              </w:rPr>
            </w:pPr>
            <w:r>
              <w:rPr>
                <w:rFonts w:ascii="Arial" w:cs="Arial" w:eastAsia="Arial" w:hAnsi="Arial"/>
                <w:sz w:val="18"/>
                <w:szCs w:val="18"/>
                <w:color w:val="auto"/>
              </w:rPr>
              <w:t>(1,944)</w:t>
            </w: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w:t>
            </w:r>
          </w:p>
        </w:tc>
        <w:tc>
          <w:tcPr>
            <w:tcW w:w="8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r>
      <w:tr>
        <w:trPr>
          <w:trHeight w:val="223"/>
        </w:trPr>
        <w:tc>
          <w:tcPr>
            <w:tcW w:w="2960" w:type="dxa"/>
            <w:vAlign w:val="bottom"/>
          </w:tcPr>
          <w:p>
            <w:pPr>
              <w:ind w:left="360"/>
              <w:spacing w:after="0"/>
              <w:rPr>
                <w:sz w:val="20"/>
                <w:szCs w:val="20"/>
                <w:color w:val="auto"/>
              </w:rPr>
            </w:pPr>
            <w:r>
              <w:rPr>
                <w:rFonts w:ascii="Arial" w:cs="Arial" w:eastAsia="Arial" w:hAnsi="Arial"/>
                <w:sz w:val="18"/>
                <w:szCs w:val="18"/>
                <w:color w:val="auto"/>
              </w:rPr>
              <w:t>Payments</w:t>
            </w:r>
          </w:p>
        </w:tc>
        <w:tc>
          <w:tcPr>
            <w:tcW w:w="758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29,114</w:t>
            </w:r>
          </w:p>
        </w:tc>
      </w:tr>
      <w:tr>
        <w:trPr>
          <w:trHeight w:val="20"/>
        </w:trPr>
        <w:tc>
          <w:tcPr>
            <w:tcW w:w="29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to the valuation methods during the months presented.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for further discussion of preferred stock warrants.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9).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the six months ended June 30, 2020, there was no change to the estimated value of the CVRs. The value of these CVRs was $0.1 million as of June 30, 2020.</w:t>
      </w:r>
    </w:p>
    <w:p>
      <w:pPr>
        <w:spacing w:after="0" w:line="17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put option liability was valued based on the calculated returns as a result of the various discounts included in the Company’s convertible debt payable and the related probability assessments of the various settlement scenarios that the discounts apply to. As of June 30, 2020 and December 31, 2019, the combined probability assessment of a qualified financing or initial public offering is 95%. See note 6 for further disclosure of the discounts and settlement scenarios.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9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techniques could result in materially different fair value estimates. The fair value of the Company’s contingent consideration liability was estimated using significant unobservable inputs. The fair value of $ 19.6 million contingent consideration recognized on the acquisition date was estimated by management with the assistance of an independent third party.</w:t>
      </w:r>
    </w:p>
    <w:p>
      <w:pPr>
        <w:spacing w:after="0" w:line="184"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Changes in the fair value measurement each period reflect the passage of time as well as the impact of adjustments, if any, to the likelihood of achieving the specified targets. Contingent consideration is recorded in the balance sheets in long- term liabilities. The change to contingent consideration during the six months ended June 30, 2020 was primarily due to $1.9 million resulting from the accretion of the liability offset by $1.9 million due to the impact of the deceleration of expected revenue and decreases in expected costs. The $2.3 million change to the contingent consideration during the six months ended June 30, 2019 was primarily due to $1.6 million resulting from the impact of the acceleration of expected revenue and decreases in expected costs as a result of events occurring after the acquisition date, as well as $0.7 million resulting from the from the accretion of the liability.</w:t>
      </w:r>
    </w:p>
    <w:p>
      <w:pPr>
        <w:spacing w:after="0" w:line="164"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rPr>
          <w:sz w:val="20"/>
          <w:szCs w:val="20"/>
          <w:color w:val="auto"/>
        </w:rPr>
      </w:pPr>
      <w:r>
        <w:rPr>
          <w:rFonts w:ascii="Arial" w:cs="Arial" w:eastAsia="Arial" w:hAnsi="Arial"/>
          <w:sz w:val="18"/>
          <w:szCs w:val="18"/>
          <w:b w:val="1"/>
          <w:bCs w:val="1"/>
          <w:color w:val="auto"/>
        </w:rPr>
        <w:t>Note 5—Balance Sheet Disclosures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$ 4,720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1,755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r>
      <w:tr>
        <w:trPr>
          <w:trHeight w:val="216"/>
        </w:trPr>
        <w:tc>
          <w:tcPr>
            <w:tcW w:w="9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(6,415)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(6,386)</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$ 1,994</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for each of the six months ended June 30, 2020 and 2019 was $0.4 million.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Purchased technology</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16,900</w:t>
            </w: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(3,756)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13,144</w:t>
            </w: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Purchase option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Trademarks (indefinite life)</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vMerge w:val="continue"/>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14,145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Company recorded amortization expense of $1.0 million for the six months ended June 30, 2020 and 2019. Amortization related to the remaining net intangible assets is scheduled to amortize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Accrued liabilities consist of the following (in thousands):</w:t>
            </w: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6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2"/>
              </w:rPr>
              <w:t>June 30,</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5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Compensation related accruals</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$2,039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clinical trial expense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1,671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current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9340" w:type="dxa"/>
            <w:vAlign w:val="bottom"/>
            <w:gridSpan w:val="2"/>
          </w:tcPr>
          <w:p>
            <w:pPr>
              <w:ind w:left="360"/>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6—Convertible Notes Payable</w:t>
      </w:r>
    </w:p>
    <w:p>
      <w:pPr>
        <w:spacing w:after="0" w:line="121"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color w:val="auto"/>
        </w:rPr>
        <w:t>In March 2020, the Company issued $10 million in convertible debt (the “March 2020 Notes”) that is scheduled to mature in August 2020. The March 2020 Notes were issued in two tranches of $5 million, with the first tranche being funded in March 2020 and the second tranche in June 2020. Interest on the March 2020 Notes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9"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is at 3% per annum and is payable in full upon maturity through the conversion to Series H Preferred Stock at 80% of the original issuance price of $1.15 per share. On or before the maturity date and if the March 2020 Notes are unpaid, the outstanding principal and unpaid accrued interest under the March 2020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March 2020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March 2020 Notes. The estimated value of the put option liability as of the issuance of the March 2020 Notes was $2.5 million. The put option liability was reflected as a debt discount on the March 2020 Notes which is being amortized over the term of the March 2020 Notes. The unamortized debt discount was $1.4 million as of June 30, 2020.</w:t>
      </w:r>
    </w:p>
    <w:p>
      <w:pPr>
        <w:spacing w:after="0" w:line="18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 December 2019, the Company issued $6 million in convertible debt (the “December 2019 Notes”) that is scheduled to mature in August 2020. The December 2019 Notes were issued in two tranches of $3 million, with the first tranche being funded in December 2019 and the second tranche in February 2020. Interest on the 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was $0.8 million for each tranche issued. The put option liability was reflected as a debt discount on the December 2019 Notes which is being amortized over the term of the December 2019 Notes. The unamortized debt discount was $0.3 million and $0.7 million as of June 30, 2020 and December 31, 2019, respectively.</w:t>
      </w:r>
    </w:p>
    <w:p>
      <w:pPr>
        <w:spacing w:after="0" w:line="184"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320" w:top="459" w:right="3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$0.1 million and $0.3 million as of June 30, 2020 and December 31, 2019, respectively.</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convertible notes payable is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4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9"/>
        </w:trPr>
        <w:tc>
          <w:tcPr>
            <w:tcW w:w="9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2020 Notes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December 2019 Notes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6,000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3,045</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August 2019 Notes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Accrued interest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404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w:t>
            </w:r>
          </w:p>
        </w:tc>
        <w:tc>
          <w:tcPr>
            <w:tcW w:w="11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(1,728)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23"/>
        </w:trPr>
        <w:tc>
          <w:tcPr>
            <w:tcW w:w="9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24,676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12,159</w:t>
            </w:r>
          </w:p>
        </w:tc>
        <w:tc>
          <w:tcPr>
            <w:tcW w:w="10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7—Long-Term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Paycheck Protection Program Note Payable</w:t>
      </w:r>
    </w:p>
    <w:p>
      <w:pPr>
        <w:spacing w:after="0" w:line="117"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In April 2020, Company entered into a loan pursuant to the Paycheck Protection Program under the CARES Act, as administered by the U.S. Small Business Administration (the “SBA”). The loan, in the principal amount of $ 3.1 million (the “PPP Loan”), was disbursed by JPMorgan Chase Bank (“Lender”) pursuant to a Paycheck Protection Program Promissory Note and Agreement (the “Note and Agreement”).</w:t>
      </w:r>
    </w:p>
    <w:p>
      <w:pPr>
        <w:spacing w:after="0" w:line="16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PPP Loan matures on the two-year anniversary of the funding date and bears interest at a fixed rate of 1.00% per annum. Monthly principal and interest payments, less the amount of any potential forgiveness (discussed below), will commence after the six-month anniversary of the funding date. The Company did not provide any collateral or guarantees in connection with the PPP Loan, nor did the Company pay any facility charge to obtain the PPP Loan. The Note and Agreement provides for customary events of default, including those relating to failure to make payment, bankruptcy, breaches of representations and material adverse effects. The Company may prepay the principal of the PPP Loan at any time without incurring any prepayment charges.</w:t>
      </w:r>
    </w:p>
    <w:p>
      <w:pPr>
        <w:spacing w:after="0" w:line="192"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All or a portion of the PPP Loan may be forgiven by the SBA and the Lender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$100,000 or less annually are reduced by more than 25%. The Company cannot assure that the PPP Loan will be forgiven, in whole or in part.</w:t>
      </w:r>
    </w:p>
    <w:p>
      <w:pPr>
        <w:spacing w:after="0" w:line="23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 xml:space="preserve">The Company accounts for the PPP Loan as debt in accordance with FASB ASC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accrues interest in accordance with the interest method. If the loan is forgiven in part or in whole, and legal release is received, the Company will reduce the liability by the amount forgiven and record a gain on extinguishment in the statement of operations.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w:t>
      </w:r>
    </w:p>
    <w:p>
      <w:pPr>
        <w:spacing w:after="0" w:line="117"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w:t>
      </w:r>
    </w:p>
    <w:p>
      <w:pPr>
        <w:spacing w:after="0" w:line="124"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June 30, 2020 and December 31, 2019, the interest added to the principal value of the 2018 Notes was $1.4 million and $1.1 million, respectively.</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 payable to Indi.</w:t>
      </w:r>
    </w:p>
    <w:p>
      <w:pPr>
        <w:spacing w:after="0" w:line="18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June 30, 2020, the Company was not in default under the terms of the 2018 Notes.</w:t>
      </w:r>
    </w:p>
    <w:p>
      <w:pPr>
        <w:spacing w:after="0" w:line="16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320" w:top="459" w:right="3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notes payable as of June 30, 2020 and December 31, 2019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CCEEFF"/>
            </w:tcBorders>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Notes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$24,389</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$24,088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Final payment fee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Unamortized debt discount and debt issuance costs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24,227</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23,812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(4,064)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notes payable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20,163</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ind w:left="460"/>
              <w:spacing w:after="0"/>
              <w:rPr>
                <w:sz w:val="20"/>
                <w:szCs w:val="20"/>
                <w:color w:val="auto"/>
              </w:rPr>
            </w:pPr>
            <w:r>
              <w:rPr>
                <w:rFonts w:ascii="Arial" w:cs="Arial" w:eastAsia="Arial" w:hAnsi="Arial"/>
                <w:sz w:val="18"/>
                <w:szCs w:val="18"/>
                <w:color w:val="auto"/>
              </w:rPr>
              <w:t>Maturities of long-term obligations as of June 30, 2020 are as follows (in thousands):</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10,166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12,199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24,612</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Since inception, the Company has incurred net taxable losses, and accordingly, no current provision for income taxes has been recorded.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Company leases facilities under non-cancelable operating leases. Rent expense was $1.1 million for the six months ended June 30, 2020 and 2019, and was inclusive of common area maintenance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8860" w:type="dxa"/>
            <w:vAlign w:val="bottom"/>
          </w:tcPr>
          <w:p>
            <w:pPr>
              <w:jc w:val="center"/>
              <w:ind w:right="830"/>
              <w:spacing w:after="0"/>
              <w:rPr>
                <w:sz w:val="20"/>
                <w:szCs w:val="20"/>
                <w:color w:val="auto"/>
              </w:rPr>
            </w:pPr>
            <w:r>
              <w:rPr>
                <w:rFonts w:ascii="Arial" w:cs="Arial" w:eastAsia="Arial" w:hAnsi="Arial"/>
                <w:sz w:val="18"/>
                <w:szCs w:val="18"/>
                <w:b w:val="1"/>
                <w:bCs w:val="1"/>
                <w:color w:val="auto"/>
              </w:rPr>
              <w:t>BIODESIX, INC.</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660" w:type="dxa"/>
            <w:vAlign w:val="bottom"/>
          </w:tcPr>
          <w:p>
            <w:pPr>
              <w:spacing w:after="0"/>
              <w:rPr>
                <w:sz w:val="24"/>
                <w:szCs w:val="24"/>
                <w:color w:val="auto"/>
              </w:rPr>
            </w:pPr>
          </w:p>
        </w:tc>
        <w:tc>
          <w:tcPr>
            <w:tcW w:w="8860" w:type="dxa"/>
            <w:vAlign w:val="bottom"/>
          </w:tcPr>
          <w:p>
            <w:pPr>
              <w:jc w:val="center"/>
              <w:ind w:right="830"/>
              <w:spacing w:after="0"/>
              <w:rPr>
                <w:sz w:val="20"/>
                <w:szCs w:val="20"/>
                <w:color w:val="auto"/>
              </w:rPr>
            </w:pPr>
            <w:r>
              <w:rPr>
                <w:rFonts w:ascii="Arial" w:cs="Arial" w:eastAsia="Arial" w:hAnsi="Arial"/>
                <w:sz w:val="18"/>
                <w:szCs w:val="18"/>
                <w:b w:val="1"/>
                <w:bCs w:val="1"/>
                <w:color w:val="auto"/>
              </w:rPr>
              <w:t>NOTES TO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10520" w:type="dxa"/>
            <w:vAlign w:val="bottom"/>
            <w:gridSpan w:val="2"/>
          </w:tcPr>
          <w:p>
            <w:pPr>
              <w:ind w:left="460"/>
              <w:spacing w:after="0"/>
              <w:rPr>
                <w:sz w:val="20"/>
                <w:szCs w:val="20"/>
                <w:color w:val="auto"/>
              </w:rPr>
            </w:pPr>
            <w:r>
              <w:rPr>
                <w:rFonts w:ascii="Arial" w:cs="Arial" w:eastAsia="Arial" w:hAnsi="Arial"/>
                <w:sz w:val="18"/>
                <w:szCs w:val="18"/>
                <w:color w:val="auto"/>
                <w:w w:val="90"/>
              </w:rPr>
              <w:t>Future minimum lease payments for operating lease obligations, net of sublease income are as follows as of June 30, 2020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8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8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728</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8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0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1,885</w:t>
            </w:r>
          </w:p>
        </w:tc>
      </w:tr>
      <w:tr>
        <w:trPr>
          <w:trHeight w:val="20"/>
        </w:trPr>
        <w:tc>
          <w:tcPr>
            <w:tcW w:w="16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Co-Development Agreement</w:t>
      </w:r>
    </w:p>
    <w:p>
      <w:pPr>
        <w:spacing w:after="0" w:line="117"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In April 2014 and amended in October 2016, the Company entered into a worldwide agreement with AVEO Oncology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Expenses related to this agreement for the six months ended June 30, 2020 and 2019 were approximately $0.7 million and $0.2 million,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August 2019, we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Bio-Rad License expires in August 2024. Either party may terminate for the other’s uncured material breach or bankruptcy events. Bio-Rad may terminate the Bio-Rad License if the Company does not purchase licensed products under the separate supply agreement for a consecutive twelve-month period or for any material breach by us of the supply agreement. The Company incurred royalty expense of $0.1 million for the six months ended June 30, 2020 under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10—Convertible Preferred Stock</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following table details, by series, the Company’s convertible preferred stock at June 30, 2020 (in thousands, except shares and original issue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646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12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8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53,031,883</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G</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76,464,035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F</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19,468,203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13,972,954</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11,781,710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43,499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2,356,597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2,998,852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3,641,817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A-2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266,668</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185,432,719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H</w:t>
      </w:r>
    </w:p>
    <w:p>
      <w:pPr>
        <w:spacing w:after="0" w:line="117"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In February and March 2019, the Company issued 8,695,621 shares of Series H Preferred Stock at $1.15 per share for total cash proceeds of $10.0 million.</w:t>
      </w:r>
    </w:p>
    <w:p>
      <w:pPr>
        <w:spacing w:after="0" w:line="170"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 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$16.33). As a result of the reverse stock split (see Note 14), the conversion rate for the Series Preferred is 0.1684664 per share. Each share of Series Preferred will be automatically converted into shares of common stock (based on the then-effective Series Preferred conversion price) if there is 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affirmative election of 65% of the holders of the outstanding shares of Series Preferred or immediately upon the closing of a firmly underwritten public offering in which the offer and sale of common stock, voting together as a single class on an as-if-converted-to -common-stock basis, is at a per-share price of at least $11.88 (adjusted for stock splits, dividends, and recapitalizations) and gross cash proceeds to the Company (before underwriting discounts, commissions, and fees) are at least $40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 stock basis. In the event dividends are paid on any common stock, the Company shall pay an additional dividend on all outstanding shares of Series Preferred stock in a per-share amount on an as-if-converted-to-common-stock basis.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70"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 -if-converted basis, of the remaining assets of the Company available for distribution to its stockholders.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 Options</w:t>
      </w:r>
    </w:p>
    <w:p>
      <w:pPr>
        <w:spacing w:after="0" w:line="121"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In May 2006, the Company adopted the 2006 Employee, Director, and Consultant Stock Plan (the “2006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831,388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9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In February 2016, the Company adopted the 2016 Equity Incentive Plan (“2016 Plan”) as a successor to and continuation of the 2006 Plan. As of February 2016, no additional stock awards may be granted under the 2006 Plan and any unallocated shares remaining available for issuance pursuant to the exercise of options or issuance or settlement of stock awards not previously granted under the 2006 Plan will cease to be available under the 2006 Plan and will be added to the share reserve of the 2016 Plan and be immediately available for issuance pursuant to the stock awards granted in the 2016 Plan. In addition, all outstanding stock awards granted under the 2006 Plan will remain subject to the terms of the 2006 Plan unless they expire, terminate or are forfeited, cancelled or otherwise returned to the Company and will immediately be added to the share reserve and become available for issuance under the 2016 Plan.</w:t>
      </w:r>
    </w:p>
    <w:p>
      <w:pPr>
        <w:spacing w:after="0" w:line="195"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Under the 2016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1,431,964 total shares, plus any shares subject to outstanding stock awards granted under the 2006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61"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RSUs</w:t>
            </w: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40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Granted</w:t>
            </w:r>
          </w:p>
        </w:tc>
        <w:tc>
          <w:tcPr>
            <w:tcW w:w="4760" w:type="dxa"/>
            <w:vAlign w:val="bottom"/>
            <w:gridSpan w:val="3"/>
          </w:tcPr>
          <w:p>
            <w:pPr>
              <w:jc w:val="right"/>
              <w:ind w:right="240"/>
              <w:spacing w:after="0"/>
              <w:rPr>
                <w:sz w:val="20"/>
                <w:szCs w:val="20"/>
                <w:color w:val="auto"/>
              </w:rPr>
            </w:pPr>
            <w:r>
              <w:rPr>
                <w:rFonts w:ascii="Arial" w:cs="Arial" w:eastAsia="Arial" w:hAnsi="Arial"/>
                <w:sz w:val="18"/>
                <w:szCs w:val="18"/>
                <w:color w:val="auto"/>
              </w:rPr>
              <w:t>772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2.68</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4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40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0.54</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Outstanding—June 30, 2020</w:t>
            </w:r>
          </w:p>
        </w:tc>
        <w:tc>
          <w:tcPr>
            <w:tcW w:w="4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4760" w:type="dxa"/>
            <w:vAlign w:val="bottom"/>
            <w:gridSpan w:val="3"/>
          </w:tcPr>
          <w:p>
            <w:pPr>
              <w:jc w:val="right"/>
              <w:ind w:right="2920"/>
              <w:spacing w:after="0"/>
              <w:rPr>
                <w:sz w:val="20"/>
                <w:szCs w:val="20"/>
                <w:color w:val="auto"/>
              </w:rPr>
            </w:pPr>
            <w:r>
              <w:rPr>
                <w:rFonts w:ascii="Arial" w:cs="Arial" w:eastAsia="Arial" w:hAnsi="Arial"/>
                <w:sz w:val="18"/>
                <w:szCs w:val="18"/>
                <w:color w:val="auto"/>
              </w:rPr>
              <w:t>F-31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composition of options outstanding and exercisable as of June 30, 2020 (in thousands, except price and life):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Options Outstanding</w:t>
            </w:r>
          </w:p>
        </w:tc>
        <w:tc>
          <w:tcPr>
            <w:tcW w:w="380" w:type="dxa"/>
            <w:vAlign w:val="bottom"/>
          </w:tcPr>
          <w:p>
            <w:pPr>
              <w:spacing w:after="0"/>
              <w:rPr>
                <w:sz w:val="14"/>
                <w:szCs w:val="14"/>
                <w:color w:val="auto"/>
              </w:rPr>
            </w:pPr>
          </w:p>
        </w:tc>
        <w:tc>
          <w:tcPr>
            <w:tcW w:w="14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9"/>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Exercise Prices</w:t>
            </w:r>
          </w:p>
        </w:tc>
        <w:tc>
          <w:tcPr>
            <w:tcW w:w="6220" w:type="dxa"/>
            <w:vAlign w:val="bottom"/>
            <w:gridSpan w:val="2"/>
            <w:vMerge w:val="restart"/>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48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Life</w:t>
            </w:r>
          </w:p>
        </w:tc>
        <w:tc>
          <w:tcPr>
            <w:tcW w:w="38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62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(years)*</w:t>
            </w:r>
          </w:p>
        </w:tc>
        <w:tc>
          <w:tcPr>
            <w:tcW w:w="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$0.42 – $0.84</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1,947</w:t>
            </w: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$0.66</w:t>
            </w: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8.1</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654</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0.66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3"/>
          </w:tcPr>
          <w:p>
            <w:pPr>
              <w:spacing w:after="0"/>
              <w:rPr>
                <w:sz w:val="20"/>
                <w:szCs w:val="20"/>
                <w:color w:val="auto"/>
              </w:rPr>
            </w:pPr>
            <w:r>
              <w:rPr>
                <w:rFonts w:ascii="Arial" w:cs="Arial" w:eastAsia="Arial" w:hAnsi="Arial"/>
                <w:sz w:val="18"/>
                <w:szCs w:val="18"/>
                <w:color w:val="auto"/>
              </w:rPr>
              <w:t>$2.62 – $3.74</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136</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3.39</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3.39</w:t>
            </w: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$4.40 – $4.46</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4.40</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4.40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$6.83</w:t>
            </w:r>
          </w:p>
        </w:tc>
        <w:tc>
          <w:tcPr>
            <w:tcW w:w="3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442</w:t>
            </w:r>
          </w:p>
        </w:tc>
        <w:tc>
          <w:tcPr>
            <w:tcW w:w="3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6.83</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9.4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6.83</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Total—June 30, 2020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$2.02</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Price and Life reflect the weighted average exercise price and weighted average remaining contractual life, respectively.</w:t>
      </w:r>
    </w:p>
    <w:p>
      <w:pPr>
        <w:spacing w:after="0" w:line="225"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There were 52,736 and 26,449 restricted stock units outstanding at June 30, 2020 and December 31, 2019, respectively, none of which had vested as of June 30, 2020.</w:t>
      </w:r>
    </w:p>
    <w:p>
      <w:pPr>
        <w:spacing w:after="0" w:line="170"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 average assumptions for the six months ended June 30, 2020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Approximate risk—free rate</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Average expected life</w:t>
            </w:r>
          </w:p>
        </w:tc>
        <w:tc>
          <w:tcPr>
            <w:tcW w:w="4340" w:type="dxa"/>
            <w:vAlign w:val="bottom"/>
          </w:tcPr>
          <w:p>
            <w:pPr>
              <w:jc w:val="right"/>
              <w:ind w:right="110"/>
              <w:spacing w:after="0"/>
              <w:rPr>
                <w:sz w:val="20"/>
                <w:szCs w:val="20"/>
                <w:color w:val="auto"/>
              </w:rPr>
            </w:pPr>
            <w:r>
              <w:rPr>
                <w:rFonts w:ascii="Arial" w:cs="Arial" w:eastAsia="Arial" w:hAnsi="Arial"/>
                <w:sz w:val="18"/>
                <w:szCs w:val="18"/>
                <w:color w:val="auto"/>
              </w:rPr>
              <w:t>5.63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Volatility</w:t>
            </w:r>
          </w:p>
        </w:tc>
        <w:tc>
          <w:tcPr>
            <w:tcW w:w="4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total options granted</w:t>
            </w:r>
          </w:p>
        </w:tc>
        <w:tc>
          <w:tcPr>
            <w:tcW w:w="4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$ 382</w:t>
            </w:r>
          </w:p>
        </w:tc>
      </w:tr>
    </w:tbl>
    <w:p>
      <w:pPr>
        <w:spacing w:after="0" w:line="202"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Plan is net of estimated forfeitures of 10%.</w:t>
      </w:r>
    </w:p>
    <w:p>
      <w:pPr>
        <w:spacing w:after="0" w:line="18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following table presents the impact of employee stock-based compensation expense on statements of income line items for the periods indicated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9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8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460" w:type="dxa"/>
            <w:vAlign w:val="bottom"/>
          </w:tcPr>
          <w:p>
            <w:pPr>
              <w:spacing w:after="0"/>
              <w:rPr>
                <w:sz w:val="18"/>
                <w:szCs w:val="18"/>
                <w:color w:val="auto"/>
              </w:rPr>
            </w:pP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w w:val="79"/>
              </w:rPr>
              <w:t>44</w:t>
            </w: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64</w:t>
            </w:r>
          </w:p>
        </w:tc>
      </w:tr>
      <w:tr>
        <w:trPr>
          <w:trHeight w:val="27"/>
        </w:trPr>
        <w:tc>
          <w:tcPr>
            <w:tcW w:w="8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79"/>
              </w:rPr>
              <w:t>55</w:t>
            </w:r>
          </w:p>
        </w:tc>
        <w:tc>
          <w:tcPr>
            <w:tcW w:w="96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80</w:t>
            </w:r>
          </w:p>
        </w:tc>
      </w:tr>
      <w:tr>
        <w:trPr>
          <w:trHeight w:val="20"/>
        </w:trPr>
        <w:tc>
          <w:tcPr>
            <w:tcW w:w="8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The unrecognized remaining stock-based compensation balance for shares issued inside of the Plan was approximately $0.5 million as of June 30, 2020 which will be amortized over the next three years.</w:t>
      </w:r>
    </w:p>
    <w:p>
      <w:pPr>
        <w:spacing w:after="0" w:line="170"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As of June 30, 2020, the Company has issued a total of 205,199 stock options outside the 2006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9" w:right="3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option pricing model using approximately the same assumptions as in the previous table other than the term, which is approximately five years. As of June 30, 2020, 173,233 options outside of the 2006 Plan are outstanding and exercisable and have a weighted average exercise price of $11.11, a weighted average remaining life of six years, and were fully vested on the grant date. There was no unrecognized remaining stock-based compensation balance for shares issued outside of the 2006 Plan as of June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Series E</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Series G</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110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w w:val="95"/>
              </w:rPr>
              <w:t>Warrants</w:t>
            </w: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1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Exercised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Outstanding—June 30,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 at June 30, 2020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8"/>
                <w:szCs w:val="18"/>
                <w:color w:val="auto"/>
              </w:rPr>
              <w:t>7.5 years</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121"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Company has evaluated all subsequent events through the auditors’ report date, which is the date the condensed financial statements were available for issuance.</w:t>
      </w:r>
    </w:p>
    <w:p>
      <w:pPr>
        <w:spacing w:after="0" w:line="17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September 2020, the Company exercised its opt-out right with Aveo for the of payment of 50% of development and regulatory costs for ficlatuzumab which will be effective December 2, 2020. The Company estimates it has $0.3 million in remaining obligations related to the Aveo agreement as of the opt-out date. Following the effective date, the Company will be entitled to a 10% royalty of net sales of ficlatuzumab and 25% of license income generated from the licensing of ficlatuzumab from Aveo.</w:t>
      </w:r>
    </w:p>
    <w:p>
      <w:pPr>
        <w:spacing w:after="0" w:line="18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In September 2020, the Company terminated its option to license rights within the United States from Oncimmune to an additional indication for their product.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2020, the Company extended the maturity date of the Convertible Notes to June 30, 2021.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459" w:right="3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14—Reverse Stock Split</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On October 19, 2020, the Company obtained approval of an Amended and Restated Certificate of Incorporation effecting a 0.1684664-for-1 reverse stock split of its issued and outstanding common stock as converted. All common shares, stock options, and per share information presented in these financial statements and notes thereto have been adjusted, where applicable, to reflect the reverse stock split on a retroactive basis for all periods presented. The per share par value and authorized number of shares of the Company’s common stock were not adjusted as a result of the split.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80"/>
          </w:cols>
          <w:pgMar w:left="320" w:top="459" w:right="3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have audited the accompanying balance sheets of Biodesix, Inc. (the Company) as of December 31, 2019 and 2018, the related statements of operations, changes in convertible preferred stock and stockholders’ deficit, and cash flows for each of the years in the two-year period ended December 31, 2019, and the related notes (collectively, the financial statements). In our opinion, the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May 27, 2020, except for earnings per share and Note 1(aa), as to which the date is August 12, 2020 and Note 14, as to which the date is October 20, 2020</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2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For the Years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0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 and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6,074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4,406</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10,468</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8,188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marketing, general and administrative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30,637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25,899</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Accretion of contingent consideration</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1,537</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3,863</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51,293</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43,893</w:t>
            </w:r>
          </w:p>
        </w:tc>
        <w:tc>
          <w:tcPr>
            <w:tcW w:w="12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(26,741)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(23,461)</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(2,916)</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87</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Loss on debt extinguishment</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put option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302</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(3,985)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(30,726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(26,166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(126.97)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(130.83)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200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Pro forma weighted-average shares outstanding, basic and diluted (unaudited)</w:t>
            </w:r>
          </w:p>
        </w:tc>
        <w:tc>
          <w:tcPr>
            <w:tcW w:w="10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26,131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0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5,286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5,292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15,092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16,852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11,631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30"/>
        </w:trPr>
        <w:tc>
          <w:tcPr>
            <w:tcW w:w="9100" w:type="dxa"/>
            <w:vAlign w:val="bottom"/>
          </w:tcPr>
          <w:p>
            <w:pPr>
              <w:ind w:left="720"/>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418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1,717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Convertible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12,159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Put option liability</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3,261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22,600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23,812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23,099</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29,114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53,613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48,657</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76,213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Convertible preferred stock, $0.001 par value, 174,237,067 (2019) and 156,350,836 (2018) authorized;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8"/>
              </w:rPr>
              <w:t>118,766,273 (2019) and 110,070,652 (2018) issued and outstanding; liquidation preference of $202,582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w w:val="95"/>
              </w:rPr>
              <w:t>193,959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8"/>
              </w:rPr>
              <w:t>183,962</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8"/>
              </w:rPr>
              <w:t>Common stock, $0.001 par value, 190,000,000 (2019) and 180,000,000 (2018) authorized; 254,918 (2019)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214,885 (2018) issued and outstanding</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Arial" w:cs="Arial" w:eastAsia="Arial" w:hAnsi="Arial"/>
                <w:sz w:val="18"/>
                <w:szCs w:val="18"/>
                <w:color w:val="auto"/>
              </w:rPr>
              <w:t>2,324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8"/>
              </w:rPr>
              <w:t>(230,864)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(200,138)</w:t>
            </w:r>
          </w:p>
        </w:tc>
        <w:tc>
          <w:tcPr>
            <w:tcW w:w="0" w:type="dxa"/>
            <w:vAlign w:val="bottom"/>
          </w:tcPr>
          <w:p>
            <w:pPr>
              <w:spacing w:after="0"/>
              <w:rPr>
                <w:sz w:val="1"/>
                <w:szCs w:val="1"/>
                <w:color w:val="auto"/>
              </w:rPr>
            </w:pPr>
          </w:p>
        </w:tc>
      </w:t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(228,539</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(198,030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41,633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39,057</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459" w:right="3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Series A-1</w:t>
            </w:r>
          </w:p>
        </w:tc>
        <w:tc>
          <w:tcPr>
            <w:tcW w:w="1260" w:type="dxa"/>
            <w:vAlign w:val="bottom"/>
            <w:gridSpan w:val="6"/>
          </w:tcPr>
          <w:p>
            <w:pPr>
              <w:ind w:left="240"/>
              <w:spacing w:after="0"/>
              <w:rPr>
                <w:sz w:val="20"/>
                <w:szCs w:val="20"/>
                <w:color w:val="auto"/>
              </w:rPr>
            </w:pPr>
            <w:r>
              <w:rPr>
                <w:rFonts w:ascii="Arial" w:cs="Arial" w:eastAsia="Arial" w:hAnsi="Arial"/>
                <w:sz w:val="14"/>
                <w:szCs w:val="14"/>
                <w:b w:val="1"/>
                <w:bCs w:val="1"/>
                <w:color w:val="auto"/>
              </w:rPr>
              <w:t>Series A-2</w:t>
            </w:r>
          </w:p>
        </w:tc>
        <w:tc>
          <w:tcPr>
            <w:tcW w:w="1260" w:type="dxa"/>
            <w:vAlign w:val="bottom"/>
            <w:gridSpan w:val="4"/>
          </w:tcPr>
          <w:p>
            <w:pPr>
              <w:ind w:left="240"/>
              <w:spacing w:after="0"/>
              <w:rPr>
                <w:sz w:val="20"/>
                <w:szCs w:val="20"/>
                <w:color w:val="auto"/>
              </w:rPr>
            </w:pPr>
            <w:r>
              <w:rPr>
                <w:rFonts w:ascii="Arial" w:cs="Arial" w:eastAsia="Arial" w:hAnsi="Arial"/>
                <w:sz w:val="14"/>
                <w:szCs w:val="14"/>
                <w:b w:val="1"/>
                <w:bCs w:val="1"/>
                <w:color w:val="auto"/>
              </w:rPr>
              <w:t>Series A-3</w:t>
            </w:r>
          </w:p>
        </w:tc>
        <w:tc>
          <w:tcPr>
            <w:tcW w:w="13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Series B</w:t>
            </w:r>
          </w:p>
        </w:tc>
        <w:tc>
          <w:tcPr>
            <w:tcW w:w="1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Series B-1</w:t>
            </w:r>
          </w:p>
        </w:tc>
      </w:tr>
      <w:tr>
        <w:trPr>
          <w:trHeight w:val="142"/>
        </w:trPr>
        <w:tc>
          <w:tcPr>
            <w:tcW w:w="498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10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18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Shares   Amount</w:t>
            </w:r>
          </w:p>
        </w:tc>
        <w:tc>
          <w:tcPr>
            <w:tcW w:w="60" w:type="dxa"/>
            <w:vAlign w:val="bottom"/>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2017</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Cumulative effect of ASC 606 Adoption</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2"/>
              </w:rPr>
              <w:t>Issuance of Series G Preferred Stock—net of issuance costs of $11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Series G Preferred Stock related to business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3"/>
              </w:rPr>
              <w:t>Issuance of Series H Preferred Stock, net of issuance costs of $44</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H for debt conversion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Balance—December 31, 2018</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$1,672</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3,642</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$9,907</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2,999</w:t>
            </w: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$9,551</w:t>
            </w:r>
          </w:p>
        </w:tc>
        <w:tc>
          <w:tcPr>
            <w:tcW w:w="6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5"/>
              </w:rPr>
              <w:t>Issuance of Series H Preferred Stock, net of issuance costs of $3</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3,642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9,907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2,999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9,551</w:t>
            </w: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459" w:right="3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Series C</w:t>
            </w: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Series D</w:t>
            </w:r>
          </w:p>
        </w:tc>
        <w:tc>
          <w:tcPr>
            <w:tcW w:w="1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Series E</w:t>
            </w:r>
          </w:p>
        </w:tc>
        <w:tc>
          <w:tcPr>
            <w:tcW w:w="1520" w:type="dxa"/>
            <w:vAlign w:val="bottom"/>
            <w:gridSpan w:val="6"/>
          </w:tcPr>
          <w:p>
            <w:pPr>
              <w:ind w:left="480"/>
              <w:spacing w:after="0"/>
              <w:rPr>
                <w:sz w:val="20"/>
                <w:szCs w:val="20"/>
                <w:color w:val="auto"/>
              </w:rPr>
            </w:pPr>
            <w:r>
              <w:rPr>
                <w:rFonts w:ascii="Arial" w:cs="Arial" w:eastAsia="Arial" w:hAnsi="Arial"/>
                <w:sz w:val="14"/>
                <w:szCs w:val="14"/>
                <w:b w:val="1"/>
                <w:bCs w:val="1"/>
                <w:color w:val="auto"/>
              </w:rPr>
              <w:t>Series F</w:t>
            </w:r>
          </w:p>
        </w:tc>
      </w:tr>
      <w:tr>
        <w:trPr>
          <w:trHeight w:val="142"/>
        </w:trPr>
        <w:tc>
          <w:tcPr>
            <w:tcW w:w="54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Balance—December 31, 2017</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7,640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Cumulative effect of ASC 606 Adoption</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w w:val="99"/>
              </w:rPr>
              <w:t>Issuance of Series G Preferred Stock—net of issuance costs of $11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6"/>
              </w:rPr>
              <w:t>Issuance of Series G Preferred Stock related to business combination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$44</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H for debt conversion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20"/>
                <w:szCs w:val="20"/>
                <w:color w:val="auto"/>
              </w:rPr>
            </w:pPr>
            <w:r>
              <w:rPr>
                <w:rFonts w:ascii="Arial" w:cs="Arial" w:eastAsia="Arial" w:hAnsi="Arial"/>
                <w:sz w:val="18"/>
                <w:szCs w:val="18"/>
                <w:b w:val="1"/>
                <w:bCs w:val="1"/>
                <w:color w:val="auto"/>
              </w:rPr>
              <w:t>Balance—December 31, 2018</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$ 7,040</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10,875</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$ 41,266</w:t>
            </w:r>
          </w:p>
        </w:tc>
        <w:tc>
          <w:tcPr>
            <w:tcW w:w="160" w:type="dxa"/>
            <w:vAlign w:val="bottom"/>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4"/>
              </w:rPr>
              <w:t>7,640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$ 32,736</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28,585</w:t>
            </w:r>
          </w:p>
        </w:tc>
        <w:tc>
          <w:tcPr>
            <w:tcW w:w="6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Issuance of Series H Preferred Stock, net of issuance costs of $3</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2019</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$ 7,040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$ 41,266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6"/>
              </w:rPr>
              <w:t>$ 32,736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28,585</w:t>
            </w:r>
          </w:p>
        </w:tc>
      </w:tr>
      <w:tr>
        <w:trPr>
          <w:trHeight w:val="20"/>
        </w:trPr>
        <w:tc>
          <w:tcPr>
            <w:tcW w:w="5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459" w:right="3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Series G</w:t>
            </w:r>
          </w:p>
        </w:tc>
        <w:tc>
          <w:tcPr>
            <w:tcW w:w="13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Series H</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128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93"/>
              </w:rPr>
              <w:t>Preferred</w:t>
            </w:r>
          </w:p>
        </w:tc>
        <w:tc>
          <w:tcPr>
            <w:tcW w:w="12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Stockholder</w:t>
            </w:r>
          </w:p>
        </w:tc>
        <w:tc>
          <w:tcPr>
            <w:tcW w:w="0" w:type="dxa"/>
            <w:vAlign w:val="bottom"/>
          </w:tcPr>
          <w:p>
            <w:pPr>
              <w:spacing w:after="0"/>
              <w:rPr>
                <w:sz w:val="1"/>
                <w:szCs w:val="1"/>
                <w:color w:val="auto"/>
              </w:rPr>
            </w:pPr>
          </w:p>
        </w:tc>
      </w:tr>
      <w:tr>
        <w:trPr>
          <w:trHeight w:val="156"/>
        </w:trPr>
        <w:tc>
          <w:tcPr>
            <w:tcW w:w="3280" w:type="dxa"/>
            <w:vAlign w:val="bottom"/>
          </w:tcPr>
          <w:p>
            <w:pPr>
              <w:spacing w:after="0"/>
              <w:rPr>
                <w:sz w:val="13"/>
                <w:szCs w:val="13"/>
                <w:color w:val="auto"/>
              </w:rPr>
            </w:pPr>
          </w:p>
        </w:tc>
        <w:tc>
          <w:tcPr>
            <w:tcW w:w="5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6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Stock</w:t>
            </w:r>
          </w:p>
        </w:tc>
        <w:tc>
          <w:tcPr>
            <w:tcW w:w="64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Balance—December 31, 2017</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$ 25,061</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157,018</w:t>
            </w: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(174,411)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(172,495)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Cumulative effect of ASC 606 Adoption</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Issuance of Series G Preferred Stock—net of</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issuance costs of $11</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2,000</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1,489</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1,489</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G Preferred Stock related to</w:t>
            </w: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business combination</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10,650</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7,987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7,987</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w w:val="98"/>
              </w:rPr>
              <w:t>Issuance of Series H Preferred Stock, net of issuance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costs of $44</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6,087</w:t>
            </w: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6,956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6,956</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Series H for debt conversion</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9,141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10,512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10,512</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(26,166)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(26,166)</w:t>
            </w:r>
          </w:p>
        </w:tc>
        <w:tc>
          <w:tcPr>
            <w:tcW w:w="0" w:type="dxa"/>
            <w:vAlign w:val="bottom"/>
          </w:tcPr>
          <w:p>
            <w:pPr>
              <w:spacing w:after="0"/>
              <w:rPr>
                <w:sz w:val="1"/>
                <w:szCs w:val="1"/>
                <w:color w:val="auto"/>
              </w:rPr>
            </w:pPr>
          </w:p>
        </w:tc>
      </w:tr>
      <w:tr>
        <w:trPr>
          <w:trHeight w:val="156"/>
        </w:trPr>
        <w:tc>
          <w:tcPr>
            <w:tcW w:w="3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Balance—December 31, 2018</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46,147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$ 34,537</w:t>
            </w:r>
          </w:p>
        </w:tc>
        <w:tc>
          <w:tcPr>
            <w:tcW w:w="22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15,228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17,468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183,962</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215</w:t>
            </w:r>
          </w:p>
        </w:tc>
        <w:tc>
          <w:tcPr>
            <w:tcW w:w="220" w:type="dxa"/>
            <w:vAlign w:val="bottom"/>
          </w:tcPr>
          <w:p>
            <w:pPr>
              <w:spacing w:after="0"/>
              <w:rPr>
                <w:sz w:val="13"/>
                <w:szCs w:val="13"/>
                <w:color w:val="auto"/>
              </w:rPr>
            </w:pPr>
          </w:p>
        </w:tc>
        <w:tc>
          <w:tcPr>
            <w:tcW w:w="2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(200,138)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(198,030)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w w:val="98"/>
              </w:rPr>
              <w:t>Issuance of Series H Preferred Stock, net of issuance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60"/>
              <w:spacing w:after="0"/>
              <w:rPr>
                <w:sz w:val="20"/>
                <w:szCs w:val="20"/>
                <w:color w:val="auto"/>
              </w:rPr>
            </w:pPr>
            <w:r>
              <w:rPr>
                <w:rFonts w:ascii="Arial" w:cs="Arial" w:eastAsia="Arial" w:hAnsi="Arial"/>
                <w:sz w:val="14"/>
                <w:szCs w:val="14"/>
                <w:color w:val="auto"/>
              </w:rPr>
              <w:t>costs of $3</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9,997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9,997</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(30,726)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(30,726)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Balance—December 31, 2019</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$ 34,537</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23,923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27,465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193,959</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255</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2,324</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(230,864)</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(228,539)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For the Years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(30,726)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(26,166)</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cash equivalents, and restricted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1,740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Gain on disposal of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Non-cash portion of loss on extinguishment of debt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4,114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5,400</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put option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Write off of assets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interest on debt payable and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assets acquired and liabilities assumed in acquisitions: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9440" w:type="dxa"/>
            <w:vAlign w:val="bottom"/>
          </w:tcPr>
          <w:p>
            <w:pPr>
              <w:ind w:left="720"/>
              <w:spacing w:after="0"/>
              <w:rPr>
                <w:sz w:val="20"/>
                <w:szCs w:val="20"/>
                <w:color w:val="auto"/>
              </w:rPr>
            </w:pPr>
            <w:r>
              <w:rPr>
                <w:rFonts w:ascii="Arial" w:cs="Arial" w:eastAsia="Arial" w:hAnsi="Arial"/>
                <w:sz w:val="18"/>
                <w:szCs w:val="18"/>
                <w:color w:val="auto"/>
              </w:rPr>
              <w:t>Accounts payable and other accrued liabilities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r>
      <w:tr>
        <w:trPr>
          <w:trHeight w:val="216"/>
        </w:trPr>
        <w:tc>
          <w:tcPr>
            <w:tcW w:w="9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r>
      <w:tr>
        <w:trPr>
          <w:trHeight w:val="224"/>
        </w:trPr>
        <w:tc>
          <w:tcPr>
            <w:tcW w:w="9440" w:type="dxa"/>
            <w:vAlign w:val="bottom"/>
          </w:tcPr>
          <w:p>
            <w:pPr>
              <w:spacing w:after="0"/>
              <w:rPr>
                <w:sz w:val="20"/>
                <w:szCs w:val="20"/>
                <w:color w:val="auto"/>
              </w:rPr>
            </w:pPr>
            <w:r>
              <w:rPr>
                <w:rFonts w:ascii="Arial" w:cs="Arial" w:eastAsia="Arial" w:hAnsi="Arial"/>
                <w:sz w:val="18"/>
                <w:szCs w:val="18"/>
                <w:color w:val="auto"/>
              </w:rPr>
              <w:t>Net cash and cash equivalents and restricted cash used in operating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(21,726)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(17,677)</w:t>
            </w:r>
          </w:p>
        </w:tc>
        <w:tc>
          <w:tcPr>
            <w:tcW w:w="120" w:type="dxa"/>
            <w:vAlign w:val="bottom"/>
          </w:tcPr>
          <w:p>
            <w:pPr>
              <w:spacing w:after="0"/>
              <w:rPr>
                <w:sz w:val="19"/>
                <w:szCs w:val="19"/>
                <w:color w:val="auto"/>
              </w:rPr>
            </w:pPr>
          </w:p>
        </w:tc>
      </w:tr>
      <w:tr>
        <w:trPr>
          <w:trHeight w:val="53"/>
        </w:trPr>
        <w:tc>
          <w:tcPr>
            <w:tcW w:w="9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 costs and intangible asset acquisition,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to acquire Oncimmune assets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r>
      <w:tr>
        <w:trPr>
          <w:trHeight w:val="270"/>
        </w:trPr>
        <w:tc>
          <w:tcPr>
            <w:tcW w:w="9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series G preferred stock</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issuance of series H preferred stock</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10,000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7,000</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convertible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13,044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10,283</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Proceeds from exercise of common stock options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Payments of equipment financing and debt payable</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(22,518)</w:t>
            </w: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Debt and equity financing costs</w:t>
            </w: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(411)</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and restricted cash provided by financing activities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22,972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19,032</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cash—beginning of year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5,356</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Cash, cash equivalents, and restricted cash—end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459" w:right="3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the previous page)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cash flow information: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was no cash paid for income taxes during the years ended December 31, 2019 and 2018.</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Cash paid for interest for the years ended December 31, 2019 and 2018 was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non-cash activity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20" w:type="dxa"/>
            <w:vAlign w:val="bottom"/>
          </w:tcPr>
          <w:p>
            <w:pPr>
              <w:spacing w:after="0"/>
              <w:rPr>
                <w:sz w:val="14"/>
                <w:szCs w:val="14"/>
                <w:color w:val="auto"/>
              </w:rPr>
            </w:pPr>
          </w:p>
        </w:tc>
        <w:tc>
          <w:tcPr>
            <w:tcW w:w="17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Accrued business combination payments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750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Value of put option recorded at issuance of convertible debt payable</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G Preferred Stock in business combination</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7,987</w:t>
            </w: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Fair value of warrants issued as part of 2018 loan agreement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debt payable plus accrued interest into Series H Preferred Stock</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459" w:right="3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and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Organization and Nature of Operations</w:t>
      </w:r>
    </w:p>
    <w:p>
      <w:pPr>
        <w:spacing w:after="0" w:line="117" w:lineRule="exact"/>
        <w:rPr>
          <w:sz w:val="20"/>
          <w:szCs w:val="20"/>
          <w:color w:val="auto"/>
        </w:rPr>
      </w:pPr>
    </w:p>
    <w:p>
      <w:pPr>
        <w:ind w:right="300" w:firstLine="449"/>
        <w:spacing w:after="0" w:line="275" w:lineRule="auto"/>
        <w:rPr>
          <w:sz w:val="20"/>
          <w:szCs w:val="20"/>
          <w:color w:val="auto"/>
        </w:rPr>
      </w:pPr>
      <w:r>
        <w:rPr>
          <w:rFonts w:ascii="Arial" w:cs="Arial" w:eastAsia="Arial" w:hAnsi="Arial"/>
          <w:sz w:val="17"/>
          <w:szCs w:val="17"/>
          <w:color w:val="auto"/>
        </w:rPr>
        <w:t>Biodesix, Inc. (the “Company”), formerly Elston Technologies, Inc., was incorporated in Delaware in 2005. The Company’s headquarters are in Colorado, with laboratories in Colorado, Kansas, and Washington.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176"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Company is subject to various risks and uncertainties frequently encountered by early stage life science companies. Such risks and uncertainties include, but are not limited to, undeveloped technology, strict regulatory requirements and approval of products, a limited operating history, competition from other service providers, dependence on key personnel, the need for ongoing capital to fund operations, and management of rapid growth. To address these risks, the Company must, among other things, successfully develop its customer base, successfully execute its business and marketing strategy, successfully develop its technology, raise capital on acceptable terms to the Company, and attract, retain, and motivate qualified personnel. There can be no guarantee that the Company will be successful in addressing these or other such risks.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Areas of the financial statements where estimates have the most significant effect include the valuation of contingent consideration and purchased technology related to the Company’s business acquisition, stock-based compensation, valuation of put option liabilities, and the valuation allowance related to net deferred tax assets. Actual results could differ from those estimates.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Segment Information</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Company operates in one operating segment and, accordingly, no segment disclosures have been presented herein. All equipment, leasehold improvements, and other fixed assets are physically located within the United States.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Comprehensive Loss</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Comprehensive loss is defined as the change in equity during a period from transactions and other events and/or circumstances from non-owner sources. If the Company had comprehensive gains (losses), they would be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00"/>
          </w:cols>
          <w:pgMar w:left="320" w:top="459" w:right="3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reflected in the statement of operations and comprehensive loss and as a separate component in the statement of stockholders’ deficit. There were no elements of comprehensive loss during the years ended December 31, 2019 and 2018.</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 Concentration of Risk</w:t>
      </w:r>
    </w:p>
    <w:p>
      <w:pPr>
        <w:spacing w:after="0" w:line="117"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The Company is subject to credit risk from its accounts receivable related to services provided to its customers. Reimbursement on behalf of customers covered by Medicare accounted for 60% and 61% of the Company’s diagnostic test revenue for the years ended December 31, 2019 and 2018, respectively, and represented 18% and 44% of the Company’s total accounts receivable balance as of December 31, 2019 and 2018, respectively. One services customer represented 44% and 25% of the Company’s total accounts receivable balance as of December 31, 2019 and 2018, respectively. As of December 31, 2019, two services customers represented 12% and 10% of the Company’s total accounts receivable balance as of December 31, 2019.</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 Cash, Cash Equivalents, and Restricted Cash</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continually monitors its positions with, and the credit quality of, the financial institutions with which it invests. Periodically throughout the year, the Company has maintained balances in various operating accounts in excess of federally insured limits. Included in cash and cash equivalents are money market funds recorded at $4.8 million and $5.2 million at December 31, 2019 and 2018, respectively. These money market funds were measured using Level 1 inputs.</w:t>
      </w:r>
    </w:p>
    <w:p>
      <w:pPr>
        <w:spacing w:after="0" w:line="188"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Restricted cash consists of deposits related to the Company’s corporate credit card and a letter of credit related to an operating lease agreement. As of December 31, 2019 and 2018, the Company had $0.2 million in restricted cash, which was included in other current assets in the accompanying balance sheets.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 Accounts Receivable</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Company provides an allowance for doubtful accounts based on experience and specifically identified risks. Accounts receivable are recorded at carrying value and charged off against the allowance for doubtful accounts when it is determined that recovery is unlikely and cease collection efforts cease.</w:t>
      </w:r>
    </w:p>
    <w:p>
      <w:pPr>
        <w:spacing w:after="0" w:line="184"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The Company analyzes trade accounts receivable quarterly and considers historic experience, customer creditworthiness, facts and circumstances specific to outstanding balances, and payment terms when evaluating the adequacy of the allowance for doubtful accounts. The Company recorded an allowance for doubtful accounts of $0.2 million as of December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 Inventory</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Inventories are stated at the lower of cost or net realizable value on a first-in, first-out basis. Inventory consists primarily of supplies, which are consumed when processing tests. The Company does not maintain any finished goods inventory. Inventory balances were $0.8 million and $0.7 million as of December 31, 2019 and 2018, respectively, and are included in other current assets in the accompanying balance sheets.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 Property and Equipment</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Property and equipment are stated at cost. Depreciation is provided utilizing the straight-line method over the estimated useful lives, ranging from three to five years.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20"/>
          </w:cols>
          <w:pgMar w:left="320" w:top="459" w:right="3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 Intangible Assets</w:t>
      </w:r>
    </w:p>
    <w:p>
      <w:pPr>
        <w:spacing w:after="0" w:line="117"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Intangible assets are stated at cost, net of accumulated amortization and include patents, trademarks, and acquired developed technology. Trademarks have an indefinite life and are not being amortized but are reviewed for impairment on an annual basis. External costs associated with patents are capitalized as long as such efforts are expected to be successful. Upon approval of the patent, the related capitalized costs are amortized over the lesser of the contractual term of the patent or the estimated useful life of 10 years. Acquired developed technology is amortized over a useful life of 9 years.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Intangible assets are reviewed for impairment whenever events or changes in circumstances may affect the recoverability of the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reviews include an analysis of current results and take into consideration the undiscounted value of projected operating cash flows. See Note 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 Combination, for further information.</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 Long-Lived Assets</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the asset may not be recovered. The Company looks primarily to the undiscounted future cash flows in its assessment of whether or not long-lived assets have been impaired. The Company has determined that no impairments are necessary for the periods presented.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 Deferred Rent</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The Company leases office space under non-cancelable, long-term operating leases that include scheduled increases in minimum rents and renewal provisions at the option of the Company. The expense associated with leases that have escalating payment terms is recognized on a straight-line basis over the lease term. Tenant improvement allowances received from a lessor are recorded as a deferred rent liability and recognized evenly as a reduction to rent expense over the remaining lease term. The portion of the deferred rent liability that will reverse in the next 12 months is not significant to the balance sheets; therefore, the entire amount was recorded as non-current in the accompanying financial statements.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 Goodwill</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Goodwill is recorded when the purchase price paid for an acquisition exceeds the estimated fair value of the net identified tangible and intangible assets acquired. Goodwill is not amortized and is tested for impairment at the reporting unit level on an annual basis as of December 31 and between annual tests if an event occurs or circumstances change that would more likely than not reduce the fair value of the reporting unit below its carrying value. The Company may first perform a qualitative assessment to determine whether it is more likely than not that the fair value of a reporting unit is less than its carrying value. If it is concluded that this is the case, it is necessary to perform a quantitative two-step goodwill impairment test. Otherwise, the two-step goodwill impairment test is not required. The quantitative two-step goodwill impairment review process compares the fair value of the reporting unit in which goodwill resides to its carrying value. Multiple valuation techniques can be used to assess the fair value of the reporting unit. All these techniques include the use of estimates and assumptions that are inherently uncertain. Changes in these estimates and assumptions could materially affect the determination of fair value or goodwill impairment, or both. The Company assessed qualitative factors to determine whether it is more likely than not that the fair value of Goodwill exceeded the carrying value. Based on that assessment, there were no events or circumstances in 2019 and 2018 to indicate that the fair value of goodwill exceeded its carrying value, and thus a quantitative analysis was not performed.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459" w:right="3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13"/>
        </w:trPr>
        <w:tc>
          <w:tcPr>
            <w:tcW w:w="890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8900" w:type="dxa"/>
            <w:vAlign w:val="bottom"/>
          </w:tcPr>
          <w:p>
            <w:pPr>
              <w:ind w:left="4020"/>
              <w:spacing w:after="0"/>
              <w:rPr>
                <w:sz w:val="20"/>
                <w:szCs w:val="20"/>
                <w:color w:val="auto"/>
              </w:rPr>
            </w:pPr>
            <w:r>
              <w:rPr>
                <w:rFonts w:ascii="Arial" w:cs="Arial" w:eastAsia="Arial" w:hAnsi="Arial"/>
                <w:sz w:val="18"/>
                <w:szCs w:val="18"/>
                <w:b w:val="1"/>
                <w:bCs w:val="1"/>
                <w:color w:val="auto"/>
              </w:rPr>
              <w:t>NOTES TO FINANCIAL STATEMENTS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8900" w:type="dxa"/>
            <w:vAlign w:val="bottom"/>
          </w:tcPr>
          <w:p>
            <w:pPr>
              <w:ind w:left="460"/>
              <w:spacing w:after="0"/>
              <w:rPr>
                <w:sz w:val="20"/>
                <w:szCs w:val="20"/>
                <w:color w:val="auto"/>
              </w:rPr>
            </w:pPr>
            <w:r>
              <w:rPr>
                <w:rFonts w:ascii="Arial" w:cs="Arial" w:eastAsia="Arial" w:hAnsi="Arial"/>
                <w:sz w:val="18"/>
                <w:szCs w:val="18"/>
                <w:color w:val="auto"/>
              </w:rPr>
              <w:t>The following summarizes the Company’s goodwill activity (in thousands):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89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2017</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Attributable to 2018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10,804</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10,804</w:t>
            </w: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Attributable to 2019 acquisition</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60" w:type="dxa"/>
            <w:vAlign w:val="bottom"/>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11,631</w:t>
            </w:r>
          </w:p>
        </w:tc>
      </w:tr>
      <w:tr>
        <w:trPr>
          <w:trHeight w:val="20"/>
        </w:trPr>
        <w:tc>
          <w:tcPr>
            <w:tcW w:w="8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The Company did not have any goodwill impairments for the years ended December 31, 2019 and 2018.</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 Revenue Recognition</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Revenues are recognized when control of the promised services is transferred to customers, in an amount that reflects the consideration the Company expects to be entitled to in exchange for those services.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revenue is generated from the following:</w:t>
      </w:r>
    </w:p>
    <w:p>
      <w:pPr>
        <w:spacing w:after="0" w:line="131" w:lineRule="exact"/>
        <w:rPr>
          <w:sz w:val="20"/>
          <w:szCs w:val="20"/>
          <w:color w:val="auto"/>
        </w:rPr>
      </w:pPr>
    </w:p>
    <w:p>
      <w:pPr>
        <w:ind w:left="1000" w:right="20" w:hanging="547"/>
        <w:spacing w:after="0" w:line="263"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Diagnostic tests. These services are completed upon the delivery of test results to the prescribing physician, which is considered the performance obligation. The fees for such services are billed either to a third party such as Medicare, medical facilities, commercial insurance payers, or to the patient.</w:t>
      </w:r>
    </w:p>
    <w:p>
      <w:pPr>
        <w:spacing w:after="0" w:line="89" w:lineRule="exact"/>
        <w:rPr>
          <w:rFonts w:ascii="Arial" w:cs="Arial" w:eastAsia="Arial" w:hAnsi="Arial"/>
          <w:sz w:val="18"/>
          <w:szCs w:val="18"/>
          <w:color w:val="auto"/>
        </w:rPr>
      </w:pPr>
    </w:p>
    <w:p>
      <w:pPr>
        <w:ind w:left="1000" w:right="580" w:hanging="547"/>
        <w:spacing w:after="0" w:line="308" w:lineRule="auto"/>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Services. These services are generally completed upon the delivery of test results for assay development and testing services, which is considered the performance obligation. Customers for these services are typically large pharmaceutical companies.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2019 and 2018 revenue from these services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160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Diagnostic tests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$ 17,315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$ 18,965</w:t>
            </w:r>
          </w:p>
        </w:tc>
        <w:tc>
          <w:tcPr>
            <w:tcW w:w="6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Services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7,237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1,467</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$ 24,552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$ 20,432</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Diagnostic test revenue that were reimbursed by Medicare comprised 60% and 61% of diagnostic test revenue in 2019 and 2018, respectively. One services customer comprised 71% and 95% of services revenue in 2019 and 2018, respectively.</w:t>
      </w:r>
    </w:p>
    <w:p>
      <w:pPr>
        <w:spacing w:after="0" w:line="170"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 xml:space="preserve">Revenue from diagnostic tests are recognized when the performance obligation is satisfied, which is when a customer receives results of the Company’s tests, which is generally upon delivery to the requesting physician. Revenue from services are recognized when the performance obligation is satisfied, which is when a customer receives results of the Company’s tests, which is generally upon the delivery of test results for assay development and testing services. The Company also provides services to patients with whom the Company does not have contracts as defined in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 The Company recognizes revenue for these patients when contracts as defined in ASC 606 are established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consideration to which it expects to be entitled or when the Company receives substantially all of the consideration subsequent to the performance obligations being satisfied.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459" w:right="3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Company determines the transaction price related to its diagnostic test contracts by considering the nature of the payer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 Deferred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primarily consists of services fee payments received in advance.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 Research and Development Expenses and Accrued Research and Development Expenses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Expenditures made for research and development are charged to expense as incurred. External costs consist primarily payments to clinical trial sites, sample acquisition costs and laboratory supplies purchased in connection with the Company’s discovery and preclinical activities, process development and clinical development activities. Internal costs consist primary of employee-related costs, facilities, depreciation and costs related to compliance with regulatory requirements.</w:t>
      </w:r>
    </w:p>
    <w:p>
      <w:pPr>
        <w:spacing w:after="0" w:line="187"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 flows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Stock-Based Compensation</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The Company accounts for stock-based compensation arrangements with employees and recognizes compensation expense for stock-based awards based on the estimated fair value of the awards. Compensation expense for all employee stock-based awards is based on the estimated grant-date fair value and recognized as an expense on a straight-line basis over the requisite service period (generally the vesting period).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Income Taxes</w:t>
      </w:r>
    </w:p>
    <w:p>
      <w:pPr>
        <w:spacing w:after="0" w:line="117"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The Company recognizes deferred tax assets and liabilities based on the differences between the tax basis of assets and liabilities and their reported amounts in the financial statements and net operating loss carryforwards that will result in taxable or deductible amounts in future years. The Company establishes a valuation allowance for all deferred tax assets to the extent it is more likely than not that a deferred tax asset will not be realized.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 Warrant Liability</w:t>
      </w:r>
    </w:p>
    <w:p>
      <w:pPr>
        <w:spacing w:after="0" w:line="117" w:lineRule="exact"/>
        <w:rPr>
          <w:sz w:val="20"/>
          <w:szCs w:val="20"/>
          <w:color w:val="auto"/>
        </w:rPr>
      </w:pPr>
    </w:p>
    <w:p>
      <w:pPr>
        <w:ind w:right="240" w:firstLine="449"/>
        <w:spacing w:after="0" w:line="275" w:lineRule="auto"/>
        <w:rPr>
          <w:sz w:val="20"/>
          <w:szCs w:val="20"/>
          <w:color w:val="auto"/>
        </w:rPr>
      </w:pPr>
      <w:r>
        <w:rPr>
          <w:rFonts w:ascii="Arial" w:cs="Arial" w:eastAsia="Arial" w:hAnsi="Arial"/>
          <w:sz w:val="17"/>
          <w:szCs w:val="17"/>
          <w:color w:val="auto"/>
        </w:rPr>
        <w:t>Freestanding financial instruments that permit the holder to acquire shares that are either puttable by the holder, redeemable or contingently redeemable are required to be reported as liabilities in the financial statements. The issuer must present such liabilities on the balance sheets at their estimated fair values. Changes in fair value of the liability are calculated each reporting period, and any change in value is recognized in operations. The Company has determined that certain warrants issued to investors and lenders, which are exercisable for shares of the Company’s convertible preferred stock, shall be classified as liabilities due to a contingent redemption provision.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320" w:top="459" w:right="3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 Changes in Fair Value of Contingent Consideration</w:t>
      </w:r>
    </w:p>
    <w:p>
      <w:pPr>
        <w:spacing w:after="0" w:line="117" w:lineRule="exact"/>
        <w:rPr>
          <w:sz w:val="20"/>
          <w:szCs w:val="20"/>
          <w:color w:val="auto"/>
        </w:rPr>
      </w:pPr>
    </w:p>
    <w:p>
      <w:pPr>
        <w:jc w:val="both"/>
        <w:ind w:right="340" w:firstLine="449"/>
        <w:spacing w:after="0" w:line="259" w:lineRule="auto"/>
        <w:rPr>
          <w:sz w:val="20"/>
          <w:szCs w:val="20"/>
          <w:color w:val="auto"/>
        </w:rPr>
      </w:pPr>
      <w:r>
        <w:rPr>
          <w:rFonts w:ascii="Arial" w:cs="Arial" w:eastAsia="Arial" w:hAnsi="Arial"/>
          <w:sz w:val="18"/>
          <w:szCs w:val="18"/>
          <w:color w:val="auto"/>
        </w:rPr>
        <w:t>In connection with the purchase transaction with Integrated Diagnostics, Inc., the Company recorded contingent consideration pertaining to the amounts potentially payable to Integrated Diagnostics’ shareholder pursuant to the terms of the asset purchase agreement. The fair value of contingent consideration is assessed at each balance sheet date and changes, if any, to the fair value are recognized as operating expenses within the statements of operations.</w:t>
      </w:r>
    </w:p>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estimated fair value of the contingent consideration is based upon significant assumptions including probabilities of successful achievement of the related milestone event (“Milestone”), the estimated timing in which the Milestone is achieved, and discount rates. The estimated fair value could materially differ from actual values or fair values determined using different assumptions.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 Fair Value of Financial Instruments</w:t>
      </w:r>
    </w:p>
    <w:p>
      <w:pPr>
        <w:spacing w:after="0" w:line="117" w:lineRule="exact"/>
        <w:rPr>
          <w:sz w:val="20"/>
          <w:szCs w:val="20"/>
          <w:color w:val="auto"/>
        </w:rPr>
      </w:pPr>
    </w:p>
    <w:p>
      <w:pPr>
        <w:ind w:right="40" w:firstLine="449"/>
        <w:spacing w:after="0" w:line="308" w:lineRule="auto"/>
        <w:rPr>
          <w:sz w:val="20"/>
          <w:szCs w:val="20"/>
          <w:color w:val="auto"/>
        </w:rPr>
      </w:pPr>
      <w:r>
        <w:rPr>
          <w:rFonts w:ascii="Arial" w:cs="Arial" w:eastAsia="Arial" w:hAnsi="Arial"/>
          <w:sz w:val="17"/>
          <w:szCs w:val="17"/>
          <w:color w:val="auto"/>
        </w:rPr>
        <w:t>The carrying amounts of financial instruments, including cash and cash equivalents, receivables, other current assets, accounts payable, and accrued liabilities, approximated fair value as of December 31, 2019 and 2018 because of the relatively short maturity of these instruments.</w:t>
      </w:r>
    </w:p>
    <w:p>
      <w:pPr>
        <w:spacing w:after="0" w:line="14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carrying amounts of long-term debt payable and convertible debt payable issued approximated fair value as of December 31, 2019 and 2018 because interest rates on these instruments approximate market interest rates.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(x) Business Combinations</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 xml:space="preserve">The Company evaluates acquisitions of assets and other similar transactions to assess whether or not the transaction should be accounted for as a business combination by assessing whether or not the Company has acquired inputs and processes that have the ability to create outputs. If determined to be a business combination, the Company accounts for business acquisitions under the acquisition method of accounting as indicated in the FASB issued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which requires the acquiring entity in a business combination to recognize the fair value of all assets acquired and liabilities assumed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 Recently Issued Accounting Standards Adopted</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and has subsequently issued several supplemental and/or clarifying ASUs (collectively, “ASC 606”). ASC 606 prescribes a single common revenue standard that replaces most existing U.S. GAAP revenue recognition guidance. ASC 606 is intended to provide a more consistent interpretation and application of the principles outlined in the standard across filers in multiple industries and within the same industries compared to current practices, which should improve comparability. The Company adopted the new standard using the modified retrospective method on January 1, 2018 for contracts that are not completed as of the adoption date.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60"/>
          </w:cols>
          <w:pgMar w:left="320" w:top="459" w:right="4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9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Company examined its revenue recognition policies specific to revenue streams for diagnostic testing and services provided to third parties and came to conclusions on the impact of the new standard using the 5-step process prescribed by ASC 606. As noted above, the Company used the modified retrospective method to adopt the new standard which means the Company did not restate previously issued financial statements but recorded a one-time adjustment to accumulated deficit and accounts receivable of $0.4 million. This adjustment reflected the Company’s ability to establish a transaction price for the Company’s non-Medicare pay arrangements as of January 1, 2018 as a result of having sufficient history to determine the transaction price under these contracts.</w:t>
      </w:r>
    </w:p>
    <w:p>
      <w:pPr>
        <w:spacing w:after="0" w:line="192"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ASC 606 did not have an aggregate impact the Company’s net cash provided by operating activities but resulted in offsetting changes in certain assets and liabilities presented within net cash used in operating activities in the accompanying statement of cash flows, as noted above.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(z) Recently Issued Accounting Standards Not Yet Adopted</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statement of financial position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2021. The Company is currently evaluating the impact of the lease guidance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-716915</wp:posOffset>
            </wp:positionV>
            <wp:extent cx="2857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(aa) Net loss per share and unaudited pro format net loss per share</w:t>
      </w:r>
    </w:p>
    <w:p>
      <w:pPr>
        <w:spacing w:after="0" w:line="117"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the convertible preferred stock, common stock options, restricted stock units, preferred stock warrants and convertible debt are considered to be potentially dilutive securities. Basic and diluted net loss attributable to common stockholders per share is presented in conformity with the two-class method required for participating securities as the convertible preferred stock is considered a participating security. The Company’s participating securities do not have a contractual obligation to share in the Company’s losses. As such, the net loss was attributed entirely to common stockholders. As the Company has reported a net loss for all periods presented, diluted net loss per common share is the same as basic net loss per common share for those periods.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00"/>
          </w:cols>
          <w:pgMar w:left="320" w:top="459" w:right="3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per share amounts):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(30,726)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(26,166)</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126.97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130.83</w:t>
            </w:r>
          </w:p>
        </w:tc>
      </w:tr>
    </w:tbl>
    <w:p>
      <w:pPr>
        <w:spacing w:after="0" w:line="202"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(in thousands, except for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0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240" w:type="dxa"/>
            <w:vAlign w:val="bottom"/>
            <w:tcBorders>
              <w:bottom w:val="single" w:sz="8" w:color="CCEEFF"/>
            </w:tcBorders>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119,257</w:t>
            </w:r>
          </w:p>
        </w:tc>
        <w:tc>
          <w:tcPr>
            <w:tcW w:w="6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110,562</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w:t>
            </w: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2,440</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21,131</w:t>
            </w:r>
            <w:r>
              <w:rPr>
                <w:rFonts w:ascii="Arial" w:cs="Arial" w:eastAsia="Arial" w:hAnsi="Arial"/>
                <w:sz w:val="15"/>
                <w:szCs w:val="15"/>
                <w:color w:val="auto"/>
              </w:rPr>
              <w:t>(1)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144,056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114,532</w:t>
            </w:r>
          </w:p>
        </w:tc>
        <w:tc>
          <w:tcPr>
            <w:tcW w:w="60" w:type="dxa"/>
            <w:vAlign w:val="bottom"/>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right="100" w:hanging="452"/>
        <w:spacing w:after="0" w:line="263"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9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Unaudited pro forma basic and diluted net loss per share is calculated to give effect to the one-for-one conversion of all outstanding shares of the Company’s convertible preferred stock and convertible debt into shares of common stock in using the as-converted method as though the conversion had occurred as of the beginning of the period presented or the date of issuance, if later.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459" w:right="3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9640" w:type="dxa"/>
            <w:vAlign w:val="bottom"/>
          </w:tcPr>
          <w:p>
            <w:pPr>
              <w:ind w:left="4020"/>
              <w:spacing w:after="0"/>
              <w:rPr>
                <w:sz w:val="20"/>
                <w:szCs w:val="20"/>
                <w:color w:val="auto"/>
              </w:rPr>
            </w:pPr>
            <w:r>
              <w:rPr>
                <w:rFonts w:ascii="Arial" w:cs="Arial" w:eastAsia="Arial" w:hAnsi="Arial"/>
                <w:sz w:val="18"/>
                <w:szCs w:val="18"/>
                <w:b w:val="1"/>
                <w:bCs w:val="1"/>
                <w:color w:val="auto"/>
              </w:rPr>
              <w:t>NOTES TO FINANCIAL STATEMENTS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9640" w:type="dxa"/>
            <w:vAlign w:val="bottom"/>
          </w:tcPr>
          <w:p>
            <w:pPr>
              <w:ind w:left="460"/>
              <w:spacing w:after="0"/>
              <w:rPr>
                <w:sz w:val="20"/>
                <w:szCs w:val="20"/>
                <w:color w:val="auto"/>
              </w:rPr>
            </w:pPr>
            <w:r>
              <w:rPr>
                <w:rFonts w:ascii="Arial" w:cs="Arial" w:eastAsia="Arial" w:hAnsi="Arial"/>
                <w:sz w:val="18"/>
                <w:szCs w:val="18"/>
                <w:color w:val="auto"/>
                <w:w w:val="92"/>
              </w:rPr>
              <w:t>The following table sets forth the computation of the basic and diluted unaudited pro forma net loss per share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69"/>
        </w:trPr>
        <w:tc>
          <w:tcPr>
            <w:tcW w:w="9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Year ended</w:t>
            </w:r>
          </w:p>
        </w:tc>
      </w:tr>
      <w:tr>
        <w:trPr>
          <w:trHeight w:val="171"/>
        </w:trPr>
        <w:tc>
          <w:tcPr>
            <w:tcW w:w="9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9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(30,726)</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back: Interest expense on convertible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Net loss used in computing proforma net loss per share, basic and diluted</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Weighted-average shares outstanding used in computing net loss per share, basic and diluted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 Assumed weighted-average effect of conversion of convertible preferred stock</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19,801</w:t>
            </w:r>
          </w:p>
        </w:tc>
      </w:tr>
      <w:tr>
        <w:trPr>
          <w:trHeight w:val="223"/>
        </w:trPr>
        <w:tc>
          <w:tcPr>
            <w:tcW w:w="9640" w:type="dxa"/>
            <w:vAlign w:val="bottom"/>
          </w:tcPr>
          <w:p>
            <w:pPr>
              <w:ind w:left="360"/>
              <w:spacing w:after="0"/>
              <w:rPr>
                <w:sz w:val="20"/>
                <w:szCs w:val="20"/>
                <w:color w:val="auto"/>
              </w:rPr>
            </w:pPr>
            <w:r>
              <w:rPr>
                <w:rFonts w:ascii="Arial" w:cs="Arial" w:eastAsia="Arial" w:hAnsi="Arial"/>
                <w:sz w:val="18"/>
                <w:szCs w:val="18"/>
                <w:color w:val="auto"/>
              </w:rPr>
              <w:t>Adjust: Assumed weighted-average effect of conversion of convertible debt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6,088</w:t>
            </w:r>
            <w:r>
              <w:rPr>
                <w:rFonts w:ascii="Arial" w:cs="Arial" w:eastAsia="Arial" w:hAnsi="Arial"/>
                <w:sz w:val="15"/>
                <w:szCs w:val="15"/>
                <w:color w:val="auto"/>
              </w:rPr>
              <w:t>(1)</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 used in computing pro forma net loss per share, basic and diluted</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26,131</w:t>
            </w:r>
          </w:p>
        </w:tc>
        <w:tc>
          <w:tcPr>
            <w:tcW w:w="220" w:type="dxa"/>
            <w:vAlign w:val="bottom"/>
            <w:shd w:val="clear" w:color="auto" w:fill="CCEEFF"/>
          </w:tcPr>
          <w:p>
            <w:pPr>
              <w:spacing w:after="0"/>
              <w:rPr>
                <w:sz w:val="18"/>
                <w:szCs w:val="18"/>
                <w:color w:val="auto"/>
              </w:rPr>
            </w:pPr>
          </w:p>
        </w:tc>
      </w:tr>
      <w:tr>
        <w:trPr>
          <w:trHeight w:val="224"/>
        </w:trPr>
        <w:tc>
          <w:tcPr>
            <w:tcW w:w="9640" w:type="dxa"/>
            <w:vAlign w:val="bottom"/>
          </w:tcPr>
          <w:p>
            <w:pPr>
              <w:ind w:left="360"/>
              <w:spacing w:after="0"/>
              <w:rPr>
                <w:sz w:val="20"/>
                <w:szCs w:val="20"/>
                <w:color w:val="auto"/>
              </w:rPr>
            </w:pPr>
            <w:r>
              <w:rPr>
                <w:rFonts w:ascii="Arial" w:cs="Arial" w:eastAsia="Arial" w:hAnsi="Arial"/>
                <w:sz w:val="18"/>
                <w:szCs w:val="18"/>
                <w:color w:val="auto"/>
              </w:rPr>
              <w:t>Pro forma net loss per share, basic and diluted</w:t>
            </w: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886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4" w:lineRule="exact"/>
        <w:rPr>
          <w:sz w:val="20"/>
          <w:szCs w:val="20"/>
          <w:color w:val="auto"/>
        </w:rPr>
      </w:pPr>
    </w:p>
    <w:p>
      <w:pPr>
        <w:ind w:left="460" w:right="100" w:hanging="452"/>
        <w:spacing w:after="0" w:line="263"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number of common shares that convertible debt was assumed to convert to was based on the Company’s estimated common stock price as of December 31, 2019, as determined by the Company’s board of directors with assistance from a valuation firm. The ultimate conversion price will be based on the fair value of the Company’s common stock at the completion of an initial public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2—Liquidity</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accompanying financial statements have been prepared on a going concern basis, which contemplates the realization of assets and liquidation of liabilities in the ordinary course of business. To date, the Company has funded its activities primarily through private equity placement offerings, convertible debt payable, and long-term debt. The Company is still in its early stage and has yet to generate revenues sufficient to create positive cash flows and most likely will be dependent upon future private equity placements or additional borrowings to execute its business plan. The Company has cash and cash equivalents of $5.3 million, cumulative net losses of $230.9 million, and stockholders’ deficit of $228.5 million as of December 31, 2019. Based on cash and cash equivalents on hand and amounts raised subsequent to December 31, 2019, management has determined that additional private equity placement offerings will be necessary to fund operations through May 2021. As a result, the Company has obtained commitment letters from two significant investors which requires that they will provide funding to the Company to meet its obligations and debt service requirements through at least May 2021.</w:t>
      </w:r>
    </w:p>
    <w:p>
      <w:pPr>
        <w:spacing w:after="0" w:line="300"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Note 3—Business Combinations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Oncimmune Limited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October 31, 2019, the Company purchased select assets and liabilities from Oncimmune Limited (“Oncimmune”) for total consideration of</w:t>
      </w:r>
    </w:p>
    <w:p>
      <w:pPr>
        <w:spacing w:after="0" w:line="3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$1.2 million payable in quarterly installments commencing 30 days following the closing of the transaction. Concurrent with the Oncimmune purchase, the Company acquired an option to license rights within the United States to an additional indication for their product for $9 million. This option, which is exclusive to the Company, expires on the earlier of 30 days following Food and Drug Administration approval or December 31, 2020. As of December 31, 2019, $0.5 million has been paid with the remaining amount due of $0.7 million being included in accounts payable and accrued liabilities.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459" w:right="3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goodwill associated with the acquisition is the result of expected synergies, an increase in future revenues as a result of the expansion of the technology into additional markets as well as lower future operating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20" w:type="dxa"/>
            <w:vAlign w:val="bottom"/>
          </w:tcPr>
          <w:p>
            <w:pPr>
              <w:ind w:left="460"/>
              <w:spacing w:after="0"/>
              <w:rPr>
                <w:sz w:val="20"/>
                <w:szCs w:val="20"/>
                <w:color w:val="auto"/>
              </w:rPr>
            </w:pPr>
            <w:r>
              <w:rPr>
                <w:rFonts w:ascii="Arial" w:cs="Arial" w:eastAsia="Arial" w:hAnsi="Arial"/>
                <w:sz w:val="18"/>
                <w:szCs w:val="18"/>
                <w:color w:val="auto"/>
                <w:w w:val="93"/>
              </w:rPr>
              <w:t>The following summarizes the aggregate consideration paid by the Company and the allocation of the purchase price (in thousands):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0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23"/>
        </w:trPr>
        <w:tc>
          <w:tcPr>
            <w:tcW w:w="10320" w:type="dxa"/>
            <w:vAlign w:val="bottom"/>
          </w:tcPr>
          <w:p>
            <w:pPr>
              <w:spacing w:after="0"/>
              <w:rPr>
                <w:sz w:val="20"/>
                <w:szCs w:val="20"/>
                <w:color w:val="auto"/>
              </w:rPr>
            </w:pPr>
            <w:r>
              <w:rPr>
                <w:rFonts w:ascii="Arial" w:cs="Arial" w:eastAsia="Arial" w:hAnsi="Arial"/>
                <w:sz w:val="18"/>
                <w:szCs w:val="18"/>
                <w:color w:val="auto"/>
              </w:rPr>
              <w:t>Total fair value of consideration transferred</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1,206</w:t>
            </w:r>
          </w:p>
        </w:tc>
        <w:tc>
          <w:tcPr>
            <w:tcW w:w="10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Deposit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Purchase option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10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1,206</w:t>
            </w:r>
          </w:p>
        </w:tc>
      </w:tr>
      <w:tr>
        <w:trPr>
          <w:trHeight w:val="20"/>
        </w:trPr>
        <w:tc>
          <w:tcPr>
            <w:tcW w:w="10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2019, the Company has finalized its accounting for this business combination.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Integrated Diagnostics,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June 30, 2018, the Company purchased select assets and liabilities from Integrated Diagnostics, Inc. (“Indi”) for total consideration of</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$27.6 million, consisting of $8.0 million (10,649,604 shares) of the Company’s Series G Preferred Stock and contingent consideration with an initial fair value of $19.6 million. The 10,649,904 shares issued at closing include 2,129,981 shares that were deposited in an escrow account to be used to satisfy any indemnification obligations of Indi that may arise.</w:t>
      </w:r>
    </w:p>
    <w:p>
      <w:pPr>
        <w:spacing w:after="0" w:line="190"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Company accounted for the transaction as a business combination in accordance with ASC 805. As such, the assets acquired and liabilities assumed were recorded at fair value, with the remaining purchase price recorded as goodwill. The estimated fair values of acquired assets and assumed liabilities were determined by management with the assistance of an independent third party. The goodwill associated with the acquisition is the result of expected synergies, an increase in future revenues as a result of the expansion of the technology into additional markets as well as lower future operating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the aggregate consideration paid by the Company and the allocation of the purchase price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issued—10,694,904 shares</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6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fair value of consideration transferred</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27,587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Prepaid expenses and other assets</w:t>
            </w: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Goodwill</w:t>
            </w: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6160" w:type="dxa"/>
            <w:vAlign w:val="bottom"/>
            <w:gridSpan w:val="2"/>
          </w:tcPr>
          <w:p>
            <w:pPr>
              <w:jc w:val="right"/>
              <w:ind w:right="4767"/>
              <w:spacing w:after="0"/>
              <w:rPr>
                <w:sz w:val="20"/>
                <w:szCs w:val="20"/>
                <w:color w:val="auto"/>
              </w:rPr>
            </w:pPr>
            <w:r>
              <w:rPr>
                <w:rFonts w:ascii="Arial" w:cs="Arial" w:eastAsia="Arial" w:hAnsi="Arial"/>
                <w:sz w:val="18"/>
                <w:szCs w:val="18"/>
                <w:color w:val="auto"/>
              </w:rPr>
              <w:t>F-52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acquisition of Indi included a contingent consideration arrangement that requires additional consideration to be paid by the Company to Indi based on the Milestone of the attainment of a three consecutive month gross margin target of $2 million within a seven-year period after the acquisition date. For the six months following the achievement of the Milestone, Indi has the option to require the Company to pay the contingent consideration in cash over eight equal installments due each calendar quarter or through the issuance of shares of Series G Preferred Stock. The total amount of undiscounted contingent consideration which the Company may be required to pay under the arrangement is $37.0 million. If Indi elects not to exercise these options, the Company has 12 months to either settle the contingent consideration in two equal quarterly cash installments or in 14,959,114 shares of Series G Preferred Stock.</w:t>
      </w:r>
    </w:p>
    <w:p>
      <w:pPr>
        <w:spacing w:after="0" w:line="19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The fair value of $19.6 million contingent consideration recognized on the acquisition date was estimated by management with the assistance of an independent third party. These fair value measurements were based on significant inputs not observable in the market and thus represent Level 3 fair value measurements. See Note 4, Fair Value Accounting, for a discussion of the fair value of the contingent consideration and changes in fair value subsequent to the acquisition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acquired, amortization method and estimated useful lives as of June 30, 2018 was as follows (dollars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Useful</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r>
      <w:tr>
        <w:trPr>
          <w:trHeight w:val="171"/>
        </w:trPr>
        <w:tc>
          <w:tcPr>
            <w:tcW w:w="842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Life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Method</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1"/>
              </w:rPr>
              <w:t>9 years</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1"/>
              </w:rPr>
              <w:t>Straight-line</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$ 16,900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technology acquired from Indi consisted of the technology and related know-how of the XL2 test for which Indi had developed. The fair value of the technology was estimated by applying a multi-period excess earnings method. The results of this method is based on significant inputs that are not observable in the market, or Level 3 inputs (see discussion of the fair value hierarchy in Note 4). Key assumptions included (a) projected revenue and related profitable attributable to the acquired technology over the estimated life of the acquired technology and (b) a discount rate of 37.5%.</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2018, the Company had finalized its accounting for this business combination.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4—Fair Value Accounting</w:t>
      </w:r>
    </w:p>
    <w:p>
      <w:pPr>
        <w:spacing w:after="0" w:line="12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The Company accounts for certain assets and liabilities that are required to be recorded at fair value under a framework for measuring fair value that requires enhanced disclosures about fair value measurements. This framework requires disclosure about how fair value is determined for assets and liabilities and establishes a hierarchy for which these assets and liabilities must be grouped based on significant levels of inputs as follows:</w:t>
      </w:r>
    </w:p>
    <w:p>
      <w:pPr>
        <w:spacing w:after="0" w:line="54"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prices in active markets for similar assets and liabilities and inputs that are observable for the asset or liability; or</w:t>
      </w:r>
    </w:p>
    <w:p>
      <w:pPr>
        <w:spacing w:after="0" w:line="13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requires the reporting entity to develop its own assumptions.</w:t>
      </w:r>
    </w:p>
    <w:p>
      <w:pPr>
        <w:spacing w:after="0" w:line="225"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determination of where assets and liabilities fall within this hierarchy is based upon the lowest level of input that is significant to the fair value measurement.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459" w:right="3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following tables set forth by level, within the fair value hierarchy, the Company’s liabilities measured at fair value on a recurring basis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29,114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29,114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728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8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 liability</w:t>
            </w: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Contingent value rights</w:t>
            </w: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25,000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Due to the unobservable inputs needed to calculate the fair value of these balances, these liabilities are classified as Level 3 liabilities. The following is a reconciliation of the beginning and ending balances for assets measured at fair value on a recurring basis using significant unobservable inputs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10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Warrant liability</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6880" w:type="dxa"/>
            <w:vAlign w:val="bottom"/>
            <w:gridSpan w:val="4"/>
          </w:tcPr>
          <w:p>
            <w:pPr>
              <w:jc w:val="right"/>
              <w:ind w:right="20"/>
              <w:spacing w:after="0"/>
              <w:rPr>
                <w:sz w:val="20"/>
                <w:szCs w:val="20"/>
                <w:color w:val="auto"/>
              </w:rPr>
            </w:pPr>
            <w:r>
              <w:rPr>
                <w:rFonts w:ascii="Arial" w:cs="Arial" w:eastAsia="Arial" w:hAnsi="Arial"/>
                <w:sz w:val="18"/>
                <w:szCs w:val="18"/>
                <w:color w:val="auto"/>
              </w:rPr>
              <w:t>$268</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  9</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6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65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6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10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6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Contingent value rights</w:t>
            </w:r>
          </w:p>
        </w:tc>
        <w:tc>
          <w:tcPr>
            <w:tcW w:w="65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6860" w:type="dxa"/>
            <w:vAlign w:val="bottom"/>
            <w:gridSpan w:val="3"/>
          </w:tcPr>
          <w:p>
            <w:pPr>
              <w:jc w:val="right"/>
              <w:ind w:right="40"/>
              <w:spacing w:after="0"/>
              <w:rPr>
                <w:sz w:val="20"/>
                <w:szCs w:val="20"/>
                <w:color w:val="auto"/>
              </w:rPr>
            </w:pPr>
            <w:r>
              <w:rPr>
                <w:rFonts w:ascii="Arial" w:cs="Arial" w:eastAsia="Arial" w:hAnsi="Arial"/>
                <w:sz w:val="18"/>
                <w:szCs w:val="18"/>
                <w:color w:val="auto"/>
              </w:rPr>
              <w:t>$ 60</w:t>
            </w:r>
          </w:p>
        </w:tc>
        <w:tc>
          <w:tcPr>
            <w:tcW w:w="20" w:type="dxa"/>
            <w:vAlign w:val="bottom"/>
          </w:tcPr>
          <w:p>
            <w:pPr>
              <w:spacing w:after="0"/>
              <w:rPr>
                <w:sz w:val="18"/>
                <w:szCs w:val="18"/>
                <w:color w:val="auto"/>
              </w:rPr>
            </w:pPr>
          </w:p>
        </w:tc>
        <w:tc>
          <w:tcPr>
            <w:tcW w:w="720" w:type="dxa"/>
            <w:vAlign w:val="bottom"/>
            <w:gridSpan w:val="5"/>
          </w:tcPr>
          <w:p>
            <w:pPr>
              <w:jc w:val="right"/>
              <w:ind w:right="60"/>
              <w:spacing w:after="0"/>
              <w:rPr>
                <w:sz w:val="20"/>
                <w:szCs w:val="20"/>
                <w:color w:val="auto"/>
              </w:rPr>
            </w:pPr>
            <w:r>
              <w:rPr>
                <w:rFonts w:ascii="Arial" w:cs="Arial" w:eastAsia="Arial" w:hAnsi="Arial"/>
                <w:sz w:val="18"/>
                <w:szCs w:val="18"/>
                <w:color w:val="auto"/>
              </w:rPr>
              <w:t>$ 60</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Exercises</w:t>
            </w:r>
          </w:p>
        </w:tc>
        <w:tc>
          <w:tcPr>
            <w:tcW w:w="6500" w:type="dxa"/>
            <w:vAlign w:val="bottom"/>
          </w:tcPr>
          <w:p>
            <w:pPr>
              <w:spacing w:after="0"/>
              <w:rPr>
                <w:sz w:val="18"/>
                <w:szCs w:val="18"/>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65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Ending balance</w:t>
            </w:r>
          </w:p>
        </w:tc>
        <w:tc>
          <w:tcPr>
            <w:tcW w:w="6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$ 60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80" w:type="dxa"/>
            <w:vAlign w:val="bottom"/>
            <w:gridSpan w:val="4"/>
          </w:tcPr>
          <w:p>
            <w:pPr>
              <w:ind w:left="1820"/>
              <w:spacing w:after="0"/>
              <w:rPr>
                <w:sz w:val="20"/>
                <w:szCs w:val="20"/>
                <w:color w:val="auto"/>
              </w:rPr>
            </w:pPr>
            <w:r>
              <w:rPr>
                <w:rFonts w:ascii="Arial" w:cs="Arial" w:eastAsia="Arial" w:hAnsi="Arial"/>
                <w:sz w:val="18"/>
                <w:szCs w:val="18"/>
                <w:color w:val="auto"/>
              </w:rPr>
              <w:t>F-54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160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196"/>
        </w:trPr>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Contingent consideration</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Beginning balance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$ 25,000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19,600</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Changes in fair value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3,863</w:t>
            </w: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1,537</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Payments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9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$ 29,114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25,000</w:t>
            </w:r>
          </w:p>
        </w:tc>
      </w:tr>
      <w:tr>
        <w:trPr>
          <w:trHeight w:val="20"/>
        </w:trPr>
        <w:tc>
          <w:tcPr>
            <w:tcW w:w="9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changes to the valuation methods during the years presented.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12 for further discussion of preferred stock warrants.</w:t>
      </w:r>
    </w:p>
    <w:p>
      <w:pPr>
        <w:spacing w:after="0" w:line="225"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pro-rata amount in the financing described above received a calculated number of contingent value rights (“CVRs”), but only to the extent that the total amount raised in the financing exceeded $20,202,323. One CVR represents 0.00375% of the Company’s interest in the drug ficlatuzumab (see Note 10). In connection with the Series F financing, the Company issued 3,999 CVRs originally valued at $0.5 million. The initial estimated value of the CVRs were recorded as a liability and as a reduction to the Series F proceeds. Upon receipt by the Company or a milestone, royalty, or any other type of payment from the Company’s ownership rights in the drug, the Company will make a cash payment to the CVR holders equal to 15% of net proceeds, as defined. In addition, the CVRs will be adjusted to their estimated fair values each reporting period. During 2019 and 2018, there was no change to the estimated value of the CRVs. The value of these CVRs was $0.1 million as of December 31, 2019 and 2018.</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transaction with Indi, the Company recorded contingent consideration pertaining to the amounts potentially payable to Indi’s Selling Shareholders pursuant to the Asset Purchase Agreement (See Note 3). Contingent consideration is measured at fair value and is based on significant inputs not observable in the market, which represents a Level 3 measurement within the fair value hierarchy. The valuation of contingent consideration uses assumptions the Company believes would be made by a market participant. The Company assesses these estimates on an on-going basis as additional data impacting the assumptions is obtained. Future changes in the fair value of contingent consideration related to updated assumptions and estimates are recognized within the statements of operations.</w:t>
      </w:r>
    </w:p>
    <w:p>
      <w:pPr>
        <w:spacing w:after="0" w:line="19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Contingent consideration may change significantly as development progresses and additional data are obtained, impacting the Company’s assumptions regarding probabilities of successful achievement of related Milestone used to estimate the fair value of the liability and the timing in which they are expected to be achieved. In evaluating the fair value information, considerable judgment is required to interpret the market data used to develop the estimates. The estimates of fair value may not be indicative of the amounts that could be realized in a current market exchange. Accordingly, the use of different market assumptions and/or different valuation techniques could result in materially different fair value estimates. The fair value of the Company’s contingent consideration liability was estimated using significant unobservable inputs. The fair value of $19.6 million contingent consideration recognized on the acquisition date was estimated by management with the assistance of an independent third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459" w:right="3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Changes in the fair value measurement each period reflect the passage of time as well as the impact of adjustments, if any, to the likelihood of achieving the specified targets. Contingent consideration is recorded in the balance sheets in long-term liabilities. The $4.1 million adjustment to the contingent consideration during 2019 was primarily due to $3.4 million resulting from the reduction of estimated time to first payment and $0.7 million due to the impact of the acceleration of expected revenue and decreases in expected costs. The $5.4 million adjustment to the contingent consideration during 2018 was primarily due to $3.9 million resulting from the impact of the acceleration of expected revenue and decreases in expected costs as a result of events occurring after the acquisition date, as well as $1.5 million resulting from the reduction of estimated time to first payment.</w:t>
      </w:r>
    </w:p>
    <w:p>
      <w:pPr>
        <w:spacing w:after="0" w:line="164"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significant unobservable inputs used in the measurement of fair value of the Company’s contingent consideration are probabilities of successful achievement of the Milestone, the period in which the Milestone is expected to be achieved and discount rates ranging from 12.2% to 13.5%. Significant increases or decreases in any of these inputs would result in a significantly higher or lower fair value measurement.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5—Balance Sheet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$ 4,221</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$ 3,513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1,894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427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6,956</w:t>
            </w: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(6,386)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(5,568)</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$ 2,120</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$ 1,388</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60" w:right="1600" w:hanging="4996"/>
        <w:spacing w:after="0" w:line="449" w:lineRule="auto"/>
        <w:rPr>
          <w:sz w:val="20"/>
          <w:szCs w:val="20"/>
          <w:color w:val="auto"/>
        </w:rPr>
      </w:pPr>
      <w:r>
        <w:rPr>
          <w:rFonts w:ascii="Arial" w:cs="Arial" w:eastAsia="Arial" w:hAnsi="Arial"/>
          <w:sz w:val="18"/>
          <w:szCs w:val="18"/>
          <w:color w:val="auto"/>
        </w:rPr>
        <w:t>Depreciation expense for each of the years ended December 31, 2019 and 2018 was $0.8 million and $0.7 million, respectively. F-56</w:t>
      </w:r>
    </w:p>
    <w:p>
      <w:pPr>
        <w:sectPr>
          <w:pgSz w:w="11900" w:h="16838" w:orient="portrait"/>
          <w:cols w:equalWidth="0" w:num="1">
            <w:col w:w="11240"/>
          </w:cols>
          <w:pgMar w:left="320" w:top="459" w:right="3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Purchased technology</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16,900</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(2,817)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14,083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Purchase option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Trademarks (indefinite life)</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15,092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16,852</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recorded amortization expense of $2.0 million and $1.0 million for the years ended December 31, 2019 and 2018,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related to the remaining net intangible assets is scheduled to amortize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2,229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1,937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56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1,936</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1,927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6"/>
              </w:rPr>
              <w:t>$ 15,021</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Accrued liabilities consist of the following (in thousands):</w:t>
            </w:r>
          </w:p>
        </w:tc>
        <w:tc>
          <w:tcPr>
            <w:tcW w:w="2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6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gridSpan w:val="7"/>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66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related accruals</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Accrued clinical trial expense</w:t>
            </w:r>
          </w:p>
        </w:tc>
        <w:tc>
          <w:tcPr>
            <w:tcW w:w="3220" w:type="dxa"/>
            <w:vAlign w:val="bottom"/>
            <w:gridSpan w:val="3"/>
          </w:tcPr>
          <w:p>
            <w:pPr>
              <w:jc w:val="right"/>
              <w:ind w:right="10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1,522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Warrant liability, current</w:t>
            </w:r>
          </w:p>
        </w:tc>
        <w:tc>
          <w:tcPr>
            <w:tcW w:w="26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4,180</w:t>
            </w:r>
          </w:p>
        </w:tc>
        <w:tc>
          <w:tcPr>
            <w:tcW w:w="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6—Convertible Debt Payable</w:t>
      </w:r>
    </w:p>
    <w:p>
      <w:pPr>
        <w:spacing w:after="0" w:line="121"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In December 2019, the Company issued $6 million in convertible debt (the “December 2019 Notes”) that is scheduled to mature in August 2020. The December 2019 Notes were issued in two tranches of $3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459" w:right="3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with the first tranche being funded in December 2019. Interest on the December 2019 Notes is at 3% per annum and is payable in full upon maturity through the conversion to Series H Preferred Stock at 80% of the original issuance price of $1.15 per share. On or before the maturity date and if the December 2019 Notes are unpaid, the outstanding principal and unpaid accrued interest under the December 2019 Notes shall be automatically converted into, the earlier of, the preferred stock sold at the close of the Company’s next equity financing (Qualified Financing) or common stock in an initial public offering (IPO). The conversion price would be equal to 80% of the price per share paid for the preferred stock in the Qualified Financing or common stock sold in an IPO. The December 2019 Notes may be prepaid in whole or in part at any time by the Company with prior consent of at least two-thirds of the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December 2019 Notes. The estimated value of the put option liability as of the issuance of the December 2019 Notes and December 31, 2019 was $0.8 million. The put option liability was reflected as a debt discount on the December 2019 Notes which is being amortized over the term of the December 2019 Notes. The unamortized debt discount was $0.7 million as of December 31, 2019.</w:t>
      </w:r>
    </w:p>
    <w:p>
      <w:pPr>
        <w:spacing w:after="0" w:line="17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August and September 2019 (the “August 2019 Notes”), the Company issued $10 million in convertible debt that is scheduled to mature in August 2020. Interest on the August 2019 Notes is at 3% per annum and is payable in full upon maturity through the conversion to Series H Preferred Stock at the original issuance price of $1.15 per share. On or before the maturity date and if the August 2019 Notes are unpaid, the outstanding principal and unpaid accrued interest under the August 2019 Notes shall be automatically converted into, the earlier of, the preferred stock sold at the close of the Company’s next equity financing (Qualified Financing) or common stock sold in the event of an IPO. The conversion price would be equal to 95% of the price per share paid for the preferred stock in the Qualified Financing or common stock sold in an IPO. The August 2019 Notes may be prepaid in whole or in part at any time by the Company with prior consent of at least two-thirds of the August 2019 Note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 The discounts on the automatic conversions created a put option liability that was separated from the August 2019 Notes. The estimated value of the put option liability as of the issuance of the August 2019 Notes was $0.5 million. The put option liability was reflected as a debt discount on the August 2019 Notes which is being amortized over the term of the August 2019 Notes. The unamortized debt discount was $0.3 million as of December 31, 2019.</w:t>
      </w:r>
    </w:p>
    <w:p>
      <w:pPr>
        <w:spacing w:after="0" w:line="16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issuance of the December 2019 Notes, the conversion price on the August 2019 Notes was amended to 80% of the price per share paid for the preferred stock in the Qualified Financing or common stock in an IPO. In addition, the conversion price to Series H preferred stock at the maturity date was amended to be 80% of the Series H original issuance price of $1.15 per share. The changes to the discounts on the conversions of the August 2019 Notes created an increase to the put option liability on the August 2019 Notes of $2 million to a total estimated value of $2.5 million as of December 31, 2019. The increase in the value of the put option liability was reflected as a change in put option in the accompany 2019 statement of operations.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2019, accrued interest of $0.1 million is included in the convertible debt balance included on the accompanying balance sheet.</w:t>
      </w:r>
    </w:p>
    <w:p>
      <w:pPr>
        <w:spacing w:after="0" w:line="248"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April and July 2018, the Company issued $10.3 million in convertible debt that was scheduled to mature in April 2019 (the “April 2018 Notes”). Interest on the April 2018 Notes was at 6% per annum and was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20"/>
          </w:cols>
          <w:pgMar w:left="320" w:top="459" w:right="3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payable in full upon maturity. On or before the maturity date and if the April 2018 Notes are unpaid, the outstanding principal and unpaid accrued interest under the April 2018 Note shall be automatically converted into the preferred stock sold at the close of the Company’s next equity financing (Qualified Financing). The conversion price would be equal to 100% of the price per share paid for the preferred stock in the Qualified Financing. The April 2018 Notes may be prepaid in whole or in part at any time by the Company with prior consent of at least two-thirds of the April 2018 Notes 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Company in such transaction.</w:t>
      </w:r>
    </w:p>
    <w:p>
      <w:pPr>
        <w:spacing w:after="0" w:line="164" w:lineRule="exact"/>
        <w:rPr>
          <w:sz w:val="20"/>
          <w:szCs w:val="20"/>
          <w:color w:val="auto"/>
        </w:rPr>
      </w:pPr>
    </w:p>
    <w:p>
      <w:pPr>
        <w:ind w:right="360" w:firstLine="449"/>
        <w:spacing w:after="0" w:line="286" w:lineRule="auto"/>
        <w:rPr>
          <w:sz w:val="20"/>
          <w:szCs w:val="20"/>
          <w:color w:val="auto"/>
        </w:rPr>
      </w:pPr>
      <w:r>
        <w:rPr>
          <w:rFonts w:ascii="Arial" w:cs="Arial" w:eastAsia="Arial" w:hAnsi="Arial"/>
          <w:sz w:val="17"/>
          <w:szCs w:val="17"/>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automatically converted into 9,140,616 shares of Series H Preferred Stock as a Qualified Financing occurred prior to the maturity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7—Long-Term Debt</w:t>
      </w:r>
    </w:p>
    <w:p>
      <w:pPr>
        <w:spacing w:after="0" w:line="121"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In February 2018, the Company extinguished a Note that originated in 2013 (the “2013 Notes”) through the issuance of new long-term debt with a different private investment company (the “2018 Notes”). The lender for the 2018 Notes is also a holder of the Company’s Series G preferred stock. The Company recorded a $0.2 million loss on the extinguishment of the 2013 Notes.</w:t>
      </w:r>
    </w:p>
    <w:p>
      <w:pPr>
        <w:spacing w:after="0" w:line="184"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The initial amount borrowed under the 2018 Notes was $23 million and the maturity date is February 2023. At the time of the issuance of the 2018 Notes, the Company paid a 1% facility fee of $0.2 million and issued a warrant to the private investment company for the purchase of 613,333 shares of Series G preferred stock, which had an initial fair value of $0.3 million. The facility fee and the value of the warrants were recorded as reductions to the carrying value of the 2018 Notes and are being amortized to interest expense over the term of the 2018 Notes. The 2018 Notes bears interest at 10% with 7.5% being paid in cash and 2.5% being added to the principal value of the 2018 Notes through December 31, 2020. The Company is required to make quarterly interest payments beginning in June 2018 and outstanding principal is due in 24 equal installments commencing in March 2021. As of December 31, 2019 and 2018, the interest added to the principal value of the 2018 Notes was $1.1 million and $0.5 million, respectively.</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loan may be prepaid by the Company at any time, subject to a prepayment penalty of up to 3% of the principal amount, depending on the date of prepayment. Upon payment of the 2018 Notes at maturity or prepayment on any earlier date, unless waived, a 2% back-end facility fee will apply to the amounts paid or prepaid. The 2% fee is being recorded as additional interest expense over the term of the 2018 Notes. The 2018 Notes are senior to all of the Company’s other indebtedness including any contingent consideration.</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2018 Notes contains customary affirmative covenants, including covenants regarding compliance with applicable laws and regulations, payment of taxes, insurance coverage, notice of certain events, and reporting requirements. Further, the 2018 Notes contains customary negative covenants limiting the ability of the Company to, among other things, to incur future debt, transfer assets except for the ordinary course of business, make acquisitions, make certain restricted payments, and sell assets, subject to certain exceptions. In addition, the 2018 Notes requires the Company to comply with a minimum daily liquidity covenant and a rolling monthly revenue requirement. Failure to comply with the covenants and loan requirements may result in early amortization of the loan in a 24- or 36-month payment schedule. As of December 31, 2019, the Company was not in default under the terms of the 2018 Notes.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80"/>
          </w:cols>
          <w:pgMar w:left="320" w:top="459" w:right="39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In accordance with the 2018 Notes, the Company granted the lender a security interest in all of the Company’s assets through a pledge and security agreement, patent security agreement and trademark security agreement, each between the Company and the lender.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payable as of December 31, 2019 and 2018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Borders>
              <w:bottom w:val="single" w:sz="8" w:color="CCEEFF"/>
            </w:tcBorders>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Notes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$24,088</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$23,495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Final payment fee</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Unamortized debt discount and debt issuance costs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23,812</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23,099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ind w:left="460"/>
              <w:spacing w:after="0"/>
              <w:rPr>
                <w:sz w:val="20"/>
                <w:szCs w:val="20"/>
                <w:color w:val="auto"/>
              </w:rPr>
            </w:pPr>
            <w:r>
              <w:rPr>
                <w:rFonts w:ascii="Arial" w:cs="Arial" w:eastAsia="Arial" w:hAnsi="Arial"/>
                <w:sz w:val="18"/>
                <w:szCs w:val="18"/>
                <w:color w:val="auto"/>
              </w:rPr>
              <w:t>Maturities of long-term obligations as of December 31, 2019 are as follows (in thousands):</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10,044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12,049</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24,270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fair value of the warrant on the issuance date of $0.3 million was recorded as a debt discount and as a preferred stock warrant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21"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5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2019</w:t>
            </w:r>
          </w:p>
        </w:tc>
        <w:tc>
          <w:tcPr>
            <w:tcW w:w="1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240" w:type="dxa"/>
            <w:vAlign w:val="bottom"/>
            <w:gridSpan w:val="3"/>
          </w:tcPr>
          <w:p>
            <w:pPr>
              <w:jc w:val="right"/>
              <w:ind w:right="118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62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Permanent items</w:t>
            </w:r>
          </w:p>
        </w:tc>
        <w:tc>
          <w:tcPr>
            <w:tcW w:w="6240" w:type="dxa"/>
            <w:vAlign w:val="bottom"/>
            <w:gridSpan w:val="3"/>
          </w:tcPr>
          <w:p>
            <w:pPr>
              <w:jc w:val="right"/>
              <w:ind w:right="112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4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4480" w:type="dxa"/>
            <w:vAlign w:val="bottom"/>
          </w:tcPr>
          <w:p>
            <w:pPr>
              <w:spacing w:after="0"/>
              <w:rPr>
                <w:sz w:val="19"/>
                <w:szCs w:val="19"/>
                <w:color w:val="auto"/>
              </w:rPr>
            </w:pPr>
          </w:p>
        </w:tc>
        <w:tc>
          <w:tcPr>
            <w:tcW w:w="176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6240" w:type="dxa"/>
            <w:vAlign w:val="bottom"/>
            <w:gridSpan w:val="3"/>
          </w:tcPr>
          <w:p>
            <w:pPr>
              <w:jc w:val="right"/>
              <w:ind w:right="4640"/>
              <w:spacing w:after="0"/>
              <w:rPr>
                <w:sz w:val="20"/>
                <w:szCs w:val="20"/>
                <w:color w:val="auto"/>
              </w:rPr>
            </w:pPr>
            <w:r>
              <w:rPr>
                <w:rFonts w:ascii="Arial" w:cs="Arial" w:eastAsia="Arial" w:hAnsi="Arial"/>
                <w:sz w:val="18"/>
                <w:szCs w:val="18"/>
                <w:color w:val="auto"/>
              </w:rPr>
              <w:t>F-60</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income tax assets and liabilities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49,406</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3,040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r>
      <w:tr>
        <w:trPr>
          <w:trHeight w:val="223"/>
        </w:trPr>
        <w:tc>
          <w:tcPr>
            <w:tcW w:w="938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(3,982)</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55,223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48,254</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(55,223)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(48,254)</w:t>
            </w: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At December 31, 2019, the Company had $222.1 million and $3.0 million of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$7.0 million during 2019 and $5.5 million during 2018.</w:t>
      </w:r>
    </w:p>
    <w:p>
      <w:pPr>
        <w:spacing w:after="0" w:line="166"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Company has concluded that there were no significant uncertain tax positions relevant to the jurisdictions where the Company is required to file income tax returns requiring recognition in the financial statements for the years ended 2019 and 2018.</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Company has recognized no interest for the years ended December 31, 2019 and 2018 related to uncertain tax positions. As of December 31, 2019, and 2018, there was no accrued interest related to uncertain tax positions.</w:t>
      </w:r>
    </w:p>
    <w:p>
      <w:pPr>
        <w:spacing w:after="0" w:line="170"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Company monitors proposed and issued tax law, regulations, and cases to determine the potential impact of uncertain income tax positions. At December 31, 2019, the Company had not identified any potential subsequent events that would have a material impact on unrecognized income tax benefits within the next twelve months.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federal and state tax returns remain open for 2013 through 2019 to examination by tax authorities.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459" w:right="3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Company leases facilities under non-cancelable operating leases. Rent expense for the years ended December 31, 2019 and 2018 was $2.1 and $1.6 million, respectively, and was inclusive of common area maintenance charges.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gridSpan w:val="2"/>
          </w:tcPr>
          <w:p>
            <w:pPr>
              <w:ind w:left="460"/>
              <w:spacing w:after="0"/>
              <w:rPr>
                <w:sz w:val="20"/>
                <w:szCs w:val="20"/>
                <w:color w:val="auto"/>
              </w:rPr>
            </w:pPr>
            <w:r>
              <w:rPr>
                <w:rFonts w:ascii="Arial" w:cs="Arial" w:eastAsia="Arial" w:hAnsi="Arial"/>
                <w:sz w:val="18"/>
                <w:szCs w:val="18"/>
                <w:color w:val="auto"/>
                <w:w w:val="99"/>
              </w:rPr>
              <w:t>Future minimum lease payments for operating lease obligations, net of sublease income are as follows (in thousands):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$1,590</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2021</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1,254</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1,107</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8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3,974</w:t>
            </w:r>
          </w:p>
        </w:tc>
      </w:tr>
      <w:tr>
        <w:trPr>
          <w:trHeight w:val="20"/>
        </w:trPr>
        <w:tc>
          <w:tcPr>
            <w:tcW w:w="16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Co-Development Agreement</w:t>
      </w:r>
    </w:p>
    <w:p>
      <w:pPr>
        <w:spacing w:after="0" w:line="117"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In April 2014 and amended in October 2016, the Company entered into a worldwide agreement with AVEO Oncology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proof-of-concept (“POC”) clinical study of ficlatuzumab for NSCLC in which BDX004 will be used to select clinical trial subjects, referred to as the NSCLC POC Trial. The Company and AVEO will share equally in the costs of the NSCLC POC Trial, and each will be responsible for 50% of development and regulatory costs associated with all future clinical trials agreed upon by the Company and AVEO. The Company and AVEO continue to conduct POC clinical trials of ficlatuzumab in combination with BDX004 with each responsible for 50% of development and regulatory costs. AVEO may recapture certain of its costs under the agreement from royalties and other revenue received under the agreement. Expenses related to this agreement for the years ended December 31, 2019 and 2018 were approximately $0.9 million and $0.3 million, respectively.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In August 2019, the Company entered into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with Bio-Rad. As further consideration for the non-exclusive license, the Company agreed to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separate supply agreement for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459" w:right="3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consecutive twelve-month period or for any material breach by the Company of the supply agreement. The Company incurred royalty expense of $0.1 million during 2019 under this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10—Convertible Preferred Stock</w:t>
      </w:r>
    </w:p>
    <w:p>
      <w:pPr>
        <w:spacing w:after="0" w:line="12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The following table details, by series, the Company’s convertible preferred stock at December 31, 2019 (in thousands, except shares and original issue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w:t>
            </w:r>
          </w:p>
        </w:tc>
        <w:tc>
          <w:tcPr>
            <w:tcW w:w="120" w:type="dxa"/>
            <w:vAlign w:val="bottom"/>
          </w:tcPr>
          <w:p>
            <w:pPr>
              <w:spacing w:after="0"/>
              <w:rPr>
                <w:sz w:val="14"/>
                <w:szCs w:val="14"/>
                <w:color w:val="auto"/>
              </w:rPr>
            </w:pP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85"/>
              </w:rPr>
              <w:t>Series</w:t>
            </w:r>
          </w:p>
        </w:tc>
        <w:tc>
          <w:tcPr>
            <w:tcW w:w="6460" w:type="dxa"/>
            <w:vAlign w:val="bottom"/>
            <w:vMerge w:val="restart"/>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Issued and</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12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Outstanding</w:t>
            </w:r>
          </w:p>
        </w:tc>
        <w:tc>
          <w:tcPr>
            <w:tcW w:w="8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Issue Price</w:t>
            </w:r>
          </w:p>
        </w:tc>
        <w:tc>
          <w:tcPr>
            <w:tcW w:w="120" w:type="dxa"/>
            <w:vAlign w:val="bottom"/>
          </w:tcPr>
          <w:p>
            <w:pPr>
              <w:spacing w:after="0"/>
              <w:rPr>
                <w:sz w:val="15"/>
                <w:szCs w:val="15"/>
                <w:color w:val="auto"/>
              </w:rPr>
            </w:pPr>
          </w:p>
        </w:tc>
        <w:tc>
          <w:tcPr>
            <w:tcW w:w="8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Preference</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41,836,231</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23,923,188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G</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76,464,035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46,146,517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F</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19,468,203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19,468,203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13,972,954</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7,639,556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11,781,710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10,874,876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43,499</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C</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2,356,597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2,356,596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7,070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2,998,852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2,998,852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3,641,817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3,641,817</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Series A-2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266,668</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266,668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174,237,067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118,766,273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H</w:t>
      </w:r>
    </w:p>
    <w:p>
      <w:pPr>
        <w:spacing w:after="0" w:line="117"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In February and March 2019, the Company issued 8,695,621 shares of Series H Preferred Stock at $1.15 per share for total cash proceeds of $10.0 million.</w:t>
      </w:r>
    </w:p>
    <w:p>
      <w:pPr>
        <w:spacing w:after="0" w:line="170"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In October 2018, the Company issued 6,086,941 shares of Series H Preferred Stock at $1.15 per share for total cash proceeds of $7.0 million. In connection with this issuance, the $10.3 million in convertible debt issued in April and July 2018 and accrued interest of $0.2 million converted into 9,140,616 shares of Series H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G</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 June 2018, concurrent with the closing of the transaction with Indi, the Company issued 10,649,904 shares of Series G Preferred Stock to Indi, including 2,129,981 shares that were deposited in an escrow account to be used to satisfy any indemnification obligations of the seller that may arise. See Note 3, Business Combination, for further information.</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In February 2018, the Company issued 2.0 million shares of Series G Preferred Stock to the lender of the 2018 Notes at $0.75 per share for total cash proceeds of $1.5 million. See Note 7, Long-term Debt, for further information.</w:t>
      </w:r>
    </w:p>
    <w:p>
      <w:pPr>
        <w:spacing w:after="0" w:line="170"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The Company’s convertible preferred stock has been classified as temporary equity in the accompanying balance sheets given that a majority of the Company’s Board of Directors seats are held by convertible preferred stock holders and could cause certain events to occur that are outside of the Company’s control whereby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459" w:right="3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Company could be obligated to redeem the convertible preferred stock. The Company has not adjusted the carrying values of the convertible preferred stock to the respective liquidation preferences of such shares as the instruments are currently not redeemable and the Company believes it is not probable that the instruments will become redeemable at this point in time. Adjustments to increase the carrying values to the respective liquidation preferences will be made if and when it becomes probable that an event would occur obligating the Company to pay such amounts.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holders of Series A-1, Series A-2, and Series A-3 (collectively, “Series A”); Series B and Series B-1 (collectively, “Combined Series B”); Series C; Series D; Series E; Series F, Series G, and Series H are entitled to convert their shares into common stock at the option of the holder, at any time, into fully paid and non-assessable shares of common stock. The number of shares of common stock to which a holder of the Series A, Combined Series B, Series C, Series D, Series E, Series F, Series G, and Series H (collectively, “Series Preferred”) can convert is obtained by multiplying the conversion rate that is in effect by the number of shares of Series Preferred being converted. The conversion rate is determined by dividing the Original Issue Price by the applicable conversion price (initially the Original Issue Price for all classes of Series Preferred except Series B-1, for which the conversion price is initially $16.33). As a result of the reverse stock split (see Note 14), the conversion rate for the Series Preferred is 0.1684664 per share. Each share of Series Preferred will be automatically converted into shares of common stock (based on the then-effective Series Preferred conversion price) if there is an affirmative election of 65% of the holders of the outstanding shares of Series Preferred or immediately upon the closing of a firmly underwritten public offering in which the offer and sale of common stock, voting together as a single class on an as-if-converted-to-common-stock basis, is at a per-share price of at least $11.88 (adjusted for stock splits, dividends, and recapitalizations) and gross cash proceeds to the Company (before underwriting discounts, commissions, and fees) are at least $40 million.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Series Preferred holders are entitled to receive non-cumulative cash dividends. The dividends are required to be declared by the Board of Directors and are calculated at an annual rate of 8% of the Original Issue Price of the respective Series Preferred shares. Series Preferred holders have the following order of preference on dividends: Series H holders, Series G holders, Series F holders, Series E holders, Series D holders, Series C holders, Combined Series B holders, Series A holders. The Series A holders have preference over the common stockholders. In the event that dividends are paid on any class of Series Preferred, the Company shall pay an additional dividend on all outstanding shares of a higher preference in a per-share amount on an as-if-converted-to-common-stock basis. In the event dividends are paid on any common stock, the Company shall pay an additional dividend on all outstanding shares of Series Preferred stock in a per-share amount on an as-if-converted-to-common-stock basis.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holders of each share of Series Preferred stock have the right to one vote for each share of common stock on an as-if-converted basis. When converted, the common stock and Series Preferred stockholders have equal voting and power rights.</w:t>
      </w:r>
    </w:p>
    <w:p>
      <w:pPr>
        <w:spacing w:after="0" w:line="170"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As long as any Series Preferred stock remains outstanding, a majority vote of the respective class of holders would be required to amend any provisions of the Company’s articles of incorporation or bylaws that would adversely affect them.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80"/>
          </w:cols>
          <w:pgMar w:left="320" w:top="459" w:right="3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Series Preferred stockholders are subject to automatic redemption in the consolidation or merger of the Company or sale of all or substantially all of the Company’s assets in which the stockholders of the Company immediately prior to the transaction hold less than 50% of the outstanding securities of the surviving entity. Proceeds available for distribution from such transaction will be distributed consistent with a liquidation event.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accordance with the articles of incorporation, upon a defined event of acquisition or asset transfer, liquidation, dissolution, or winding up of the Company, any amounts that are available for distribution are to be paid out to its stockholders in the following order of preference, in an amount equal to the per-share Original Issue Price, plus any accrued, declared, and unpaid dividends: Series H holders, Series G holders, Series F holders, Series E holders, Series D holders, Series C holders, Combined Series B holders, Series A holders. If the assets of the Company are insufficient to make payments in full to a class of holders of preferred stock, in the order of preference previously described, then remaining assets shall be distributed among the holders of that class of preferred stock ratably in proportion to the full amounts to which they would otherwise be respectively entitled and the holders of lower preference shares will receive nothing. Upon payment of all preferential amounts required to be paid to the Series Preferred, the holders of common stock and Series Preferred shall be entitled to receive a ratable portion, calculated on an as-if-converted basis, of the remaining assets of the Company available for distribution to its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 Options</w:t>
      </w:r>
    </w:p>
    <w:p>
      <w:pPr>
        <w:spacing w:after="0" w:line="121"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In May 2006, the Company adopted the 2006 Employee, Director, and Consultant Stock Plan (the “2006 Incentive Plan”) under which the Company is authorized to grant stock awards to employees, directors, and consultants of the Company. The Company is authorized to grant incentive stock options, non-statutory stock options, restricted stock awards, restricted stock unit awards, and stock appreciation rights up to 831,388 total shares of stock awards. The award price and vesting terms are determined by the Board of Directors of the Company and evidenced in the award agreement extended to the employee, director, or consultant. The options granted generally terminate ten years from the date of grant and vest over various periods as determined by the Board of Directors of the Company.</w:t>
      </w:r>
    </w:p>
    <w:p>
      <w:pPr>
        <w:spacing w:after="0" w:line="19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In February 2016, the Company adopted the 2016 Equity Incentive Plan (“2016 Incentive Plan”) as a successor to and continuation of the 2006 Incentive Plan. As of February 2016, no additional stock awards may be granted under the 2006 Incentive Plan and any unallocated shares remaining available for issuance pursuant to the exercise of options or issuance or settlement of stock awards not previously granted under the 2006 Incentive Plan will cease to be available under the 2006 Incentive Plan and will be added to the share reserve of the 2016 Incentive Plan and be immediately available for issuance pursuant to the stock awards granted in the 2016 Incentive Plan. In addition, all outstanding stock awards granted under the 2006 Incentive Plan will remain subject to the terms of the 2006 Incentive Plan unless they expire, terminate or are forfeited, cancelled or otherwise returned to the Company and will immediately be added to the share reserve and become available for issuance under the 2016 Plan.</w:t>
      </w:r>
    </w:p>
    <w:p>
      <w:pPr>
        <w:spacing w:after="0" w:line="16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Under the 2016 Incentive Plan, the Company is authorized to grant stock awards to employees, directors, and consultants of the Company. The Company is authorized to grant incentive stock options, non-statutory stock options, restricted stock awards, restricted stock unit awards, and stock appreciation rights up to 1,431,964 total shares, plus any shares subject to outstanding stock awards granted under the 2006 Incentive Plan. The award price and vesting terms are determined by the Board of Directors of the Company and evidenced in the award agreement extended to the employee, director, or consultant. The options granted generally terminate 10 years from the date of grant and vest over various periods as determined by the Board of Directors of the Company.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459" w:right="3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following table presents the activity for options and restricted stock units (RSUs) outstanding (in thousands, except for weighted average exercise price and weighted average grant date value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RSUs</w:t>
            </w:r>
          </w:p>
        </w:tc>
        <w:tc>
          <w:tcPr>
            <w:tcW w:w="18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Value Per</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2017</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0.42</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1.43</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2018</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2.20</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Forfeited/canceled</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composition of options outstanding and exercisable as of December 31, 2019 (in thousands, except price):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Options Outstanding</w:t>
            </w:r>
          </w:p>
        </w:tc>
        <w:tc>
          <w:tcPr>
            <w:tcW w:w="360" w:type="dxa"/>
            <w:vAlign w:val="bottom"/>
          </w:tcPr>
          <w:p>
            <w:pPr>
              <w:spacing w:after="0"/>
              <w:rPr>
                <w:sz w:val="14"/>
                <w:szCs w:val="14"/>
                <w:color w:val="auto"/>
              </w:rPr>
            </w:pPr>
          </w:p>
        </w:tc>
        <w:tc>
          <w:tcPr>
            <w:tcW w:w="14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8"/>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Exercise Prices</w:t>
            </w:r>
          </w:p>
        </w:tc>
        <w:tc>
          <w:tcPr>
            <w:tcW w:w="6280" w:type="dxa"/>
            <w:vAlign w:val="bottom"/>
            <w:gridSpan w:val="2"/>
            <w:vMerge w:val="restart"/>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0"/>
                <w:szCs w:val="10"/>
                <w:color w:val="auto"/>
              </w:rPr>
            </w:pPr>
          </w:p>
        </w:tc>
        <w:tc>
          <w:tcPr>
            <w:tcW w:w="7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Price*</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Life</w:t>
            </w:r>
          </w:p>
        </w:tc>
        <w:tc>
          <w:tcPr>
            <w:tcW w:w="36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0"/>
                <w:szCs w:val="10"/>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62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7"/>
              </w:rPr>
              <w:t>(years)*</w:t>
            </w: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$0.42 – $0.84</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1,463</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$0.66</w:t>
            </w: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w:t>
            </w: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0.66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3"/>
          </w:tcPr>
          <w:p>
            <w:pPr>
              <w:spacing w:after="0"/>
              <w:rPr>
                <w:sz w:val="20"/>
                <w:szCs w:val="20"/>
                <w:color w:val="auto"/>
              </w:rPr>
            </w:pPr>
            <w:r>
              <w:rPr>
                <w:rFonts w:ascii="Arial" w:cs="Arial" w:eastAsia="Arial" w:hAnsi="Arial"/>
                <w:sz w:val="18"/>
                <w:szCs w:val="18"/>
                <w:color w:val="auto"/>
              </w:rPr>
              <w:t>$2.62 – $3.74</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3.39</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3.39</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$4.40 – $4.46</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4.40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$6.83</w:t>
            </w:r>
          </w:p>
        </w:tc>
        <w:tc>
          <w:tcPr>
            <w:tcW w:w="30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6.83</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6.83</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Total—December 31, 2019</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1,914</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2.44</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Price and Life reflect the weighted average exercise price and weighted average remaining contractual life, respectively.</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There were 157,000 restricted stock units outstanding at December 31, 2019, none of which had vested as of December 31, 2019.</w:t>
      </w:r>
    </w:p>
    <w:p>
      <w:pPr>
        <w:spacing w:after="0" w:line="225"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 average assumptions (dollars in thousands):</w:t>
      </w:r>
    </w:p>
    <w:p>
      <w:pPr>
        <w:spacing w:after="0" w:line="189"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For the Years Ended</w:t>
      </w:r>
    </w:p>
    <w:p>
      <w:pPr>
        <w:jc w:val="center"/>
        <w:ind w:left="79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Approximate risk—free rate</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expected life</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w w:val="85"/>
              </w:rPr>
              <w:t>5.58 years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5.94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Volatility</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total options granted</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r>
      <w:tr>
        <w:trPr>
          <w:trHeight w:val="365"/>
        </w:trPr>
        <w:tc>
          <w:tcPr>
            <w:tcW w:w="4320" w:type="dxa"/>
            <w:vAlign w:val="bottom"/>
          </w:tcPr>
          <w:p>
            <w:pPr>
              <w:spacing w:after="0"/>
              <w:rPr>
                <w:sz w:val="24"/>
                <w:szCs w:val="24"/>
                <w:color w:val="auto"/>
              </w:rPr>
            </w:pPr>
          </w:p>
        </w:tc>
        <w:tc>
          <w:tcPr>
            <w:tcW w:w="3900" w:type="dxa"/>
            <w:vAlign w:val="bottom"/>
            <w:gridSpan w:val="2"/>
          </w:tcPr>
          <w:p>
            <w:pPr>
              <w:jc w:val="right"/>
              <w:ind w:right="2420"/>
              <w:spacing w:after="0"/>
              <w:rPr>
                <w:sz w:val="20"/>
                <w:szCs w:val="20"/>
                <w:color w:val="auto"/>
              </w:rPr>
            </w:pPr>
            <w:r>
              <w:rPr>
                <w:rFonts w:ascii="Arial" w:cs="Arial" w:eastAsia="Arial" w:hAnsi="Arial"/>
                <w:sz w:val="18"/>
                <w:szCs w:val="18"/>
                <w:color w:val="auto"/>
              </w:rPr>
              <w:t>F-66</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Company estimates volatility based on the historical volatility of its peer group and average expected life based on the review of historical exercise behavior of option grants with similar vesting periods. The expense recorded for options granted under the Plan is net of estimated forfeitures of 10%.</w:t>
      </w:r>
    </w:p>
    <w:p>
      <w:pPr>
        <w:spacing w:after="0" w:line="18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following table presents the impact of employee stock-based compensation expense on statements of income line items for the periods indicated (in thousands):</w:t>
      </w:r>
    </w:p>
    <w:p>
      <w:pPr>
        <w:spacing w:after="0" w:line="189"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For the Years Ended</w:t>
      </w:r>
    </w:p>
    <w:p>
      <w:pPr>
        <w:jc w:val="center"/>
        <w:ind w:left="93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Sales, marketing, general and administrative</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7"/>
        </w:trPr>
        <w:tc>
          <w:tcPr>
            <w:tcW w:w="63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0"/>
        </w:trPr>
        <w:tc>
          <w:tcPr>
            <w:tcW w:w="6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920" w:firstLine="449"/>
        <w:spacing w:after="0" w:line="277" w:lineRule="auto"/>
        <w:rPr>
          <w:sz w:val="20"/>
          <w:szCs w:val="20"/>
          <w:color w:val="auto"/>
        </w:rPr>
      </w:pPr>
      <w:r>
        <w:rPr>
          <w:rFonts w:ascii="Arial" w:cs="Arial" w:eastAsia="Arial" w:hAnsi="Arial"/>
          <w:sz w:val="18"/>
          <w:szCs w:val="18"/>
          <w:color w:val="auto"/>
        </w:rPr>
        <w:t>The unrecognized remaining stock-based compensation balance for shares issued inside of the Plan was approximately $0.3 million as of December 31, 2019 which will be amortized over the next three years.</w:t>
      </w:r>
    </w:p>
    <w:p>
      <w:pPr>
        <w:spacing w:after="0" w:line="170" w:lineRule="exact"/>
        <w:rPr>
          <w:sz w:val="20"/>
          <w:szCs w:val="20"/>
          <w:color w:val="auto"/>
        </w:rPr>
      </w:pPr>
    </w:p>
    <w:p>
      <w:pPr>
        <w:ind w:right="240" w:firstLine="449"/>
        <w:spacing w:after="0" w:line="272" w:lineRule="auto"/>
        <w:rPr>
          <w:sz w:val="20"/>
          <w:szCs w:val="20"/>
          <w:color w:val="auto"/>
        </w:rPr>
      </w:pPr>
      <w:r>
        <w:rPr>
          <w:rFonts w:ascii="Arial" w:cs="Arial" w:eastAsia="Arial" w:hAnsi="Arial"/>
          <w:sz w:val="17"/>
          <w:szCs w:val="17"/>
          <w:color w:val="auto"/>
        </w:rPr>
        <w:t>As of December 31, 2019, the Company has issued a total of 205,199 stock options outside the 2006 Incentive Plan to employees of the Company. These options are issued at the discretion of the Board of Directors of the Company to the Chief Executive Officer and their direct reports who wish to convert all or a portion of their incentive compensation to options. The value of the options at the date of grant was calculated using the Black-Scholes option pricing model using approximately the same assumptions as in the previous table other than the term, which is approximately five years. As of December 31, 2019, 188,043 options outside of the 2006 Incentive Plan are outstanding and exercisable and have a weighted average exercise price of $11.52, a weighted average remaining life of six years, and were fully vested on the grant date. There was no unrecognized remaining stock-based compensation balance for shares issued outside of the 2006 Incentive Plan as of December 31,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 for Convertible Preferred Stock</w:t>
      </w:r>
    </w:p>
    <w:p>
      <w:pPr>
        <w:spacing w:after="0" w:line="121"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The Company has issued warrants to purchase shares of preferred stock in conjunction with the sale of certain preferred shares and certain debt issuances. The grant date fair value and fair value at each reporting date of the warrants was determined using the Black-Scholes option pricing model with weighted average assumptions relatively consistent with those disclosed for stock options above, other than term, which is the contractual term of the warrant and the use of the exercise price and current estimated fair value of the respective series of preferred stock. The preferred warrants are classified as liabilities on the accompanying balance sheets as the underlying preferred stock has a contingent redemption feature. As these warrants are classified as a liability, they are revalued on each reporting date or exercise date, and any change in value is recorded to change in fair value of the warrant liability in the accompanying statements of operations.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459" w:right="3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activity for convertible preferred stock warrants outstanding (in thousands, except weighted average exercise price):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1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9"/>
              </w:rPr>
              <w:t>Series D</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7"/>
              </w:rPr>
              <w:t>Series E</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Series G</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Warrants</w:t>
            </w: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95"/>
              </w:rPr>
              <w:t>Warrants</w:t>
            </w: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Warrants</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Outstanding—December 31, 2017</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Forfeited/canceled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Weighted average remaining contractual life at December 31, 2019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312"/>
              <w:spacing w:after="0"/>
              <w:rPr>
                <w:sz w:val="20"/>
                <w:szCs w:val="20"/>
                <w:color w:val="auto"/>
              </w:rPr>
            </w:pPr>
            <w:r>
              <w:rPr>
                <w:rFonts w:ascii="Arial" w:cs="Arial" w:eastAsia="Arial" w:hAnsi="Arial"/>
                <w:sz w:val="18"/>
                <w:szCs w:val="18"/>
                <w:color w:val="auto"/>
                <w:w w:val="83"/>
              </w:rPr>
              <w:t>46 years</w:t>
            </w:r>
          </w:p>
        </w:tc>
        <w:tc>
          <w:tcPr>
            <w:tcW w:w="380" w:type="dxa"/>
            <w:vAlign w:val="bottom"/>
          </w:tcPr>
          <w:p>
            <w:pPr>
              <w:spacing w:after="0"/>
              <w:rPr>
                <w:sz w:val="18"/>
                <w:szCs w:val="18"/>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8"/>
                <w:szCs w:val="18"/>
                <w:color w:val="auto"/>
              </w:rPr>
              <w:t>8.0 years</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Company has evaluated all subsequent events through the auditors’ report date, which is the date the financial statements were available for issuance.</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of the quarter ended March 31, 2020, the Company failed to meet the revenue requirements specified in the fifth amendment to the 2018 Notes. In accordance with the 2018 Notes, a cure of this failure can be achieved by receiving $10 million from the sale of the Company’s debt or equity securities, or a lesser amount if approved by the lender by June 30, 2020. If the Company does not receive this amount from the sale of the Company’s securities, amortization of payments for the 2018 Notes will become payable in 24 equal monthly installments beginning June 30, 2020. The Company intends to pursue the equity cure.</w:t>
      </w:r>
    </w:p>
    <w:p>
      <w:pPr>
        <w:spacing w:after="0" w:line="188"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In February 2020, the Company called the second mandatory closing of the December 2019 Notes for total cash proceeds of $3.0 million. In March 2020, the Company issued $10 million in convertible debt in two tranches of $5 million, with the first tranche being funded in March 2020. The terms of this debt were the same as the December 2019 Notes (see Note 6).</w:t>
      </w:r>
    </w:p>
    <w:p>
      <w:pPr>
        <w:spacing w:after="0" w:line="184"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 Although the Company is unable to estimate the financial effect of the pandemic, at this time, if the pandemic continues to evolve into a severe worldwide crisis, it could have a material adverse effect on the Company’s business, results of operations, financial condition, and cash flows. The financial statements do not reflect any adjustments as a result of the pandemic.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459" w:right="3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14—Reverse Stock Split</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On October 19, 2020, the Company obtained approval of an Amended and Restated Certificate of Incorporation effecting a 0.1684664-for-1 reverse stock split of its issued and outstanding common stock as converted. All common shares, stock options, and per share information presented in these financial statements and notes thereto have been adjusted, where applicable, to reflect the reverse stock split on a retroactive basis for all periods presented. The per share par value and authorized number of shares of the Company’s common stock were not adjusted as a result of the split.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80"/>
          </w:cols>
          <w:pgMar w:left="320" w:top="459" w:right="399" w:bottom="1440" w:gutter="0" w:footer="0" w:header="0"/>
        </w:sectPr>
      </w:pPr>
    </w:p>
    <w:bookmarkStart w:id="290" w:name="page291"/>
    <w:bookmarkEnd w:id="2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220345</wp:posOffset>
            </wp:positionV>
            <wp:extent cx="5366385" cy="69437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91" w:name="page292"/>
    <w:bookmarkEnd w:id="2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220345</wp:posOffset>
            </wp:positionV>
            <wp:extent cx="5366385" cy="69437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366385" cy="694372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(FINRA), filing fee and Nasdaq Global Market initial listing fee.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10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9,933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14,200</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360,000</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1,625,000</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w:t>
            </w:r>
          </w:p>
        </w:tc>
      </w:tr>
      <w:tr>
        <w:trPr>
          <w:trHeight w:val="223"/>
        </w:trPr>
        <w:tc>
          <w:tcPr>
            <w:tcW w:w="102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1,320,867</w:t>
            </w:r>
          </w:p>
        </w:tc>
        <w:tc>
          <w:tcPr>
            <w:tcW w:w="60" w:type="dxa"/>
            <w:vAlign w:val="bottom"/>
          </w:tcPr>
          <w:p>
            <w:pPr>
              <w:spacing w:after="0"/>
              <w:rPr>
                <w:sz w:val="19"/>
                <w:szCs w:val="19"/>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4,000,000</w:t>
            </w:r>
          </w:p>
        </w:tc>
      </w:tr>
      <w:tr>
        <w:trPr>
          <w:trHeight w:val="20"/>
        </w:trPr>
        <w:tc>
          <w:tcPr>
            <w:tcW w:w="30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300" w:firstLine="449"/>
        <w:spacing w:after="0" w:line="293"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(Securities Act). Our amended and restated certificate of incorporation to be in effect upon the closing of this offering allows for our indemnification of our directors, officers, employees and other agents to the maximum extent permitted by the Delaware General Corporation Law, and our amended and restated bylaws to be in effect upon the closing of this offering provide for indemnification of our directors and executive officers to the maximum extent permitted by the Delaware General Corporation Law.</w:t>
      </w:r>
    </w:p>
    <w:p>
      <w:pPr>
        <w:spacing w:after="0" w:line="164" w:lineRule="exact"/>
        <w:rPr>
          <w:sz w:val="20"/>
          <w:szCs w:val="20"/>
          <w:color w:val="auto"/>
        </w:rPr>
      </w:pPr>
    </w:p>
    <w:p>
      <w:pPr>
        <w:jc w:val="both"/>
        <w:ind w:right="40" w:firstLine="449"/>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Biodesix, Inc., provided that such director or officer acted in good faith and in a manner that the director or officer reasonably believed to be in, or not opposed to, the best interest of Biodesix, Inc.</w:t>
      </w:r>
    </w:p>
    <w:p>
      <w:pPr>
        <w:spacing w:after="0" w:line="188"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At present, there is no pending litigation or proceeding involving a director or officer of Biodesix, Inc. regarding which indemnification is sought, nor is the registrant aware of any threatened litigation that may result in claims for indemnification.</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underwriters are obligated, under certain circumstances, pursuant to the underwriting agreement to be filed as Exhibit 1.1 hereto, to indemnify us, our officers and our directors against liabilities under the Securities 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2017.</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Capital Stock</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In April 2017, May 2017, July 2017, December 2017 and February 2018, the Registrant sold an aggregate of 35,496,613 shares of Series G Preferred Stock to accredited investors, including to its directors and their respective affiliates, at a purchase price of $0.75 per share for an aggregate purchase price of approximately $26.6 million, including conversion of indebtedness.</w:t>
      </w:r>
    </w:p>
    <w:p>
      <w:pPr>
        <w:spacing w:after="0" w:line="18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In June 2018, the Registrant issued an aggregate of 10,649,904 shares of Series G Preferred Stock to Integrated Diagnostics as consideration for certain assets and liabilities. See “Business—Material Agreements.” The shares issued at closing also include 2,129,981 shares that were deposited in an escrow account to be used to satisfy any indemnification obligations of the seller that may arise.</w:t>
      </w:r>
    </w:p>
    <w:p>
      <w:pPr>
        <w:spacing w:after="0" w:line="184" w:lineRule="exact"/>
        <w:rPr>
          <w:sz w:val="20"/>
          <w:szCs w:val="20"/>
          <w:color w:val="auto"/>
        </w:rPr>
      </w:pPr>
    </w:p>
    <w:p>
      <w:pPr>
        <w:jc w:val="both"/>
        <w:ind w:right="400" w:firstLine="449"/>
        <w:spacing w:after="0" w:line="342" w:lineRule="auto"/>
        <w:rPr>
          <w:sz w:val="20"/>
          <w:szCs w:val="20"/>
          <w:color w:val="auto"/>
        </w:rPr>
      </w:pPr>
      <w:r>
        <w:rPr>
          <w:rFonts w:ascii="Arial" w:cs="Arial" w:eastAsia="Arial" w:hAnsi="Arial"/>
          <w:sz w:val="16"/>
          <w:szCs w:val="16"/>
          <w:color w:val="auto"/>
        </w:rPr>
        <w:t>In October 2018, February 2019 and May 2019, the Registrant sold an aggregate of 23,923,188 shares of Series H Preferred Stock to accredited investors at a purchase price of $1.15 per share for an aggregate purchase price of approximately $27.5 million, including conversion of indebtedness.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February 2018, the Registrant issued a warrant to purchase 613,333 shares of Series G Preferred Stock at an exercise price of $0.75 per share to a lender in connection with a loan agreement.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Promissory Note Issuances</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December 2019, the Registrant issued $6.0 million in convertible debt (the December 2019 Notes) that was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In the event of a corporate transaction, the unpaid principal and accrued interest shall become immediately due and payable in the same form of consideration and on the same terms and conditions as the consideration to be received by the holders of the Registrant’s equity securities in such transaction. The holders of the December 2019 Notes include a number of the Registrant’s directors and their affiliates.</w:t>
      </w:r>
    </w:p>
    <w:p>
      <w:pPr>
        <w:spacing w:after="0" w:line="16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August and September 2019 the Registrant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 in this offering. The Registrant may prepay the August 2019 Notes in whole or in part at any time with prior consent of at least two-thirds of the August 2019 noteholders. In the event of a corporate transaction, the unpaid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320" w:top="459" w:right="3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principal and accrued interest shall become immediately due and payable in the same form of consideration and on the same terms and conditions as the consideration to be received by the holders of the equity securities of the Registrant in such transaction. The holders of the August 2019 Notes include a number of the Registrant’s directors and their affiliates. In connection with the issuance of the December 2019 Notes, the conversion price of the August 2019 Notes was amended to 80% of the price per share paid for the preferred stock in the Qualified Financing or common stock in an IPO.</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 Restricted Stock Unit and Common Stock Issuances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From January 1, 2017 through October 15, 2020, the Registrant granted to certain of its directors, employees, consultants and other service providers options to purchase 2,668,934 shares of common stock with per share exercise prices ranging from $0.42 to $6.83 and have issued 160,265 shares of its common stock upon exercise of such options. From January 1, 2017 through October 15, 2020, the Registrant also granted an aggregate of 79,104 restricted stock units to certain of its directors. No shares of common stock have been issued upon vesting of such restricted stock units as of October 15, 2020.</w:t>
      </w:r>
    </w:p>
    <w:p>
      <w:pPr>
        <w:spacing w:after="0" w:line="18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Exhibits.</w:t>
      </w:r>
    </w:p>
    <w:p>
      <w:pPr>
        <w:spacing w:after="0" w:line="23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40" w:type="dxa"/>
            <w:vAlign w:val="bottom"/>
            <w:gridSpan w:val="3"/>
            <w:vMerge w:val="restart"/>
          </w:tcPr>
          <w:p>
            <w:pPr>
              <w:ind w:left="2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2"/>
          </w:tcPr>
          <w:p>
            <w:pPr>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r:id="rId368">
              <w:r>
                <w:rPr>
                  <w:rFonts w:ascii="Arial" w:cs="Arial" w:eastAsia="Arial" w:hAnsi="Arial"/>
                  <w:sz w:val="18"/>
                  <w:szCs w:val="18"/>
                  <w:u w:val="single" w:color="auto"/>
                  <w:color w:val="0000EE"/>
                </w:rPr>
                <w:t>Form of Underwriting Agreement.</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r:id="rId369">
              <w:r>
                <w:rPr>
                  <w:rFonts w:ascii="Arial" w:cs="Arial" w:eastAsia="Arial" w:hAnsi="Arial"/>
                  <w:sz w:val="18"/>
                  <w:szCs w:val="18"/>
                  <w:u w:val="single" w:color="auto"/>
                  <w:color w:val="0000EE"/>
                </w:rPr>
                <w:t>Fifteenth Amended and Restated Certificate of Incorporation of Biodesix, Inc., as currently in effect.</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color w:val="0000EE"/>
              </w:rPr>
            </w:pPr>
            <w:hyperlink r:id="rId370">
              <w:r>
                <w:rPr>
                  <w:rFonts w:ascii="Arial" w:cs="Arial" w:eastAsia="Arial" w:hAnsi="Arial"/>
                  <w:sz w:val="18"/>
                  <w:szCs w:val="18"/>
                  <w:u w:val="single" w:color="auto"/>
                  <w:color w:val="0000EE"/>
                </w:rPr>
                <w:t>Certificate of Amendment of the Fifteenth Amended and Restated Certificate of Incorporation of Biodesix,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w w:val="99"/>
              </w:rPr>
            </w:pPr>
            <w:hyperlink w:anchor="page300">
              <w:r>
                <w:rPr>
                  <w:rFonts w:ascii="Arial" w:cs="Arial" w:eastAsia="Arial" w:hAnsi="Arial"/>
                  <w:sz w:val="18"/>
                  <w:szCs w:val="18"/>
                  <w:u w:val="single" w:color="auto"/>
                  <w:color w:val="0000EE"/>
                  <w:w w:val="99"/>
                </w:rPr>
                <w:t>Form of Amended and Restated Certificate of Incorporation of Biodesix, Inc., to be in effect upon the closing of the offering.</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r:id="rId371">
              <w:r>
                <w:rPr>
                  <w:rFonts w:ascii="Arial" w:cs="Arial" w:eastAsia="Arial" w:hAnsi="Arial"/>
                  <w:sz w:val="18"/>
                  <w:szCs w:val="18"/>
                  <w:u w:val="single" w:color="auto"/>
                  <w:color w:val="0000EE"/>
                </w:rPr>
                <w:t>Amended and Restated Bylaws of Biodesix, Inc., as currently in effect.</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r:id="rId372">
              <w:r>
                <w:rPr>
                  <w:rFonts w:ascii="Arial" w:cs="Arial" w:eastAsia="Arial" w:hAnsi="Arial"/>
                  <w:sz w:val="18"/>
                  <w:szCs w:val="18"/>
                  <w:u w:val="single" w:color="auto"/>
                  <w:color w:val="0000EE"/>
                </w:rPr>
                <w:t>Form of Amended and Restated Bylaws of Biodesix, Inc., to be in effect upon the closing of the offering.</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color w:val="0000EE"/>
              </w:rPr>
            </w:pPr>
            <w:hyperlink r:id="rId373">
              <w:r>
                <w:rPr>
                  <w:rFonts w:ascii="Arial" w:cs="Arial" w:eastAsia="Arial" w:hAnsi="Arial"/>
                  <w:sz w:val="18"/>
                  <w:szCs w:val="18"/>
                  <w:u w:val="single" w:color="auto"/>
                  <w:color w:val="0000EE"/>
                </w:rPr>
                <w:t>Specimen stock certificate evidencing shares of Common Stock</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83"/>
        </w:trPr>
        <w:tc>
          <w:tcPr>
            <w:tcW w:w="540" w:type="dxa"/>
            <w:vAlign w:val="bottom"/>
            <w:gridSpan w:val="2"/>
          </w:tcPr>
          <w:p>
            <w:pPr>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4"/>
                <w:szCs w:val="24"/>
                <w:color w:val="auto"/>
              </w:rPr>
            </w:pPr>
          </w:p>
        </w:tc>
        <w:tc>
          <w:tcPr>
            <w:tcW w:w="9780" w:type="dxa"/>
            <w:vAlign w:val="bottom"/>
            <w:tcBorders>
              <w:bottom w:val="single" w:sz="8" w:color="0000EE"/>
            </w:tcBorders>
            <w:gridSpan w:val="4"/>
          </w:tcPr>
          <w:p>
            <w:pPr>
              <w:spacing w:after="0"/>
              <w:rPr>
                <w:rFonts w:ascii="Arial" w:cs="Arial" w:eastAsia="Arial" w:hAnsi="Arial"/>
                <w:sz w:val="18"/>
                <w:szCs w:val="18"/>
                <w:color w:val="0000EE"/>
                <w:w w:val="90"/>
              </w:rPr>
            </w:pPr>
            <w:hyperlink r:id="rId374">
              <w:r>
                <w:rPr>
                  <w:rFonts w:ascii="Arial" w:cs="Arial" w:eastAsia="Arial" w:hAnsi="Arial"/>
                  <w:sz w:val="18"/>
                  <w:szCs w:val="18"/>
                  <w:color w:val="0000EE"/>
                  <w:w w:val="90"/>
                </w:rPr>
                <w:t>Eleventh Amended and Restated Investor Rights Agreement, by and among Biodesix, Inc. and the investors listed on Exhibit A thereto,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374">
              <w:r>
                <w:rPr>
                  <w:rFonts w:ascii="Arial" w:cs="Arial" w:eastAsia="Arial" w:hAnsi="Arial"/>
                  <w:sz w:val="18"/>
                  <w:szCs w:val="18"/>
                  <w:color w:val="0000EE"/>
                  <w:w w:val="88"/>
                </w:rPr>
                <w:t>dated October 10, 2018.</w:t>
              </w:r>
            </w:hyperlink>
          </w:p>
        </w:tc>
        <w:tc>
          <w:tcPr>
            <w:tcW w:w="8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40" w:type="dxa"/>
            <w:vAlign w:val="bottom"/>
            <w:gridSpan w:val="2"/>
          </w:tcPr>
          <w:p>
            <w:pPr>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w w:val="97"/>
              </w:rPr>
            </w:pPr>
            <w:hyperlink r:id="rId375">
              <w:r>
                <w:rPr>
                  <w:rFonts w:ascii="Arial" w:cs="Arial" w:eastAsia="Arial" w:hAnsi="Arial"/>
                  <w:sz w:val="18"/>
                  <w:szCs w:val="18"/>
                  <w:u w:val="single" w:color="auto"/>
                  <w:color w:val="0000EE"/>
                  <w:w w:val="97"/>
                </w:rPr>
                <w:t>Warrant held by Innovatus Life Sciences Lending Fund I, LP, to Purchase Series G Preferred Stock, dated February 23, 3018.</w:t>
              </w:r>
            </w:hyperlink>
          </w:p>
        </w:tc>
        <w:tc>
          <w:tcPr>
            <w:tcW w:w="0" w:type="dxa"/>
            <w:vAlign w:val="bottom"/>
          </w:tcPr>
          <w:p>
            <w:pPr>
              <w:spacing w:after="0"/>
              <w:rPr>
                <w:sz w:val="1"/>
                <w:szCs w:val="1"/>
                <w:color w:val="auto"/>
              </w:rPr>
            </w:pP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4.4#</w:t>
            </w:r>
          </w:p>
        </w:tc>
        <w:tc>
          <w:tcPr>
            <w:tcW w:w="500" w:type="dxa"/>
            <w:vAlign w:val="bottom"/>
          </w:tcPr>
          <w:p>
            <w:pPr>
              <w:spacing w:after="0"/>
              <w:rPr>
                <w:sz w:val="24"/>
                <w:szCs w:val="24"/>
                <w:color w:val="auto"/>
              </w:rPr>
            </w:pPr>
          </w:p>
        </w:tc>
        <w:tc>
          <w:tcPr>
            <w:tcW w:w="9780" w:type="dxa"/>
            <w:vAlign w:val="bottom"/>
            <w:gridSpan w:val="4"/>
          </w:tcPr>
          <w:p>
            <w:pPr>
              <w:spacing w:after="0"/>
              <w:rPr>
                <w:rFonts w:ascii="Arial" w:cs="Arial" w:eastAsia="Arial" w:hAnsi="Arial"/>
                <w:sz w:val="18"/>
                <w:szCs w:val="18"/>
                <w:u w:val="single" w:color="auto"/>
                <w:color w:val="0000EE"/>
              </w:rPr>
            </w:pPr>
            <w:hyperlink r:id="rId376">
              <w:r>
                <w:rPr>
                  <w:rFonts w:ascii="Arial" w:cs="Arial" w:eastAsia="Arial" w:hAnsi="Arial"/>
                  <w:sz w:val="18"/>
                  <w:szCs w:val="18"/>
                  <w:u w:val="single" w:color="auto"/>
                  <w:color w:val="0000EE"/>
                </w:rPr>
                <w:t>Secured Promissory Note held by Innovatus Life Sciences Lending Fund I, LP, in Biodesix, Inc., dated February 23, 2018.</w:t>
              </w:r>
            </w:hyperlink>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40" w:type="dxa"/>
            <w:vAlign w:val="bottom"/>
            <w:gridSpan w:val="3"/>
          </w:tcPr>
          <w:p>
            <w:pPr>
              <w:ind w:left="260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Exhibit</w:t>
            </w:r>
          </w:p>
        </w:tc>
        <w:tc>
          <w:tcPr>
            <w:tcW w:w="1800" w:type="dxa"/>
            <w:vAlign w:val="bottom"/>
          </w:tcPr>
          <w:p>
            <w:pPr>
              <w:spacing w:after="0"/>
              <w:rPr>
                <w:sz w:val="14"/>
                <w:szCs w:val="14"/>
                <w:color w:val="auto"/>
              </w:rPr>
            </w:pPr>
          </w:p>
        </w:tc>
        <w:tc>
          <w:tcPr>
            <w:tcW w:w="8060" w:type="dxa"/>
            <w:vAlign w:val="bottom"/>
            <w:gridSpan w:val="5"/>
            <w:vMerge w:val="restart"/>
          </w:tcPr>
          <w:p>
            <w:pPr>
              <w:ind w:left="2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78">
              <w:r>
                <w:rPr>
                  <w:rFonts w:ascii="Arial" w:cs="Arial" w:eastAsia="Arial" w:hAnsi="Arial"/>
                  <w:sz w:val="18"/>
                  <w:szCs w:val="18"/>
                  <w:u w:val="single" w:color="auto"/>
                  <w:color w:val="0000EE"/>
                </w:rPr>
                <w:t>Form of Opinion of Sidley Austin LLP.</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79">
              <w:r>
                <w:rPr>
                  <w:rFonts w:ascii="Arial" w:cs="Arial" w:eastAsia="Arial" w:hAnsi="Arial"/>
                  <w:sz w:val="18"/>
                  <w:szCs w:val="18"/>
                  <w:u w:val="single" w:color="auto"/>
                  <w:color w:val="0000EE"/>
                </w:rPr>
                <w:t>Biodesix, Inc. Amended and Restated 2006 Employee, Director and Consultant Stock Plan, as amended to date.</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10.2.1+#</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80">
              <w:r>
                <w:rPr>
                  <w:rFonts w:ascii="Arial" w:cs="Arial" w:eastAsia="Arial" w:hAnsi="Arial"/>
                  <w:sz w:val="18"/>
                  <w:szCs w:val="18"/>
                  <w:u w:val="single" w:color="auto"/>
                  <w:color w:val="0000EE"/>
                </w:rPr>
                <w:t>Form of Stock Option Grant Notice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10.2.2+#</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81">
              <w:r>
                <w:rPr>
                  <w:rFonts w:ascii="Arial" w:cs="Arial" w:eastAsia="Arial" w:hAnsi="Arial"/>
                  <w:sz w:val="18"/>
                  <w:szCs w:val="18"/>
                  <w:u w:val="single" w:color="auto"/>
                  <w:color w:val="0000EE"/>
                </w:rPr>
                <w:t>Form of Option Agreement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10.2.3+#</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82">
              <w:r>
                <w:rPr>
                  <w:rFonts w:ascii="Arial" w:cs="Arial" w:eastAsia="Arial" w:hAnsi="Arial"/>
                  <w:sz w:val="18"/>
                  <w:szCs w:val="18"/>
                  <w:u w:val="single" w:color="auto"/>
                  <w:color w:val="0000EE"/>
                </w:rPr>
                <w:t>Form of Notice of Exercise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83">
              <w:r>
                <w:rPr>
                  <w:rFonts w:ascii="Arial" w:cs="Arial" w:eastAsia="Arial" w:hAnsi="Arial"/>
                  <w:sz w:val="18"/>
                  <w:szCs w:val="18"/>
                  <w:u w:val="single" w:color="auto"/>
                  <w:color w:val="0000EE"/>
                </w:rPr>
                <w:t>Biodesix, Inc. 2016 Equity Incentive Plan, as amended to date.</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10.4.1+#</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84">
              <w:r>
                <w:rPr>
                  <w:rFonts w:ascii="Arial" w:cs="Arial" w:eastAsia="Arial" w:hAnsi="Arial"/>
                  <w:sz w:val="18"/>
                  <w:szCs w:val="18"/>
                  <w:u w:val="single" w:color="auto"/>
                  <w:color w:val="0000EE"/>
                </w:rPr>
                <w:t>Form of Stock Option Grant Notice under the 2016 Equity Incentive Plan.</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10.4.2+#</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85">
              <w:r>
                <w:rPr>
                  <w:rFonts w:ascii="Arial" w:cs="Arial" w:eastAsia="Arial" w:hAnsi="Arial"/>
                  <w:sz w:val="18"/>
                  <w:szCs w:val="18"/>
                  <w:u w:val="single" w:color="auto"/>
                  <w:color w:val="0000EE"/>
                </w:rPr>
                <w:t>Form of Option Agreement under the 2016 Equity Incentive Plan.</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10.4.3+#</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86">
              <w:r>
                <w:rPr>
                  <w:rFonts w:ascii="Arial" w:cs="Arial" w:eastAsia="Arial" w:hAnsi="Arial"/>
                  <w:sz w:val="18"/>
                  <w:szCs w:val="18"/>
                  <w:u w:val="single" w:color="auto"/>
                  <w:color w:val="0000EE"/>
                </w:rPr>
                <w:t>Form of Notice of Exercise under the 2016 Equity Incentive Plan.</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w:anchor="page310">
              <w:r>
                <w:rPr>
                  <w:rFonts w:ascii="Arial" w:cs="Arial" w:eastAsia="Arial" w:hAnsi="Arial"/>
                  <w:sz w:val="18"/>
                  <w:szCs w:val="18"/>
                  <w:u w:val="single" w:color="auto"/>
                  <w:color w:val="0000EE"/>
                </w:rPr>
                <w:t>Biodesix, Inc. 2020 Equity Incentive Plan.</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w:anchor="page327">
              <w:r>
                <w:rPr>
                  <w:rFonts w:ascii="Arial" w:cs="Arial" w:eastAsia="Arial" w:hAnsi="Arial"/>
                  <w:sz w:val="18"/>
                  <w:szCs w:val="18"/>
                  <w:u w:val="single" w:color="auto"/>
                  <w:color w:val="0000EE"/>
                </w:rPr>
                <w:t>Biodesix, Inc. 2020 Employee Stock Purchase Plan.</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10.7.1+#</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color w:val="0000EE"/>
              </w:rPr>
            </w:pPr>
            <w:hyperlink r:id="rId387">
              <w:r>
                <w:rPr>
                  <w:rFonts w:ascii="Arial" w:cs="Arial" w:eastAsia="Arial" w:hAnsi="Arial"/>
                  <w:sz w:val="18"/>
                  <w:szCs w:val="18"/>
                  <w:u w:val="single" w:color="auto"/>
                  <w:color w:val="0000EE"/>
                </w:rPr>
                <w:t>Biodesix, Inc., First Amended Bonus-to-Options Program, adopted by the Board of Directors on October 15, 2010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10.7.2+#</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88">
              <w:r>
                <w:rPr>
                  <w:rFonts w:ascii="Arial" w:cs="Arial" w:eastAsia="Arial" w:hAnsi="Arial"/>
                  <w:sz w:val="18"/>
                  <w:szCs w:val="18"/>
                  <w:u w:val="single" w:color="auto"/>
                  <w:color w:val="0000EE"/>
                </w:rPr>
                <w:t>Biodesix, Inc., Second Amended Bonus-to-Options Program, adopted by the Board of Directors on June 21, 2011.</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10.7.3+#</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color w:val="0000EE"/>
              </w:rPr>
            </w:pPr>
            <w:hyperlink r:id="rId389">
              <w:r>
                <w:rPr>
                  <w:rFonts w:ascii="Arial" w:cs="Arial" w:eastAsia="Arial" w:hAnsi="Arial"/>
                  <w:sz w:val="18"/>
                  <w:szCs w:val="18"/>
                  <w:u w:val="single" w:color="auto"/>
                  <w:color w:val="0000EE"/>
                </w:rPr>
                <w:t>Biodesix, Inc., Third Amended Bonus-to-Options Program, adopted by the Board of Directors on December 31, 2015</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10.8.1+#</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90">
              <w:r>
                <w:rPr>
                  <w:rFonts w:ascii="Arial" w:cs="Arial" w:eastAsia="Arial" w:hAnsi="Arial"/>
                  <w:sz w:val="18"/>
                  <w:szCs w:val="18"/>
                  <w:u w:val="single" w:color="auto"/>
                  <w:color w:val="0000EE"/>
                </w:rPr>
                <w:t>Form of Stock Option Grant Notice under the Biodesix, Inc. Bonus-To-Options Program.</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10.8.2+#</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91">
              <w:r>
                <w:rPr>
                  <w:rFonts w:ascii="Arial" w:cs="Arial" w:eastAsia="Arial" w:hAnsi="Arial"/>
                  <w:sz w:val="18"/>
                  <w:szCs w:val="18"/>
                  <w:u w:val="single" w:color="auto"/>
                  <w:color w:val="0000EE"/>
                </w:rPr>
                <w:t>Form of Option Agreement under the Biodesix, Inc. Bonus-To-Options Program.</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u w:val="single" w:color="auto"/>
                <w:color w:val="0000EE"/>
              </w:rPr>
            </w:pPr>
            <w:hyperlink r:id="rId392">
              <w:r>
                <w:rPr>
                  <w:rFonts w:ascii="Arial" w:cs="Arial" w:eastAsia="Arial" w:hAnsi="Arial"/>
                  <w:sz w:val="18"/>
                  <w:szCs w:val="18"/>
                  <w:u w:val="single" w:color="auto"/>
                  <w:color w:val="0000EE"/>
                </w:rPr>
                <w:t>Form of Indemnification Agreement, by and between Biodesix, Inc. and each of its directors and executive officers.</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10.10.1†+#</w:t>
            </w:r>
          </w:p>
        </w:tc>
        <w:tc>
          <w:tcPr>
            <w:tcW w:w="9860" w:type="dxa"/>
            <w:vAlign w:val="bottom"/>
            <w:gridSpan w:val="6"/>
          </w:tcPr>
          <w:p>
            <w:pPr>
              <w:spacing w:after="0"/>
              <w:rPr>
                <w:rFonts w:ascii="Arial" w:cs="Arial" w:eastAsia="Arial" w:hAnsi="Arial"/>
                <w:sz w:val="18"/>
                <w:szCs w:val="18"/>
                <w:u w:val="single" w:color="auto"/>
                <w:color w:val="0000EE"/>
              </w:rPr>
            </w:pPr>
            <w:hyperlink r:id="rId393">
              <w:r>
                <w:rPr>
                  <w:rFonts w:ascii="Arial" w:cs="Arial" w:eastAsia="Arial" w:hAnsi="Arial"/>
                  <w:sz w:val="18"/>
                  <w:szCs w:val="18"/>
                  <w:u w:val="single" w:color="auto"/>
                  <w:color w:val="0000EE"/>
                </w:rPr>
                <w:t>Executive Employment Letter, by and between Biodesix, Inc. and Scott Hutton, dated February 16, 2018.</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10.10.2†+#</w:t>
            </w:r>
          </w:p>
        </w:tc>
        <w:tc>
          <w:tcPr>
            <w:tcW w:w="9860" w:type="dxa"/>
            <w:vAlign w:val="bottom"/>
            <w:gridSpan w:val="6"/>
          </w:tcPr>
          <w:p>
            <w:pPr>
              <w:spacing w:after="0"/>
              <w:rPr>
                <w:rFonts w:ascii="Arial" w:cs="Arial" w:eastAsia="Arial" w:hAnsi="Arial"/>
                <w:sz w:val="18"/>
                <w:szCs w:val="18"/>
                <w:u w:val="single" w:color="auto"/>
                <w:color w:val="0000EE"/>
              </w:rPr>
            </w:pPr>
            <w:hyperlink r:id="rId394">
              <w:r>
                <w:rPr>
                  <w:rFonts w:ascii="Arial" w:cs="Arial" w:eastAsia="Arial" w:hAnsi="Arial"/>
                  <w:sz w:val="18"/>
                  <w:szCs w:val="18"/>
                  <w:u w:val="single" w:color="auto"/>
                  <w:color w:val="0000EE"/>
                </w:rPr>
                <w:t>Executive Employment Letter, by and between Biodesix, Inc. and Scott Hutton, dated February 23, 2020.</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10.11.1†+#</w:t>
            </w:r>
          </w:p>
        </w:tc>
        <w:tc>
          <w:tcPr>
            <w:tcW w:w="9860" w:type="dxa"/>
            <w:vAlign w:val="bottom"/>
            <w:gridSpan w:val="6"/>
          </w:tcPr>
          <w:p>
            <w:pPr>
              <w:spacing w:after="0"/>
              <w:rPr>
                <w:rFonts w:ascii="Arial" w:cs="Arial" w:eastAsia="Arial" w:hAnsi="Arial"/>
                <w:sz w:val="18"/>
                <w:szCs w:val="18"/>
                <w:color w:val="0000EE"/>
              </w:rPr>
            </w:pPr>
            <w:hyperlink r:id="rId395">
              <w:r>
                <w:rPr>
                  <w:rFonts w:ascii="Arial" w:cs="Arial" w:eastAsia="Arial" w:hAnsi="Arial"/>
                  <w:sz w:val="18"/>
                  <w:szCs w:val="18"/>
                  <w:u w:val="single" w:color="auto"/>
                  <w:color w:val="0000EE"/>
                </w:rPr>
                <w:t>Employment Letter, by and between Biodesix, Inc. and Robin Harper Cowie, dated March 11, 2011</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10.11.2†+#</w:t>
            </w:r>
          </w:p>
        </w:tc>
        <w:tc>
          <w:tcPr>
            <w:tcW w:w="9860" w:type="dxa"/>
            <w:vAlign w:val="bottom"/>
            <w:gridSpan w:val="6"/>
          </w:tcPr>
          <w:p>
            <w:pPr>
              <w:spacing w:after="0"/>
              <w:rPr>
                <w:rFonts w:ascii="Arial" w:cs="Arial" w:eastAsia="Arial" w:hAnsi="Arial"/>
                <w:sz w:val="18"/>
                <w:szCs w:val="18"/>
                <w:color w:val="0000EE"/>
              </w:rPr>
            </w:pPr>
            <w:hyperlink r:id="rId396">
              <w:r>
                <w:rPr>
                  <w:rFonts w:ascii="Arial" w:cs="Arial" w:eastAsia="Arial" w:hAnsi="Arial"/>
                  <w:sz w:val="18"/>
                  <w:szCs w:val="18"/>
                  <w:u w:val="single" w:color="auto"/>
                  <w:color w:val="0000EE"/>
                </w:rPr>
                <w:t>Executive Employment Letter, by and between Biodesix, Inc. and Robin Harper Cowie, dated February 23,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10.12+#</w:t>
            </w:r>
          </w:p>
        </w:tc>
        <w:tc>
          <w:tcPr>
            <w:tcW w:w="380" w:type="dxa"/>
            <w:vAlign w:val="bottom"/>
          </w:tcPr>
          <w:p>
            <w:pPr>
              <w:spacing w:after="0"/>
              <w:rPr>
                <w:sz w:val="24"/>
                <w:szCs w:val="24"/>
                <w:color w:val="auto"/>
              </w:rPr>
            </w:pPr>
          </w:p>
        </w:tc>
        <w:tc>
          <w:tcPr>
            <w:tcW w:w="9860" w:type="dxa"/>
            <w:vAlign w:val="bottom"/>
            <w:gridSpan w:val="6"/>
          </w:tcPr>
          <w:p>
            <w:pPr>
              <w:spacing w:after="0"/>
              <w:rPr>
                <w:rFonts w:ascii="Arial" w:cs="Arial" w:eastAsia="Arial" w:hAnsi="Arial"/>
                <w:sz w:val="18"/>
                <w:szCs w:val="18"/>
                <w:color w:val="0000EE"/>
              </w:rPr>
            </w:pPr>
            <w:hyperlink r:id="rId397">
              <w:r>
                <w:rPr>
                  <w:rFonts w:ascii="Arial" w:cs="Arial" w:eastAsia="Arial" w:hAnsi="Arial"/>
                  <w:sz w:val="18"/>
                  <w:szCs w:val="18"/>
                  <w:u w:val="single" w:color="auto"/>
                  <w:color w:val="0000EE"/>
                </w:rPr>
                <w:t>Consulting Agreement, by and between David Brunel and Biodesix, Inc., dated September 19,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10.13†#</w:t>
            </w:r>
          </w:p>
        </w:tc>
        <w:tc>
          <w:tcPr>
            <w:tcW w:w="9860" w:type="dxa"/>
            <w:vAlign w:val="bottom"/>
            <w:gridSpan w:val="6"/>
          </w:tcPr>
          <w:p>
            <w:pPr>
              <w:spacing w:after="0"/>
              <w:rPr>
                <w:rFonts w:ascii="Arial" w:cs="Arial" w:eastAsia="Arial" w:hAnsi="Arial"/>
                <w:sz w:val="18"/>
                <w:szCs w:val="18"/>
                <w:u w:val="single" w:color="auto"/>
                <w:color w:val="0000EE"/>
              </w:rPr>
            </w:pPr>
            <w:hyperlink r:id="rId398">
              <w:r>
                <w:rPr>
                  <w:rFonts w:ascii="Arial" w:cs="Arial" w:eastAsia="Arial" w:hAnsi="Arial"/>
                  <w:sz w:val="18"/>
                  <w:szCs w:val="18"/>
                  <w:u w:val="single" w:color="auto"/>
                  <w:color w:val="0000EE"/>
                </w:rPr>
                <w:t>Office Lease between Aero-Tech Investments, LLC and Biodesix, Inc., dated October 5, 2011.</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Arial" w:cs="Arial" w:eastAsia="Arial" w:hAnsi="Arial"/>
                <w:sz w:val="18"/>
                <w:szCs w:val="18"/>
                <w:color w:val="auto"/>
              </w:rPr>
              <w:t>10.14†#</w:t>
            </w:r>
          </w:p>
        </w:tc>
        <w:tc>
          <w:tcPr>
            <w:tcW w:w="9860" w:type="dxa"/>
            <w:vAlign w:val="bottom"/>
            <w:gridSpan w:val="6"/>
          </w:tcPr>
          <w:p>
            <w:pPr>
              <w:spacing w:after="0"/>
              <w:rPr>
                <w:rFonts w:ascii="Arial" w:cs="Arial" w:eastAsia="Arial" w:hAnsi="Arial"/>
                <w:sz w:val="18"/>
                <w:szCs w:val="18"/>
                <w:u w:val="single" w:color="auto"/>
                <w:color w:val="0000EE"/>
              </w:rPr>
            </w:pPr>
            <w:hyperlink r:id="rId399">
              <w:r>
                <w:rPr>
                  <w:rFonts w:ascii="Arial" w:cs="Arial" w:eastAsia="Arial" w:hAnsi="Arial"/>
                  <w:sz w:val="18"/>
                  <w:szCs w:val="18"/>
                  <w:u w:val="single" w:color="auto"/>
                  <w:color w:val="0000EE"/>
                </w:rPr>
                <w:t>Lease Assignment of De Soto Facility, dated November 1, 2019.</w:t>
              </w:r>
            </w:hyperlink>
          </w:p>
        </w:tc>
        <w:tc>
          <w:tcPr>
            <w:tcW w:w="0" w:type="dxa"/>
            <w:vAlign w:val="bottom"/>
          </w:tcPr>
          <w:p>
            <w:pPr>
              <w:spacing w:after="0"/>
              <w:rPr>
                <w:sz w:val="1"/>
                <w:szCs w:val="1"/>
                <w:color w:val="auto"/>
              </w:rPr>
            </w:pPr>
          </w:p>
        </w:tc>
      </w:tr>
      <w:tr>
        <w:trPr>
          <w:trHeight w:val="283"/>
        </w:trPr>
        <w:tc>
          <w:tcPr>
            <w:tcW w:w="1140" w:type="dxa"/>
            <w:vAlign w:val="bottom"/>
            <w:gridSpan w:val="3"/>
          </w:tcPr>
          <w:p>
            <w:pPr>
              <w:spacing w:after="0"/>
              <w:rPr>
                <w:sz w:val="20"/>
                <w:szCs w:val="20"/>
                <w:color w:val="auto"/>
              </w:rPr>
            </w:pPr>
            <w:r>
              <w:rPr>
                <w:rFonts w:ascii="Arial" w:cs="Arial" w:eastAsia="Arial" w:hAnsi="Arial"/>
                <w:sz w:val="18"/>
                <w:szCs w:val="18"/>
                <w:color w:val="auto"/>
              </w:rPr>
              <w:t>10.15.1†#</w:t>
            </w:r>
          </w:p>
        </w:tc>
        <w:tc>
          <w:tcPr>
            <w:tcW w:w="9860" w:type="dxa"/>
            <w:vAlign w:val="bottom"/>
            <w:tcBorders>
              <w:bottom w:val="single" w:sz="8" w:color="0000EE"/>
            </w:tcBorders>
            <w:gridSpan w:val="6"/>
          </w:tcPr>
          <w:p>
            <w:pPr>
              <w:spacing w:after="0"/>
              <w:rPr>
                <w:rFonts w:ascii="Arial" w:cs="Arial" w:eastAsia="Arial" w:hAnsi="Arial"/>
                <w:sz w:val="18"/>
                <w:szCs w:val="18"/>
                <w:color w:val="0000EE"/>
                <w:w w:val="90"/>
              </w:rPr>
            </w:pPr>
            <w:hyperlink r:id="rId400">
              <w:r>
                <w:rPr>
                  <w:rFonts w:ascii="Arial" w:cs="Arial" w:eastAsia="Arial" w:hAnsi="Arial"/>
                  <w:sz w:val="18"/>
                  <w:szCs w:val="18"/>
                  <w:color w:val="0000EE"/>
                  <w:w w:val="90"/>
                </w:rPr>
                <w:t>Loan and Security Agreement, by and among Innovatus Life Sciences Lending Fund I, LP, the Lenders listed therein, and Biodesix, Inc.,</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EE"/>
              </w:rPr>
            </w:pPr>
            <w:hyperlink r:id="rId400">
              <w:r>
                <w:rPr>
                  <w:rFonts w:ascii="Arial" w:cs="Arial" w:eastAsia="Arial" w:hAnsi="Arial"/>
                  <w:sz w:val="18"/>
                  <w:szCs w:val="18"/>
                  <w:color w:val="0000EE"/>
                </w:rPr>
                <w:t>dated February 23, 2018.</w:t>
              </w:r>
            </w:hyperlink>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spacing w:after="0"/>
              <w:rPr>
                <w:sz w:val="20"/>
                <w:szCs w:val="20"/>
                <w:color w:val="auto"/>
              </w:rPr>
            </w:pPr>
            <w:r>
              <w:rPr>
                <w:rFonts w:ascii="Arial" w:cs="Arial" w:eastAsia="Arial" w:hAnsi="Arial"/>
                <w:sz w:val="18"/>
                <w:szCs w:val="18"/>
                <w:color w:val="auto"/>
              </w:rPr>
              <w:t>10.15.2†#</w:t>
            </w:r>
          </w:p>
        </w:tc>
        <w:tc>
          <w:tcPr>
            <w:tcW w:w="9860" w:type="dxa"/>
            <w:vAlign w:val="bottom"/>
            <w:gridSpan w:val="6"/>
          </w:tcPr>
          <w:p>
            <w:pPr>
              <w:spacing w:after="0"/>
              <w:rPr>
                <w:rFonts w:ascii="Arial" w:cs="Arial" w:eastAsia="Arial" w:hAnsi="Arial"/>
                <w:sz w:val="18"/>
                <w:szCs w:val="18"/>
                <w:color w:val="0000EE"/>
                <w:w w:val="91"/>
              </w:rPr>
            </w:pPr>
            <w:hyperlink r:id="rId401">
              <w:r>
                <w:rPr>
                  <w:rFonts w:ascii="Arial" w:cs="Arial" w:eastAsia="Arial" w:hAnsi="Arial"/>
                  <w:sz w:val="18"/>
                  <w:szCs w:val="18"/>
                  <w:color w:val="0000EE"/>
                  <w:w w:val="91"/>
                </w:rPr>
                <w:t>Limited Consent Agreement and Second Amendment to Loan and Security Agreement, by and among Innovatus Life Sciences Lending</w:t>
              </w:r>
            </w:hyperlink>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401">
              <w:r>
                <w:rPr>
                  <w:rFonts w:ascii="Arial" w:cs="Arial" w:eastAsia="Arial" w:hAnsi="Arial"/>
                  <w:sz w:val="18"/>
                  <w:szCs w:val="18"/>
                  <w:color w:val="0000EE"/>
                </w:rPr>
                <w:t>Fund I, LP, the Lenders listed therein, and Biodesix, Inc., dated June 30, 2018, as amended to date.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60" w:type="dxa"/>
            <w:vAlign w:val="bottom"/>
            <w:gridSpan w:val="2"/>
          </w:tcPr>
          <w:p>
            <w:pPr>
              <w:spacing w:after="0"/>
              <w:rPr>
                <w:sz w:val="20"/>
                <w:szCs w:val="20"/>
                <w:color w:val="auto"/>
              </w:rPr>
            </w:pPr>
            <w:r>
              <w:rPr>
                <w:rFonts w:ascii="Arial" w:cs="Arial" w:eastAsia="Arial" w:hAnsi="Arial"/>
                <w:sz w:val="18"/>
                <w:szCs w:val="18"/>
                <w:color w:val="auto"/>
              </w:rPr>
              <w:t>10.16#</w:t>
            </w:r>
          </w:p>
        </w:tc>
        <w:tc>
          <w:tcPr>
            <w:tcW w:w="380" w:type="dxa"/>
            <w:vAlign w:val="bottom"/>
          </w:tcPr>
          <w:p>
            <w:pPr>
              <w:spacing w:after="0"/>
              <w:rPr>
                <w:sz w:val="24"/>
                <w:szCs w:val="24"/>
                <w:color w:val="auto"/>
              </w:rPr>
            </w:pPr>
          </w:p>
        </w:tc>
        <w:tc>
          <w:tcPr>
            <w:tcW w:w="7100" w:type="dxa"/>
            <w:vAlign w:val="bottom"/>
            <w:tcBorders>
              <w:top w:val="single" w:sz="8" w:color="0000EE"/>
            </w:tcBorders>
            <w:gridSpan w:val="4"/>
          </w:tcPr>
          <w:p>
            <w:pPr>
              <w:spacing w:after="0"/>
              <w:rPr>
                <w:rFonts w:ascii="Arial" w:cs="Arial" w:eastAsia="Arial" w:hAnsi="Arial"/>
                <w:sz w:val="18"/>
                <w:szCs w:val="18"/>
                <w:u w:val="single" w:color="auto"/>
                <w:color w:val="0000EE"/>
                <w:w w:val="90"/>
              </w:rPr>
            </w:pPr>
            <w:hyperlink r:id="rId402">
              <w:r>
                <w:rPr>
                  <w:rFonts w:ascii="Arial" w:cs="Arial" w:eastAsia="Arial" w:hAnsi="Arial"/>
                  <w:sz w:val="18"/>
                  <w:szCs w:val="18"/>
                  <w:u w:val="single" w:color="auto"/>
                  <w:color w:val="0000EE"/>
                  <w:w w:val="90"/>
                </w:rPr>
                <w:t>Patent Assignment between Biodesix, Inc., and Integrated Diagnostics, Inc., dated June 30, 2018.</w:t>
              </w:r>
            </w:hyperlink>
          </w:p>
        </w:tc>
        <w:tc>
          <w:tcPr>
            <w:tcW w:w="2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60" w:type="dxa"/>
            <w:vAlign w:val="bottom"/>
            <w:gridSpan w:val="5"/>
          </w:tcPr>
          <w:p>
            <w:pPr>
              <w:ind w:left="254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960" w:type="dxa"/>
            <w:vAlign w:val="bottom"/>
            <w:gridSpan w:val="7"/>
            <w:vMerge w:val="restart"/>
          </w:tcPr>
          <w:p>
            <w:pPr>
              <w:ind w:left="2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10.17†#</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04">
              <w:r>
                <w:rPr>
                  <w:rFonts w:ascii="Arial" w:cs="Arial" w:eastAsia="Arial" w:hAnsi="Arial"/>
                  <w:sz w:val="18"/>
                  <w:szCs w:val="18"/>
                  <w:u w:val="single" w:color="auto"/>
                  <w:color w:val="0000EE"/>
                </w:rPr>
                <w:t>IP Assignment Agreement between Oncimmune Limited, and Biodesix, Inc., dated October 31, 2019.</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10.18†#</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rPr>
            </w:pPr>
            <w:hyperlink r:id="rId405">
              <w:r>
                <w:rPr>
                  <w:rFonts w:ascii="Arial" w:cs="Arial" w:eastAsia="Arial" w:hAnsi="Arial"/>
                  <w:sz w:val="18"/>
                  <w:szCs w:val="18"/>
                  <w:u w:val="single" w:color="auto"/>
                  <w:color w:val="0000EE"/>
                </w:rPr>
                <w:t>IP License Agreement between Oncimmune Limited, and Biodesix, Inc., dated October 31, 2019</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10.19†#</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06">
              <w:r>
                <w:rPr>
                  <w:rFonts w:ascii="Arial" w:cs="Arial" w:eastAsia="Arial" w:hAnsi="Arial"/>
                  <w:sz w:val="18"/>
                  <w:szCs w:val="18"/>
                  <w:u w:val="single" w:color="auto"/>
                  <w:color w:val="0000EE"/>
                </w:rPr>
                <w:t>Non-Exclusive License Agreement between Bio-Rad Laboratories, Inc., and Biodesix, Inc., dated August 1, 2019.</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10.20†#</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07">
              <w:r>
                <w:rPr>
                  <w:rFonts w:ascii="Arial" w:cs="Arial" w:eastAsia="Arial" w:hAnsi="Arial"/>
                  <w:sz w:val="18"/>
                  <w:szCs w:val="18"/>
                  <w:u w:val="single" w:color="auto"/>
                  <w:color w:val="0000EE"/>
                </w:rPr>
                <w:t>Supply Agreement between Biodesix, Inc., and Oncimmune, dated October 31, 2019.</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10.21†#</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08">
              <w:r>
                <w:rPr>
                  <w:rFonts w:ascii="Arial" w:cs="Arial" w:eastAsia="Arial" w:hAnsi="Arial"/>
                  <w:sz w:val="18"/>
                  <w:szCs w:val="18"/>
                  <w:u w:val="single" w:color="auto"/>
                  <w:color w:val="0000EE"/>
                </w:rPr>
                <w:t>Supply Agreement between Bio-Rad Laboratories, Inc., and Biodesix, Inc., dated August 1, 2019.</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10.22†#</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0"/>
              </w:rPr>
            </w:pPr>
            <w:hyperlink r:id="rId409">
              <w:r>
                <w:rPr>
                  <w:rFonts w:ascii="Arial" w:cs="Arial" w:eastAsia="Arial" w:hAnsi="Arial"/>
                  <w:sz w:val="18"/>
                  <w:szCs w:val="18"/>
                  <w:color w:val="0000EE"/>
                  <w:w w:val="90"/>
                </w:rPr>
                <w:t>Co-Development and Collaboration Agreement between AVEO Pharmaceuticals, Inc., and Biodesix, Inc., dated April 9, 2014, as amended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409">
              <w:r>
                <w:rPr>
                  <w:rFonts w:ascii="Arial" w:cs="Arial" w:eastAsia="Arial" w:hAnsi="Arial"/>
                  <w:sz w:val="18"/>
                  <w:szCs w:val="18"/>
                  <w:color w:val="0000EE"/>
                </w:rPr>
                <w:t>October 14, 2016.</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10.23†#</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w w:val="95"/>
              </w:rPr>
            </w:pPr>
            <w:hyperlink r:id="rId410">
              <w:r>
                <w:rPr>
                  <w:rFonts w:ascii="Arial" w:cs="Arial" w:eastAsia="Arial" w:hAnsi="Arial"/>
                  <w:sz w:val="18"/>
                  <w:szCs w:val="18"/>
                  <w:u w:val="single" w:color="auto"/>
                  <w:color w:val="0000EE"/>
                  <w:w w:val="95"/>
                </w:rPr>
                <w:t>Contingent Value Rights Agreement between Biodesix, Inc. and Holders on Schedule A mentioned within, dated February 22, 2016.</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10.24†#</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1"/>
              </w:rPr>
            </w:pPr>
            <w:hyperlink r:id="rId411">
              <w:r>
                <w:rPr>
                  <w:rFonts w:ascii="Arial" w:cs="Arial" w:eastAsia="Arial" w:hAnsi="Arial"/>
                  <w:sz w:val="18"/>
                  <w:szCs w:val="18"/>
                  <w:color w:val="0000EE"/>
                  <w:w w:val="91"/>
                </w:rPr>
                <w:t>Asset Purchase Agreement among Biodesix, Inc., Integrated Diagnostics, Inc., and the stockholders of Integrated Diagnostics, Inc., listed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411">
              <w:r>
                <w:rPr>
                  <w:rFonts w:ascii="Arial" w:cs="Arial" w:eastAsia="Arial" w:hAnsi="Arial"/>
                  <w:sz w:val="18"/>
                  <w:szCs w:val="18"/>
                  <w:color w:val="0000EE"/>
                  <w:w w:val="87"/>
                </w:rPr>
                <w:t>therein, dated June 30, 2018.</w:t>
              </w:r>
            </w:hyperlink>
          </w:p>
        </w:tc>
        <w:tc>
          <w:tcPr>
            <w:tcW w:w="780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10.25†#</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rPr>
            </w:pPr>
            <w:hyperlink r:id="rId412">
              <w:r>
                <w:rPr>
                  <w:rFonts w:ascii="Arial" w:cs="Arial" w:eastAsia="Arial" w:hAnsi="Arial"/>
                  <w:sz w:val="18"/>
                  <w:szCs w:val="18"/>
                  <w:u w:val="single" w:color="auto"/>
                  <w:color w:val="0000EE"/>
                </w:rPr>
                <w:t>Asset Purchase Agreement between Oncimmune Limited and Biodesix, Inc., dated June 27, 2019, as amended to date</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10.26†#</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w w:val="92"/>
              </w:rPr>
            </w:pPr>
            <w:hyperlink r:id="rId413">
              <w:r>
                <w:rPr>
                  <w:rFonts w:ascii="Arial" w:cs="Arial" w:eastAsia="Arial" w:hAnsi="Arial"/>
                  <w:sz w:val="18"/>
                  <w:szCs w:val="18"/>
                  <w:u w:val="single" w:color="auto"/>
                  <w:color w:val="0000EE"/>
                  <w:w w:val="92"/>
                </w:rPr>
                <w:t>COVID-19 Testing Laboratory Services Agreement by and between Biodesix, Inc., and Centura Health Corporation, dated April 3, 2020.</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10.27†#</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3"/>
              </w:rPr>
            </w:pPr>
            <w:hyperlink r:id="rId414">
              <w:r>
                <w:rPr>
                  <w:rFonts w:ascii="Arial" w:cs="Arial" w:eastAsia="Arial" w:hAnsi="Arial"/>
                  <w:sz w:val="18"/>
                  <w:szCs w:val="18"/>
                  <w:color w:val="0000EE"/>
                  <w:w w:val="93"/>
                </w:rPr>
                <w:t>First Amendment to COVID-19 Testing Laboratory Services Agreement by and between Biodesix, Inc. and Centura Health Corporation,</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414">
              <w:r>
                <w:rPr>
                  <w:rFonts w:ascii="Arial" w:cs="Arial" w:eastAsia="Arial" w:hAnsi="Arial"/>
                  <w:sz w:val="18"/>
                  <w:szCs w:val="18"/>
                  <w:color w:val="0000EE"/>
                  <w:w w:val="91"/>
                </w:rPr>
                <w:t>dated April 23, 2020.</w:t>
              </w:r>
            </w:hyperlink>
          </w:p>
        </w:tc>
        <w:tc>
          <w:tcPr>
            <w:tcW w:w="8300" w:type="dxa"/>
            <w:vAlign w:val="bottom"/>
            <w:tcBorders>
              <w:top w:val="single" w:sz="8" w:color="0000EE"/>
            </w:tcBorders>
            <w:gridSpan w:val="5"/>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10.28†#</w:t>
            </w:r>
          </w:p>
        </w:tc>
        <w:tc>
          <w:tcPr>
            <w:tcW w:w="500" w:type="dxa"/>
            <w:vAlign w:val="bottom"/>
          </w:tcPr>
          <w:p>
            <w:pPr>
              <w:spacing w:after="0"/>
              <w:rPr>
                <w:sz w:val="24"/>
                <w:szCs w:val="24"/>
                <w:color w:val="auto"/>
              </w:rPr>
            </w:pPr>
          </w:p>
        </w:tc>
        <w:tc>
          <w:tcPr>
            <w:tcW w:w="10040" w:type="dxa"/>
            <w:vAlign w:val="bottom"/>
            <w:tcBorders>
              <w:bottom w:val="single" w:sz="8" w:color="0000EE"/>
            </w:tcBorders>
            <w:gridSpan w:val="12"/>
          </w:tcPr>
          <w:p>
            <w:pPr>
              <w:spacing w:after="0"/>
              <w:rPr>
                <w:rFonts w:ascii="Arial" w:cs="Arial" w:eastAsia="Arial" w:hAnsi="Arial"/>
                <w:sz w:val="18"/>
                <w:szCs w:val="18"/>
                <w:color w:val="0000EE"/>
                <w:w w:val="90"/>
              </w:rPr>
            </w:pPr>
            <w:hyperlink r:id="rId415">
              <w:r>
                <w:rPr>
                  <w:rFonts w:ascii="Arial" w:cs="Arial" w:eastAsia="Arial" w:hAnsi="Arial"/>
                  <w:sz w:val="18"/>
                  <w:szCs w:val="18"/>
                  <w:color w:val="0000EE"/>
                  <w:w w:val="90"/>
                </w:rPr>
                <w:t>Second Amendment to COVID-19 Testing Laboratory Services Agreement by and between Biodesix, Inc. and Centura Health Corporation,</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40" w:type="dxa"/>
            <w:vAlign w:val="bottom"/>
            <w:gridSpan w:val="12"/>
          </w:tcPr>
          <w:p>
            <w:pPr>
              <w:spacing w:after="0" w:line="196" w:lineRule="exact"/>
              <w:rPr>
                <w:rFonts w:ascii="Arial" w:cs="Arial" w:eastAsia="Arial" w:hAnsi="Arial"/>
                <w:sz w:val="18"/>
                <w:szCs w:val="18"/>
                <w:color w:val="0000EE"/>
              </w:rPr>
            </w:pPr>
            <w:hyperlink r:id="rId415">
              <w:r>
                <w:rPr>
                  <w:rFonts w:ascii="Arial" w:cs="Arial" w:eastAsia="Arial" w:hAnsi="Arial"/>
                  <w:sz w:val="18"/>
                  <w:szCs w:val="18"/>
                  <w:color w:val="0000EE"/>
                </w:rPr>
                <w:t>dated May 27, 2020.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3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10.29†#</w:t>
            </w:r>
          </w:p>
        </w:tc>
        <w:tc>
          <w:tcPr>
            <w:tcW w:w="50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Arial" w:cs="Arial" w:eastAsia="Arial" w:hAnsi="Arial"/>
                <w:sz w:val="18"/>
                <w:szCs w:val="18"/>
                <w:color w:val="0000EE"/>
                <w:w w:val="91"/>
              </w:rPr>
            </w:pPr>
            <w:hyperlink r:id="rId416">
              <w:r>
                <w:rPr>
                  <w:rFonts w:ascii="Arial" w:cs="Arial" w:eastAsia="Arial" w:hAnsi="Arial"/>
                  <w:sz w:val="18"/>
                  <w:szCs w:val="18"/>
                  <w:color w:val="0000EE"/>
                  <w:w w:val="91"/>
                </w:rPr>
                <w:t>Third Amendment to COVID-19 Testing Laboratory Services Agreement by and between Biodesix, Inc. and Centura Health Corporation,</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40" w:type="dxa"/>
            <w:vAlign w:val="bottom"/>
            <w:gridSpan w:val="12"/>
          </w:tcPr>
          <w:p>
            <w:pPr>
              <w:spacing w:after="0" w:line="196" w:lineRule="exact"/>
              <w:rPr>
                <w:rFonts w:ascii="Arial" w:cs="Arial" w:eastAsia="Arial" w:hAnsi="Arial"/>
                <w:sz w:val="18"/>
                <w:szCs w:val="18"/>
                <w:color w:val="0000EE"/>
              </w:rPr>
            </w:pPr>
            <w:hyperlink r:id="rId416">
              <w:r>
                <w:rPr>
                  <w:rFonts w:ascii="Arial" w:cs="Arial" w:eastAsia="Arial" w:hAnsi="Arial"/>
                  <w:sz w:val="18"/>
                  <w:szCs w:val="18"/>
                  <w:color w:val="0000EE"/>
                </w:rPr>
                <w:t>dated August 7, 2020.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10.30†#</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2"/>
              </w:rPr>
            </w:pPr>
            <w:hyperlink r:id="rId417">
              <w:r>
                <w:rPr>
                  <w:rFonts w:ascii="Arial" w:cs="Arial" w:eastAsia="Arial" w:hAnsi="Arial"/>
                  <w:sz w:val="18"/>
                  <w:szCs w:val="18"/>
                  <w:u w:val="single" w:color="auto"/>
                  <w:color w:val="0000EE"/>
                  <w:w w:val="92"/>
                </w:rPr>
                <w:t>Contract Agreement between Biodesix, Inc. and the Colorado Department of Public Health and Environment, dated September 11, 2020</w:t>
              </w:r>
              <w:r>
                <w:rPr>
                  <w:rFonts w:ascii="Arial" w:cs="Arial" w:eastAsia="Arial" w:hAnsi="Arial"/>
                  <w:sz w:val="18"/>
                  <w:szCs w:val="18"/>
                  <w:color w:val="0000EE"/>
                  <w:w w:val="92"/>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10.31†#</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18">
              <w:r>
                <w:rPr>
                  <w:rFonts w:ascii="Arial" w:cs="Arial" w:eastAsia="Arial" w:hAnsi="Arial"/>
                  <w:sz w:val="18"/>
                  <w:szCs w:val="18"/>
                  <w:u w:val="single" w:color="auto"/>
                  <w:color w:val="0000EE"/>
                </w:rPr>
                <w:t>Material Transfer Agreement by and between Biodesix, Inc. and Bio-Rad Laboratories, Inc., dated March 23,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10.32†#</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w w:val="95"/>
              </w:rPr>
            </w:pPr>
            <w:hyperlink r:id="rId419">
              <w:r>
                <w:rPr>
                  <w:rFonts w:ascii="Arial" w:cs="Arial" w:eastAsia="Arial" w:hAnsi="Arial"/>
                  <w:sz w:val="18"/>
                  <w:szCs w:val="18"/>
                  <w:u w:val="single" w:color="auto"/>
                  <w:color w:val="0000EE"/>
                  <w:w w:val="95"/>
                </w:rPr>
                <w:t>First Amendment to Material Transfer Agreement by and between Biodesix, Inc. and Bio-Rad Laboratories, Inc. dated April 3,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10.33†#</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rPr>
            </w:pPr>
            <w:hyperlink r:id="rId420">
              <w:r>
                <w:rPr>
                  <w:rFonts w:ascii="Arial" w:cs="Arial" w:eastAsia="Arial" w:hAnsi="Arial"/>
                  <w:sz w:val="18"/>
                  <w:szCs w:val="18"/>
                  <w:u w:val="single" w:color="auto"/>
                  <w:color w:val="0000EE"/>
                </w:rPr>
                <w:t>Material Transfer Agreement by and between Biodesix, Inc. and Bio-Rad Laboratories, Inc., dated April 17, 2020</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5"/>
              </w:rPr>
              <w:t>10.34†#</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21">
              <w:r>
                <w:rPr>
                  <w:rFonts w:ascii="Arial" w:cs="Arial" w:eastAsia="Arial" w:hAnsi="Arial"/>
                  <w:sz w:val="18"/>
                  <w:szCs w:val="18"/>
                  <w:u w:val="single" w:color="auto"/>
                  <w:color w:val="0000EE"/>
                </w:rPr>
                <w:t>Price Agreement by and between Biodesix, Inc. and Bio-Rad Laboratories, Inc., dated May 12,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10.35#</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22">
              <w:r>
                <w:rPr>
                  <w:rFonts w:ascii="Arial" w:cs="Arial" w:eastAsia="Arial" w:hAnsi="Arial"/>
                  <w:sz w:val="18"/>
                  <w:szCs w:val="18"/>
                  <w:u w:val="single" w:color="auto"/>
                  <w:color w:val="0000EE"/>
                </w:rPr>
                <w:t>Letter from Bio-Rad Laboratories, Inc. dated August 7,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10.36#</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23">
              <w:r>
                <w:rPr>
                  <w:rFonts w:ascii="Arial" w:cs="Arial" w:eastAsia="Arial" w:hAnsi="Arial"/>
                  <w:sz w:val="18"/>
                  <w:szCs w:val="18"/>
                  <w:u w:val="single" w:color="auto"/>
                  <w:color w:val="0000EE"/>
                </w:rPr>
                <w:t>Letter from Bio-Rad Laboratories, Inc. dated August 14,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w:anchor="page337">
              <w:r>
                <w:rPr>
                  <w:rFonts w:ascii="Arial" w:cs="Arial" w:eastAsia="Arial" w:hAnsi="Arial"/>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378">
              <w:r>
                <w:rPr>
                  <w:rFonts w:ascii="Arial" w:cs="Arial" w:eastAsia="Arial" w:hAnsi="Arial"/>
                  <w:sz w:val="18"/>
                  <w:szCs w:val="18"/>
                  <w:u w:val="single" w:color="auto"/>
                  <w:color w:val="0000EE"/>
                </w:rPr>
                <w:t>Consent of Sidley Austin LLP (included in Exhibit 5.1).</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u w:val="single" w:color="auto"/>
                <w:color w:val="0000EE"/>
              </w:rPr>
            </w:pPr>
            <w:hyperlink r:id="rId424">
              <w:r>
                <w:rPr>
                  <w:rFonts w:ascii="Arial" w:cs="Arial" w:eastAsia="Arial" w:hAnsi="Arial"/>
                  <w:sz w:val="18"/>
                  <w:szCs w:val="18"/>
                  <w:u w:val="single" w:color="auto"/>
                  <w:color w:val="0000EE"/>
                </w:rPr>
                <w:t>Power of Attorney.</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60" w:right="20" w:hanging="452"/>
        <w:spacing w:after="0" w:line="250"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line="1"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320" w:top="459" w:right="39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financial statements or the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32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00" w:right="220" w:hanging="432"/>
        <w:spacing w:after="0" w:line="291" w:lineRule="auto"/>
        <w:tabs>
          <w:tab w:leader="none" w:pos="10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will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60" w:hanging="432"/>
        <w:spacing w:after="0" w:line="263"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320" w:top="459" w:right="3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Boulder, State of Colorado on this 23rd day of October, 2020.</w:t>
      </w:r>
    </w:p>
    <w:p>
      <w:pPr>
        <w:spacing w:after="0" w:line="48"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BIODESIX, INC.</w:t>
      </w:r>
    </w:p>
    <w:p>
      <w:pPr>
        <w:spacing w:after="0" w:line="229"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Scott Hutton</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ind w:left="80"/>
              <w:spacing w:after="0"/>
              <w:rPr>
                <w:sz w:val="20"/>
                <w:szCs w:val="20"/>
                <w:color w:val="auto"/>
              </w:rPr>
            </w:pPr>
            <w:r>
              <w:rPr>
                <w:rFonts w:ascii="Arial" w:cs="Arial" w:eastAsia="Arial" w:hAnsi="Arial"/>
                <w:sz w:val="18"/>
                <w:szCs w:val="18"/>
                <w:color w:val="auto"/>
              </w:rPr>
              <w:t>Scott Hutton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8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2"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920" w:type="dxa"/>
            <w:vAlign w:val="bottom"/>
            <w:gridSpan w:val="2"/>
          </w:tcPr>
          <w:p>
            <w:pPr>
              <w:ind w:left="1320"/>
              <w:spacing w:after="0"/>
              <w:rPr>
                <w:sz w:val="20"/>
                <w:szCs w:val="20"/>
                <w:color w:val="auto"/>
              </w:rPr>
            </w:pPr>
            <w:r>
              <w:rPr>
                <w:rFonts w:ascii="Arial" w:cs="Arial" w:eastAsia="Arial" w:hAnsi="Arial"/>
                <w:sz w:val="14"/>
                <w:szCs w:val="14"/>
                <w:b w:val="1"/>
                <w:bCs w:val="1"/>
                <w:color w:val="auto"/>
                <w:w w:val="89"/>
              </w:rPr>
              <w:t>Signature</w:t>
            </w: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50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8"/>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Hutton</w:t>
            </w: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President, Chief Executive Officer and 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23,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Scott Hutton</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Robin Harper Cowie</w:t>
            </w: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Chief Financial Officer, Secretary and Treasurer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23,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Robin Harper Cowie</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Chairman and 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23,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John Patience</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23,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Jack Schuler</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23,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Matthew Strobeck, Ph.D.</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23,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Charles Watts, M.D.</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23,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Jean Franchi</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532"/>
              <w:spacing w:after="0"/>
              <w:rPr>
                <w:sz w:val="20"/>
                <w:szCs w:val="20"/>
                <w:color w:val="auto"/>
              </w:rPr>
            </w:pPr>
            <w:r>
              <w:rPr>
                <w:rFonts w:ascii="Arial" w:cs="Arial" w:eastAsia="Arial" w:hAnsi="Arial"/>
                <w:sz w:val="18"/>
                <w:szCs w:val="18"/>
                <w:color w:val="auto"/>
                <w:w w:val="89"/>
              </w:rPr>
              <w:t>October 23, 2020</w:t>
            </w:r>
          </w:p>
        </w:tc>
      </w:tr>
      <w:tr>
        <w:trPr>
          <w:trHeight w:val="224"/>
        </w:trPr>
        <w:tc>
          <w:tcPr>
            <w:tcW w:w="2340" w:type="dxa"/>
            <w:vAlign w:val="bottom"/>
            <w:gridSpan w:val="3"/>
          </w:tcPr>
          <w:p>
            <w:pPr>
              <w:spacing w:after="0"/>
              <w:rPr>
                <w:sz w:val="20"/>
                <w:szCs w:val="20"/>
                <w:color w:val="auto"/>
              </w:rPr>
            </w:pPr>
            <w:r>
              <w:rPr>
                <w:rFonts w:ascii="Arial" w:cs="Arial" w:eastAsia="Arial" w:hAnsi="Arial"/>
                <w:sz w:val="18"/>
                <w:szCs w:val="18"/>
                <w:color w:val="auto"/>
              </w:rPr>
              <w:t>Hany Massarany</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566"/>
        </w:trPr>
        <w:tc>
          <w:tcPr>
            <w:tcW w:w="2340" w:type="dxa"/>
            <w:vAlign w:val="bottom"/>
            <w:gridSpan w:val="3"/>
          </w:tcPr>
          <w:p>
            <w:pPr>
              <w:spacing w:after="0"/>
              <w:rPr>
                <w:sz w:val="20"/>
                <w:szCs w:val="20"/>
                <w:color w:val="auto"/>
              </w:rPr>
            </w:pPr>
            <w:r>
              <w:rPr>
                <w:rFonts w:ascii="Arial" w:cs="Arial" w:eastAsia="Arial" w:hAnsi="Arial"/>
                <w:sz w:val="18"/>
                <w:szCs w:val="18"/>
                <w:color w:val="auto"/>
              </w:rPr>
              <w:t>By:  /s/ Robin Harper Cowie</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9"/>
        </w:trPr>
        <w:tc>
          <w:tcPr>
            <w:tcW w:w="420" w:type="dxa"/>
            <w:vAlign w:val="bottom"/>
          </w:tcPr>
          <w:p>
            <w:pPr>
              <w:spacing w:after="0"/>
              <w:rPr>
                <w:sz w:val="18"/>
                <w:szCs w:val="18"/>
                <w:color w:val="auto"/>
              </w:rPr>
            </w:pPr>
          </w:p>
        </w:tc>
        <w:tc>
          <w:tcPr>
            <w:tcW w:w="19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Robin Harper Cowie</w:t>
            </w:r>
          </w:p>
        </w:tc>
        <w:tc>
          <w:tcPr>
            <w:tcW w:w="1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Attorney-in-Fact</w:t>
            </w: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ectPr>
          <w:pgSz w:w="11900" w:h="16838" w:orient="portrait"/>
          <w:cols w:equalWidth="0" w:num="1">
            <w:col w:w="11240"/>
          </w:cols>
          <w:pgMar w:left="320" w:top="459" w:right="3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BIODESIX,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Biodesix, Inc., a corporation organized and existing under the laws of the State of Delaware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hereby certifies as follows:</w:t>
      </w:r>
    </w:p>
    <w:p>
      <w:pPr>
        <w:spacing w:after="0" w:line="129" w:lineRule="exact"/>
        <w:rPr>
          <w:sz w:val="20"/>
          <w:szCs w:val="20"/>
          <w:color w:val="auto"/>
        </w:rPr>
      </w:pPr>
    </w:p>
    <w:p>
      <w:pPr>
        <w:ind w:right="480" w:firstLine="457"/>
        <w:spacing w:after="0" w:line="342" w:lineRule="auto"/>
        <w:tabs>
          <w:tab w:leader="none" w:pos="84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name of the Corporation is Biodesix, Inc. The Corporation was originally incorporated under the name Elston Technologies, Inc. The Corporation’s original certificate of incorporation was filed with the office of the Secretary of State of the State of Delaware on December 23, 2005.</w:t>
      </w:r>
    </w:p>
    <w:p>
      <w:pPr>
        <w:spacing w:after="0" w:line="123" w:lineRule="exact"/>
        <w:rPr>
          <w:rFonts w:ascii="Arial" w:cs="Arial" w:eastAsia="Arial" w:hAnsi="Arial"/>
          <w:sz w:val="16"/>
          <w:szCs w:val="16"/>
          <w:color w:val="auto"/>
        </w:rPr>
      </w:pPr>
    </w:p>
    <w:p>
      <w:pPr>
        <w:ind w:right="80" w:firstLine="457"/>
        <w:spacing w:after="0" w:line="311" w:lineRule="auto"/>
        <w:tabs>
          <w:tab w:leader="none" w:pos="83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was duly adopted in accordance with Sections 242 and 245 of the General Corporation Law of the State of Delaware, as amended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restates and amends the provisions of the Corporation’s certificate of incorporation and has been duly approved by the written consent of the stockholders of the Corporation in accordance with Section 228 of the DGCL.</w:t>
      </w:r>
    </w:p>
    <w:p>
      <w:pPr>
        <w:spacing w:after="0" w:line="148" w:lineRule="exact"/>
        <w:rPr>
          <w:rFonts w:ascii="Arial" w:cs="Arial" w:eastAsia="Arial" w:hAnsi="Arial"/>
          <w:sz w:val="16"/>
          <w:szCs w:val="16"/>
          <w:color w:val="auto"/>
        </w:rPr>
      </w:pPr>
    </w:p>
    <w:p>
      <w:pPr>
        <w:ind w:left="840" w:hanging="383"/>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this Corporation is hereby amended and restated to read in its entirety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Biodesix,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REGISTERED OFFICE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address of the Corporation’s registered office in the State of Delaware is 1209 Orange Street, City of Wilmington, County of New Castle, 19801.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name of its registered agent at such address is The Corporation Trust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PURPOSE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ectPr>
          <w:pgSz w:w="11900" w:h="16838" w:orient="portrait"/>
          <w:cols w:equalWidth="0" w:num="1">
            <w:col w:w="11240"/>
          </w:cols>
          <w:pgMar w:left="320" w:top="121" w:right="339" w:bottom="1440" w:gutter="0" w:footer="0" w:header="0"/>
        </w:sectPr>
      </w:pPr>
    </w:p>
    <w:bookmarkStart w:id="300" w:name="page301"/>
    <w:bookmarkEnd w:id="30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103"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all classes of capital stock that the Corporation is authorized to issue is 205,000,000 shares, consisting of 200,000,000 shares of common stock, par value $0.001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5,000,000 shares of preferred stock, par value $0.001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4"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Increase or Decrease in Authorized Capital Stock</w:t>
      </w:r>
      <w:r>
        <w:rPr>
          <w:rFonts w:ascii="Arial" w:cs="Arial" w:eastAsia="Arial" w:hAnsi="Arial"/>
          <w:sz w:val="17"/>
          <w:szCs w:val="17"/>
          <w:color w:val="auto"/>
        </w:rPr>
        <w:t xml:space="preserve">. The number of authorized shares of Common Stock or Preferred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of this amended and restated certificate of incorporation of the Corporation (as further amended from time to time in accordance with the provisions hereof and including, without limitation, the terms of any certificate of designation with respect to any series of Preferred Stock, this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w:t>
      </w:r>
    </w:p>
    <w:p>
      <w:pPr>
        <w:spacing w:after="0" w:line="17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firstLine="457"/>
        <w:spacing w:after="0" w:line="269" w:lineRule="auto"/>
        <w:tabs>
          <w:tab w:leader="none" w:pos="87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holders of shares of Common Stock shall be entitled to one vote for each such share on each matter properly submitted to the stockholders of the Corporation on which the holders of shares of Common Stock are entitled to vote. The holders of shares of Common Stock shall not have cumulative voting rights. Except as otherwise required by law or this Certificate of Incorporation, and subject to the rights of the holders of shares of Preferred Stock, if any, at any annual or special meeting of the stockholders of the Corporation, the holders of shares of Common Stock shall have the right to vote for the election of directors of the Corporation and on all other matters properly submitted to a vote of the stockholders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required by law, holders of shares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w:t>
      </w:r>
    </w:p>
    <w:p>
      <w:pPr>
        <w:spacing w:after="0" w:line="185" w:lineRule="exact"/>
        <w:rPr>
          <w:rFonts w:ascii="Arial" w:cs="Arial" w:eastAsia="Arial" w:hAnsi="Arial"/>
          <w:sz w:val="17"/>
          <w:szCs w:val="17"/>
          <w:color w:val="auto"/>
        </w:rPr>
      </w:pPr>
    </w:p>
    <w:p>
      <w:pPr>
        <w:ind w:right="120" w:firstLine="457"/>
        <w:spacing w:after="0" w:line="259" w:lineRule="auto"/>
        <w:tabs>
          <w:tab w:leader="none" w:pos="88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Subject to the rights of the holders of shares of Preferred Stock, the holders of shares of Common Stock shall be entitled to receive such dividends and other distributions (payable in cash, property or capital stock of the Corporation) when, as and if declared thereon by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from time to time out of any assets or funds of the Corporation legally available therefor and shall share equally on a per share basis in such dividends and distributions.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0" w:right="359" w:bottom="1440" w:gutter="0" w:footer="0" w:header="0"/>
        </w:sectPr>
      </w:pPr>
    </w:p>
    <w:bookmarkStart w:id="301" w:name="page302"/>
    <w:bookmarkEnd w:id="301"/>
    <w:p>
      <w:pPr>
        <w:ind w:right="140" w:firstLine="457"/>
        <w:spacing w:after="0" w:line="259" w:lineRule="auto"/>
        <w:tabs>
          <w:tab w:leader="none" w:pos="874"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any voluntary or involuntary liquidation, dissolution or winding-up of the Corporation, after payment or provision for payment of the debts and other liabilities of the Corporation, and subject to the rights of the holders of shares of Preferred Stock in respect thereof, the holders of shares of Common Stock shall be entitled to receive all of the remaining assets of the Corporation available for distribution to its stockholders, ratably in proportion to the number of shares of Common Stock held by them.</w:t>
      </w:r>
    </w:p>
    <w:p>
      <w:pPr>
        <w:spacing w:after="0" w:line="18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225" w:lineRule="exact"/>
        <w:rPr>
          <w:sz w:val="20"/>
          <w:szCs w:val="20"/>
          <w:color w:val="auto"/>
        </w:rPr>
      </w:pPr>
    </w:p>
    <w:p>
      <w:pPr>
        <w:ind w:right="260" w:firstLine="457"/>
        <w:spacing w:after="0" w:line="272" w:lineRule="auto"/>
        <w:tabs>
          <w:tab w:leader="none" w:pos="87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Board is expressly authorized to issue from time to time shares of Preferred Stock in one or more series pursuant to a resolution or resolutions providing for such issue duly adopted by the Board. The Board is further authorized, subject to limitations prescribed by law, to fix by resolution or resolutions and to set forth in a certification of designation filed pursuant to the DGCL the powers, designations, preferences and relative, participating, optional or other special rights, if any, and the qualifications, limitations or restrictions thereof, if any, of any wholly unissued series of Preferred Stock, including, without limitation, dividend rights, dividend rate, conversion rights, voting rights, rights and terms of redemption (including, without limitation, sinking fund provisions), redemption price or prices and liquidation preferences of any such series, and the number of shares constituting any such series and the designation thereof, or any of the foregoing.</w:t>
      </w:r>
    </w:p>
    <w:p>
      <w:pPr>
        <w:spacing w:after="0" w:line="177" w:lineRule="exact"/>
        <w:rPr>
          <w:rFonts w:ascii="Arial" w:cs="Arial" w:eastAsia="Arial" w:hAnsi="Arial"/>
          <w:sz w:val="17"/>
          <w:szCs w:val="17"/>
          <w:color w:val="auto"/>
        </w:rPr>
      </w:pPr>
    </w:p>
    <w:p>
      <w:pPr>
        <w:ind w:right="240" w:firstLine="457"/>
        <w:spacing w:after="0" w:line="273" w:lineRule="auto"/>
        <w:tabs>
          <w:tab w:leader="none" w:pos="88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Board is further authorized to increase (but not above the total number of authorized shares of the class)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originally fixing the number of shares of such series. If the number of shares of any series of Preferred Stock is so decreased, then the shares constituting such decrease shall resume the status that they had prior to the adoption of the resolution originally fixing the number of shares of such series.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21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by or under the direction of the Board.</w:t>
      </w:r>
    </w:p>
    <w:p>
      <w:pPr>
        <w:spacing w:after="0" w:line="22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Number of Directors; Election; Term</w:t>
      </w:r>
      <w:r>
        <w:rPr>
          <w:rFonts w:ascii="Arial" w:cs="Arial" w:eastAsia="Arial" w:hAnsi="Arial"/>
          <w:sz w:val="16"/>
          <w:szCs w:val="16"/>
          <w:color w:val="auto"/>
        </w:rPr>
        <w:t>.</w:t>
      </w:r>
    </w:p>
    <w:p>
      <w:pPr>
        <w:spacing w:after="0" w:line="225" w:lineRule="exact"/>
        <w:rPr>
          <w:sz w:val="20"/>
          <w:szCs w:val="20"/>
          <w:color w:val="auto"/>
        </w:rPr>
      </w:pPr>
    </w:p>
    <w:p>
      <w:pPr>
        <w:jc w:val="both"/>
        <w:ind w:right="200" w:firstLine="457"/>
        <w:spacing w:after="0" w:line="263" w:lineRule="auto"/>
        <w:tabs>
          <w:tab w:leader="none" w:pos="87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number of directors that shall be fixed, from time to time, exclusively by the Board in accordance with the bylaws of the Corporation (as amended from time to time in accordance with the provisions hereof and thereof,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subject to the rights of holders of any series of Preferred Stock with respect to the election of directors, if any.</w:t>
      </w:r>
    </w:p>
    <w:p>
      <w:pPr>
        <w:spacing w:after="0" w:line="183" w:lineRule="exact"/>
        <w:rPr>
          <w:rFonts w:ascii="Arial" w:cs="Arial" w:eastAsia="Arial" w:hAnsi="Arial"/>
          <w:sz w:val="18"/>
          <w:szCs w:val="18"/>
          <w:color w:val="auto"/>
        </w:rPr>
      </w:pPr>
    </w:p>
    <w:p>
      <w:pPr>
        <w:ind w:firstLine="457"/>
        <w:spacing w:after="0" w:line="263" w:lineRule="auto"/>
        <w:tabs>
          <w:tab w:leader="none" w:pos="88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the rights of holders of any series of Preferred Stock with respect to the election of directors, the directors of the Corporation shall be divided into three classes as nearly equal in number as is practicable, hereby designated Class I, Class II and Class III. The Board is authorized to assign members of the Board already in office to such classes. The term of office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302" w:name="page303"/>
    <w:bookmarkEnd w:id="302"/>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initial Class I directors shall expire upon the election of directors at the first annual meeting of stockholders following the effectiveness of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the term of office of the initial Class II directors shall expire upon the election of directors at the second annual meeting of stockholders following the effectiveness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the term of office of the initial Class III directors shall expire upon the election of directors at the third annual meeting of stockholders following the effectiveness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At each annual meeting of stockholders, commencing with the first annual meeting of stockholders following the effectiveness of this </w:t>
      </w:r>
      <w:r>
        <w:rPr>
          <w:rFonts w:ascii="Arial" w:cs="Arial" w:eastAsia="Arial" w:hAnsi="Arial"/>
          <w:sz w:val="17"/>
          <w:szCs w:val="17"/>
          <w:u w:val="single" w:color="auto"/>
          <w:color w:val="auto"/>
        </w:rPr>
        <w:t>Article V</w:t>
      </w:r>
      <w:r>
        <w:rPr>
          <w:rFonts w:ascii="Arial" w:cs="Arial" w:eastAsia="Arial" w:hAnsi="Arial"/>
          <w:sz w:val="17"/>
          <w:szCs w:val="17"/>
          <w:color w:val="auto"/>
        </w:rPr>
        <w:t>,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 Subject to the rights of holders of any series of Preferred Stock with respect to the election of directors, if the number of directors that constitutes the Board is changed, any newly created directorships or decrease in directorships shall be so apportioned by the Board among the classes as to make all classes as nearly equal in number as is practicable, provided that no decrease in the number of directors constituting the Board shall shorten the term of any incumbent director.</w:t>
      </w:r>
    </w:p>
    <w:p>
      <w:pPr>
        <w:spacing w:after="0" w:line="185" w:lineRule="exact"/>
        <w:rPr>
          <w:sz w:val="20"/>
          <w:szCs w:val="20"/>
          <w:color w:val="auto"/>
        </w:rPr>
      </w:pPr>
    </w:p>
    <w:p>
      <w:pPr>
        <w:ind w:right="180" w:firstLine="457"/>
        <w:spacing w:after="0" w:line="263" w:lineRule="auto"/>
        <w:tabs>
          <w:tab w:leader="none" w:pos="87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5.2</w:t>
      </w:r>
      <w:r>
        <w:rPr>
          <w:rFonts w:ascii="Arial" w:cs="Arial" w:eastAsia="Arial" w:hAnsi="Arial"/>
          <w:sz w:val="18"/>
          <w:szCs w:val="18"/>
          <w:color w:val="auto"/>
        </w:rPr>
        <w:t>, and subject to the rights of holders of any series of Preferred Stock with respect to the election of directors, each director shall serve until such director’s successor is duly elected and qualified or until such director’s earlier death, resignation or removal.</w:t>
      </w:r>
    </w:p>
    <w:p>
      <w:pPr>
        <w:spacing w:after="0" w:line="183" w:lineRule="exact"/>
        <w:rPr>
          <w:rFonts w:ascii="Arial" w:cs="Arial" w:eastAsia="Arial" w:hAnsi="Arial"/>
          <w:sz w:val="18"/>
          <w:szCs w:val="18"/>
          <w:color w:val="auto"/>
        </w:rPr>
      </w:pPr>
    </w:p>
    <w:p>
      <w:pPr>
        <w:ind w:left="900" w:hanging="443"/>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shall so provide.</w:t>
      </w:r>
    </w:p>
    <w:p>
      <w:pPr>
        <w:spacing w:after="0" w:line="225" w:lineRule="exact"/>
        <w:rPr>
          <w:rFonts w:ascii="Arial" w:cs="Arial" w:eastAsia="Arial" w:hAnsi="Arial"/>
          <w:sz w:val="18"/>
          <w:szCs w:val="18"/>
          <w:color w:val="auto"/>
        </w:rPr>
      </w:pPr>
    </w:p>
    <w:p>
      <w:pPr>
        <w:ind w:firstLine="457"/>
        <w:spacing w:after="0" w:line="268" w:lineRule="auto"/>
        <w:tabs>
          <w:tab w:leader="none" w:pos="87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Notwithstanding any of the other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certificate of designation for such series of Preferred Stock, and such directors so elected shall not be divided into classes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unless expressly provided by such terms. During any period when the holders of any series of Preferred Stock have the right to elect additional directors as provided for or fixed pursuant to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or removal of such additional directors, shall forthwith terminate, and the total authorized number of directors of the Corporation shall be reduced accordingly.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303" w:name="page304"/>
    <w:bookmarkEnd w:id="303"/>
    <w:p>
      <w:pPr>
        <w:jc w:val="both"/>
        <w:ind w:right="120" w:firstLine="449"/>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w:t>
      </w:r>
      <w:r>
        <w:rPr>
          <w:rFonts w:ascii="Arial" w:cs="Arial" w:eastAsia="Arial" w:hAnsi="Arial"/>
          <w:sz w:val="16"/>
          <w:szCs w:val="16"/>
          <w:u w:val="single" w:color="auto"/>
          <w:color w:val="auto"/>
        </w:rPr>
        <w:t>Removal</w:t>
      </w:r>
      <w:r>
        <w:rPr>
          <w:rFonts w:ascii="Arial" w:cs="Arial" w:eastAsia="Arial" w:hAnsi="Arial"/>
          <w:sz w:val="16"/>
          <w:szCs w:val="16"/>
          <w:color w:val="auto"/>
        </w:rPr>
        <w:t>. Subject to the rights of holders of any series of Preferred Stock with respect to the election of directors, a director may be removed from office by the stockholders of the Corporation only for cause and only by the affirmative vote of the holders of at least a majority of the voting power of all then outstanding shares of capital stock of the Corporation entitled to vote generally in the election of directors, voting together as a single class.</w:t>
      </w:r>
    </w:p>
    <w:p>
      <w:pPr>
        <w:spacing w:after="0" w:line="149"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Vacancies and Newly Created Directorships</w:t>
      </w:r>
      <w:r>
        <w:rPr>
          <w:rFonts w:ascii="Arial" w:cs="Arial" w:eastAsia="Arial" w:hAnsi="Arial"/>
          <w:sz w:val="18"/>
          <w:szCs w:val="18"/>
          <w:color w:val="auto"/>
        </w:rPr>
        <w:t>. Subject to the rights of holders of any series of Preferred Stock with respect to the election of directors, vacancies occurring on the Board for any reason and newly created directorships resulting from an increase in the number of directors shall be filled only by vote of a majority of the remaining members of the Board, although less than a quorum, or by a sole remaining director, and not by the stockholders. A person so elected by the Board to fill a vacancy or newly created directorship shall hold office until the next election of the class for which such person shall have been assigned by the Board and until such person’s successor shall be duly elected and qualified or until such director’s earlier death, resignation or removal.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211"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 xml:space="preserve">In furtherance and not in limitation of the powers conferred by statute, the Board is expressly authorized to adopt, amend, alter or repeal the Bylaws. The Bylaws may also be adopted, amended, altered or repealed by the stockholders of the Corporation by the affirmative vote of the holders of at least a majority of the voting power of all then outstanding shares of capital stock of the Corporation entitled to vote generally in the election of directors, voting together as a single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adoption, amendment, alteration or repeal of the Bylaws by the stockholders of the Corporation, notwithstanding any other provision of the Bylaws, and in addition to any other vote that may be required by law or the terms of any series of Preferred Stock, the affirmative vote of the holders of at least sixty six and two-thirds percent (66 2/3%) of the voting power of all of the then outstanding shares of capital stock of the Corporation entitled to vote generally in the election of directors, voting together as a single class, shall be required to amend, alter, repeal or adopt any provision inconsistent with Section 1.7(b), 1.16, 1.17, or 2.14 or Article VI of the Bylaws.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1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Action by Written Consent of Stockholders</w:t>
      </w:r>
      <w:r>
        <w:rPr>
          <w:rFonts w:ascii="Arial" w:cs="Arial" w:eastAsia="Arial" w:hAnsi="Arial"/>
          <w:sz w:val="18"/>
          <w:szCs w:val="18"/>
          <w:color w:val="auto"/>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and may not be effected by written consent in lieu of a meeting.</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expressly provided by the terms of any series of Preferred Stock permitting the holders of such series of Preferred Stock to call a special meeting of the holders of such series, special meetings of the stockholders of the Corporation may be called only by the chairperson of the Board, the chief executive officer of the Corporation or the Board, and the ability of the stockholders to call a special meeting of the stockholders is hereby specifically denied.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274" w:right="379" w:bottom="1440" w:gutter="0" w:footer="0" w:header="0"/>
        </w:sectPr>
      </w:pPr>
    </w:p>
    <w:bookmarkStart w:id="304" w:name="page305"/>
    <w:bookmarkEnd w:id="304"/>
    <w:p>
      <w:pPr>
        <w:ind w:right="12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7.3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 AND INDEMNIFICATION</w:t>
      </w:r>
    </w:p>
    <w:p>
      <w:pPr>
        <w:spacing w:after="0" w:line="21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Limitation of Personal Liability</w:t>
      </w:r>
      <w:r>
        <w:rPr>
          <w:rFonts w:ascii="Arial" w:cs="Arial" w:eastAsia="Arial" w:hAnsi="Arial"/>
          <w:sz w:val="18"/>
          <w:szCs w:val="18"/>
          <w:color w:val="auto"/>
        </w:rPr>
        <w:t>. No director of the Corporation shall be personally liable to the Corporation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8"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Indemnification and Advancement of Expenses</w:t>
      </w:r>
      <w:r>
        <w:rPr>
          <w:rFonts w:ascii="Arial" w:cs="Arial" w:eastAsia="Arial" w:hAnsi="Arial"/>
          <w:sz w:val="16"/>
          <w:szCs w:val="16"/>
          <w:color w:val="auto"/>
        </w:rPr>
        <w:t xml:space="preserve">. The Corporation shall indemnify its directors and officers to the fullest extent authorized or permitted by the DGCL, as now or hereafter in effect, and such right to indemnification shall continue as to a person who has ceased to be a director or officer of the Corporation and shall inure to the benefit of such person’s heirs, executors and personal and legal representatives. A director’s or officer’s right to indemnification conferred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include the right to be paid by the Corporation the expenses incurred in defending or otherwise participating in any proceeding in advance of its final disposition, provided that such director or officer presents to the Corporation a written undertaking to repay such amount if it shall ultimately be determined that such director or officer is not entitled to be indemnified by the Corporation under this</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Notwithstanding the foregoing, except for proceedings to enforce any director’s or officer’s rights to indemnification or rights to advancement of expenses, the Corporation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w:t>
      </w:r>
    </w:p>
    <w:p>
      <w:pPr>
        <w:spacing w:after="0" w:line="193" w:lineRule="exact"/>
        <w:rPr>
          <w:sz w:val="20"/>
          <w:szCs w:val="20"/>
          <w:color w:val="auto"/>
        </w:rPr>
      </w:pPr>
    </w:p>
    <w:p>
      <w:pPr>
        <w:jc w:val="both"/>
        <w:ind w:right="700" w:firstLine="449"/>
        <w:spacing w:after="0" w:line="31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xml:space="preserve">. The rights to indemnification and advancement of expenses conferred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this Certificate of Incorporation shall neither be exclusive of, nor be deemed in limitation of, any rights to which any person may otherwise be or become entitled or permitted under this Certificate of Incorporation, the Bylaws, any statute, agreement, vote of stockholders or disinterested directors or otherwise.</w:t>
      </w:r>
    </w:p>
    <w:p>
      <w:pPr>
        <w:spacing w:after="0" w:line="149"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To the fullest extent authorized or permitted by the DGCL, the Corporation may purchase and maintain insurance on behalf of any current or former director or officer of the Corporation against any liability asserted against such person, whether or not the Corporation would have the power to indemnify such person against such liability under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305" w:name="page306"/>
    <w:bookmarkEnd w:id="305"/>
    <w:p>
      <w:pPr>
        <w:jc w:val="cente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8.5   </w:t>
      </w:r>
      <w:r>
        <w:rPr>
          <w:rFonts w:ascii="Arial" w:cs="Arial" w:eastAsia="Arial" w:hAnsi="Arial"/>
          <w:sz w:val="16"/>
          <w:szCs w:val="16"/>
          <w:u w:val="single" w:color="auto"/>
          <w:color w:val="auto"/>
        </w:rPr>
        <w:t>Persons Other Than Directors and Officers</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not limit the right of the Corporation, to the extent and in the manner permitted by law, to indemnify and to advance expenses to, or to purchase and maintain insurance on behalf of, persons other than those persons described in the first sentence of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of this Certificate of Incorporation or to advance expenses to persons other than directors or officers of the Corporation.</w:t>
      </w:r>
    </w:p>
    <w:p>
      <w:pPr>
        <w:spacing w:after="0" w:line="149"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Effect of Modifications</w:t>
      </w:r>
      <w:r>
        <w:rPr>
          <w:rFonts w:ascii="Arial" w:cs="Arial" w:eastAsia="Arial" w:hAnsi="Arial"/>
          <w:sz w:val="17"/>
          <w:szCs w:val="17"/>
          <w:color w:val="auto"/>
        </w:rPr>
        <w:t xml:space="preserve">. Any amendment, repeal or modification of any provision contained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unless otherwise required by law, be prospective only (except to the extent such amendment or change in law permits the Corporation to further limit or eliminate the liability of directors or officers) and shall not adversely affect any right or protection of any current or former director or officer of the Corporation existing at the time of such amendment, repeal or modification with respect to any acts or omissions occurring prior to such amendment, repeal or modification.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Corporate Opportunities</w:t>
      </w:r>
      <w:r>
        <w:rPr>
          <w:rFonts w:ascii="Arial" w:cs="Arial" w:eastAsia="Arial" w:hAnsi="Arial"/>
          <w:sz w:val="16"/>
          <w:szCs w:val="16"/>
          <w:color w:val="auto"/>
        </w:rPr>
        <w:t>.</w:t>
      </w:r>
    </w:p>
    <w:p>
      <w:pPr>
        <w:spacing w:after="0" w:line="225" w:lineRule="exact"/>
        <w:rPr>
          <w:sz w:val="20"/>
          <w:szCs w:val="20"/>
          <w:color w:val="auto"/>
        </w:rPr>
      </w:pPr>
    </w:p>
    <w:p>
      <w:pPr>
        <w:ind w:left="1400" w:hanging="381"/>
        <w:spacing w:after="0"/>
        <w:tabs>
          <w:tab w:leader="none" w:pos="14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9.1</w:t>
      </w:r>
      <w:r>
        <w:rPr>
          <w:rFonts w:ascii="Arial" w:cs="Arial" w:eastAsia="Arial" w:hAnsi="Arial"/>
          <w:sz w:val="18"/>
          <w:szCs w:val="18"/>
          <w:color w:val="auto"/>
        </w:rPr>
        <w:t>, the following terms shall have the following meanings:</w:t>
      </w:r>
    </w:p>
    <w:p>
      <w:pPr>
        <w:spacing w:after="0" w:line="225" w:lineRule="exact"/>
        <w:rPr>
          <w:rFonts w:ascii="Arial" w:cs="Arial" w:eastAsia="Arial" w:hAnsi="Arial"/>
          <w:sz w:val="18"/>
          <w:szCs w:val="18"/>
          <w:color w:val="auto"/>
        </w:rPr>
      </w:pPr>
    </w:p>
    <w:p>
      <w:pPr>
        <w:ind w:left="1820" w:hanging="352"/>
        <w:spacing w:after="0"/>
        <w:tabs>
          <w:tab w:leader="none" w:pos="18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has the meaning given to such term in Rule 12b-2 under the Securities Exchange Act of 1934, as amended.</w:t>
      </w:r>
    </w:p>
    <w:p>
      <w:pPr>
        <w:spacing w:after="0" w:line="225" w:lineRule="exact"/>
        <w:rPr>
          <w:rFonts w:ascii="Arial" w:cs="Arial" w:eastAsia="Arial" w:hAnsi="Arial"/>
          <w:sz w:val="18"/>
          <w:szCs w:val="18"/>
          <w:color w:val="auto"/>
        </w:rPr>
      </w:pPr>
    </w:p>
    <w:p>
      <w:pPr>
        <w:ind w:right="20" w:firstLine="1468"/>
        <w:spacing w:after="0" w:line="277" w:lineRule="auto"/>
        <w:tabs>
          <w:tab w:leader="none" w:pos="172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Person</w:t>
      </w:r>
      <w:r>
        <w:rPr>
          <w:rFonts w:ascii="Arial" w:cs="Arial" w:eastAsia="Arial" w:hAnsi="Arial"/>
          <w:sz w:val="18"/>
          <w:szCs w:val="18"/>
          <w:color w:val="auto"/>
        </w:rPr>
        <w:t>” means (A) any director of the Corporation who is also an officer, director, employee or managing director of any IPO Investor and (B) any IPO Investor.</w:t>
      </w:r>
    </w:p>
    <w:p>
      <w:pPr>
        <w:spacing w:after="0" w:line="170" w:lineRule="exact"/>
        <w:rPr>
          <w:rFonts w:ascii="Arial" w:cs="Arial" w:eastAsia="Arial" w:hAnsi="Arial"/>
          <w:sz w:val="18"/>
          <w:szCs w:val="18"/>
          <w:color w:val="auto"/>
        </w:rPr>
      </w:pPr>
    </w:p>
    <w:p>
      <w:pPr>
        <w:ind w:right="120" w:firstLine="1468"/>
        <w:spacing w:after="0" w:line="263" w:lineRule="auto"/>
        <w:tabs>
          <w:tab w:leader="none" w:pos="177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Investor</w:t>
      </w:r>
      <w:r>
        <w:rPr>
          <w:rFonts w:ascii="Arial" w:cs="Arial" w:eastAsia="Arial" w:hAnsi="Arial"/>
          <w:sz w:val="18"/>
          <w:szCs w:val="18"/>
          <w:color w:val="auto"/>
        </w:rPr>
        <w:t>” means (A) any stockholder of the Corporation that, together with its Affiliates, held at least one percent (1%) of the Corporation’s common stock outstanding as of immediately prior to the closing of the Corporation’s initial public offering, and (B) any Affiliate of the foregoing (in each case, other than the Corporation and its subsidiaries).</w:t>
      </w:r>
    </w:p>
    <w:p>
      <w:pPr>
        <w:spacing w:after="0" w:line="184" w:lineRule="exact"/>
        <w:rPr>
          <w:sz w:val="20"/>
          <w:szCs w:val="20"/>
          <w:color w:val="auto"/>
        </w:rPr>
      </w:pPr>
    </w:p>
    <w:p>
      <w:pPr>
        <w:ind w:right="80" w:firstLine="1468"/>
        <w:spacing w:after="0" w:line="286" w:lineRule="auto"/>
        <w:tabs>
          <w:tab w:leader="none" w:pos="1715" w:val="left"/>
        </w:tabs>
        <w:numPr>
          <w:ilvl w:val="1"/>
          <w:numId w:val="1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Specified Corporate Opportunity</w:t>
      </w:r>
      <w:r>
        <w:rPr>
          <w:rFonts w:ascii="Arial" w:cs="Arial" w:eastAsia="Arial" w:hAnsi="Arial"/>
          <w:sz w:val="17"/>
          <w:szCs w:val="17"/>
          <w:color w:val="auto"/>
        </w:rPr>
        <w:t>” means any business opportunity, potential transaction, interest or other matter that is offered or presented to any Covered Person other than any business opportunity, potential transaction, interest or other matter that is offered or presented to such Covered Person solely in such Covered Person’s capacity as an officer, director or stockholder of the Corporation.</w:t>
      </w:r>
    </w:p>
    <w:p>
      <w:pPr>
        <w:spacing w:after="0" w:line="165" w:lineRule="exact"/>
        <w:rPr>
          <w:rFonts w:ascii="Arial" w:cs="Arial" w:eastAsia="Arial" w:hAnsi="Arial"/>
          <w:sz w:val="17"/>
          <w:szCs w:val="17"/>
          <w:color w:val="auto"/>
        </w:rPr>
      </w:pPr>
    </w:p>
    <w:p>
      <w:pPr>
        <w:ind w:right="40" w:firstLine="1019"/>
        <w:spacing w:after="0" w:line="257" w:lineRule="auto"/>
        <w:tabs>
          <w:tab w:leader="none" w:pos="126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(including, without limitation, Section 122(17) of the DGCL), the Corporation, on behalf of itself and its subsidiaries, hereby renounces any interest or expectancy of the Corporation or any of its subsidiaries in, or being offered any opportunity to participate in, any Specified Corporate Opportunity, even if such Specified Corporate Opportunity is one that the Corporation or any of its subsidiaries might reasonably be deemed to have pursued or had the ability or desire to pursue if offered or presented the opportunity to do so. No Covered Person shall have any duty to offer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306" w:name="page307"/>
    <w:bookmarkEnd w:id="306"/>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or communicate information regarding any Specified Corporate Opportunity to the Corporation or any of its subsidiaries and, to the fullest extent permitted by applicable law, shall not be liable to the Corporation or any of its subsidiaries for breach of any fiduciary duty, as a director, officer, controlling stockholder or otherwise, solely by reason of the fact that such Covered Person (i) pursues or acquires such Specified Corporate Opportunity for its own account or the account of any of the IPO Investors, (ii) directs such Specified Corporate Opportunity to another person or entity or (iii) fails to present such Specified Corporate Opportunity, or information regarding such Specified Corporate Opportunity, to the Corporation or any of its subsidiaries. For the avoidance of doubt, the foregoing provisions of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shall not apply to any business opportunity, potential transaction, interest or other matter that is offered or presented to any Covered Person solely in such Covered Person’s capacity as an officer, director or stockholder of the Corporation.</w:t>
      </w:r>
    </w:p>
    <w:p>
      <w:pPr>
        <w:spacing w:after="0" w:line="166" w:lineRule="exact"/>
        <w:rPr>
          <w:sz w:val="20"/>
          <w:szCs w:val="20"/>
          <w:color w:val="auto"/>
        </w:rPr>
      </w:pPr>
    </w:p>
    <w:p>
      <w:pPr>
        <w:ind w:right="140" w:firstLine="1019"/>
        <w:spacing w:after="0" w:line="277" w:lineRule="auto"/>
        <w:tabs>
          <w:tab w:leader="none" w:pos="1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Any person or entity purchasing or otherwise acquiring any interest in shares of capital stock of the Corporation shall be deemed to have notice of and to have consented to the provisions of this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20" w:firstLine="1019"/>
        <w:spacing w:after="0" w:line="311" w:lineRule="auto"/>
        <w:tabs>
          <w:tab w:leader="none" w:pos="126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have no further force or effect at such time as no IPO Investor continues to beneficially own, in the aggregate, at least one percent (1%) of the Corporation’s then outstanding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termination shall not terminate the effect of the foregoing provisions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with respect to any Specified Corporate Opportunity that first arose prior to such termination.</w:t>
      </w:r>
    </w:p>
    <w:p>
      <w:pPr>
        <w:spacing w:after="0" w:line="14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Forum for Certain Actions</w:t>
      </w:r>
      <w:r>
        <w:rPr>
          <w:rFonts w:ascii="Arial" w:cs="Arial" w:eastAsia="Arial" w:hAnsi="Arial"/>
          <w:sz w:val="16"/>
          <w:szCs w:val="16"/>
          <w:color w:val="auto"/>
        </w:rPr>
        <w:t>.</w:t>
      </w:r>
    </w:p>
    <w:p>
      <w:pPr>
        <w:spacing w:after="0" w:line="225" w:lineRule="exact"/>
        <w:rPr>
          <w:sz w:val="20"/>
          <w:szCs w:val="20"/>
          <w:color w:val="auto"/>
        </w:rPr>
      </w:pPr>
    </w:p>
    <w:p>
      <w:pPr>
        <w:ind w:firstLine="1019"/>
        <w:spacing w:after="0" w:line="286" w:lineRule="auto"/>
        <w:tabs>
          <w:tab w:leader="none" w:pos="139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Forum</w:t>
      </w:r>
      <w:r>
        <w:rPr>
          <w:rFonts w:ascii="Arial" w:cs="Arial" w:eastAsia="Arial" w:hAnsi="Arial"/>
          <w:sz w:val="16"/>
          <w:szCs w:val="16"/>
          <w:color w:val="auto"/>
        </w:rPr>
        <w:t xml:space="preserve">. Unless a majority of the Board, acting on behalf of the Corporation, consents in writing to the selection of an alternative forum (which consent may be given at any time, including during the pendency of litigation), the Court of Chancery of the State of Delaware (or, if the Court of Chancery does not have jurisdiction, another state court located within the State of Delaware or, if no court located within the State of Delaware has jurisdiction, the federal district court for the District of Delaware), to the fullest extent permitted by law,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against the Corporation or any of its directors, officers or other employees arising pursuant to any provision of the DGCL, this Certificate of Incorporation or the Bylaws (in each case, as may be amended from time to time), (iv) any action asserting a claim against the Corporation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provision will not apply to any claim to enforce any liability or duty created by the Securities Act of 1933, as amended or the Exchange Act of 1934, as amended and for which the federal courts have exclusive jurisdiction. Unless a majority of the Board, acting on behalf of the Corporation, consents in writing to the selection of an alternative forum (which consent may be given at any time, including during the pendency of litigation), the federal district courts of the United States of America, to the fullest extent permitted by law, shall be the sole and exclusive forum for any action asserting a cause of action arising under the Securities Act of 1933, as amended or the Securities Exchange Act of 1934, as amended.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307" w:name="page308"/>
    <w:bookmarkEnd w:id="307"/>
    <w:p>
      <w:pPr>
        <w:ind w:right="20" w:firstLine="1019"/>
        <w:spacing w:after="0" w:line="296" w:lineRule="auto"/>
        <w:tabs>
          <w:tab w:leader="none" w:pos="140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Personal Jurisdiction</w:t>
      </w:r>
      <w:r>
        <w:rPr>
          <w:rFonts w:ascii="Arial" w:cs="Arial" w:eastAsia="Arial" w:hAnsi="Arial"/>
          <w:sz w:val="16"/>
          <w:szCs w:val="16"/>
          <w:color w:val="auto"/>
        </w:rPr>
        <w:t xml:space="preserve">. If any action the subject matter of which is within the scope of subparagraph (a) of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subparagraph (a) of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 “</w:t>
      </w:r>
      <w:r>
        <w:rPr>
          <w:rFonts w:ascii="Arial" w:cs="Arial" w:eastAsia="Arial" w:hAnsi="Arial"/>
          <w:sz w:val="16"/>
          <w:szCs w:val="16"/>
          <w:b w:val="1"/>
          <w:bCs w:val="1"/>
          <w:i w:val="1"/>
          <w:iCs w:val="1"/>
          <w:color w:val="auto"/>
        </w:rPr>
        <w:t>Enforcement Action</w:t>
      </w:r>
      <w:r>
        <w:rPr>
          <w:rFonts w:ascii="Arial" w:cs="Arial" w:eastAsia="Arial" w:hAnsi="Arial"/>
          <w:sz w:val="16"/>
          <w:szCs w:val="16"/>
          <w:color w:val="auto"/>
        </w:rPr>
        <w:t>”) and (ii) having service of process made upon such stockholder in any such Enforcement Action by service upon such stockholder’s counsel in the Foreign Action as agent for such stockholder.</w:t>
      </w:r>
    </w:p>
    <w:p>
      <w:pPr>
        <w:spacing w:after="0" w:line="161" w:lineRule="exact"/>
        <w:rPr>
          <w:rFonts w:ascii="Arial" w:cs="Arial" w:eastAsia="Arial" w:hAnsi="Arial"/>
          <w:sz w:val="16"/>
          <w:szCs w:val="16"/>
          <w:color w:val="auto"/>
        </w:rPr>
      </w:pPr>
    </w:p>
    <w:p>
      <w:pPr>
        <w:ind w:right="20" w:firstLine="1019"/>
        <w:spacing w:after="0" w:line="259" w:lineRule="auto"/>
        <w:tabs>
          <w:tab w:leader="none" w:pos="139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xml:space="preserve">. If any provision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be held to be invalid, illegal or unenforceable as applied to any person, entity or circumstance for any reason whatsoever, then, to the fullest extent permitted by law, the validity, legality and enforceability of such provision in any other circumstance and of the remaining provisions of this </w:t>
      </w:r>
      <w:r>
        <w:rPr>
          <w:rFonts w:ascii="Arial" w:cs="Arial" w:eastAsia="Arial" w:hAnsi="Arial"/>
          <w:sz w:val="18"/>
          <w:szCs w:val="18"/>
          <w:u w:val="single" w:color="auto"/>
          <w:color w:val="auto"/>
        </w:rPr>
        <w:t>Section 9.2</w:t>
      </w:r>
      <w:r>
        <w:rPr>
          <w:rFonts w:ascii="Arial" w:cs="Arial" w:eastAsia="Arial" w:hAnsi="Arial"/>
          <w:sz w:val="18"/>
          <w:szCs w:val="18"/>
          <w:color w:val="auto"/>
        </w:rPr>
        <w:t>, and the application of such provision to other persons or entities and circumstances shall not in any way be affected or impaired thereby.</w:t>
      </w:r>
    </w:p>
    <w:p>
      <w:pPr>
        <w:spacing w:after="0" w:line="186" w:lineRule="exact"/>
        <w:rPr>
          <w:rFonts w:ascii="Arial" w:cs="Arial" w:eastAsia="Arial" w:hAnsi="Arial"/>
          <w:sz w:val="18"/>
          <w:szCs w:val="18"/>
          <w:color w:val="auto"/>
        </w:rPr>
      </w:pPr>
    </w:p>
    <w:p>
      <w:pPr>
        <w:ind w:right="500" w:firstLine="1019"/>
        <w:spacing w:after="0" w:line="308" w:lineRule="auto"/>
        <w:tabs>
          <w:tab w:leader="none" w:pos="1401"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Notice and Consent. To the fullest extent permitted by law, any person or entity purchasing or otherwise acquiring or holding any interest in any security of the Corporation shall be deemed to have notice of and consented to the provisions of this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14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The Corporation reserves the right to amend, alter or repeal any provision contained in this Certificate of Incorporation, in the manner now or hereafter prescribed by this Certificate of Incorporation and the DGCL, and all rights, preferences and privileges herein conferred upon stockholders of the Corporation by and pursuant to this Certificate of Incorporation in its present form or as hereafter amended are granted subject to the right reserved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In addition to any other vote that may be required by law, applicable stock exchange rule or the terms of any series of Preferred Stock, the affirmative vote of the holders of at least a majority of the voting power of all then outstanding shares of capital stock of the Corporation entitled to vote generally in the election of directors, voting together as a single class, shall be required to amend, alter, repeal or adopt any provision of this Certificate of Incorporation. Notwithstanding any other provision of this Certificate of Incorporation, and in addition to any other vote that may be required by law, applicable stock exchange rule or the terms of any series of Preferred Stock, the affirmative vote of the holders of at least sixty six and two-thirds percent (66 2/3%) of the voting power of all then outstanding shares of capital stock of the Corporation entitled to vote generally in the election of directors, voting together as a single class, shall be required to amend, alter, repeal or adopt any provision of this Certificate of Incorporation inconsistent with the purpose and intent of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(including, without limitation, any such Article as renumbered as a result of any amendment, alternation, repeal or adoption of any other Article).</w:t>
      </w:r>
    </w:p>
    <w:p>
      <w:pPr>
        <w:spacing w:after="0" w:line="179"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4" w:right="359" w:bottom="1440" w:gutter="0" w:footer="0" w:header="0"/>
        </w:sectPr>
      </w:pPr>
    </w:p>
    <w:bookmarkStart w:id="308" w:name="page309"/>
    <w:bookmarkEnd w:id="308"/>
    <w:p>
      <w:pPr>
        <w:ind w:firstLine="101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Corporation has caused this Amended and Restated Certificate of Incorporation to be signed by a duly authorized officer of the Corporation on this ____ day of __________,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271780</wp:posOffset>
            </wp:positionV>
            <wp:extent cx="27343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Its: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40"/>
          </w:cols>
          <w:pgMar w:left="320" w:top="274" w:right="9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IODESIX</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14, 2020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PPROVED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O</w:t>
      </w:r>
      <w:r>
        <w:rPr>
          <w:rFonts w:ascii="Arial" w:cs="Arial" w:eastAsia="Arial" w:hAnsi="Arial"/>
          <w:sz w:val="14"/>
          <w:szCs w:val="14"/>
          <w:b w:val="1"/>
          <w:bCs w:val="1"/>
          <w:color w:val="auto"/>
        </w:rPr>
        <w:t>CTOBER</w:t>
      </w:r>
      <w:r>
        <w:rPr>
          <w:rFonts w:ascii="Arial" w:cs="Arial" w:eastAsia="Arial" w:hAnsi="Arial"/>
          <w:sz w:val="18"/>
          <w:szCs w:val="18"/>
          <w:b w:val="1"/>
          <w:bCs w:val="1"/>
          <w:color w:val="auto"/>
        </w:rPr>
        <w:t xml:space="preserve"> 14, 2020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O</w:t>
      </w:r>
      <w:r>
        <w:rPr>
          <w:rFonts w:ascii="Arial" w:cs="Arial" w:eastAsia="Arial" w:hAnsi="Arial"/>
          <w:sz w:val="14"/>
          <w:szCs w:val="14"/>
          <w:color w:val="auto"/>
        </w:rPr>
        <w:t>CTOBER</w:t>
      </w:r>
      <w:r>
        <w:rPr>
          <w:rFonts w:ascii="Arial" w:cs="Arial" w:eastAsia="Arial" w:hAnsi="Arial"/>
          <w:sz w:val="18"/>
          <w:szCs w:val="18"/>
          <w:b w:val="1"/>
          <w:bCs w:val="1"/>
          <w:color w:val="auto"/>
        </w:rPr>
        <w:t xml:space="preserve"> </w:t>
      </w:r>
      <w:r>
        <w:rPr>
          <w:rFonts w:ascii="Arial" w:cs="Arial" w:eastAsia="Arial" w:hAnsi="Arial"/>
          <w:sz w:val="18"/>
          <w:szCs w:val="18"/>
          <w:color w:val="auto"/>
        </w:rPr>
        <w:t>14</w:t>
      </w:r>
      <w:r>
        <w:rPr>
          <w:rFonts w:ascii="Arial" w:cs="Arial" w:eastAsia="Arial" w:hAnsi="Arial"/>
          <w:sz w:val="18"/>
          <w:szCs w:val="18"/>
          <w:b w:val="1"/>
          <w:bCs w:val="1"/>
          <w:color w:val="auto"/>
        </w:rPr>
        <w:t>, 2030</w:t>
      </w:r>
    </w:p>
    <w:p>
      <w:pPr>
        <w:spacing w:after="0" w:line="207" w:lineRule="exact"/>
        <w:rPr>
          <w:sz w:val="20"/>
          <w:szCs w:val="20"/>
          <w:color w:val="auto"/>
        </w:rPr>
      </w:pPr>
    </w:p>
    <w:p>
      <w:pPr>
        <w:ind w:left="4980" w:hanging="162"/>
        <w:spacing w:after="0"/>
        <w:tabs>
          <w:tab w:leader="none" w:pos="49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NTRODUCTION</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1.1 P</w:t>
      </w:r>
      <w:r>
        <w:rPr>
          <w:rFonts w:ascii="Arial" w:cs="Arial" w:eastAsia="Arial" w:hAnsi="Arial"/>
          <w:sz w:val="13"/>
          <w:szCs w:val="13"/>
          <w:b w:val="1"/>
          <w:bCs w:val="1"/>
          <w:color w:val="auto"/>
        </w:rPr>
        <w:t>URPOSES</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purposes of the Biodesix, Inc. 2020 Equity Incentive Plan (this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are (i) to align the interests of the Company’s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recipients of awards under this Plan by increasing the proprietary interest of such recipients in the Company’s growth and success, (ii) to advance the interests of the Company by attracting and retaining Non-Employee Directors, officers, other employees, consultants, independent contractors and agents and (iii) to motivate such persons to act in the long-term best interests of the Company and its stockholders.</w:t>
      </w:r>
    </w:p>
    <w:p>
      <w:pPr>
        <w:spacing w:after="0" w:line="2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tab/>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means the written or electronic agreement evidencing an award hereunder between the Company and the recipient of such award.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the Compensation Committee of the Board, or a subcommittee thereof, or such other committee designated by the Board, in each case, consisting of two or more members of the Board, each of whom is intended to be (i) a “Non-Employee Director” within the meaning of Rule 16b-3 under the Exchange Act and (ii) “independent” within the meaning of the rules of NASDAQ or, if the Common Stock is not listed on NASDAQ, within the meaning of the rules of the principal stock exchange on which the Common Stock is then traded.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par value $0.001 per share, of the Company, and all rights appurtenant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Biodesix, Inc., a Delaware corporation, or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 Person</w:t>
      </w:r>
      <w:r>
        <w:rPr>
          <w:rFonts w:ascii="Arial" w:cs="Arial" w:eastAsia="Arial" w:hAnsi="Arial"/>
          <w:sz w:val="17"/>
          <w:szCs w:val="17"/>
          <w:color w:val="auto"/>
        </w:rPr>
        <w:t>” means any natural person, entity, or “group” (within the meaning of Section 13(d) or 14(d) of the Exchange Act), except that “Exchange Act Person” does not include: (i) the Company or any Subsidiary; (ii) any employee benefit plan of the Company or any Subsidiary or any trustee or other fiduciary holding securities under an employee benefit plan of the Company or any Subsidiary;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of this Plan, is the owner, directly or indirectly, of securities of the Company representing more than 50% of the combined voting power of the Company’s then outstanding securities.</w:t>
      </w:r>
    </w:p>
    <w:p>
      <w:pPr>
        <w:sectPr>
          <w:pgSz w:w="11900" w:h="16838" w:orient="portrait"/>
          <w:cols w:equalWidth="0" w:num="1">
            <w:col w:w="11020"/>
          </w:cols>
          <w:pgMar w:left="440" w:top="121" w:right="439" w:bottom="1440" w:gutter="0" w:footer="0" w:header="0"/>
        </w:sectPr>
      </w:pPr>
    </w:p>
    <w:bookmarkStart w:id="310" w:name="page311"/>
    <w:bookmarkEnd w:id="310"/>
    <w:p>
      <w:pPr>
        <w:ind w:right="2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xml:space="preserve">” means the closing transaction price of a share of Common Stock as reported on NASDAQ on the date as of which such value is being determined or, if the Common Stock is not listed on NASDAQ, 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the Common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the case of grants made in connection with the Initial Public Offering, Fair Market Value shall mean the price per share at which shares of Common Stock are initially offered for sale to the public by the Company’s underwriters in the Initial Public Offering.</w:t>
      </w:r>
    </w:p>
    <w:p>
      <w:pPr>
        <w:spacing w:after="0" w:line="196"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Free-Standing SAR</w:t>
      </w:r>
      <w:r>
        <w:rPr>
          <w:rFonts w:ascii="Arial" w:cs="Arial" w:eastAsia="Arial" w:hAnsi="Arial"/>
          <w:sz w:val="18"/>
          <w:szCs w:val="18"/>
          <w:color w:val="auto"/>
        </w:rPr>
        <w:t>” means an SAR which is not granted in tandem with, or by reference to, an option, which entitles the holder thereof to receive, upon exercise, shares of Common Stock (which may be Restricted Stock) or, to the extent set forth in the applicable Agreement, cash or a combination of both, with an aggregate value equal to the excess of the Fair Market Value of one share of Common Stock on the date of exercise over the base price of such SAR, multiplied by the number of such SARs that are exercised.</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to purchase shares of Common Stock that meets the requirements of Section 422 of the Code, or any successor provision, which is intended by the Committee to constitute an Incentive Stock Option.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5.8(a)(5)</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Public Offering</w:t>
      </w:r>
      <w:r>
        <w:rPr>
          <w:rFonts w:ascii="Arial" w:cs="Arial" w:eastAsia="Arial" w:hAnsi="Arial"/>
          <w:sz w:val="18"/>
          <w:szCs w:val="18"/>
          <w:color w:val="auto"/>
        </w:rPr>
        <w:t>” means the initial public offering of the Company registered on Form S-1 (or any successor form under the Securities Act of 1933, as amended).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any member of the Board who is not an officer or employee of the Company or any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to purchase shares of Common Stock which is not an Incentive Stock Option.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xml:space="preserve">” means an award granted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the Plan.</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 right to receive an amount of cash, Common Stock (which may be Restricted Stock), or a combination of both, contingent upon the attainment of specified Performance Measures within a specified Performance Period.</w:t>
      </w:r>
    </w:p>
    <w:p>
      <w:pPr>
        <w:spacing w:after="0" w:line="17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Measures</w:t>
      </w:r>
      <w:r>
        <w:rPr>
          <w:rFonts w:ascii="Arial" w:cs="Arial" w:eastAsia="Arial" w:hAnsi="Arial"/>
          <w:sz w:val="16"/>
          <w:szCs w:val="16"/>
          <w:color w:val="auto"/>
        </w:rPr>
        <w:t>” means the criteria and objectives, established by the Committee, which shall be satisfied or met (i) as a condition to the grant or exercisability of all or a portion of an option or SAR or (ii) during the applicable Restriction Period or Performance Period as a condition, in the case of a Restricted Stock Award, to the vesting of the holder’s interest in the shares of Common Stock subject to such award, or, in the case of a Restricted Stock Unit Award, Other Stock Award or Performance Award, to the holder’s receipt of the shares of Common Stock subject to such award or of payment with respect to such award. Such criteria and objectives may include one or more of the following corporate-wide or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11" w:name="page312"/>
    <w:bookmarkEnd w:id="311"/>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Subsidiary, division, operating unit, line of business, project, geographic or individual measures: attainment by a share of Common Stock of a specified Fair Market Value for a specified period of time; increase in stockholder value; earnings per share; return on or net assets; return on equity; return on investments; return on capital or invested capital; total stockholder return; earnings or income of the Company before or after taxes and/or interest; earnings before interest, taxes, depreciation and amortization (“</w:t>
      </w:r>
      <w:r>
        <w:rPr>
          <w:rFonts w:ascii="Arial" w:cs="Arial" w:eastAsia="Arial" w:hAnsi="Arial"/>
          <w:sz w:val="16"/>
          <w:szCs w:val="16"/>
          <w:u w:val="single" w:color="auto"/>
          <w:color w:val="auto"/>
        </w:rPr>
        <w:t>EBITDA</w:t>
      </w:r>
      <w:r>
        <w:rPr>
          <w:rFonts w:ascii="Arial" w:cs="Arial" w:eastAsia="Arial" w:hAnsi="Arial"/>
          <w:sz w:val="16"/>
          <w:szCs w:val="16"/>
          <w:color w:val="auto"/>
        </w:rPr>
        <w:t>”); EBITDA margin; operating income; revenues; operating expenses, attainment of expense levels or cost reduction goals; market share; cash flow, cash flow per share, cash flow margin or free cash flow; interest expense; economic value created; gross profit or margin; operating profit or margin; net cash provided by operations; price-to-earnings growth; and strategic business criteria, consisting of one or more objectives based on meeting specified goals relating to market penetration, customer acquisition, business expansion, cost targets, customer satisfaction, reductions in errors and omissions, reductions in lost business, management of employment practices and employee benefits, supervision of litigation, supervision of information technology, quality and quality audit scores, efficiency, acquisitions or divestitures, publication, clinical or regulatory milestones, research and development achievements, coverage decisions, licenses, collaborations, joint ventures or promotional arrangements and such other goals as the Committee may determine whether or not listed herein, or any combination of the foregoing. Each such goal may be expressed on an absolute or relative basis and may include comparisons based on current internal targets, the past performance of the Company (including the performance of one or more Subsidiaries, divisions, operating units or lines of business) or the past or current performance of other companies or market indices (or a combination of such past and current performance). In addition to the ratios specifically enumerated above, performance goals may include comparisons relating to capital (including, but not limited to, the cost of capital), shareholders’ equity, shares outstanding, assets or net assets, sales, or any combination thereof. The applicable performance measures may be applied on a pre- or post-tax basis and may be adjusted to include or exclude components of any performance measure,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w:t>
      </w:r>
      <w:r>
        <w:rPr>
          <w:rFonts w:ascii="Arial" w:cs="Arial" w:eastAsia="Arial" w:hAnsi="Arial"/>
          <w:sz w:val="16"/>
          <w:szCs w:val="16"/>
          <w:b w:val="1"/>
          <w:bCs w:val="1"/>
          <w:i w:val="1"/>
          <w:iCs w:val="1"/>
          <w:color w:val="auto"/>
        </w:rPr>
        <w:t>Adjustment Events</w:t>
      </w:r>
      <w:r>
        <w:rPr>
          <w:rFonts w:ascii="Arial" w:cs="Arial" w:eastAsia="Arial" w:hAnsi="Arial"/>
          <w:sz w:val="16"/>
          <w:szCs w:val="16"/>
          <w:color w:val="auto"/>
        </w:rPr>
        <w:t>”). In the sole discretion of the Committee, the Committee may amend or adjust the Performance Measures or other terms and conditions of an outstanding award in recognition of any Adjustment Event. Performance goals shall be subject to such other special rules and conditions as the Committee may establish at any time.</w:t>
      </w:r>
    </w:p>
    <w:p>
      <w:pPr>
        <w:spacing w:after="0" w:line="1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any period designated by the Committee during which (i) the Performance Measures applicable to an award shall be measured and (ii) the conditions to vesting applicable to an award shall remain in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Biodesix, Inc. 2020 Equity Incentive Plan, as amended from time to time.</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Biodesix, Inc. 2016 Equity Incentive Plan and each other equity plan maintained by the Company under which awards are outstanding as of the effective date of the Plan.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of Common Stock which are subject to a Restriction Period and which may, in addition thereto, be subject to the attainment of specified Performance Measures within a specified Performance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Restricted Stock under this Plan.</w:t>
      </w:r>
    </w:p>
    <w:p>
      <w:pPr>
        <w:spacing w:after="0" w:line="225"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 right to receive one share of Common Stock or, in lieu thereof and to the extent set forth in the applicable Agreement, the Fair Market Value of such share of Common Stock in cash, which right shall be contingent upon the expiration of a specified Restriction Period and which may, in addition thereto, be contingent upon the attainment of specified Performance Measures within a specified Performance Period.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12" w:name="page313"/>
    <w:bookmarkEnd w:id="31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an award of Restricted Stock Units under this Plan.</w:t>
      </w:r>
    </w:p>
    <w:p>
      <w:pPr>
        <w:spacing w:after="0" w:line="225" w:lineRule="exact"/>
        <w:rPr>
          <w:sz w:val="20"/>
          <w:szCs w:val="20"/>
          <w:color w:val="auto"/>
        </w:rPr>
      </w:pPr>
    </w:p>
    <w:p>
      <w:pPr>
        <w:jc w:val="both"/>
        <w:ind w:left="4"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Restriction Period</w:t>
      </w:r>
      <w:r>
        <w:rPr>
          <w:rFonts w:ascii="Arial" w:cs="Arial" w:eastAsia="Arial" w:hAnsi="Arial"/>
          <w:sz w:val="18"/>
          <w:szCs w:val="18"/>
          <w:color w:val="auto"/>
        </w:rPr>
        <w:t>” means any period designated by the Committee during which either (i) the Common Stock subject to a Restricted Stock Award may not be sold, transferred, assigned, pledged, hypothecated or otherwise encumbered or disposed of, except as provided in this Plan or the Agreement relating to such award, or (ii) the conditions to vesting applicable to a Restricted Stock Unit Award or Other Stock Award shall remain in effect.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stock appreciation right, which may be a Free-Standing SAR or a Tandem SAR.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 Restricted Stock Award, Restricted Stock Unit Award or Other Stock Award.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5.8(a)(1)</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corporation, limited liability company, partnership, joint venture, or similar entity in which the Company owns, directly or indirectly, an equity interest possessing more than 50% of the combined voting power of the total outstanding equity interests of such entity.</w:t>
      </w:r>
    </w:p>
    <w:p>
      <w:pPr>
        <w:spacing w:after="0" w:line="12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w:t>
      </w:r>
      <w:r>
        <w:rPr>
          <w:rFonts w:ascii="Arial" w:cs="Arial" w:eastAsia="Arial" w:hAnsi="Arial"/>
          <w:sz w:val="18"/>
          <w:szCs w:val="18"/>
          <w:color w:val="auto"/>
        </w:rPr>
        <w:t xml:space="preserve">” means an award granted under this Plan upon the assumption of, or in substitution for, outstanding equity awards previously granted by a company or other entity in connection with a corporate transaction, including a merger, combination, consolidation, or acquisition of property or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SAR.</w:t>
      </w:r>
    </w:p>
    <w:p>
      <w:pPr>
        <w:spacing w:after="0" w:line="187" w:lineRule="exact"/>
        <w:rPr>
          <w:sz w:val="20"/>
          <w:szCs w:val="20"/>
          <w:color w:val="auto"/>
        </w:rPr>
      </w:pPr>
    </w:p>
    <w:p>
      <w:pPr>
        <w:ind w:left="4" w:right="1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Tandem SAR</w:t>
      </w:r>
      <w:r>
        <w:rPr>
          <w:rFonts w:ascii="Arial" w:cs="Arial" w:eastAsia="Arial" w:hAnsi="Arial"/>
          <w:sz w:val="16"/>
          <w:szCs w:val="16"/>
          <w:color w:val="auto"/>
        </w:rPr>
        <w:t>” means an SAR which is granted in tandem with, or by reference to, an option (including a Nonstatutory Stock Option granted prior to the date of grant of the SAR), which entitles the holder thereof to receive, upon exercise of such SAR and surrender for cancellation of all or a portion of such option, shares of Common Stock (which may be Restricted Stock) or, to the extent set forth in the applicable Agreement, cash or a combination of both,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1" w:lineRule="exact"/>
        <w:rPr>
          <w:sz w:val="20"/>
          <w:szCs w:val="20"/>
          <w:color w:val="auto"/>
        </w:rPr>
      </w:pPr>
    </w:p>
    <w:p>
      <w:pPr>
        <w:ind w:left="4"/>
        <w:spacing w:after="0" w:line="276" w:lineRule="auto"/>
        <w:rPr>
          <w:sz w:val="20"/>
          <w:szCs w:val="20"/>
          <w:color w:val="auto"/>
        </w:rPr>
      </w:pPr>
      <w:r>
        <w:rPr>
          <w:rFonts w:ascii="Arial" w:cs="Arial" w:eastAsia="Arial" w:hAnsi="Arial"/>
          <w:sz w:val="17"/>
          <w:szCs w:val="17"/>
          <w:b w:val="1"/>
          <w:bCs w:val="1"/>
          <w:color w:val="auto"/>
        </w:rPr>
        <w:t>1.3 A</w:t>
      </w:r>
      <w:r>
        <w:rPr>
          <w:rFonts w:ascii="Arial" w:cs="Arial" w:eastAsia="Arial" w:hAnsi="Arial"/>
          <w:sz w:val="13"/>
          <w:szCs w:val="13"/>
          <w:b w:val="1"/>
          <w:bCs w:val="1"/>
          <w:color w:val="auto"/>
        </w:rPr>
        <w:t>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Plan shall be administered by the Committee. Any one or a combination of the following awards may be made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Plan to eligible persons: (i) options to purchase shares of Common Stock in the form of Incentive Stock Options or Nonstatutory Stock Options;</w:t>
      </w:r>
    </w:p>
    <w:p>
      <w:pPr>
        <w:spacing w:after="0" w:line="1" w:lineRule="exact"/>
        <w:rPr>
          <w:sz w:val="20"/>
          <w:szCs w:val="20"/>
          <w:color w:val="auto"/>
        </w:rPr>
      </w:pPr>
    </w:p>
    <w:p>
      <w:pPr>
        <w:ind w:left="4" w:right="60" w:hanging="4"/>
        <w:spacing w:after="0" w:line="253" w:lineRule="auto"/>
        <w:tabs>
          <w:tab w:leader="none" w:pos="26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SARs in the form of Tandem SARs or Free-Standing SARs; (iii) Stock Awards in the form of Restricted Stock, Restricted Stock Units or Other Stock Awards;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w:t>
      </w:r>
    </w:p>
    <w:p>
      <w:pPr>
        <w:spacing w:after="0" w:line="1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313" w:name="page314"/>
    <w:bookmarkEnd w:id="313"/>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exercise or settlement of the award, and all other terms and conditions of the award, including, without limitation, the form of the Agreement evidencing the award. The Committee may, in its sole discretion and for any reason at any time, take action such that (w) any or all outstanding options and SARs shall become exercisable in part or in full, (x) all or a portion of the Restriction Period applicable to any outstanding awards shall lapse, (y) all or a portion of the Performance Period applicable to any outstanding awards shall lapse and (z) the Performance Measures (if any) applicable to any outstanding awards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spacing w:after="0" w:line="178"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The Committee may delegate some or all of its power and authority hereunder to the Board (or any members thereof) or, subject to applicable law, to a subcommittee of the Board, a member of the Board, the Chief Executive Officer or other executive officer of the Company as the Committee deems appropriate;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not delegate its power and authority to a member of the Board,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spacing w:after="0" w:line="16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No member of the Board or Committee, and neither the Chief Executive Officer nor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or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and/or bylaws) and under any directors’ and officers’ liability insurance that may be in effect from time to time.</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1.4 E</w:t>
      </w:r>
      <w:r>
        <w:rPr>
          <w:rFonts w:ascii="Arial" w:cs="Arial" w:eastAsia="Arial" w:hAnsi="Arial"/>
          <w:sz w:val="12"/>
          <w:szCs w:val="12"/>
          <w:b w:val="1"/>
          <w:bCs w:val="1"/>
          <w:color w:val="auto"/>
        </w:rPr>
        <w:t>LIGIBILITY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in this Plan shall consist of such officers, other employees, Non-Employee Directors, consultants,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agents, and persons expected to become officers, other employees, Non-Employee Directors, consultants, independent contractors and agents of the Company and its Subsidiaries as the Committee in its sole discretion may select from time to time. The Committee’s selection of a person to participate in this Plan at any time shall not require the Committee to select such person to participate in this Plan at any other time. Except as otherwise provided for in an Agreement (or as otherwise determined by the Committee), for purposes of this Plan, references to employment by the Company shall also mean employment by a Subsidiary, and references to employment shall include service as a Non-Employee Director, consultant, independent contractor or agent. The Committee shall determine, in its sole discretion, the extent to which a participant shall be considered employed during an approved leave of absence. Notwithstanding anything herein to the contrary, the aggregate value of cash compensation to be paid and the grant date fair value of equity awards that may be granted during any fiscal year of the Company to any Non-Employee Director shall not exceed $600,000, increased to $1,0500,000 with respect to the fiscal year of a Non-Employee Director’s initial service as a Non-Employee Director.</w:t>
      </w:r>
    </w:p>
    <w:p>
      <w:pPr>
        <w:spacing w:after="0" w:line="16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1.5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adjustment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5.7</w:t>
      </w:r>
      <w:r>
        <w:rPr>
          <w:rFonts w:ascii="Arial" w:cs="Arial" w:eastAsia="Arial" w:hAnsi="Arial"/>
          <w:sz w:val="18"/>
          <w:szCs w:val="18"/>
          <w:b w:val="1"/>
          <w:bCs w:val="1"/>
          <w:color w:val="auto"/>
        </w:rPr>
        <w:t xml:space="preserve"> </w:t>
      </w:r>
      <w:r>
        <w:rPr>
          <w:rFonts w:ascii="Arial" w:cs="Arial" w:eastAsia="Arial" w:hAnsi="Arial"/>
          <w:sz w:val="18"/>
          <w:szCs w:val="18"/>
          <w:color w:val="auto"/>
        </w:rPr>
        <w:t>and to all other limits set forth in this Plan, 1,893,395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shall initially be available for all awards under this Plan, other than Substitute Awards. Subject to adjustment as provided in </w:t>
      </w:r>
      <w:r>
        <w:rPr>
          <w:rFonts w:ascii="Arial" w:cs="Arial" w:eastAsia="Arial" w:hAnsi="Arial"/>
          <w:sz w:val="18"/>
          <w:szCs w:val="18"/>
          <w:u w:val="single" w:color="auto"/>
          <w:color w:val="auto"/>
        </w:rPr>
        <w:t>Section 5.7</w:t>
      </w:r>
      <w:r>
        <w:rPr>
          <w:rFonts w:ascii="Arial" w:cs="Arial" w:eastAsia="Arial" w:hAnsi="Arial"/>
          <w:sz w:val="18"/>
          <w:szCs w:val="18"/>
          <w:color w:val="auto"/>
        </w:rPr>
        <w:t>, no more than 4,790,481 shares of Common Stock in the aggregate may be issued under the Plan in connection with Incentive Stock Options. The number of shares of Common Stock available under the Plan shall increase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14" w:name="page315"/>
    <w:bookmarkEnd w:id="31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annually on the first day of each fiscal year, beginning with the fiscal year ending December 31, 2022, and continuing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Board. The number of shares of Common Stock that remain available for future grants under this Plan shall be reduced by the sum of the aggregate number of shares of Common Stock that become subject to outstanding options, outstanding Free-Standing SARs, outstanding Stock Awards and outstanding Performance Awards denominated in shares of Common Stock.</w:t>
      </w:r>
    </w:p>
    <w:p>
      <w:pPr>
        <w:spacing w:after="0" w:line="19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To the extent that shares of Common Stock subject to an outstanding option, SAR, Stock Award or Performance Award granted under the Plan or a Prior Plan, other than Substitute Awards,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of Common Stock shall again be available under this Plan. In addition, shares of Common Stock subject to an award under this Plan or a Prior Plan shall again be available for issuance under this Plan if such shares are (x) shares that were subject to an option or stock-settled SAR and were not issued or delivered upon the net settlement or net exercise of such option or SAR or (y) shares delivered to or withheld by the Company to pay the purchase price or the withholding taxes related to an outstanding award. Notwithstanding anything herein to the contrary, shares repurchased by the Company on the open market with the proceeds of an option exercise shall not again be available under this Plan.</w:t>
      </w:r>
    </w:p>
    <w:p>
      <w:pPr>
        <w:spacing w:after="0" w:line="18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87" w:lineRule="exact"/>
        <w:rPr>
          <w:sz w:val="20"/>
          <w:szCs w:val="20"/>
          <w:color w:val="auto"/>
        </w:rPr>
      </w:pPr>
    </w:p>
    <w:p>
      <w:pPr>
        <w:ind w:right="440" w:firstLine="440"/>
        <w:spacing w:after="0" w:line="308" w:lineRule="auto"/>
        <w:rPr>
          <w:sz w:val="20"/>
          <w:szCs w:val="20"/>
          <w:color w:val="auto"/>
        </w:rPr>
      </w:pPr>
      <w:r>
        <w:rPr>
          <w:rFonts w:ascii="Arial" w:cs="Arial" w:eastAsia="Arial" w:hAnsi="Arial"/>
          <w:sz w:val="17"/>
          <w:szCs w:val="17"/>
          <w:color w:val="auto"/>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spacing w:after="0" w:line="250" w:lineRule="exact"/>
        <w:rPr>
          <w:sz w:val="20"/>
          <w:szCs w:val="20"/>
          <w:color w:val="auto"/>
        </w:rPr>
      </w:pPr>
    </w:p>
    <w:p>
      <w:pPr>
        <w:ind w:left="3560" w:hanging="220"/>
        <w:spacing w:after="0"/>
        <w:tabs>
          <w:tab w:leader="none" w:pos="35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2.1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in its discretion, grant options to purchase shares of Common Stock to such eligible persons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by the Committee. Each option, or portion thereof, that is not an Incentive Stock Option, shall be a Nonstatutory Stock Option. To the extent that the aggregate Fair Market Value (determined as of the date of grant) of shares of Common Stock with respect to which options designated as Incentive Stock Options are exercisable for the first time by a holder during any calendar year (under this Plan or any other plan of the Company, or any parent or Subsidiary) exceeds the amount (currently $100,000) established by the Code for such purpose, such options shall constitute Nonstatutory Stock Options.</w:t>
      </w:r>
    </w:p>
    <w:p>
      <w:pPr>
        <w:spacing w:after="0" w:line="19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Options shall be subject to the following terms and conditions and shall contain such additional terms and conditions, not inconsistent with the terms of this Plan, as the Committee shall deem advisable:</w:t>
      </w:r>
    </w:p>
    <w:p>
      <w:pPr>
        <w:spacing w:after="0" w:line="166" w:lineRule="exact"/>
        <w:rPr>
          <w:sz w:val="20"/>
          <w:szCs w:val="20"/>
          <w:color w:val="auto"/>
        </w:rPr>
      </w:pPr>
    </w:p>
    <w:p>
      <w:pPr>
        <w:ind w:right="20" w:firstLine="436"/>
        <w:spacing w:after="0" w:line="261" w:lineRule="auto"/>
        <w:tabs>
          <w:tab w:leader="none" w:pos="82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Number of Shares and Purchase Price. </w:t>
      </w:r>
      <w:r>
        <w:rPr>
          <w:rFonts w:ascii="Arial" w:cs="Arial" w:eastAsia="Arial" w:hAnsi="Arial"/>
          <w:sz w:val="18"/>
          <w:szCs w:val="18"/>
          <w:color w:val="auto"/>
        </w:rPr>
        <w:t>The number of shares of Common Stock subject to an option and the purchase price per share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Common Stock purchasable upon exercise of the option shall be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purchase price per share of Common Stock purchasable upon exercise of an option shall not be less than 100% of the Fair Market Value of a share of Common Stock on the date of grant of such option;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 Incentive Stock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315" w:name="page316"/>
    <w:bookmarkEnd w:id="315"/>
    <w:p>
      <w:pPr>
        <w:jc w:val="both"/>
        <w:ind w:left="4"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shall be granted to any person who, at the time such option is granted, owns capital stock possessing more than 10% of the total combined voting power of all classes of capital stock of the Company (or of any parent or Subsidiary) (a “</w:t>
      </w:r>
      <w:r>
        <w:rPr>
          <w:rFonts w:ascii="Arial" w:cs="Arial" w:eastAsia="Arial" w:hAnsi="Arial"/>
          <w:sz w:val="16"/>
          <w:szCs w:val="16"/>
          <w:b w:val="1"/>
          <w:bCs w:val="1"/>
          <w:i w:val="1"/>
          <w:iCs w:val="1"/>
          <w:color w:val="auto"/>
        </w:rPr>
        <w:t>Ten Percent Holder</w:t>
      </w:r>
      <w:r>
        <w:rPr>
          <w:rFonts w:ascii="Arial" w:cs="Arial" w:eastAsia="Arial" w:hAnsi="Arial"/>
          <w:sz w:val="16"/>
          <w:szCs w:val="16"/>
          <w:color w:val="auto"/>
        </w:rPr>
        <w:t>”), the purchase price per share of Common Stock shall not be less than the price (currently 110% of Fair Market Value) required by the Code in order to constitute an Incentive Stock Option.</w:t>
      </w:r>
    </w:p>
    <w:p>
      <w:pPr>
        <w:spacing w:after="0" w:line="149"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Notwithstanding the foregoing, in the case of an option that is a Substitute Award, the purchase price per share of the shares subject to such option may be less than 100% of the Fair Market Value per share on the date of grant, provided, that the excess of: (i) the aggregate Fair Market Value (as of the date such Substitute Award is granted) of the shares subject to the Substitute Award, over (ii)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174" w:lineRule="exact"/>
        <w:rPr>
          <w:sz w:val="20"/>
          <w:szCs w:val="20"/>
          <w:color w:val="auto"/>
        </w:rPr>
      </w:pPr>
    </w:p>
    <w:p>
      <w:pPr>
        <w:ind w:left="4" w:right="40" w:firstLine="436"/>
        <w:spacing w:after="0" w:line="274" w:lineRule="auto"/>
        <w:tabs>
          <w:tab w:leader="none" w:pos="834" w:val="left"/>
        </w:tabs>
        <w:numPr>
          <w:ilvl w:val="1"/>
          <w:numId w:val="141"/>
        </w:numPr>
        <w:rPr>
          <w:rFonts w:ascii="Arial" w:cs="Arial" w:eastAsia="Arial" w:hAnsi="Arial"/>
          <w:sz w:val="17"/>
          <w:szCs w:val="17"/>
          <w:color w:val="auto"/>
        </w:rPr>
      </w:pPr>
      <w:r>
        <w:rPr>
          <w:rFonts w:ascii="Arial" w:cs="Arial" w:eastAsia="Arial" w:hAnsi="Arial"/>
          <w:sz w:val="17"/>
          <w:szCs w:val="17"/>
          <w:b w:val="1"/>
          <w:bCs w:val="1"/>
          <w:color w:val="auto"/>
        </w:rPr>
        <w:t xml:space="preserve">Option Period and Exercisability. </w:t>
      </w:r>
      <w:r>
        <w:rPr>
          <w:rFonts w:ascii="Arial" w:cs="Arial" w:eastAsia="Arial" w:hAnsi="Arial"/>
          <w:sz w:val="17"/>
          <w:szCs w:val="17"/>
          <w:color w:val="auto"/>
        </w:rPr>
        <w:t>The period during which an option may be exercised shall be determined by the Committee;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option may be exercised later than ten years after its date of grant;</w:t>
      </w:r>
      <w:r>
        <w:rPr>
          <w:rFonts w:ascii="Arial" w:cs="Arial" w:eastAsia="Arial" w:hAnsi="Arial"/>
          <w:sz w:val="17"/>
          <w:szCs w:val="17"/>
          <w:i w:val="1"/>
          <w:iCs w:val="1"/>
          <w:color w:val="auto"/>
        </w:rPr>
        <w:t xml:space="preserve"> provided further</w:t>
      </w:r>
      <w:r>
        <w:rPr>
          <w:rFonts w:ascii="Arial" w:cs="Arial" w:eastAsia="Arial" w:hAnsi="Arial"/>
          <w:sz w:val="17"/>
          <w:szCs w:val="17"/>
          <w:color w:val="auto"/>
        </w:rPr>
        <w:t>, that if an Incentive Stock Option shall be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to a Ten Percent Holder, such option may not be exercised later than five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spacing w:after="0" w:line="173" w:lineRule="exact"/>
        <w:rPr>
          <w:rFonts w:ascii="Arial" w:cs="Arial" w:eastAsia="Arial" w:hAnsi="Arial"/>
          <w:sz w:val="17"/>
          <w:szCs w:val="17"/>
          <w:color w:val="auto"/>
        </w:rPr>
      </w:pPr>
    </w:p>
    <w:p>
      <w:pPr>
        <w:ind w:left="4" w:right="80" w:firstLine="436"/>
        <w:spacing w:after="0" w:line="287" w:lineRule="auto"/>
        <w:tabs>
          <w:tab w:leader="none" w:pos="824" w:val="left"/>
        </w:tabs>
        <w:numPr>
          <w:ilvl w:val="1"/>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Method of Exercise. </w:t>
      </w:r>
      <w:r>
        <w:rPr>
          <w:rFonts w:ascii="Arial" w:cs="Arial" w:eastAsia="Arial" w:hAnsi="Arial"/>
          <w:sz w:val="16"/>
          <w:szCs w:val="16"/>
          <w:color w:val="auto"/>
        </w:rPr>
        <w:t>An option may be exercised (i) by giving written notice to the Company specifying the number of whole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be purchased and accompanying such notice with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w:t>
      </w:r>
    </w:p>
    <w:p>
      <w:pPr>
        <w:spacing w:after="0" w:line="2" w:lineRule="exact"/>
        <w:rPr>
          <w:rFonts w:ascii="Arial" w:cs="Arial" w:eastAsia="Arial" w:hAnsi="Arial"/>
          <w:sz w:val="16"/>
          <w:szCs w:val="16"/>
          <w:color w:val="auto"/>
        </w:rPr>
      </w:pPr>
    </w:p>
    <w:p>
      <w:pPr>
        <w:ind w:left="4" w:hanging="4"/>
        <w:spacing w:after="0" w:line="286" w:lineRule="auto"/>
        <w:tabs>
          <w:tab w:leader="none" w:pos="28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holder has submitted an irrevocable notice of exercise; (E) in any other form of legal consideration that may be acceptable to the Committee and specified in the Agreement; or (F) a combination of (A), (B), (C) and (E),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of Common Stock which would be required to pay such purchase price shall be disregarded and the remaining amount due shall be paid in cash by the holder. No shares of Common Stock shall be issued and no certificate representing Common Stock shall be delivered until the full purchase price therefor and any withholding taxes thereon, as described in </w:t>
      </w:r>
      <w:r>
        <w:rPr>
          <w:rFonts w:ascii="Arial" w:cs="Arial" w:eastAsia="Arial" w:hAnsi="Arial"/>
          <w:sz w:val="16"/>
          <w:szCs w:val="16"/>
          <w:u w:val="single" w:color="auto"/>
          <w:color w:val="auto"/>
        </w:rPr>
        <w:t>Section 5.5</w:t>
      </w:r>
      <w:r>
        <w:rPr>
          <w:rFonts w:ascii="Arial" w:cs="Arial" w:eastAsia="Arial" w:hAnsi="Arial"/>
          <w:sz w:val="16"/>
          <w:szCs w:val="16"/>
          <w:color w:val="auto"/>
        </w:rPr>
        <w:t>, have been paid (or arrangement made for such payment to the Company’s satisfaction).</w:t>
      </w:r>
    </w:p>
    <w:p>
      <w:pPr>
        <w:spacing w:after="0" w:line="168"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w:t>
      </w:r>
      <w:r>
        <w:rPr>
          <w:rFonts w:ascii="Arial" w:cs="Arial" w:eastAsia="Arial" w:hAnsi="Arial"/>
          <w:sz w:val="12"/>
          <w:szCs w:val="12"/>
          <w:b w:val="1"/>
          <w:bCs w:val="1"/>
          <w:color w:val="auto"/>
        </w:rPr>
        <w:t>TOCK</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6"/>
          <w:szCs w:val="16"/>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in its discretion, grant SARs to such eligible persons as may be selected by the Committee.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Agreement relating to an SAR shall specify whether the SAR is a Tandem SAR or a Free-Standing SAR.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316" w:name="page317"/>
    <w:bookmarkEnd w:id="316"/>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SARs shall be subject to the following terms and conditions and shall contain such additional terms and conditions, not inconsistent with the terms of this Plan, as the Committee shall deem advisable:</w:t>
      </w:r>
    </w:p>
    <w:p>
      <w:pPr>
        <w:spacing w:after="0" w:line="166" w:lineRule="exact"/>
        <w:rPr>
          <w:sz w:val="20"/>
          <w:szCs w:val="20"/>
          <w:color w:val="auto"/>
        </w:rPr>
      </w:pPr>
    </w:p>
    <w:p>
      <w:pPr>
        <w:ind w:left="4" w:right="320" w:firstLine="436"/>
        <w:spacing w:after="0" w:line="277" w:lineRule="auto"/>
        <w:tabs>
          <w:tab w:leader="none" w:pos="824"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 xml:space="preserve">Number of SARs and Base Price. </w:t>
      </w:r>
      <w:r>
        <w:rPr>
          <w:rFonts w:ascii="Arial" w:cs="Arial" w:eastAsia="Arial" w:hAnsi="Arial"/>
          <w:sz w:val="17"/>
          <w:szCs w:val="17"/>
          <w:color w:val="auto"/>
        </w:rPr>
        <w:t>The number of SARs subject to an award shall be determined by the Committee. Any Tandem SAR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related to an Incentive Stock Option shall be granted at the same time that such Incentive Stock Option is granted. The base price of a Tandem SAR shall be the purchase price per share of Common Stock of the related option. The base price of a Free-Standing SAR shall be determined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base price shall not be less than 100% of the Fair Market Value of a share of Common Stock on the date of grant of such SAR (or, if earlier, the date of grant of the option for which the SAR is exchanged or substituted).</w:t>
      </w:r>
    </w:p>
    <w:p>
      <w:pPr>
        <w:spacing w:after="0" w:line="172"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Notwithstanding the foregoing, in the case of an SAR that is a Substitute Award, the base price per share of the shares subject to such SAR may be less than 100% of the Fair Market Value per share on the date of grant, provided, that the excess of: (i) the aggregate Fair Market Value (as of the date such Substitute Award is granted) of the shares subject to the Substitute Award, over (ii) the aggregate base price thereof does not exceed the excess of:</w:t>
      </w:r>
    </w:p>
    <w:p>
      <w:pPr>
        <w:spacing w:after="0" w:line="2" w:lineRule="exact"/>
        <w:rPr>
          <w:sz w:val="20"/>
          <w:szCs w:val="20"/>
          <w:color w:val="auto"/>
        </w:rPr>
      </w:pPr>
    </w:p>
    <w:p>
      <w:pPr>
        <w:ind w:left="4" w:hanging="4"/>
        <w:spacing w:after="0" w:line="255" w:lineRule="auto"/>
        <w:tabs>
          <w:tab w:leader="none" w:pos="25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85" w:lineRule="exact"/>
        <w:rPr>
          <w:rFonts w:ascii="Arial" w:cs="Arial" w:eastAsia="Arial" w:hAnsi="Arial"/>
          <w:sz w:val="18"/>
          <w:szCs w:val="18"/>
          <w:color w:val="auto"/>
        </w:rPr>
      </w:pPr>
    </w:p>
    <w:p>
      <w:pPr>
        <w:ind w:left="824" w:hanging="384"/>
        <w:spacing w:after="0"/>
        <w:tabs>
          <w:tab w:leader="none" w:pos="824" w:val="left"/>
        </w:tabs>
        <w:numPr>
          <w:ilvl w:val="1"/>
          <w:numId w:val="144"/>
        </w:numPr>
        <w:rPr>
          <w:rFonts w:ascii="Arial" w:cs="Arial" w:eastAsia="Arial" w:hAnsi="Arial"/>
          <w:sz w:val="16"/>
          <w:szCs w:val="16"/>
          <w:color w:val="auto"/>
        </w:rPr>
      </w:pPr>
      <w:r>
        <w:rPr>
          <w:rFonts w:ascii="Arial" w:cs="Arial" w:eastAsia="Arial" w:hAnsi="Arial"/>
          <w:sz w:val="16"/>
          <w:szCs w:val="16"/>
          <w:b w:val="1"/>
          <w:bCs w:val="1"/>
          <w:color w:val="auto"/>
        </w:rPr>
        <w:t xml:space="preserve">Exercise Period and Exercisability. </w:t>
      </w:r>
      <w:r>
        <w:rPr>
          <w:rFonts w:ascii="Arial" w:cs="Arial" w:eastAsia="Arial" w:hAnsi="Arial"/>
          <w:sz w:val="16"/>
          <w:szCs w:val="16"/>
          <w:color w:val="auto"/>
        </w:rPr>
        <w:t>The period for the exercise of an SAR shall be determined by the Committee;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50" w:lineRule="exact"/>
        <w:rPr>
          <w:rFonts w:ascii="Arial" w:cs="Arial" w:eastAsia="Arial" w:hAnsi="Arial"/>
          <w:sz w:val="16"/>
          <w:szCs w:val="16"/>
          <w:color w:val="auto"/>
        </w:rPr>
      </w:pPr>
    </w:p>
    <w:p>
      <w:pPr>
        <w:ind w:left="4" w:right="40" w:hanging="4"/>
        <w:spacing w:after="0" w:line="268" w:lineRule="auto"/>
        <w:tabs>
          <w:tab w:leader="none" w:pos="21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no Tandem SAR may be exercised later than the expiration, cancellation, forfeiture or other termination of the related option and (ii) no Free-Standing SAR may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Free-Standing SAR, only with respect to a whole number of SARs. If an SAR is exercised for shares of Restricted Stock, a certificate or certificates representing such Restricted Stock shall be issued in accordance with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Arial" w:cs="Arial" w:eastAsia="Arial" w:hAnsi="Arial"/>
          <w:sz w:val="17"/>
          <w:szCs w:val="17"/>
          <w:u w:val="single" w:color="auto"/>
          <w:color w:val="auto"/>
        </w:rPr>
        <w:t>Section 3.2(d)</w:t>
      </w:r>
      <w:r>
        <w:rPr>
          <w:rFonts w:ascii="Arial" w:cs="Arial" w:eastAsia="Arial" w:hAnsi="Arial"/>
          <w:sz w:val="17"/>
          <w:szCs w:val="17"/>
          <w:color w:val="auto"/>
        </w:rPr>
        <w:t>. Prior to the exercise of a stock-settled SAR, the holder of such SAR shall have no rights as a stockholder of the Company with respect to the shares of Common Stock subject to such SAR.</w:t>
      </w:r>
    </w:p>
    <w:p>
      <w:pPr>
        <w:spacing w:after="0" w:line="174" w:lineRule="exact"/>
        <w:rPr>
          <w:rFonts w:ascii="Arial" w:cs="Arial" w:eastAsia="Arial" w:hAnsi="Arial"/>
          <w:sz w:val="17"/>
          <w:szCs w:val="17"/>
          <w:color w:val="auto"/>
        </w:rPr>
      </w:pPr>
    </w:p>
    <w:p>
      <w:pPr>
        <w:ind w:left="4" w:right="160" w:firstLine="436"/>
        <w:spacing w:after="0" w:line="293" w:lineRule="auto"/>
        <w:tabs>
          <w:tab w:leader="none" w:pos="824" w:val="left"/>
        </w:tabs>
        <w:numPr>
          <w:ilvl w:val="1"/>
          <w:numId w:val="145"/>
        </w:numPr>
        <w:rPr>
          <w:rFonts w:ascii="Arial" w:cs="Arial" w:eastAsia="Arial" w:hAnsi="Arial"/>
          <w:sz w:val="16"/>
          <w:szCs w:val="16"/>
          <w:color w:val="auto"/>
        </w:rPr>
      </w:pPr>
      <w:r>
        <w:rPr>
          <w:rFonts w:ascii="Arial" w:cs="Arial" w:eastAsia="Arial" w:hAnsi="Arial"/>
          <w:sz w:val="16"/>
          <w:szCs w:val="16"/>
          <w:b w:val="1"/>
          <w:bCs w:val="1"/>
          <w:color w:val="auto"/>
        </w:rPr>
        <w:t xml:space="preserve">Method of Exercise. </w:t>
      </w:r>
      <w:r>
        <w:rPr>
          <w:rFonts w:ascii="Arial" w:cs="Arial" w:eastAsia="Arial" w:hAnsi="Arial"/>
          <w:sz w:val="16"/>
          <w:szCs w:val="16"/>
          <w:color w:val="auto"/>
        </w:rPr>
        <w:t>A Tandem SAR may be exercised by (i) giving written notice to the Company specifying the number of whole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which are being exercised, (ii) surrendering to the Company any options which are cancelled by reason of the exercise of the Tandem SAR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executing such documents as the Company may reasonably request. A Free-Standing SAR may be exercised by (x) giving written notice to the</w:t>
      </w:r>
    </w:p>
    <w:p>
      <w:pPr>
        <w:spacing w:after="0" w:line="32" w:lineRule="exact"/>
        <w:rPr>
          <w:rFonts w:ascii="Arial" w:cs="Arial" w:eastAsia="Arial" w:hAnsi="Arial"/>
          <w:sz w:val="16"/>
          <w:szCs w:val="16"/>
          <w:color w:val="auto"/>
        </w:rPr>
      </w:pPr>
    </w:p>
    <w:p>
      <w:pPr>
        <w:ind w:left="4" w:right="100"/>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Company specifying the whole number of SARs which are being exercised and (y) executing such documents as the Company may reasonably request. No shares of Common Stock shall be issued and no certificate representing Common Stock shall be delivered until any withholding taxes thereon, as described in </w:t>
      </w:r>
      <w:r>
        <w:rPr>
          <w:rFonts w:ascii="Arial" w:cs="Arial" w:eastAsia="Arial" w:hAnsi="Arial"/>
          <w:sz w:val="17"/>
          <w:szCs w:val="17"/>
          <w:u w:val="single" w:color="auto"/>
          <w:color w:val="auto"/>
        </w:rPr>
        <w:t>Section 5.5</w:t>
      </w:r>
      <w:r>
        <w:rPr>
          <w:rFonts w:ascii="Arial" w:cs="Arial" w:eastAsia="Arial" w:hAnsi="Arial"/>
          <w:sz w:val="17"/>
          <w:szCs w:val="17"/>
          <w:color w:val="auto"/>
        </w:rPr>
        <w:t>, have been paid (or arrangement made for such payment to the Company’s satisfaction).</w:t>
      </w:r>
    </w:p>
    <w:p>
      <w:pPr>
        <w:spacing w:after="0" w:line="169"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T</w:t>
      </w:r>
      <w:r>
        <w:rPr>
          <w:rFonts w:ascii="Arial" w:cs="Arial" w:eastAsia="Arial" w:hAnsi="Arial"/>
          <w:sz w:val="13"/>
          <w:szCs w:val="13"/>
          <w:b w:val="1"/>
          <w:bCs w:val="1"/>
          <w:color w:val="auto"/>
        </w:rPr>
        <w:t>ERMINATION OF</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MPLOYMENT OR</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terms relating to the exercise, cancellation or other disposition of an option or SAR</w:t>
      </w:r>
    </w:p>
    <w:p>
      <w:pPr>
        <w:spacing w:after="0" w:line="27" w:lineRule="exact"/>
        <w:rPr>
          <w:sz w:val="20"/>
          <w:szCs w:val="20"/>
          <w:color w:val="auto"/>
        </w:rPr>
      </w:pPr>
    </w:p>
    <w:p>
      <w:pPr>
        <w:ind w:left="4" w:right="140" w:hanging="4"/>
        <w:spacing w:after="0" w:line="255" w:lineRule="auto"/>
        <w:tabs>
          <w:tab w:leader="none" w:pos="21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upon a termination of employment with or service to the Company of the holder of such option or SAR, as the case may be, whether by reason of disability, retirement, death, or any other reason, or (ii) during a paid or unpaid leave of absence, shall be determined by the Committee and set forth in the applicable Agreement.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17" w:name="page318"/>
    <w:bookmarkEnd w:id="317"/>
    <w:p>
      <w:pPr>
        <w:ind w:right="2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 N</w:t>
      </w:r>
      <w:r>
        <w:rPr>
          <w:rFonts w:ascii="Arial" w:cs="Arial" w:eastAsia="Arial" w:hAnsi="Arial"/>
          <w:sz w:val="13"/>
          <w:szCs w:val="13"/>
          <w:b w:val="1"/>
          <w:bCs w:val="1"/>
          <w:color w:val="auto"/>
        </w:rPr>
        <w:t>O</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EPRICING</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shall not, without the approval of the stockholders of the Company, (i) reduce the purchase price or base price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previously 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w:t>
      </w:r>
      <w:r>
        <w:rPr>
          <w:rFonts w:ascii="Arial" w:cs="Arial" w:eastAsia="Arial" w:hAnsi="Arial"/>
          <w:sz w:val="17"/>
          <w:szCs w:val="17"/>
          <w:u w:val="single" w:color="auto"/>
          <w:color w:val="auto"/>
        </w:rPr>
        <w:t>Section 5.7</w:t>
      </w:r>
      <w:r>
        <w:rPr>
          <w:rFonts w:ascii="Arial" w:cs="Arial" w:eastAsia="Arial" w:hAnsi="Arial"/>
          <w:sz w:val="17"/>
          <w:szCs w:val="17"/>
          <w:color w:val="auto"/>
        </w:rPr>
        <w:t>.</w:t>
      </w:r>
    </w:p>
    <w:p>
      <w:pPr>
        <w:spacing w:after="0" w:line="16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2.5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IVIDEND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an Agreement to the contrary, the holder of an option or SAR shall not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dividend equivalents with respect to the number of shares of Common Stock subject to such option or SAR.</w:t>
      </w:r>
    </w:p>
    <w:p>
      <w:pPr>
        <w:spacing w:after="0" w:line="270" w:lineRule="exact"/>
        <w:rPr>
          <w:sz w:val="20"/>
          <w:szCs w:val="20"/>
          <w:color w:val="auto"/>
        </w:rPr>
      </w:pPr>
    </w:p>
    <w:p>
      <w:pPr>
        <w:ind w:left="5020" w:hanging="294"/>
        <w:spacing w:after="0"/>
        <w:tabs>
          <w:tab w:leader="none" w:pos="50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3.1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in its discretion, grant Stock Awards to such eligible persons as may be selected by the Committee.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relating to a Stock Award shall specify whether the Stock Award is a Restricted Stock Award, a Restricted Stock Unit Award or, in the case of an Other Stock Award, the type of award being granted.</w:t>
      </w:r>
    </w:p>
    <w:p>
      <w:pPr>
        <w:spacing w:after="0" w:line="17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3.2 T</w:t>
      </w:r>
      <w:r>
        <w:rPr>
          <w:rFonts w:ascii="Arial" w:cs="Arial" w:eastAsia="Arial" w:hAnsi="Arial"/>
          <w:sz w:val="14"/>
          <w:szCs w:val="14"/>
          <w:b w:val="1"/>
          <w:bCs w:val="1"/>
          <w:color w:val="auto"/>
        </w:rPr>
        <w:t>ERMS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Awards shall be subject to the following terms and conditions and shall contain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terms and conditions, not inconsistent with the terms of this Plan, as the Committee shall deem advisable.</w:t>
      </w:r>
    </w:p>
    <w:p>
      <w:pPr>
        <w:spacing w:after="0" w:line="162" w:lineRule="exact"/>
        <w:rPr>
          <w:sz w:val="20"/>
          <w:szCs w:val="20"/>
          <w:color w:val="auto"/>
        </w:rPr>
      </w:pPr>
    </w:p>
    <w:p>
      <w:pPr>
        <w:ind w:right="160" w:firstLine="436"/>
        <w:spacing w:after="0" w:line="347" w:lineRule="auto"/>
        <w:tabs>
          <w:tab w:leader="none" w:pos="820"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Number of Shares and Other Terms. </w:t>
      </w:r>
      <w:r>
        <w:rPr>
          <w:rFonts w:ascii="Arial" w:cs="Arial" w:eastAsia="Arial" w:hAnsi="Arial"/>
          <w:sz w:val="16"/>
          <w:szCs w:val="16"/>
          <w:color w:val="auto"/>
        </w:rPr>
        <w:t>The number of shares of Common Stock subject to a Restricted Stock Award and the Restriction</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Performance Period (if any) and Performance Measures (if any) applicable to a Restricted Stock Award shall be determined by the Committee.</w:t>
      </w:r>
    </w:p>
    <w:p>
      <w:pPr>
        <w:spacing w:after="0" w:line="115" w:lineRule="exact"/>
        <w:rPr>
          <w:rFonts w:ascii="Arial" w:cs="Arial" w:eastAsia="Arial" w:hAnsi="Arial"/>
          <w:sz w:val="16"/>
          <w:szCs w:val="16"/>
          <w:color w:val="auto"/>
        </w:rPr>
      </w:pPr>
    </w:p>
    <w:p>
      <w:pPr>
        <w:ind w:right="80" w:firstLine="436"/>
        <w:spacing w:after="0" w:line="274" w:lineRule="auto"/>
        <w:tabs>
          <w:tab w:leader="none" w:pos="830" w:val="left"/>
        </w:tabs>
        <w:numPr>
          <w:ilvl w:val="0"/>
          <w:numId w:val="149"/>
        </w:numPr>
        <w:rPr>
          <w:rFonts w:ascii="Arial" w:cs="Arial" w:eastAsia="Arial" w:hAnsi="Arial"/>
          <w:sz w:val="17"/>
          <w:szCs w:val="17"/>
          <w:color w:val="auto"/>
        </w:rPr>
      </w:pPr>
      <w:r>
        <w:rPr>
          <w:rFonts w:ascii="Arial" w:cs="Arial" w:eastAsia="Arial" w:hAnsi="Arial"/>
          <w:sz w:val="17"/>
          <w:szCs w:val="17"/>
          <w:b w:val="1"/>
          <w:bCs w:val="1"/>
          <w:color w:val="auto"/>
        </w:rPr>
        <w:t xml:space="preserve">Vesting and Forfeiture. </w:t>
      </w:r>
      <w:r>
        <w:rPr>
          <w:rFonts w:ascii="Arial" w:cs="Arial" w:eastAsia="Arial" w:hAnsi="Arial"/>
          <w:sz w:val="17"/>
          <w:szCs w:val="17"/>
          <w:color w:val="auto"/>
        </w:rPr>
        <w:t>The Agreement relating to a Restricted Stock Award shall provide, in the manner determined by the Committee, in</w:t>
      </w:r>
      <w:r>
        <w:rPr>
          <w:rFonts w:ascii="Arial" w:cs="Arial" w:eastAsia="Arial" w:hAnsi="Arial"/>
          <w:sz w:val="17"/>
          <w:szCs w:val="17"/>
          <w:b w:val="1"/>
          <w:bCs w:val="1"/>
          <w:color w:val="auto"/>
        </w:rPr>
        <w:t xml:space="preserve"> </w:t>
      </w:r>
      <w:r>
        <w:rPr>
          <w:rFonts w:ascii="Arial" w:cs="Arial" w:eastAsia="Arial" w:hAnsi="Arial"/>
          <w:sz w:val="17"/>
          <w:szCs w:val="17"/>
          <w:color w:val="auto"/>
        </w:rPr>
        <w:t>its discretion, and subject to the provisions of this Plan, for the vesting of the shares of Common Stock subject to such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73" w:lineRule="exact"/>
        <w:rPr>
          <w:rFonts w:ascii="Arial" w:cs="Arial" w:eastAsia="Arial" w:hAnsi="Arial"/>
          <w:sz w:val="17"/>
          <w:szCs w:val="17"/>
          <w:color w:val="auto"/>
        </w:rPr>
      </w:pPr>
    </w:p>
    <w:p>
      <w:pPr>
        <w:ind w:firstLine="436"/>
        <w:spacing w:after="0" w:line="288" w:lineRule="auto"/>
        <w:tabs>
          <w:tab w:leader="none" w:pos="820"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Stock Issuance. </w:t>
      </w:r>
      <w:r>
        <w:rPr>
          <w:rFonts w:ascii="Arial" w:cs="Arial" w:eastAsia="Arial" w:hAnsi="Arial"/>
          <w:sz w:val="16"/>
          <w:szCs w:val="16"/>
          <w:color w:val="auto"/>
        </w:rPr>
        <w:t>During the Restriction Period (and prior to the satisfaction or attainment of applicable Performance Measures), the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Restricted Stock shall be held by a custodian in book entry form with restrictions on such shares duly noted or, alternatively, a certificate or certificates representing a Restricted Stock Award shall be registered in the holder’s name and may bear a legend, in addition to any legend which may be required pursuant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w:t>
      </w:r>
      <w:r>
        <w:rPr>
          <w:rFonts w:ascii="Arial" w:cs="Arial" w:eastAsia="Arial" w:hAnsi="Arial"/>
          <w:sz w:val="16"/>
          <w:szCs w:val="16"/>
          <w:u w:val="single" w:color="auto"/>
          <w:color w:val="auto"/>
        </w:rPr>
        <w:t>Section 5.5</w:t>
      </w:r>
      <w:r>
        <w:rPr>
          <w:rFonts w:ascii="Arial" w:cs="Arial" w:eastAsia="Arial" w:hAnsi="Arial"/>
          <w:sz w:val="16"/>
          <w:szCs w:val="16"/>
          <w:color w:val="auto"/>
        </w:rPr>
        <w:t>,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318" w:name="page319"/>
    <w:bookmarkEnd w:id="318"/>
    <w:p>
      <w:pPr>
        <w:ind w:right="20" w:firstLine="436"/>
        <w:spacing w:after="0" w:line="294" w:lineRule="auto"/>
        <w:tabs>
          <w:tab w:leader="none" w:pos="830"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Rights with Respect to Restricted Stock Awards. </w:t>
      </w:r>
      <w:r>
        <w:rPr>
          <w:rFonts w:ascii="Arial" w:cs="Arial" w:eastAsia="Arial" w:hAnsi="Arial"/>
          <w:sz w:val="16"/>
          <w:szCs w:val="16"/>
          <w:color w:val="auto"/>
        </w:rPr>
        <w:t>Unless otherwise set forth in the Agreement relating to a Restricted Stock Award,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a distribution with respect to shares of Common Stock, other than a regular cash dividend, and (ii) a regular cash dividend with respect to shares of Common Stock that are subject to performance-based vesting conditions, in each case, shall be deposited with the Company and shall be subject to the same restrictions as the shares of Common Stock with respect to which such distribution was made.</w:t>
      </w:r>
    </w:p>
    <w:p>
      <w:pPr>
        <w:spacing w:after="0" w:line="16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3.3 T</w:t>
      </w:r>
      <w:r>
        <w:rPr>
          <w:rFonts w:ascii="Arial" w:cs="Arial" w:eastAsia="Arial" w:hAnsi="Arial"/>
          <w:sz w:val="14"/>
          <w:szCs w:val="14"/>
          <w:b w:val="1"/>
          <w:bCs w:val="1"/>
          <w:color w:val="auto"/>
        </w:rPr>
        <w:t>ERMS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 Awards shall be subject to the following terms and conditions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contain such additional terms and conditions, not inconsistent with the terms of this Plan, as the Committee shall deem advisable.</w:t>
      </w:r>
    </w:p>
    <w:p>
      <w:pPr>
        <w:spacing w:after="0" w:line="162" w:lineRule="exact"/>
        <w:rPr>
          <w:sz w:val="20"/>
          <w:szCs w:val="20"/>
          <w:color w:val="auto"/>
        </w:rPr>
      </w:pPr>
    </w:p>
    <w:p>
      <w:pPr>
        <w:ind w:right="200" w:firstLine="436"/>
        <w:spacing w:after="0" w:line="289" w:lineRule="auto"/>
        <w:tabs>
          <w:tab w:leader="none" w:pos="820" w:val="left"/>
        </w:tabs>
        <w:numPr>
          <w:ilvl w:val="0"/>
          <w:numId w:val="151"/>
        </w:numPr>
        <w:rPr>
          <w:rFonts w:ascii="Arial" w:cs="Arial" w:eastAsia="Arial" w:hAnsi="Arial"/>
          <w:sz w:val="17"/>
          <w:szCs w:val="17"/>
          <w:color w:val="auto"/>
        </w:rPr>
      </w:pPr>
      <w:r>
        <w:rPr>
          <w:rFonts w:ascii="Arial" w:cs="Arial" w:eastAsia="Arial" w:hAnsi="Arial"/>
          <w:sz w:val="17"/>
          <w:szCs w:val="17"/>
          <w:b w:val="1"/>
          <w:bCs w:val="1"/>
          <w:color w:val="auto"/>
        </w:rPr>
        <w:t xml:space="preserve">Number of Shares and Other Terms. </w:t>
      </w:r>
      <w:r>
        <w:rPr>
          <w:rFonts w:ascii="Arial" w:cs="Arial" w:eastAsia="Arial" w:hAnsi="Arial"/>
          <w:sz w:val="17"/>
          <w:szCs w:val="17"/>
          <w:color w:val="auto"/>
        </w:rPr>
        <w:t>The number of shares of Common Stock subject to a Restricted Stock Unit Award,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that are earned upon the attainment of any specified Performance Measures, and the Restriction Period, Performance Period (if any) and Performance Measures (if any) applicable to a Restricted Stock Unit Award shall be determined by the Committee.</w:t>
      </w:r>
    </w:p>
    <w:p>
      <w:pPr>
        <w:spacing w:after="0" w:line="157" w:lineRule="exact"/>
        <w:rPr>
          <w:rFonts w:ascii="Arial" w:cs="Arial" w:eastAsia="Arial" w:hAnsi="Arial"/>
          <w:sz w:val="17"/>
          <w:szCs w:val="17"/>
          <w:color w:val="auto"/>
        </w:rPr>
      </w:pPr>
    </w:p>
    <w:p>
      <w:pPr>
        <w:ind w:right="200" w:firstLine="436"/>
        <w:spacing w:after="0" w:line="274" w:lineRule="auto"/>
        <w:tabs>
          <w:tab w:leader="none" w:pos="830" w:val="left"/>
        </w:tabs>
        <w:numPr>
          <w:ilvl w:val="0"/>
          <w:numId w:val="151"/>
        </w:numPr>
        <w:rPr>
          <w:rFonts w:ascii="Arial" w:cs="Arial" w:eastAsia="Arial" w:hAnsi="Arial"/>
          <w:sz w:val="17"/>
          <w:szCs w:val="17"/>
          <w:color w:val="auto"/>
        </w:rPr>
      </w:pPr>
      <w:r>
        <w:rPr>
          <w:rFonts w:ascii="Arial" w:cs="Arial" w:eastAsia="Arial" w:hAnsi="Arial"/>
          <w:sz w:val="17"/>
          <w:szCs w:val="17"/>
          <w:b w:val="1"/>
          <w:bCs w:val="1"/>
          <w:color w:val="auto"/>
        </w:rPr>
        <w:t xml:space="preserve">Vesting and Forfeiture. </w:t>
      </w:r>
      <w:r>
        <w:rPr>
          <w:rFonts w:ascii="Arial" w:cs="Arial" w:eastAsia="Arial" w:hAnsi="Arial"/>
          <w:sz w:val="17"/>
          <w:szCs w:val="17"/>
          <w:color w:val="auto"/>
        </w:rPr>
        <w:t>The Agreement relating to a Restricted Stock Unit Award shall provide, in the manner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in its discretion, and subject to the provisions of this Plan, for the vesting of such Restricted Stock Unit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73" w:lineRule="exact"/>
        <w:rPr>
          <w:rFonts w:ascii="Arial" w:cs="Arial" w:eastAsia="Arial" w:hAnsi="Arial"/>
          <w:sz w:val="17"/>
          <w:szCs w:val="17"/>
          <w:color w:val="auto"/>
        </w:rPr>
      </w:pPr>
    </w:p>
    <w:p>
      <w:pPr>
        <w:ind w:firstLine="436"/>
        <w:spacing w:after="0" w:line="255" w:lineRule="auto"/>
        <w:tabs>
          <w:tab w:leader="none" w:pos="82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Settlement of Vested Restricted Stock Unit Awards. </w:t>
      </w:r>
      <w:r>
        <w:rPr>
          <w:rFonts w:ascii="Arial" w:cs="Arial" w:eastAsia="Arial" w:hAnsi="Arial"/>
          <w:sz w:val="18"/>
          <w:szCs w:val="18"/>
          <w:color w:val="auto"/>
        </w:rPr>
        <w:t>The Agreement relating to a Restricted Stock Unit Award shall specify (i)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such award may be settled in shares of Common Stock or cash or a combination of both and (ii) whether the holder thereof shall be entitled to receive dividend equivalents, and, if determined by the Committee, interest on, or the deemed reinvestment of, any deferred dividend equivalents, with respect to the number of shares of Common Stock subject to such award. Any dividend equivalents with respect to Restricted Stock Units that are subject to performance-based vesting conditions shall be subject to the same restrictions as such Restricted Stock Units. Prior to the settlement of a Restricted Stock Unit Award, the holder of such award shall have no rights as a stockholder of the Company with respect to the shares of Common Stock subject to such award.</w:t>
      </w:r>
    </w:p>
    <w:p>
      <w:pPr>
        <w:spacing w:after="0" w:line="18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color w:val="auto"/>
        </w:rPr>
        <w:t>3.4 O</w:t>
      </w:r>
      <w:r>
        <w:rPr>
          <w:rFonts w:ascii="Arial" w:cs="Arial" w:eastAsia="Arial" w:hAnsi="Arial"/>
          <w:sz w:val="12"/>
          <w:szCs w:val="12"/>
          <w:b w:val="1"/>
          <w:bCs w:val="1"/>
          <w:color w:val="auto"/>
        </w:rPr>
        <w:t>THER</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6"/>
          <w:szCs w:val="16"/>
          <w:b w:val="1"/>
          <w:bCs w:val="1"/>
          <w:color w:val="auto"/>
        </w:rPr>
        <w:t xml:space="preserve"> A</w:t>
      </w:r>
      <w:r>
        <w:rPr>
          <w:rFonts w:ascii="Arial" w:cs="Arial" w:eastAsia="Arial" w:hAnsi="Arial"/>
          <w:sz w:val="12"/>
          <w:szCs w:val="12"/>
          <w:b w:val="1"/>
          <w:bCs w:val="1"/>
          <w:color w:val="auto"/>
        </w:rPr>
        <w:t>WARDS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limitations set forth in the Plan, the Committee is authorized to grant other awards that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denominated or payable in, 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319" w:name="page320"/>
    <w:bookmarkEnd w:id="319"/>
    <w:p>
      <w:pPr>
        <w:ind w:right="1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3.5 T</w:t>
      </w:r>
      <w:r>
        <w:rPr>
          <w:rFonts w:ascii="Arial" w:cs="Arial" w:eastAsia="Arial" w:hAnsi="Arial"/>
          <w:sz w:val="13"/>
          <w:szCs w:val="13"/>
          <w:b w:val="1"/>
          <w:bCs w:val="1"/>
          <w:color w:val="auto"/>
        </w:rPr>
        <w:t>ERMINATION OF</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MPLOYMENT OR</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terms relating to the satisfaction of Performance Measures and the termination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Restriction Period or Performance Period relating to a Stock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Agreement.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 P</w:t>
      </w:r>
      <w:r>
        <w:rPr>
          <w:rFonts w:ascii="Arial" w:cs="Arial" w:eastAsia="Arial" w:hAnsi="Arial"/>
          <w:sz w:val="14"/>
          <w:szCs w:val="14"/>
          <w:b w:val="1"/>
          <w:bCs w:val="1"/>
          <w:color w:val="auto"/>
        </w:rPr>
        <w:t>ERFORMANCE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4.1 P</w:t>
      </w:r>
      <w:r>
        <w:rPr>
          <w:rFonts w:ascii="Arial" w:cs="Arial" w:eastAsia="Arial" w:hAnsi="Arial"/>
          <w:sz w:val="14"/>
          <w:szCs w:val="14"/>
          <w:b w:val="1"/>
          <w:bCs w:val="1"/>
          <w:color w:val="auto"/>
        </w:rPr>
        <w:t>ERFORMANCE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in its discretion, grant Performance Awards to such eligible persons as may be selected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162"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4.2 T</w:t>
      </w:r>
      <w:r>
        <w:rPr>
          <w:rFonts w:ascii="Arial" w:cs="Arial" w:eastAsia="Arial" w:hAnsi="Arial"/>
          <w:sz w:val="14"/>
          <w:szCs w:val="14"/>
          <w:b w:val="1"/>
          <w:bCs w:val="1"/>
          <w:color w:val="auto"/>
        </w:rPr>
        <w:t>ERMS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ERFORMANCE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Awards shall be subject to the following terms and conditions and shall contain such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terms and conditions, not inconsistent with the terms of this Plan, as the Committee shall deem advisable.</w:t>
      </w:r>
    </w:p>
    <w:p>
      <w:pPr>
        <w:spacing w:after="0" w:line="162" w:lineRule="exact"/>
        <w:rPr>
          <w:sz w:val="20"/>
          <w:szCs w:val="20"/>
          <w:color w:val="auto"/>
        </w:rPr>
      </w:pPr>
    </w:p>
    <w:p>
      <w:pPr>
        <w:ind w:right="460" w:firstLine="436"/>
        <w:spacing w:after="0" w:line="312" w:lineRule="auto"/>
        <w:tabs>
          <w:tab w:leader="none" w:pos="820" w:val="left"/>
        </w:tabs>
        <w:numPr>
          <w:ilvl w:val="0"/>
          <w:numId w:val="152"/>
        </w:numPr>
        <w:rPr>
          <w:rFonts w:ascii="Arial" w:cs="Arial" w:eastAsia="Arial" w:hAnsi="Arial"/>
          <w:sz w:val="17"/>
          <w:szCs w:val="17"/>
          <w:color w:val="auto"/>
        </w:rPr>
      </w:pPr>
      <w:r>
        <w:rPr>
          <w:rFonts w:ascii="Arial" w:cs="Arial" w:eastAsia="Arial" w:hAnsi="Arial"/>
          <w:sz w:val="17"/>
          <w:szCs w:val="17"/>
          <w:b w:val="1"/>
          <w:bCs w:val="1"/>
          <w:color w:val="auto"/>
        </w:rPr>
        <w:t xml:space="preserve">Value of Performance Awards and Performance Measures. </w:t>
      </w:r>
      <w:r>
        <w:rPr>
          <w:rFonts w:ascii="Arial" w:cs="Arial" w:eastAsia="Arial" w:hAnsi="Arial"/>
          <w:sz w:val="17"/>
          <w:szCs w:val="17"/>
          <w:color w:val="auto"/>
        </w:rPr>
        <w:t>The method of determining the value of the Performance Award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Measures and Performance Period applicable to a Performance Award shall be determined by the Committee.</w:t>
      </w:r>
    </w:p>
    <w:p>
      <w:pPr>
        <w:spacing w:after="0" w:line="139" w:lineRule="exact"/>
        <w:rPr>
          <w:rFonts w:ascii="Arial" w:cs="Arial" w:eastAsia="Arial" w:hAnsi="Arial"/>
          <w:sz w:val="17"/>
          <w:szCs w:val="17"/>
          <w:color w:val="auto"/>
        </w:rPr>
      </w:pPr>
    </w:p>
    <w:p>
      <w:pPr>
        <w:jc w:val="both"/>
        <w:ind w:right="160" w:firstLine="436"/>
        <w:spacing w:after="0" w:line="261" w:lineRule="auto"/>
        <w:tabs>
          <w:tab w:leader="none" w:pos="83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 xml:space="preserve">Vesting and Forfeiture. </w:t>
      </w:r>
      <w:r>
        <w:rPr>
          <w:rFonts w:ascii="Arial" w:cs="Arial" w:eastAsia="Arial" w:hAnsi="Arial"/>
          <w:sz w:val="18"/>
          <w:szCs w:val="18"/>
          <w:color w:val="auto"/>
        </w:rPr>
        <w:t>The Agreement relating to a Performance Award shall provide, in the manner determined by the Committee,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179" w:lineRule="exact"/>
        <w:rPr>
          <w:rFonts w:ascii="Arial" w:cs="Arial" w:eastAsia="Arial" w:hAnsi="Arial"/>
          <w:sz w:val="18"/>
          <w:szCs w:val="18"/>
          <w:color w:val="auto"/>
        </w:rPr>
      </w:pPr>
    </w:p>
    <w:p>
      <w:pPr>
        <w:ind w:firstLine="436"/>
        <w:spacing w:after="0" w:line="292" w:lineRule="auto"/>
        <w:tabs>
          <w:tab w:leader="none" w:pos="820"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Settlement of Vested Performance Awards. </w:t>
      </w:r>
      <w:r>
        <w:rPr>
          <w:rFonts w:ascii="Arial" w:cs="Arial" w:eastAsia="Arial" w:hAnsi="Arial"/>
          <w:sz w:val="16"/>
          <w:szCs w:val="16"/>
          <w:color w:val="auto"/>
        </w:rPr>
        <w:t>The Agreement relating to a Performance Award shall specify whether such award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settled in shares of Common Stock (including shares of Restricted Stock) or cash or a combination of both. If a Performance Award is settled in shares of Restricted Stock, such shares of Restricted Stock shall be issued to the holder in book entry form or a certificate or certificates representing such Restricted Stock shall be issued in accordance with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and the holder of such Restricted Stock shall have such rights as a stockholder of the Company as determined pursuant to </w:t>
      </w:r>
      <w:r>
        <w:rPr>
          <w:rFonts w:ascii="Arial" w:cs="Arial" w:eastAsia="Arial" w:hAnsi="Arial"/>
          <w:sz w:val="16"/>
          <w:szCs w:val="16"/>
          <w:u w:val="single" w:color="auto"/>
          <w:color w:val="auto"/>
        </w:rPr>
        <w:t>Section 3.2(d)</w:t>
      </w:r>
      <w:r>
        <w:rPr>
          <w:rFonts w:ascii="Arial" w:cs="Arial" w:eastAsia="Arial" w:hAnsi="Arial"/>
          <w:sz w:val="16"/>
          <w:szCs w:val="16"/>
          <w:color w:val="auto"/>
        </w:rPr>
        <w:t>. Any dividends or dividend equivalents with respect to a Performance Award subject to performance-based vesting conditions shall be subject to the same restrictions as such Performance Award. Prior to the settlement of a Performance Award in shares of Common Stock, including Restricted Stock, the holder of such award shall have no rights as a stockholder of the Company.</w:t>
      </w:r>
    </w:p>
    <w:p>
      <w:pPr>
        <w:spacing w:after="0" w:line="161"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4.3 T</w:t>
      </w:r>
      <w:r>
        <w:rPr>
          <w:rFonts w:ascii="Arial" w:cs="Arial" w:eastAsia="Arial" w:hAnsi="Arial"/>
          <w:sz w:val="13"/>
          <w:szCs w:val="13"/>
          <w:b w:val="1"/>
          <w:bCs w:val="1"/>
          <w:color w:val="auto"/>
        </w:rPr>
        <w:t>ERMINATION OF</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MPLOYMENT OR</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17"/>
          <w:szCs w:val="17"/>
          <w:b w:val="1"/>
          <w:bCs w:val="1"/>
          <w:color w:val="auto"/>
        </w:rPr>
        <w:t xml:space="preserve">. </w:t>
      </w:r>
      <w:r>
        <w:rPr>
          <w:rFonts w:ascii="Arial" w:cs="Arial" w:eastAsia="Arial" w:hAnsi="Arial"/>
          <w:sz w:val="17"/>
          <w:szCs w:val="17"/>
          <w:color w:val="auto"/>
        </w:rPr>
        <w:t>All of the terms relating to the satisfaction of Performance Measures and the termination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Period relating to a Performance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Agreement.</w:t>
      </w:r>
    </w:p>
    <w:p>
      <w:pPr>
        <w:spacing w:after="0" w:line="273" w:lineRule="exact"/>
        <w:rPr>
          <w:sz w:val="20"/>
          <w:szCs w:val="20"/>
          <w:color w:val="auto"/>
        </w:rPr>
      </w:pPr>
    </w:p>
    <w:p>
      <w:pPr>
        <w:ind w:left="5220" w:hanging="197"/>
        <w:spacing w:after="0"/>
        <w:tabs>
          <w:tab w:leader="none" w:pos="522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5.1 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AND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shall be submitted to the stockholders of the Company for approval and, if approved,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effective as of immediately prior to the closing of the Initial Public Offering. This Plan shall terminate on the tenth anniversary of Board approval of the Plan, unless terminated earlier by the Board. Termination of this Plan shall not affect the terms or conditions of any award granted prior to termination. Awards hereunder may be made at any time prior to the termination of this Plan, provided that no Incentive Stock Option may be granted later than ten years after the date on which the Plan was approved by the Board.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320" w:name="page321"/>
    <w:bookmarkEnd w:id="320"/>
    <w:p>
      <w:pPr>
        <w:ind w:right="6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 A</w:t>
      </w:r>
      <w:r>
        <w:rPr>
          <w:rFonts w:ascii="Arial" w:cs="Arial" w:eastAsia="Arial" w:hAnsi="Arial"/>
          <w:sz w:val="14"/>
          <w:szCs w:val="14"/>
          <w:b w:val="1"/>
          <w:bCs w:val="1"/>
          <w:color w:val="auto"/>
        </w:rPr>
        <w:t>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amend this Plan as it shall deem advisable;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amendment to the Plan shall be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the approval of the Company’s stockholders if (i) stockholder approval is required by applicable law, rule or regulation, including any rule of NASDAQ or any other stock exchange on which the Common Stock is then traded, or (ii) such amendment seeks to modify the Non-Employee Director compensation limit set forth in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or the terms of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w:t>
      </w:r>
      <w:r>
        <w:rPr>
          <w:rFonts w:ascii="Arial" w:cs="Arial" w:eastAsia="Arial" w:hAnsi="Arial"/>
          <w:sz w:val="18"/>
          <w:szCs w:val="18"/>
          <w:i w:val="1"/>
          <w:iCs w:val="1"/>
          <w:color w:val="auto"/>
        </w:rPr>
        <w:t>provided further</w:t>
      </w:r>
      <w:r>
        <w:rPr>
          <w:rFonts w:ascii="Arial" w:cs="Arial" w:eastAsia="Arial" w:hAnsi="Arial"/>
          <w:sz w:val="18"/>
          <w:szCs w:val="18"/>
          <w:color w:val="auto"/>
        </w:rPr>
        <w:t>, that no amendment may materially impair the rights of a holder of an outstanding award without the consent of such holder.</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5.3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condition an award holder’s right (i) to exercise, vest or settle the award and (ii) to receive delivery of shares, on</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execution and delivery to the Company of an Agreement and the completion of other requirements, including, but not limited to, the execution of a nonsolicitation agreement by the recipient and delivery thereof to the Company. Notwithstanding anything contained herein to the contrary, the Committee may approve an Agreement that, upon the termination of an award holder’s employment or service, provides that (w) any or all outstanding options and SARs shall become exercisable in part or in full, (x) all or a portion of the Restriction Period applicable to any outstanding awards shall lapse, (y) all or a portion of the Performance Period applicable to any outstanding awards shall lapse and (z) the Performance Measures (if any) applicable to any outstanding awards shall be deemed to be satisfied at the target, maximum or any other level.</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5.4 N</w:t>
      </w:r>
      <w:r>
        <w:rPr>
          <w:rFonts w:ascii="Arial" w:cs="Arial" w:eastAsia="Arial" w:hAnsi="Arial"/>
          <w:sz w:val="12"/>
          <w:szCs w:val="12"/>
          <w:b w:val="1"/>
          <w:bCs w:val="1"/>
          <w:color w:val="auto"/>
        </w:rPr>
        <w:t>ON</w:t>
      </w:r>
      <w:r>
        <w:rPr>
          <w:rFonts w:ascii="Arial" w:cs="Arial" w:eastAsia="Arial" w:hAnsi="Arial"/>
          <w:sz w:val="16"/>
          <w:szCs w:val="16"/>
          <w:b w:val="1"/>
          <w:bCs w:val="1"/>
          <w:color w:val="auto"/>
        </w:rPr>
        <w:t>-T</w:t>
      </w:r>
      <w:r>
        <w:rPr>
          <w:rFonts w:ascii="Arial" w:cs="Arial" w:eastAsia="Arial" w:hAnsi="Arial"/>
          <w:sz w:val="12"/>
          <w:szCs w:val="12"/>
          <w:b w:val="1"/>
          <w:bCs w:val="1"/>
          <w:color w:val="auto"/>
        </w:rPr>
        <w:t>RANSFERABILITY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No award shall be transferable other than by will, the laws of descent and distribution or pursuant to beneficiary</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designation procedures approved by the Company or, to the extent expressly permitted in the Agreement relating to such award, to the holder’s family members, a trust or entity established by the holder for estate planning purposes,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pacing w:after="0" w:line="15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5.5 T</w:t>
      </w:r>
      <w:r>
        <w:rPr>
          <w:rFonts w:ascii="Arial" w:cs="Arial" w:eastAsia="Arial" w:hAnsi="Arial"/>
          <w:sz w:val="13"/>
          <w:szCs w:val="13"/>
          <w:b w:val="1"/>
          <w:bCs w:val="1"/>
          <w:color w:val="auto"/>
        </w:rPr>
        <w:t>AX</w:t>
      </w:r>
      <w:r>
        <w:rPr>
          <w:rFonts w:ascii="Arial" w:cs="Arial" w:eastAsia="Arial" w:hAnsi="Arial"/>
          <w:sz w:val="17"/>
          <w:szCs w:val="17"/>
          <w:b w:val="1"/>
          <w:bCs w:val="1"/>
          <w:color w:val="auto"/>
        </w:rPr>
        <w:t xml:space="preserve"> W</w:t>
      </w:r>
      <w:r>
        <w:rPr>
          <w:rFonts w:ascii="Arial" w:cs="Arial" w:eastAsia="Arial" w:hAnsi="Arial"/>
          <w:sz w:val="13"/>
          <w:szCs w:val="13"/>
          <w:b w:val="1"/>
          <w:bCs w:val="1"/>
          <w:color w:val="auto"/>
        </w:rPr>
        <w:t>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have the right to require, prior to the issuance or delivery of any shares of Common Stock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any cash 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Arial" w:cs="Arial" w:eastAsia="Arial" w:hAnsi="Arial"/>
          <w:sz w:val="17"/>
          <w:szCs w:val="17"/>
          <w:b w:val="1"/>
          <w:bCs w:val="1"/>
          <w:i w:val="1"/>
          <w:iCs w:val="1"/>
          <w:color w:val="auto"/>
        </w:rPr>
        <w:t>Tax Date</w:t>
      </w:r>
      <w:r>
        <w:rPr>
          <w:rFonts w:ascii="Arial" w:cs="Arial" w:eastAsia="Arial" w:hAnsi="Arial"/>
          <w:sz w:val="17"/>
          <w:szCs w:val="17"/>
          <w:color w:val="auto"/>
        </w:rPr>
        <w:t>”), or withhold an amount of cash which would otherwise be payable to a holder, in the amount necessary to satisfy any such obligation or (ii) the holder may satisfy any such obligation by any of the following means: (A) a cash payment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 (D) a cash payment by a broker-dealer acceptable to the Company; or (E) any combination of (A), (B), and (C), in each case to the extent set forth in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321" w:name="page322"/>
    <w:bookmarkEnd w:id="321"/>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relating to the award. Shares of Common Stock to be delivered or withheld may not have an aggregate Fair Market Value in excess of the amount determined by applying the minimum statutory withholding rate (or, if permitted by the Company, such other rate as shall not cause adverse accounting consequences under the accounting rules then in effect, and is permitted under applicable Internal Revenue Service withholding rules). Any fraction of a share of Common Stock which would be required to satisfy such an obligation shall be disregarded and the remaining amount due shall be paid in cash by the holder.</w:t>
      </w:r>
    </w:p>
    <w:p>
      <w:pPr>
        <w:spacing w:after="0" w:line="184"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5.6 R</w:t>
      </w:r>
      <w:r>
        <w:rPr>
          <w:rFonts w:ascii="Arial" w:cs="Arial" w:eastAsia="Arial" w:hAnsi="Arial"/>
          <w:sz w:val="12"/>
          <w:szCs w:val="12"/>
          <w:b w:val="1"/>
          <w:bCs w:val="1"/>
          <w:color w:val="auto"/>
        </w:rPr>
        <w:t>ESTRICTIONS ON</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award made hereunder shall be subject to the requirement that if at any time the Company determines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listing, registration or 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5.7 A</w:t>
      </w:r>
      <w:r>
        <w:rPr>
          <w:rFonts w:ascii="Arial" w:cs="Arial" w:eastAsia="Arial" w:hAnsi="Arial"/>
          <w:sz w:val="12"/>
          <w:szCs w:val="12"/>
          <w:b w:val="1"/>
          <w:bCs w:val="1"/>
          <w:color w:val="auto"/>
        </w:rPr>
        <w:t>DJUSTMENT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equity restructuring (within the meaning of Financial Accounting Standards Board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Codification Topic 718, Compensation—Stock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purchase price or base price per share), the terms of each outstanding Stock Award (including the number and class of securities subject thereto), and the terms of each outstanding Performance Award (including the number and class of securities subject thereto, if applicable)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2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5.8</w:t>
        <w:tab/>
        <w:t>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77" w:lineRule="auto"/>
        <w:tabs>
          <w:tab w:leader="none" w:pos="8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purposes of this Plan,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75" w:lineRule="exact"/>
        <w:rPr>
          <w:rFonts w:ascii="Arial" w:cs="Arial" w:eastAsia="Arial" w:hAnsi="Arial"/>
          <w:sz w:val="18"/>
          <w:szCs w:val="18"/>
          <w:color w:val="auto"/>
        </w:rPr>
      </w:pPr>
    </w:p>
    <w:p>
      <w:pPr>
        <w:ind w:left="1420" w:hanging="439"/>
        <w:spacing w:after="0" w:line="284" w:lineRule="auto"/>
        <w:tabs>
          <w:tab w:leader="none" w:pos="14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w:t>
      </w:r>
    </w:p>
    <w:p>
      <w:pPr>
        <w:spacing w:after="0" w:line="4" w:lineRule="exact"/>
        <w:rPr>
          <w:rFonts w:ascii="Arial" w:cs="Arial" w:eastAsia="Arial" w:hAnsi="Arial"/>
          <w:sz w:val="16"/>
          <w:szCs w:val="16"/>
          <w:color w:val="auto"/>
        </w:rPr>
      </w:pPr>
    </w:p>
    <w:p>
      <w:pPr>
        <w:ind w:left="1420" w:right="700"/>
        <w:spacing w:after="0" w:line="260" w:lineRule="auto"/>
        <w:rPr>
          <w:rFonts w:ascii="Arial" w:cs="Arial" w:eastAsia="Arial" w:hAnsi="Arial"/>
          <w:sz w:val="16"/>
          <w:szCs w:val="16"/>
          <w:color w:val="auto"/>
        </w:rPr>
      </w:pPr>
      <w:r>
        <w:rPr>
          <w:rFonts w:ascii="Arial" w:cs="Arial" w:eastAsia="Arial" w:hAnsi="Arial"/>
          <w:sz w:val="18"/>
          <w:szCs w:val="18"/>
          <w:color w:val="auto"/>
        </w:rPr>
        <w:t>(C) 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322" w:name="page323"/>
    <w:bookmarkEnd w:id="322"/>
    <w:p>
      <w:pPr>
        <w:ind w:left="439"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98" w:lineRule="exact"/>
        <w:rPr>
          <w:sz w:val="20"/>
          <w:szCs w:val="20"/>
          <w:color w:val="auto"/>
        </w:rPr>
      </w:pPr>
    </w:p>
    <w:p>
      <w:pPr>
        <w:ind w:left="439" w:hanging="439"/>
        <w:spacing w:after="0" w:line="254" w:lineRule="auto"/>
        <w:tabs>
          <w:tab w:leader="none" w:pos="43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00" w:lineRule="exact"/>
        <w:rPr>
          <w:rFonts w:ascii="Arial" w:cs="Arial" w:eastAsia="Arial" w:hAnsi="Arial"/>
          <w:sz w:val="18"/>
          <w:szCs w:val="18"/>
          <w:color w:val="auto"/>
        </w:rPr>
      </w:pPr>
    </w:p>
    <w:p>
      <w:pPr>
        <w:ind w:left="439" w:right="80" w:hanging="439"/>
        <w:spacing w:after="0" w:line="275" w:lineRule="auto"/>
        <w:tabs>
          <w:tab w:leader="none" w:pos="439"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81" w:lineRule="exact"/>
        <w:rPr>
          <w:rFonts w:ascii="Arial" w:cs="Arial" w:eastAsia="Arial" w:hAnsi="Arial"/>
          <w:sz w:val="17"/>
          <w:szCs w:val="17"/>
          <w:color w:val="auto"/>
        </w:rPr>
      </w:pPr>
    </w:p>
    <w:p>
      <w:pPr>
        <w:ind w:left="439" w:right="180" w:hanging="439"/>
        <w:spacing w:after="0" w:line="342" w:lineRule="auto"/>
        <w:tabs>
          <w:tab w:leader="none" w:pos="43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stockholders of the Company approve or the Board approves a plan of complete dissolution or liquidation of the Company, or a complete dissolution or liquidation of the Company shall otherwise occur, except for a liquidation into a parent corporation; or</w:t>
      </w:r>
    </w:p>
    <w:p>
      <w:pPr>
        <w:spacing w:after="0" w:line="29" w:lineRule="exact"/>
        <w:rPr>
          <w:rFonts w:ascii="Arial" w:cs="Arial" w:eastAsia="Arial" w:hAnsi="Arial"/>
          <w:sz w:val="16"/>
          <w:szCs w:val="16"/>
          <w:color w:val="auto"/>
        </w:rPr>
      </w:pPr>
    </w:p>
    <w:p>
      <w:pPr>
        <w:ind w:left="439" w:hanging="439"/>
        <w:spacing w:after="0"/>
        <w:tabs>
          <w:tab w:leader="none" w:pos="43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during any twenty-four (24) month period, individuals who, as of the beginning of such period, constitute the Board (the</w:t>
      </w:r>
    </w:p>
    <w:p>
      <w:pPr>
        <w:spacing w:after="0" w:line="23" w:lineRule="exact"/>
        <w:rPr>
          <w:rFonts w:ascii="Arial" w:cs="Arial" w:eastAsia="Arial" w:hAnsi="Arial"/>
          <w:sz w:val="18"/>
          <w:szCs w:val="18"/>
          <w:color w:val="auto"/>
        </w:rPr>
      </w:pPr>
    </w:p>
    <w:p>
      <w:pPr>
        <w:ind w:left="439" w:right="80"/>
        <w:spacing w:after="0" w:line="28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Incumbent Directors</w:t>
      </w:r>
      <w:r>
        <w:rPr>
          <w:rFonts w:ascii="Arial" w:cs="Arial" w:eastAsia="Arial" w:hAnsi="Arial"/>
          <w:sz w:val="16"/>
          <w:szCs w:val="16"/>
          <w:color w:val="auto"/>
        </w:rPr>
        <w:t xml:space="preserve">”)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 For purposes of this clause (5), “</w:t>
      </w:r>
      <w:r>
        <w:rPr>
          <w:rFonts w:ascii="Arial" w:cs="Arial" w:eastAsia="Arial" w:hAnsi="Arial"/>
          <w:sz w:val="16"/>
          <w:szCs w:val="16"/>
          <w:i w:val="1"/>
          <w:iCs w:val="1"/>
          <w:color w:val="auto"/>
        </w:rPr>
        <w:t>Person</w:t>
      </w:r>
      <w:r>
        <w:rPr>
          <w:rFonts w:ascii="Arial" w:cs="Arial" w:eastAsia="Arial" w:hAnsi="Arial"/>
          <w:sz w:val="16"/>
          <w:szCs w:val="16"/>
          <w:color w:val="auto"/>
        </w:rPr>
        <w:t>” shall have the meaning given in Section 3(a)(9) of the Exchange Act, as modified and used in Sections 13(d) and</w:t>
      </w:r>
    </w:p>
    <w:p>
      <w:pPr>
        <w:spacing w:after="0" w:line="4" w:lineRule="exact"/>
        <w:rPr>
          <w:rFonts w:ascii="Arial" w:cs="Arial" w:eastAsia="Arial" w:hAnsi="Arial"/>
          <w:sz w:val="18"/>
          <w:szCs w:val="18"/>
          <w:color w:val="auto"/>
        </w:rPr>
      </w:pPr>
    </w:p>
    <w:p>
      <w:pPr>
        <w:ind w:left="439"/>
        <w:spacing w:after="0"/>
        <w:rPr>
          <w:rFonts w:ascii="Arial" w:cs="Arial" w:eastAsia="Arial" w:hAnsi="Arial"/>
          <w:sz w:val="18"/>
          <w:szCs w:val="18"/>
          <w:color w:val="auto"/>
        </w:rPr>
      </w:pPr>
      <w:r>
        <w:rPr>
          <w:rFonts w:ascii="Arial" w:cs="Arial" w:eastAsia="Arial" w:hAnsi="Arial"/>
          <w:sz w:val="18"/>
          <w:szCs w:val="18"/>
          <w:color w:val="auto"/>
        </w:rPr>
        <w:t>14(d) thereof, except that such term shall not include (w) the Company or any of its Affiliates, within the meaning of</w:t>
      </w:r>
    </w:p>
    <w:p>
      <w:pPr>
        <w:spacing w:after="0" w:line="9" w:lineRule="exact"/>
        <w:rPr>
          <w:rFonts w:ascii="Arial" w:cs="Arial" w:eastAsia="Arial" w:hAnsi="Arial"/>
          <w:sz w:val="18"/>
          <w:szCs w:val="18"/>
          <w:color w:val="auto"/>
        </w:rPr>
      </w:pPr>
    </w:p>
    <w:p>
      <w:pPr>
        <w:ind w:left="439" w:right="120"/>
        <w:spacing w:after="0" w:line="253" w:lineRule="auto"/>
        <w:rPr>
          <w:rFonts w:ascii="Arial" w:cs="Arial" w:eastAsia="Arial" w:hAnsi="Arial"/>
          <w:sz w:val="18"/>
          <w:szCs w:val="18"/>
          <w:color w:val="auto"/>
        </w:rPr>
      </w:pPr>
      <w:r>
        <w:rPr>
          <w:rFonts w:ascii="Arial" w:cs="Arial" w:eastAsia="Arial" w:hAnsi="Arial"/>
          <w:sz w:val="18"/>
          <w:szCs w:val="18"/>
          <w:color w:val="auto"/>
        </w:rPr>
        <w:t>Rule 12b-2 under Section 12 of the Exchange Act; (x) a trustee or other fiduciary holding securities under an employee benefit plan of the Company or any of its Subsidiaries; (y) an underwriter temporarily holding securities pursuant to an offering of such securities; or (z) a corporation owned, directly or indirectly, by the stockholders of the Company in substantially the same proportions as their ownership of stock of the Company.</w:t>
      </w:r>
    </w:p>
    <w:p>
      <w:pPr>
        <w:spacing w:after="0" w:line="125"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39"/>
          </w:cols>
          <w:pgMar w:left="1421" w:top="274" w:right="439" w:bottom="1440" w:gutter="0" w:footer="0" w:header="0"/>
        </w:sectPr>
      </w:pPr>
    </w:p>
    <w:bookmarkStart w:id="323" w:name="page324"/>
    <w:bookmarkEnd w:id="32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definition or any other provision of this Plan, (A) the term Change in Control shall not include a sale of assets, merger, or other transaction effected exclusively for the purpose of changing the domicile of the Company and (B) with respect to any nonqualified deferred compensation that becomes payable on account of the Change in Control, the transaction or event described in clause (1), (2), (3), (4) or (5) shall also constitute a “change in control event,” as defined in Treasury Regulation § 1.409A-3(i)(5), to be considered a Change in Control if required in order for the payment not to violate Section 409A of the Code.</w:t>
      </w:r>
    </w:p>
    <w:p>
      <w:pPr>
        <w:spacing w:after="0" w:line="188" w:lineRule="exact"/>
        <w:rPr>
          <w:sz w:val="20"/>
          <w:szCs w:val="20"/>
          <w:color w:val="auto"/>
        </w:rPr>
      </w:pPr>
    </w:p>
    <w:p>
      <w:pPr>
        <w:ind w:right="460" w:firstLine="436"/>
        <w:spacing w:after="0" w:line="277" w:lineRule="auto"/>
        <w:tabs>
          <w:tab w:leader="none" w:pos="83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the terms of the applicable Agreements, in the event of a Change in Control, the Board, as constituted prior to the Change in Control, may, in its discretion:</w:t>
      </w:r>
    </w:p>
    <w:p>
      <w:pPr>
        <w:spacing w:after="0" w:line="75" w:lineRule="exact"/>
        <w:rPr>
          <w:rFonts w:ascii="Arial" w:cs="Arial" w:eastAsia="Arial" w:hAnsi="Arial"/>
          <w:sz w:val="18"/>
          <w:szCs w:val="18"/>
          <w:color w:val="auto"/>
        </w:rPr>
      </w:pPr>
    </w:p>
    <w:p>
      <w:pPr>
        <w:ind w:left="1420" w:right="100" w:hanging="439"/>
        <w:spacing w:after="0" w:line="275" w:lineRule="auto"/>
        <w:tabs>
          <w:tab w:leader="none" w:pos="142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require that (i) some or all outstanding options and SARs shall become exercisable in full or in part, either immediately or upon a subsequent termination of employment, (ii) the Restriction Period applicable to some or all outstanding Stock Awards shall lapse in full or in part, either immediately or upon a subsequent termination of employment, (iii) the Performance Period applicable to some or all outstanding awards shall lapse in full or in part, and (iv) the Performance Measures applicable to some or all outstanding awards shall be deemed to be satisfied at the target, maximum or any other level;</w:t>
      </w:r>
    </w:p>
    <w:p>
      <w:pPr>
        <w:spacing w:after="0" w:line="81" w:lineRule="exact"/>
        <w:rPr>
          <w:rFonts w:ascii="Arial" w:cs="Arial" w:eastAsia="Arial" w:hAnsi="Arial"/>
          <w:sz w:val="17"/>
          <w:szCs w:val="17"/>
          <w:color w:val="auto"/>
        </w:rPr>
      </w:pPr>
    </w:p>
    <w:p>
      <w:pPr>
        <w:ind w:left="1420" w:right="140" w:hanging="439"/>
        <w:spacing w:after="0" w:line="259" w:lineRule="auto"/>
        <w:tabs>
          <w:tab w:leader="none" w:pos="14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require that shares of capital stock of the corporation resulting from or succeeding to the business of the Company pursuant to such Change in Control, or a parent corporation thereof, or other property be substituted for some or all of the shares of Common Stock subject to an outstanding award, with an appropriate and equitable adjustment to such award as determined by the Board in accordance with </w:t>
      </w:r>
      <w:r>
        <w:rPr>
          <w:rFonts w:ascii="Arial" w:cs="Arial" w:eastAsia="Arial" w:hAnsi="Arial"/>
          <w:sz w:val="18"/>
          <w:szCs w:val="18"/>
          <w:u w:val="single" w:color="auto"/>
          <w:color w:val="auto"/>
        </w:rPr>
        <w:t>Section 5.7</w:t>
      </w:r>
      <w:r>
        <w:rPr>
          <w:rFonts w:ascii="Arial" w:cs="Arial" w:eastAsia="Arial" w:hAnsi="Arial"/>
          <w:sz w:val="18"/>
          <w:szCs w:val="18"/>
          <w:color w:val="auto"/>
        </w:rPr>
        <w:t>; and/or</w:t>
      </w:r>
    </w:p>
    <w:p>
      <w:pPr>
        <w:spacing w:after="0" w:line="92" w:lineRule="exact"/>
        <w:rPr>
          <w:rFonts w:ascii="Arial" w:cs="Arial" w:eastAsia="Arial" w:hAnsi="Arial"/>
          <w:sz w:val="18"/>
          <w:szCs w:val="18"/>
          <w:color w:val="auto"/>
        </w:rPr>
      </w:pPr>
    </w:p>
    <w:p>
      <w:pPr>
        <w:ind w:left="1420" w:hanging="439"/>
        <w:spacing w:after="0" w:line="283" w:lineRule="auto"/>
        <w:tabs>
          <w:tab w:leader="none" w:pos="142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require outstanding awards, in whole or in part, to be surrendered to the Company by the holder, and to be immediately cancelled by the Company, and to provide for the holder to receive: (i) a cash payment in an amount equal to (A) in the case of an option or an SAR, the aggregate number of shares of Common Stock then subject to the portion of such option or SAR surrendered, whether or not vested or exercisable, multiplied by the excess, if any, of the Fair Market Value of a share of Common Stock as of the date of the Change in Control, over the purchase price or base price per share of Common Stock subject to such option or SAR, (B) in the case of a Stock Award or a Performance Award denominated in shares of Common Stock, the number of shares of Common Stock then subject to the portion of such award surrendered to the extent the Performance Measures applicable to such award have been satisfied or are deemed satisfied pursuant to </w:t>
      </w:r>
      <w:r>
        <w:rPr>
          <w:rFonts w:ascii="Arial" w:cs="Arial" w:eastAsia="Arial" w:hAnsi="Arial"/>
          <w:sz w:val="16"/>
          <w:szCs w:val="16"/>
          <w:u w:val="single" w:color="auto"/>
          <w:color w:val="auto"/>
        </w:rPr>
        <w:t>Section 5.8(b)(1)</w:t>
      </w:r>
      <w:r>
        <w:rPr>
          <w:rFonts w:ascii="Arial" w:cs="Arial" w:eastAsia="Arial" w:hAnsi="Arial"/>
          <w:sz w:val="16"/>
          <w:szCs w:val="16"/>
          <w:color w:val="auto"/>
        </w:rPr>
        <w:t xml:space="preserve">, whether or not vested, multiplied by the Fair Market Value of a share of Common Stock as of the date of the Change in Control, and (C) in the case of a Performance Award denominated in cash, the value of the Performance Award then subject to the portion of such award surrendered to the extent the Performance Measures applicable to such award have been satisfied or are deemed satisfied pursuant to </w:t>
      </w:r>
      <w:r>
        <w:rPr>
          <w:rFonts w:ascii="Arial" w:cs="Arial" w:eastAsia="Arial" w:hAnsi="Arial"/>
          <w:sz w:val="16"/>
          <w:szCs w:val="16"/>
          <w:u w:val="single" w:color="auto"/>
          <w:color w:val="auto"/>
        </w:rPr>
        <w:t>Section 5.8(b)(1)</w:t>
      </w:r>
      <w:r>
        <w:rPr>
          <w:rFonts w:ascii="Arial" w:cs="Arial" w:eastAsia="Arial" w:hAnsi="Arial"/>
          <w:sz w:val="16"/>
          <w:szCs w:val="16"/>
          <w:color w:val="auto"/>
        </w:rPr>
        <w:t>; (ii) shares of capital stock of the corporation resulting from or succeeding to the business of the Company pursuant to such Change in Control, or a parent corporation thereof, or other property having a fair market value not less than the amount determined under clause (i) above; or (iii) a combination of the payment of cash pursuant to clause (i) above or the issuance of shares or other property pursuant to clause</w:t>
      </w:r>
    </w:p>
    <w:p>
      <w:pPr>
        <w:spacing w:after="0" w:line="1"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(ii) above.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24" w:name="page325"/>
    <w:bookmarkEnd w:id="324"/>
    <w:p>
      <w:pPr>
        <w:jc w:val="both"/>
        <w:ind w:right="2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5.9 D</w:t>
      </w:r>
      <w:r>
        <w:rPr>
          <w:rFonts w:ascii="Arial" w:cs="Arial" w:eastAsia="Arial" w:hAnsi="Arial"/>
          <w:sz w:val="14"/>
          <w:szCs w:val="14"/>
          <w:b w:val="1"/>
          <w:bCs w:val="1"/>
          <w:color w:val="auto"/>
        </w:rPr>
        <w:t>EFERRALS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determine that the delivery of shares of Common Stock or the payment of cash, or a combination thereof,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settlement of all or a portion of any award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8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5.10 N</w:t>
      </w:r>
      <w:r>
        <w:rPr>
          <w:rFonts w:ascii="Arial" w:cs="Arial" w:eastAsia="Arial" w:hAnsi="Arial"/>
          <w:sz w:val="13"/>
          <w:szCs w:val="13"/>
          <w:b w:val="1"/>
          <w:bCs w:val="1"/>
          <w:color w:val="auto"/>
        </w:rPr>
        <w:t>O</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IGHT OF</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ARTICIPATION</w:t>
      </w:r>
      <w:r>
        <w:rPr>
          <w:rFonts w:ascii="Arial" w:cs="Arial" w:eastAsia="Arial" w:hAnsi="Arial"/>
          <w:sz w:val="17"/>
          <w:szCs w:val="17"/>
          <w:b w:val="1"/>
          <w:bCs w:val="1"/>
          <w:color w:val="auto"/>
        </w:rPr>
        <w:t>, E</w:t>
      </w:r>
      <w:r>
        <w:rPr>
          <w:rFonts w:ascii="Arial" w:cs="Arial" w:eastAsia="Arial" w:hAnsi="Arial"/>
          <w:sz w:val="13"/>
          <w:szCs w:val="13"/>
          <w:b w:val="1"/>
          <w:bCs w:val="1"/>
          <w:color w:val="auto"/>
        </w:rPr>
        <w:t>MPLOYMENT OR</w:t>
      </w:r>
      <w:r>
        <w:rPr>
          <w:rFonts w:ascii="Arial" w:cs="Arial" w:eastAsia="Arial" w:hAnsi="Arial"/>
          <w:sz w:val="17"/>
          <w:szCs w:val="17"/>
          <w:b w:val="1"/>
          <w:bCs w:val="1"/>
          <w:color w:val="auto"/>
        </w:rPr>
        <w:t xml:space="preserve"> S</w:t>
      </w:r>
      <w:r>
        <w:rPr>
          <w:rFonts w:ascii="Arial" w:cs="Arial" w:eastAsia="Arial" w:hAnsi="Arial"/>
          <w:sz w:val="13"/>
          <w:szCs w:val="13"/>
          <w:b w:val="1"/>
          <w:bCs w:val="1"/>
          <w:color w:val="auto"/>
        </w:rPr>
        <w:t>ERVICE</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set forth in an employment agreement, no person shall have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participate in this Plan. Neither this Plan nor any award made hereunder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w:t>
      </w:r>
    </w:p>
    <w:p>
      <w:pPr>
        <w:spacing w:after="0" w:line="16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5.11 R</w:t>
      </w:r>
      <w:r>
        <w:rPr>
          <w:rFonts w:ascii="Arial" w:cs="Arial" w:eastAsia="Arial" w:hAnsi="Arial"/>
          <w:sz w:val="14"/>
          <w:szCs w:val="14"/>
          <w:b w:val="1"/>
          <w:bCs w:val="1"/>
          <w:color w:val="auto"/>
        </w:rPr>
        <w:t>IGHTS AS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No person shall have any right as a stockholder of the Company with respect to any shares of Common Stock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equity security of the Company which is subject to an award hereunder unless and until such person becomes a stockholder of record with respect to such shares of Common Stock or equity security.</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color w:val="auto"/>
        </w:rPr>
        <w:t>5.12 D</w:t>
      </w:r>
      <w:r>
        <w:rPr>
          <w:rFonts w:ascii="Arial" w:cs="Arial" w:eastAsia="Arial" w:hAnsi="Arial"/>
          <w:sz w:val="13"/>
          <w:szCs w:val="13"/>
          <w:b w:val="1"/>
          <w:bCs w:val="1"/>
          <w:color w:val="auto"/>
        </w:rPr>
        <w:t>ESIGNATION OF</w:t>
      </w:r>
      <w:r>
        <w:rPr>
          <w:rFonts w:ascii="Arial" w:cs="Arial" w:eastAsia="Arial" w:hAnsi="Arial"/>
          <w:sz w:val="17"/>
          <w:szCs w:val="17"/>
          <w:b w:val="1"/>
          <w:bCs w:val="1"/>
          <w:color w:val="auto"/>
        </w:rPr>
        <w:t xml:space="preserve"> B</w:t>
      </w:r>
      <w:r>
        <w:rPr>
          <w:rFonts w:ascii="Arial" w:cs="Arial" w:eastAsia="Arial" w:hAnsi="Arial"/>
          <w:sz w:val="13"/>
          <w:szCs w:val="13"/>
          <w:b w:val="1"/>
          <w:bCs w:val="1"/>
          <w:color w:val="auto"/>
        </w:rPr>
        <w:t>ENEFICIARY</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permitted by the Company, a holder of an award may file with the Company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designation of one or more 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5.13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LAWBACK</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awards granted under this Plan and any cash payment or shares of Common Stock delivered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an award are subject to forfeiture, recovery by the Company or other action pursuant to the applicable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83"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5.14 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each award hereunder and the related Agreement, and all determinations made and actions taken pursuant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not otherwise governed by the Code or the laws of the United States, shall be governed by the laws of the State of Delaware and construed in accordance therewith without giving effect to principles of conflicts of laws.</w:t>
      </w:r>
    </w:p>
    <w:p>
      <w:pPr>
        <w:spacing w:after="0" w:line="176"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5.15 C</w:t>
      </w:r>
      <w:r>
        <w:rPr>
          <w:rFonts w:ascii="Arial" w:cs="Arial" w:eastAsia="Arial" w:hAnsi="Arial"/>
          <w:sz w:val="14"/>
          <w:szCs w:val="14"/>
          <w:b w:val="1"/>
          <w:bCs w:val="1"/>
          <w:color w:val="auto"/>
        </w:rPr>
        <w:t>OMPLIANCE WITH</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 </w:t>
      </w:r>
      <w:r>
        <w:rPr>
          <w:rFonts w:ascii="Arial" w:cs="Arial" w:eastAsia="Arial" w:hAnsi="Arial"/>
          <w:sz w:val="14"/>
          <w:szCs w:val="14"/>
          <w:b w:val="1"/>
          <w:bCs w:val="1"/>
          <w:color w:val="auto"/>
        </w:rPr>
        <w:t>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ODE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that the Board determines that any award granted hereunder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the Plan and applicable Agreement will be interpreted in accordance with Section 409A of the Code. Notwithstanding anything to the contrary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25" w:name="page326"/>
    <w:bookmarkEnd w:id="32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Plan (and unless the Agreement specifically provides otherwise), if the shares of Common Stock are publicly traded, and if a holder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holder’s “separation from service” (as defined in Section 409A of the Code without regard to alternative definitions thereunder) or, if earlier, the date of the holder’s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5.16 F</w:t>
      </w:r>
      <w:r>
        <w:rPr>
          <w:rFonts w:ascii="Arial" w:cs="Arial" w:eastAsia="Arial" w:hAnsi="Arial"/>
          <w:sz w:val="13"/>
          <w:szCs w:val="13"/>
          <w:b w:val="1"/>
          <w:bCs w:val="1"/>
          <w:color w:val="auto"/>
        </w:rPr>
        <w:t>OREIGN</w:t>
      </w:r>
      <w:r>
        <w:rPr>
          <w:rFonts w:ascii="Arial" w:cs="Arial" w:eastAsia="Arial" w:hAnsi="Arial"/>
          <w:sz w:val="17"/>
          <w:szCs w:val="17"/>
          <w:b w:val="1"/>
          <w:bCs w:val="1"/>
          <w:color w:val="auto"/>
        </w:rPr>
        <w:t xml:space="preserve"> E</w:t>
      </w:r>
      <w:r>
        <w:rPr>
          <w:rFonts w:ascii="Arial" w:cs="Arial" w:eastAsia="Arial" w:hAnsi="Arial"/>
          <w:sz w:val="13"/>
          <w:szCs w:val="13"/>
          <w:b w:val="1"/>
          <w:bCs w:val="1"/>
          <w:color w:val="auto"/>
        </w:rPr>
        <w:t>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amending this Plan, the Committee may grant awards to eligible persons who are foreign nationals and/or</w:t>
      </w:r>
      <w:r>
        <w:rPr>
          <w:rFonts w:ascii="Arial" w:cs="Arial" w:eastAsia="Arial" w:hAnsi="Arial"/>
          <w:sz w:val="17"/>
          <w:szCs w:val="17"/>
          <w:b w:val="1"/>
          <w:bCs w:val="1"/>
          <w:color w:val="auto"/>
        </w:rPr>
        <w:t xml:space="preserve"> </w:t>
      </w:r>
      <w:r>
        <w:rPr>
          <w:rFonts w:ascii="Arial" w:cs="Arial" w:eastAsia="Arial" w:hAnsi="Arial"/>
          <w:sz w:val="17"/>
          <w:szCs w:val="17"/>
          <w:color w:val="auto"/>
        </w:rPr>
        <w:t>reside outside of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IODESIX</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ind w:right="200" w:firstLine="8"/>
        <w:spacing w:after="0" w:line="281" w:lineRule="auto"/>
        <w:tabs>
          <w:tab w:leader="none" w:pos="315"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3"/>
          <w:szCs w:val="13"/>
          <w:b w:val="1"/>
          <w:bCs w:val="1"/>
          <w:color w:val="auto"/>
        </w:rPr>
        <w:t>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purpose of the Biodesix, Inc. Employee Share Purchase Plan (this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is to provide eligible Employees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Participating Subsidiaries with a convenient means of acquiring an equity interest in the Company through payroll deductions or other contributions in order to enhance such employees’ sense of participation in the affairs of the Company. This Plan shall apply to Offering Periods beginning on or after the effective date of the initial public offering of the Shares, as determined by the Committee.</w:t>
      </w:r>
    </w:p>
    <w:p>
      <w:pPr>
        <w:spacing w:after="0" w:line="16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Plan includes two components: (a) a component intended to qualify as an “employee stock purchase plan” under Section 423 of the Code (the “</w:t>
      </w:r>
      <w:r>
        <w:rPr>
          <w:rFonts w:ascii="Arial" w:cs="Arial" w:eastAsia="Arial" w:hAnsi="Arial"/>
          <w:sz w:val="17"/>
          <w:szCs w:val="17"/>
          <w:b w:val="1"/>
          <w:bCs w:val="1"/>
          <w:i w:val="1"/>
          <w:iCs w:val="1"/>
          <w:color w:val="auto"/>
        </w:rPr>
        <w:t>423</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Component</w:t>
      </w:r>
      <w:r>
        <w:rPr>
          <w:rFonts w:ascii="Arial" w:cs="Arial" w:eastAsia="Arial" w:hAnsi="Arial"/>
          <w:sz w:val="17"/>
          <w:szCs w:val="17"/>
          <w:color w:val="auto"/>
        </w:rPr>
        <w:t>”), the provisions of which shall be construed so as to extend and limit participation in a uniform and nondiscriminatory manner consistent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requirements of Section 423 of the Code; and (b) a component that does not qualify as an “employee stock purchase plan” under Section 423 of the Code (the “</w:t>
      </w:r>
      <w:r>
        <w:rPr>
          <w:rFonts w:ascii="Arial" w:cs="Arial" w:eastAsia="Arial" w:hAnsi="Arial"/>
          <w:sz w:val="17"/>
          <w:szCs w:val="17"/>
          <w:b w:val="1"/>
          <w:bCs w:val="1"/>
          <w:i w:val="1"/>
          <w:iCs w:val="1"/>
          <w:color w:val="auto"/>
        </w:rPr>
        <w:t>Non-423 Component</w:t>
      </w:r>
      <w:r>
        <w:rPr>
          <w:rFonts w:ascii="Arial" w:cs="Arial" w:eastAsia="Arial" w:hAnsi="Arial"/>
          <w:sz w:val="17"/>
          <w:szCs w:val="17"/>
          <w:color w:val="auto"/>
        </w:rPr>
        <w:t>”), under which options shall be granted pursuant to rules, procedures or sub-plans adopted by the Committee designed to achieve tax, securities laws or other objectives for eligible Employees, the Company and its Participating Subsidiaries. Except as otherwise provided in this Plan, the Non-423 Component will operate and be administered in the same manner as the 423 Component.</w:t>
      </w:r>
    </w:p>
    <w:p>
      <w:pPr>
        <w:spacing w:after="0" w:line="174" w:lineRule="exact"/>
        <w:rPr>
          <w:sz w:val="20"/>
          <w:szCs w:val="20"/>
          <w:color w:val="auto"/>
        </w:rPr>
      </w:pPr>
    </w:p>
    <w:p>
      <w:pPr>
        <w:ind w:right="20" w:firstLine="8"/>
        <w:spacing w:after="0" w:line="282" w:lineRule="auto"/>
        <w:tabs>
          <w:tab w:leader="none" w:pos="315"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the terms set forth below have the meanings assigned to them in this Section 2 and shall include the plural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singular, as appropriate.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1934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Biodesix, Inc.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 day on which NASDAQ is open for trading.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Brokerage Account</w:t>
      </w:r>
      <w:r>
        <w:rPr>
          <w:rFonts w:ascii="Arial" w:cs="Arial" w:eastAsia="Arial" w:hAnsi="Arial"/>
          <w:sz w:val="18"/>
          <w:szCs w:val="18"/>
          <w:color w:val="auto"/>
        </w:rPr>
        <w:t>” means the account in which the Purchased Shares may be held.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the designee of the Compensation Committee.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Biodesix, Inc., a Delaware corporation, or any successor thereto.</w:t>
      </w:r>
    </w:p>
    <w:p>
      <w:pPr>
        <w:spacing w:after="0" w:line="225"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means base pay, commissions, overtime, and vacation, holiday and sick pay. Compensation does not include: (1) income related to stock option awards, stock grants and other equity incentive awards; (2) expense reimbursements; (3) relocation-related payments; (4) benefit plan payments (including but not limited to short-term disability pay, long-term disability pay, maternity pay, military pay, tuition reimbursement and adoption assistance); (5) accrued but unpaid compensation for a deceased Participant; (6) income from non-cash and fringe benefits; (7) severance payments; (8) annual, quarterly, monthly and other cash bonuses; and (9) other forms of compensation not specifically listed herein.</w:t>
      </w:r>
    </w:p>
    <w:p>
      <w:pPr>
        <w:spacing w:after="0" w:line="161"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individual who is a common law employee of the Company or any other Participating Subsidiary. For purposes of the Plan, the employment relationship shall be treated as continuing intact while the individual is on sick leave or other leave of absence approved by the Company or the Participating Subsidiary, as appropriate, and only to the extent permitted under Section 423 of the Code with respect to the 423 Component. For purposes of the Plan, an individual who performs services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27" w:name="page328"/>
    <w:bookmarkEnd w:id="327"/>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Enrollment Date</w:t>
      </w:r>
      <w:r>
        <w:rPr>
          <w:rFonts w:ascii="Arial" w:cs="Arial" w:eastAsia="Arial" w:hAnsi="Arial"/>
          <w:sz w:val="18"/>
          <w:szCs w:val="18"/>
          <w:color w:val="auto"/>
        </w:rPr>
        <w:t>” means the first Business Day of each Offering Period.</w:t>
      </w:r>
    </w:p>
    <w:p>
      <w:pPr>
        <w:spacing w:after="0" w:line="225"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means the last Business Day of each Offering Period (or, if determined by the Committee, the Purchase Period if different from the Offering Period).</w:t>
      </w:r>
    </w:p>
    <w:p>
      <w:pPr>
        <w:spacing w:after="0" w:line="17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closing transaction price for a Share as reported on NASDAQ on the date as of which such value is being determined or, if the Common Stock is not listed on NASDAQ, the closing transaction price for a Share on the principal national stock exchange on which the Shares are traded on the date as of which such value is being determined or, if there shall be no reported transactions for such date, on the next preceding date for which transactions were reported. Notwithstanding the foregoing, if the first Offering Period commences on the first Business Day on or after the date on which the Securities and Exchange Commission declares the Company’s Registration Statement to be effective, the Fair Market Value for purposes of the Enrollment Date for such first Offering Period shall be the initial price to the public as set forth in the final prospectus included in the Registration Statement.</w:t>
      </w:r>
    </w:p>
    <w:p>
      <w:pPr>
        <w:spacing w:after="0" w:line="195"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Offering Period</w:t>
      </w:r>
      <w:r>
        <w:rPr>
          <w:rFonts w:ascii="Arial" w:cs="Arial" w:eastAsia="Arial" w:hAnsi="Arial"/>
          <w:sz w:val="17"/>
          <w:szCs w:val="17"/>
          <w:color w:val="auto"/>
        </w:rPr>
        <w:t>” means every six-month period beginning the first Business Day of March and the first Business Day of September or such other period designated by the Committee; provided that in no event shall an Offering Period exceed 27 months, with the commencement of the first Offering Period to be determined by the Board or the Committee, as determined by the Board. Notwithstanding anything herein to the contrary, the Committee may establish an Offering Period with multiple Purchase Periods within such Offering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granted under this Plan that entitles a Participant to purchase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who satisfies the requirements of Sections 3 and 5 of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Participating Subsidiary</w:t>
      </w:r>
      <w:r>
        <w:rPr>
          <w:rFonts w:ascii="Arial" w:cs="Arial" w:eastAsia="Arial" w:hAnsi="Arial"/>
          <w:sz w:val="16"/>
          <w:szCs w:val="16"/>
          <w:color w:val="auto"/>
        </w:rPr>
        <w:t>” means each Subsidiary other than those that the Committee or the Board has excluded from participation in the Plan.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Biodesix, Inc. Employee Stock Purchase Plan,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Account</w:t>
      </w:r>
      <w:r>
        <w:rPr>
          <w:rFonts w:ascii="Arial" w:cs="Arial" w:eastAsia="Arial" w:hAnsi="Arial"/>
          <w:sz w:val="18"/>
          <w:szCs w:val="18"/>
          <w:color w:val="auto"/>
        </w:rPr>
        <w:t>” means the account used to purchase Shares through the exercise of Options under the Plan.</w:t>
      </w:r>
    </w:p>
    <w:p>
      <w:pPr>
        <w:spacing w:after="0" w:line="22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the period designated by the Committee during which payroll deductions or other contributions of the Participants are accumulated under the Plan. A Purchase Period may coincide with an entire Offering Period or there may be multiple Purchase Periods within an Offering Period, as determined by the Committee prior to the commencement of the applicable Offering Period.</w:t>
      </w:r>
    </w:p>
    <w:p>
      <w:pPr>
        <w:spacing w:after="0" w:line="18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xml:space="preserve">” shall be the lesser of: (i) 85% percent of the Fair Market Value of a Share on the applicable Enrollment Date for an Offering Period and (ii) 85% percent of the Fair Market Value of a Share on the applicable Exercise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(i) 85% of the Fair Market Value of a Share on the applicable Enrollment Date or (ii) 85% of the Fair Market Value of a Share on the Exercise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Purchased Shares</w:t>
      </w:r>
      <w:r>
        <w:rPr>
          <w:rFonts w:ascii="Arial" w:cs="Arial" w:eastAsia="Arial" w:hAnsi="Arial"/>
          <w:sz w:val="18"/>
          <w:szCs w:val="18"/>
          <w:color w:val="auto"/>
        </w:rPr>
        <w:t>” means the full Shares issued or delivered pursuant to the exercise of Options under the Plan.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328" w:name="page329"/>
    <w:bookmarkEnd w:id="328"/>
    <w:p>
      <w:pPr>
        <w:ind w:right="34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filed with the Securities and Exchange Commission for the initial public offering of the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the common stock of the Company.</w:t>
      </w:r>
    </w:p>
    <w:p>
      <w:pPr>
        <w:spacing w:after="0" w:line="22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 entity, domestic or foreign, of which not less than 50% of the voting equity is held by the Company or a Subsidiary, whether or not such entity now exists or is hereafter organized or acquired by the Company or a Subsidiary; provided such entity is also a “subsidiary” within the meaning of Section 424 of the Code.</w:t>
      </w:r>
    </w:p>
    <w:p>
      <w:pPr>
        <w:spacing w:after="0" w:line="184" w:lineRule="exact"/>
        <w:rPr>
          <w:sz w:val="20"/>
          <w:szCs w:val="20"/>
          <w:color w:val="auto"/>
        </w:rPr>
      </w:pPr>
    </w:p>
    <w:p>
      <w:pPr>
        <w:jc w:val="both"/>
        <w:ind w:right="200" w:firstLine="44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means (i) the date on which a Participant terminates employment or on which the Participant ceases to provide services to the Company or a Subsidiary as an employee or as otherwise required under Section 423 with respect to the 423 Component or (ii) subject to Section 423 of the Code with respect to the 423 Component, the date on which the Participant’s employment is determined to have been terminated for purposes of the Plan by the Committee. The Termination Date specifically does not include any period following that date which the Participant may be eligible for or in receipt of other payments from the Company including in lieu of notice or termination or severance pay or as wrongful dismissal damages.</w:t>
      </w:r>
    </w:p>
    <w:p>
      <w:pPr>
        <w:spacing w:after="0" w:line="265" w:lineRule="exact"/>
        <w:rPr>
          <w:sz w:val="20"/>
          <w:szCs w:val="20"/>
          <w:color w:val="auto"/>
        </w:rPr>
      </w:pPr>
    </w:p>
    <w:p>
      <w:pPr>
        <w:ind w:left="320" w:hanging="312"/>
        <w:spacing w:after="0"/>
        <w:tabs>
          <w:tab w:leader="none" w:pos="3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340" w:firstLine="457"/>
        <w:spacing w:after="0" w:line="277" w:lineRule="auto"/>
        <w:tabs>
          <w:tab w:leader="none" w:pos="82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Only Employees of the Company or a Participating Subsidiary shall be eligible to be granted Options under the Plan and, in no event may a Participant be granted an Option under the Plan following his or her Termination Date.</w:t>
      </w:r>
    </w:p>
    <w:p>
      <w:pPr>
        <w:spacing w:after="0" w:line="62" w:lineRule="exact"/>
        <w:rPr>
          <w:rFonts w:ascii="Arial" w:cs="Arial" w:eastAsia="Arial" w:hAnsi="Arial"/>
          <w:sz w:val="18"/>
          <w:szCs w:val="18"/>
          <w:color w:val="auto"/>
        </w:rPr>
      </w:pPr>
    </w:p>
    <w:p>
      <w:pPr>
        <w:ind w:left="840" w:hanging="383"/>
        <w:spacing w:after="0"/>
        <w:tabs>
          <w:tab w:leader="none" w:pos="84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423 Component of the Plan if</w:t>
      </w:r>
    </w:p>
    <w:p>
      <w:pPr>
        <w:spacing w:after="0" w:line="46" w:lineRule="exact"/>
        <w:rPr>
          <w:rFonts w:ascii="Arial" w:cs="Arial" w:eastAsia="Arial" w:hAnsi="Arial"/>
          <w:sz w:val="16"/>
          <w:szCs w:val="16"/>
          <w:color w:val="auto"/>
        </w:rPr>
      </w:pPr>
    </w:p>
    <w:p>
      <w:pPr>
        <w:ind w:right="40"/>
        <w:spacing w:after="0" w:line="269" w:lineRule="auto"/>
        <w:rPr>
          <w:rFonts w:ascii="Arial" w:cs="Arial" w:eastAsia="Arial" w:hAnsi="Arial"/>
          <w:sz w:val="16"/>
          <w:szCs w:val="16"/>
          <w:color w:val="auto"/>
        </w:rPr>
      </w:pPr>
      <w:r>
        <w:rPr>
          <w:rFonts w:ascii="Arial" w:cs="Arial" w:eastAsia="Arial" w:hAnsi="Arial"/>
          <w:sz w:val="17"/>
          <w:szCs w:val="17"/>
          <w:color w:val="auto"/>
        </w:rPr>
        <w:t>(i) immediately after the grant, such Employee (or any other person whose stock would be attributed to such Employee pursuant to Section 424(d) of the Code) would own capital stock of the Company and/or hold outstanding Options or options to purchase stock possessing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each such Option is granted) for each calendar year in which such Option is outstanding at any time. Except as otherwise determined by the Committee prior to the commencement of an Offering Period, no Participant may purchase more than 10,000 Shares during any Offering Period.</w:t>
      </w:r>
    </w:p>
    <w:p>
      <w:pPr>
        <w:spacing w:after="0" w:line="176" w:lineRule="exact"/>
        <w:rPr>
          <w:rFonts w:ascii="Arial" w:cs="Arial" w:eastAsia="Arial" w:hAnsi="Arial"/>
          <w:sz w:val="16"/>
          <w:szCs w:val="16"/>
          <w:color w:val="auto"/>
        </w:rPr>
      </w:pPr>
    </w:p>
    <w:p>
      <w:pPr>
        <w:ind w:left="320" w:hanging="312"/>
        <w:spacing w:after="0"/>
        <w:tabs>
          <w:tab w:leader="none" w:pos="32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XERCISE OF AN</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shall be exercised on behalf of Participants in the Plan every Exercise Date, using payroll deductions that have</w:t>
      </w:r>
    </w:p>
    <w:p>
      <w:pPr>
        <w:spacing w:after="0" w:line="3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accumulated in the Participants’ Purchase Accounts during the immediately preceding Purchase Period or that have been retained from a prior Purchase Period pursuant to Section 8 hereof.</w:t>
      </w:r>
    </w:p>
    <w:p>
      <w:pPr>
        <w:spacing w:after="0" w:line="289" w:lineRule="exact"/>
        <w:rPr>
          <w:sz w:val="20"/>
          <w:szCs w:val="20"/>
          <w:color w:val="auto"/>
        </w:rPr>
      </w:pPr>
    </w:p>
    <w:p>
      <w:pPr>
        <w:ind w:left="320" w:hanging="312"/>
        <w:spacing w:after="0"/>
        <w:tabs>
          <w:tab w:leader="none" w:pos="32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firstLine="457"/>
        <w:spacing w:after="0" w:line="259" w:lineRule="auto"/>
        <w:tabs>
          <w:tab w:leader="none" w:pos="82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Unless otherwise determined by the Committee prior to the commencement of an Offering Period and in accordance with Section 423 of the Code with respect to the 423 Component, an Employee shall be eligible to participate on the first Enrollment Date that occurs after such Employee’s first date of employment with the Company or a Participating Subsidiary; provided, that such Employee properly completes and submits an election form by the deadline prescribed by the Company.</w:t>
      </w:r>
    </w:p>
    <w:p>
      <w:pPr>
        <w:spacing w:after="0" w:line="78" w:lineRule="exact"/>
        <w:rPr>
          <w:rFonts w:ascii="Arial" w:cs="Arial" w:eastAsia="Arial" w:hAnsi="Arial"/>
          <w:sz w:val="18"/>
          <w:szCs w:val="18"/>
          <w:color w:val="auto"/>
        </w:rPr>
      </w:pPr>
    </w:p>
    <w:p>
      <w:pPr>
        <w:ind w:right="540" w:firstLine="457"/>
        <w:spacing w:after="0" w:line="342" w:lineRule="auto"/>
        <w:tabs>
          <w:tab w:leader="none" w:pos="829"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An Employee who does not become a Participant on the first Enrollment Date on which he or she is eligible may thereafter become a Participant on any subsequent Enrollment Date by properly completing and submitting an election form by the deadline prescribed by the Company.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329" w:name="page330"/>
    <w:bookmarkEnd w:id="329"/>
    <w:p>
      <w:pPr>
        <w:ind w:right="320" w:firstLine="457"/>
        <w:spacing w:after="0" w:line="342" w:lineRule="auto"/>
        <w:tabs>
          <w:tab w:leader="none" w:pos="829" w:val="left"/>
        </w:tabs>
        <w:numPr>
          <w:ilvl w:val="1"/>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Payroll deductions for a Participant shall commence on the first payroll date following the Enrollment Date and shall end on the last payroll date in the Purchase Period to which such authorization is applicable, unless sooner terminated by the Participant as provided in Section 12 hereof.</w:t>
      </w:r>
    </w:p>
    <w:p>
      <w:pPr>
        <w:spacing w:after="0" w:line="227" w:lineRule="exact"/>
        <w:rPr>
          <w:rFonts w:ascii="Arial" w:cs="Arial" w:eastAsia="Arial" w:hAnsi="Arial"/>
          <w:sz w:val="16"/>
          <w:szCs w:val="16"/>
          <w:color w:val="auto"/>
        </w:rPr>
      </w:pPr>
    </w:p>
    <w:p>
      <w:pPr>
        <w:ind w:left="320" w:hanging="312"/>
        <w:spacing w:after="0"/>
        <w:tabs>
          <w:tab w:leader="none" w:pos="32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AYROLL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EDUCTIONS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80" w:firstLine="457"/>
        <w:spacing w:after="0" w:line="254" w:lineRule="auto"/>
        <w:tabs>
          <w:tab w:leader="none" w:pos="81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Participant shall elect to have payroll deductions made during a Purchase Period equal to no less than 1% of the Participant’s Compensation up to a maximum of 15% (or such greater amount as the Committee establishes from time to time). The amount of such payroll deductions shall be in whole percentages. All payroll deductions made by a Participant shall be credited to his or her Purchase Account. A Participant may not make any additional payments into his or her Purchase Account. Notwithstanding the foregoing or any provisions to the contrary in the Plan, the Committee may allow participants to make other contributions under the Plan via cash, check, or other means instead of payroll deductions if payroll deductions are not permitted under applicable local law, and for any Offering Period under the 423 Component, if the Committee determines that such other contributions are permissible under Section 423 of the Code.</w:t>
      </w:r>
    </w:p>
    <w:p>
      <w:pPr>
        <w:spacing w:after="0" w:line="86" w:lineRule="exact"/>
        <w:rPr>
          <w:rFonts w:ascii="Arial" w:cs="Arial" w:eastAsia="Arial" w:hAnsi="Arial"/>
          <w:sz w:val="18"/>
          <w:szCs w:val="18"/>
          <w:color w:val="auto"/>
        </w:rPr>
      </w:pPr>
    </w:p>
    <w:p>
      <w:pPr>
        <w:ind w:firstLine="457"/>
        <w:spacing w:after="0" w:line="286" w:lineRule="auto"/>
        <w:tabs>
          <w:tab w:leader="none" w:pos="839"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Except as otherwise determined by the Committee prior to the commencement of an Offering Period, a Participant may not increase the rate of payroll deductions during an Offering Period. A Participant may decrease the rate of payroll deductions during an Offering Period by properly completing and submitting an election change form in accordance with the procedures prescribed by the Committee and/or any other forms required by the Committee and by following any other procedures as may be established by the Committee, in which case the new rate shall become effective as soon as administratively practicable after the Participant elects such change and shall continue for the remainder of the Offering Period unless changed as described below. Such change in the rate of payroll deductions may be made at any time during an Offering Period, but not more than one (1) change may be made effective during any Offering Period, except that a Participant may elect at any time during an Offering Period, regardless of whether the Participant previously decreased his or her contribution percentage, to reduce his or her contribution percentage to 0% and such change shall become effective as soon as administratively practicable after the Participant elects such change and shall continue for the remainder of the Offering Period unless changed as described below. A Participant may change his or her payroll deduction percentage under subsection (a) above for any subsequent Offering Period by properly completing and submitting an election change form in accordance with the procedures prescribed by the Committee. The change in amount shall be effective as of the first Enrollment Date following the date of filing of the election change form. Unless otherwise determined by the Committee prior to the commencement of an Offering Period, a payroll deduction election will automatically apply to the next Offering Period, unless otherwise cancelled or changed by the Participant prior to the commencement of such Offering Period.</w:t>
      </w:r>
    </w:p>
    <w:p>
      <w:pPr>
        <w:spacing w:after="0" w:line="62" w:lineRule="exact"/>
        <w:rPr>
          <w:rFonts w:ascii="Arial" w:cs="Arial" w:eastAsia="Arial" w:hAnsi="Arial"/>
          <w:sz w:val="16"/>
          <w:szCs w:val="16"/>
          <w:color w:val="auto"/>
        </w:rPr>
      </w:pPr>
    </w:p>
    <w:p>
      <w:pPr>
        <w:ind w:right="180" w:firstLine="457"/>
        <w:spacing w:after="0" w:line="259" w:lineRule="auto"/>
        <w:tabs>
          <w:tab w:leader="none" w:pos="82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Notwithstanding the foregoing, to the extent necessary to comply with Section 423(b)(8) of the Code and Section 3(b) hereof, a Participant’s payroll deductions may be decreased to 0% at any time during an Offering Period. Payroll deductions shall recommence at the rate provided in such Participant’s election form at the beginning of the first Offering Period which is scheduled to end in the following calendar year, unless terminated by the Participant as provided in Section 12 hereof.</w:t>
      </w:r>
    </w:p>
    <w:p>
      <w:pPr>
        <w:spacing w:after="0" w:line="182" w:lineRule="exact"/>
        <w:rPr>
          <w:rFonts w:ascii="Arial" w:cs="Arial" w:eastAsia="Arial" w:hAnsi="Arial"/>
          <w:sz w:val="18"/>
          <w:szCs w:val="18"/>
          <w:color w:val="auto"/>
        </w:rPr>
      </w:pPr>
    </w:p>
    <w:p>
      <w:pPr>
        <w:ind w:left="320" w:hanging="312"/>
        <w:spacing w:after="0"/>
        <w:tabs>
          <w:tab w:leader="none" w:pos="32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color w:val="auto"/>
        </w:rPr>
        <w:t>G</w:t>
      </w:r>
      <w:r>
        <w:rPr>
          <w:rFonts w:ascii="Arial" w:cs="Arial" w:eastAsia="Arial" w:hAnsi="Arial"/>
          <w:sz w:val="13"/>
          <w:szCs w:val="13"/>
          <w:b w:val="1"/>
          <w:bCs w:val="1"/>
          <w:color w:val="auto"/>
        </w:rPr>
        <w:t>RANT OF</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17"/>
          <w:szCs w:val="17"/>
          <w:b w:val="1"/>
          <w:bCs w:val="1"/>
          <w:color w:val="auto"/>
        </w:rPr>
        <w:t xml:space="preserve">. </w:t>
      </w:r>
      <w:r>
        <w:rPr>
          <w:rFonts w:ascii="Arial" w:cs="Arial" w:eastAsia="Arial" w:hAnsi="Arial"/>
          <w:sz w:val="17"/>
          <w:szCs w:val="17"/>
          <w:color w:val="auto"/>
        </w:rPr>
        <w:t>On the applicable Enrollment Date, each Participant in an Offering Period shall be granted an Option to purchase on the</w:t>
      </w:r>
    </w:p>
    <w:p>
      <w:pPr>
        <w:spacing w:after="0" w:line="3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applicable Exercise Date a number of full Shares determined by dividing such Participant’s payroll deductions accumulated prior to such Exercise Date and retained in the Participant’s Purchase Account as of the applicable Exercise Date by the applicable Purchase Price.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4" w:right="359" w:bottom="1440" w:gutter="0" w:footer="0" w:header="0"/>
        </w:sectPr>
      </w:pPr>
    </w:p>
    <w:bookmarkStart w:id="330" w:name="page331"/>
    <w:bookmarkEnd w:id="330"/>
    <w:p>
      <w:pPr>
        <w:ind w:right="60" w:firstLine="8"/>
        <w:spacing w:after="0" w:line="292" w:lineRule="auto"/>
        <w:tabs>
          <w:tab w:leader="none" w:pos="315"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Arial" w:cs="Arial" w:eastAsia="Arial" w:hAnsi="Arial"/>
          <w:sz w:val="12"/>
          <w:szCs w:val="12"/>
          <w:b w:val="1"/>
          <w:bCs w:val="1"/>
          <w:color w:val="auto"/>
        </w:rPr>
        <w:t>XERCISE OF</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6"/>
          <w:szCs w:val="16"/>
          <w:b w:val="1"/>
          <w:bCs w:val="1"/>
          <w:color w:val="auto"/>
        </w:rPr>
        <w:t xml:space="preserve">. </w:t>
      </w:r>
      <w:r>
        <w:rPr>
          <w:rFonts w:ascii="Arial" w:cs="Arial" w:eastAsia="Arial" w:hAnsi="Arial"/>
          <w:sz w:val="16"/>
          <w:szCs w:val="16"/>
          <w:color w:val="auto"/>
        </w:rPr>
        <w:t>A Participant’s Option for the purchase of Shares shall be exercised automatically on the Exercise Date, and the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subject to the Option shall be purchased for such Participant at the applicable Purchase Price with the accumulated payroll deductions in his or her Purchase Account. If the Fair Market Value of a Share on the first day of the current Offering Period in which a participant is enrolled is higher than the Fair Market Value of a Share on the first day of any subsequent Offering Period, the Company may establish procedures to automatically enroll such participant in the subsequent Offering Period and any funds accumulated in a participant’s account prior to the first day of such subsequent Offering Period will be applied to the purchase of shares on the Exercise Date immediately prior to the first day of such subsequent Offering Period. A participant does not need to file any forms with the Company to be automatically enrolled in the subsequent Offering Period.</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No fractional Shares shall be purchased; any payroll deductions accumulated in a Participant’s Purchase Account which are not sufficient to purchase a full Share shall be retained in the Purchase Account for the next subsequent Purchase Period, subject to earlier withdrawal by the Participant as provided in Section 12 hereof. All other payroll deductions accumulated in a Participant’s Purchase Account and not used to purchase Shares on an Exercise Date shall be distributed to the Participant. During a Participant’s lifetime, a Participant’s Option is exercisable only by him or her. The Company shall satisfy the exercise of all Participants’ Options for the purchase of Shares through (a) the issuance of authorized but unissued Shares, (b) the transfer of treasury Shares, (c) the purchase of Shares on behalf of the applicable Participants on the open market through an independent broker and/or (d) a combination of the foregoing.</w:t>
      </w:r>
    </w:p>
    <w:p>
      <w:pPr>
        <w:spacing w:after="0" w:line="191" w:lineRule="exact"/>
        <w:rPr>
          <w:sz w:val="20"/>
          <w:szCs w:val="20"/>
          <w:color w:val="auto"/>
        </w:rPr>
      </w:pPr>
    </w:p>
    <w:p>
      <w:pPr>
        <w:ind w:firstLine="8"/>
        <w:spacing w:after="0" w:line="254" w:lineRule="auto"/>
        <w:tabs>
          <w:tab w:leader="none" w:pos="315"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SSUANCE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purchased by each Participant shall be issued in book entry form and shall be considered to be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to such Participant’s credit as of the end of the last day of each Purchase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w:t>
      </w:r>
    </w:p>
    <w:p>
      <w:pPr>
        <w:spacing w:after="0" w:line="191" w:lineRule="exact"/>
        <w:rPr>
          <w:rFonts w:ascii="Arial" w:cs="Arial" w:eastAsia="Arial" w:hAnsi="Arial"/>
          <w:sz w:val="18"/>
          <w:szCs w:val="18"/>
          <w:b w:val="1"/>
          <w:bCs w:val="1"/>
          <w:color w:val="auto"/>
        </w:rPr>
      </w:pPr>
    </w:p>
    <w:p>
      <w:pPr>
        <w:ind w:right="60" w:firstLine="8"/>
        <w:spacing w:after="0" w:line="261" w:lineRule="auto"/>
        <w:tabs>
          <w:tab w:leader="none" w:pos="405"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PPROVAL BY</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above, the Plan is expressly made subject to the approval of the stockholders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within 12 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270" w:right="379" w:bottom="1440" w:gutter="0" w:footer="0" w:header="0"/>
        </w:sectPr>
      </w:pPr>
    </w:p>
    <w:bookmarkStart w:id="331" w:name="page332"/>
    <w:bookmarkEnd w:id="331"/>
    <w:p>
      <w:pPr>
        <w:ind w:left="400" w:hanging="392"/>
        <w:spacing w:after="0"/>
        <w:tabs>
          <w:tab w:leader="none" w:pos="40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firstLine="457"/>
        <w:spacing w:after="0" w:line="269" w:lineRule="auto"/>
        <w:tabs>
          <w:tab w:leader="none" w:pos="829"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Powers and Duties of the Committee</w:t>
      </w:r>
      <w:r>
        <w:rPr>
          <w:rFonts w:ascii="Arial" w:cs="Arial" w:eastAsia="Arial" w:hAnsi="Arial"/>
          <w:sz w:val="17"/>
          <w:szCs w:val="17"/>
          <w:color w:val="auto"/>
        </w:rPr>
        <w:t>. The Plan shall be administered by the Committee. Subject to the provisions of the Plan, Section 423 of the Code and the regulations thereunder with respect to the 423 Component, the Committee shall have the discretionary authority to determine the time and frequency of granting Options, the duration of Offering Periods and Purchase Periods, the terms and conditions of the Options and the number of Shares subject to each Option. The Committee shall also have the discretionary authority to do everything necessary and appropriate to administer the Plan, including, without limitation, interpreting the provisions of the Plan (but any such interpretation shall not be inconsistent with the provisions of Section 423 of the Code with respect to the 423 Component). All actions, decisions and determinations of, and interpretations by the Committee with respect to the Plan shall be final and binding upon all Participants and upon their executors, administrators, personal representatives, heirs and legatees. No member of the Board or the Committee shall be liable for any action, decision, determination or interpretation made in good faith with respect to the Plan or any Option granted hereunder. With respect to the 423 Component, an Offering Period shall be administered so as to ensure that all Participants have the same rights and privileges as provided by Section 423(b)(5) of the Code.</w:t>
      </w:r>
    </w:p>
    <w:p>
      <w:pPr>
        <w:spacing w:after="0" w:line="77" w:lineRule="exact"/>
        <w:rPr>
          <w:rFonts w:ascii="Arial" w:cs="Arial" w:eastAsia="Arial" w:hAnsi="Arial"/>
          <w:sz w:val="17"/>
          <w:szCs w:val="17"/>
          <w:color w:val="auto"/>
        </w:rPr>
      </w:pPr>
    </w:p>
    <w:p>
      <w:pPr>
        <w:ind w:right="180" w:firstLine="457"/>
        <w:spacing w:after="0" w:line="296" w:lineRule="auto"/>
        <w:tabs>
          <w:tab w:leader="none" w:pos="839"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Administrator</w:t>
      </w:r>
      <w:r>
        <w:rPr>
          <w:rFonts w:ascii="Arial" w:cs="Arial" w:eastAsia="Arial" w:hAnsi="Arial"/>
          <w:sz w:val="16"/>
          <w:szCs w:val="16"/>
          <w:color w:val="auto"/>
        </w:rPr>
        <w:t>. The Company, Board or the Committee may engage the services of a brokerage firm or financial institution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53" w:lineRule="exact"/>
        <w:rPr>
          <w:rFonts w:ascii="Arial" w:cs="Arial" w:eastAsia="Arial" w:hAnsi="Arial"/>
          <w:sz w:val="16"/>
          <w:szCs w:val="16"/>
          <w:color w:val="auto"/>
        </w:rPr>
      </w:pPr>
    </w:p>
    <w:p>
      <w:pPr>
        <w:ind w:right="80" w:firstLine="457"/>
        <w:spacing w:after="0" w:line="271" w:lineRule="auto"/>
        <w:tabs>
          <w:tab w:leader="none" w:pos="829" w:val="left"/>
        </w:tabs>
        <w:numPr>
          <w:ilvl w:val="1"/>
          <w:numId w:val="165"/>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Each person who is or shall have been (i) a member of the Board, (ii) a member of the Committee, or (iii) an officer or employee of the Company to whom authority was delegated in relation to this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0" w:right="339" w:bottom="1440" w:gutter="0" w:footer="0" w:header="0"/>
        </w:sectPr>
      </w:pPr>
    </w:p>
    <w:bookmarkStart w:id="332" w:name="page333"/>
    <w:bookmarkEnd w:id="332"/>
    <w:p>
      <w:pPr>
        <w:ind w:firstLine="8"/>
        <w:spacing w:after="0" w:line="255" w:lineRule="auto"/>
        <w:tabs>
          <w:tab w:leader="none" w:pos="405"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w:t>
      </w:r>
      <w:r>
        <w:rPr>
          <w:rFonts w:ascii="Arial" w:cs="Arial" w:eastAsia="Arial" w:hAnsi="Arial"/>
          <w:sz w:val="14"/>
          <w:szCs w:val="14"/>
          <w:b w:val="1"/>
          <w:bCs w:val="1"/>
          <w:color w:val="auto"/>
        </w:rPr>
        <w:t>ITHDRAWAL</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may withdraw from the Plan by properly completing and submitting to the Company a withdrawal form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for the purchase of Shares will be made during subsequent Offering Periods, unless the Participant properly completes and submits an election form, by the deadline prescribed by the Company in respect of such Offering Period. A Participant’s withdrawal from an offering will not have any effect upon his or her eligibility to participate in the Plan or in any similar plan that may hereafter be adopted by the Company.</w:t>
      </w:r>
    </w:p>
    <w:p>
      <w:pPr>
        <w:spacing w:after="0" w:line="188" w:lineRule="exact"/>
        <w:rPr>
          <w:rFonts w:ascii="Arial" w:cs="Arial" w:eastAsia="Arial" w:hAnsi="Arial"/>
          <w:sz w:val="18"/>
          <w:szCs w:val="18"/>
          <w:b w:val="1"/>
          <w:bCs w:val="1"/>
          <w:color w:val="auto"/>
        </w:rPr>
      </w:pPr>
    </w:p>
    <w:p>
      <w:pPr>
        <w:ind w:right="60" w:firstLine="8"/>
        <w:spacing w:after="0" w:line="258" w:lineRule="auto"/>
        <w:tabs>
          <w:tab w:leader="none" w:pos="405"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Termination Date of a Participant for any reason prior to the applicable Exercise Date, whether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w:t>
      </w:r>
    </w:p>
    <w:p>
      <w:pPr>
        <w:spacing w:after="0" w:line="183" w:lineRule="exact"/>
        <w:rPr>
          <w:rFonts w:ascii="Arial" w:cs="Arial" w:eastAsia="Arial" w:hAnsi="Arial"/>
          <w:sz w:val="18"/>
          <w:szCs w:val="18"/>
          <w:b w:val="1"/>
          <w:bCs w:val="1"/>
          <w:color w:val="auto"/>
        </w:rPr>
      </w:pPr>
    </w:p>
    <w:p>
      <w:pPr>
        <w:ind w:left="420" w:hanging="412"/>
        <w:spacing w:after="0"/>
        <w:tabs>
          <w:tab w:leader="none" w:pos="42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w:t>
      </w:r>
      <w:r>
        <w:rPr>
          <w:rFonts w:ascii="Arial" w:cs="Arial" w:eastAsia="Arial" w:hAnsi="Arial"/>
          <w:sz w:val="18"/>
          <w:szCs w:val="18"/>
          <w:color w:val="auto"/>
        </w:rPr>
        <w:t>No interest shall accrue on the payroll deductions of a Participant in the Plan.</w:t>
      </w:r>
    </w:p>
    <w:p>
      <w:pPr>
        <w:spacing w:after="0" w:line="333" w:lineRule="exact"/>
        <w:rPr>
          <w:rFonts w:ascii="Arial" w:cs="Arial" w:eastAsia="Arial" w:hAnsi="Arial"/>
          <w:sz w:val="18"/>
          <w:szCs w:val="18"/>
          <w:b w:val="1"/>
          <w:bCs w:val="1"/>
          <w:color w:val="auto"/>
        </w:rPr>
      </w:pPr>
    </w:p>
    <w:p>
      <w:pPr>
        <w:ind w:left="420" w:hanging="412"/>
        <w:spacing w:after="0"/>
        <w:tabs>
          <w:tab w:leader="none" w:pos="42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40" w:hanging="383"/>
        <w:spacing w:after="0"/>
        <w:tabs>
          <w:tab w:leader="none" w:pos="84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stock subject to Options shall be common stock of the Company as traded on NASDAQ or on such other exchange as the Shares may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listed.</w:t>
      </w:r>
    </w:p>
    <w:p>
      <w:pPr>
        <w:spacing w:after="0" w:line="102" w:lineRule="exact"/>
        <w:rPr>
          <w:rFonts w:ascii="Arial" w:cs="Arial" w:eastAsia="Arial" w:hAnsi="Arial"/>
          <w:sz w:val="16"/>
          <w:szCs w:val="16"/>
          <w:color w:val="auto"/>
        </w:rPr>
      </w:pPr>
    </w:p>
    <w:p>
      <w:pPr>
        <w:ind w:right="40" w:firstLine="457"/>
        <w:spacing w:after="0" w:line="290" w:lineRule="auto"/>
        <w:tabs>
          <w:tab w:leader="none" w:pos="839" w:val="left"/>
        </w:tabs>
        <w:numPr>
          <w:ilvl w:val="1"/>
          <w:numId w:val="166"/>
        </w:numPr>
        <w:rPr>
          <w:rFonts w:ascii="Arial" w:cs="Arial" w:eastAsia="Arial" w:hAnsi="Arial"/>
          <w:sz w:val="16"/>
          <w:szCs w:val="16"/>
          <w:color w:val="auto"/>
        </w:rPr>
      </w:pPr>
      <w:r>
        <w:rPr>
          <w:rFonts w:ascii="Arial" w:cs="Arial" w:eastAsia="Arial" w:hAnsi="Arial"/>
          <w:sz w:val="16"/>
          <w:szCs w:val="16"/>
          <w:color w:val="auto"/>
        </w:rPr>
        <w:t>Subject to adjustment upon changes in capitalization of the Company as provided in Section 18 hereof, the maximum number of Shares which shall be made available for sale under the Plan shall be 338,106 Shares. In addition, subject to adjustments upon changes in capitalization of the Company as provided in Section 18 hereof, the maximum number of Shares which shall be made available for sale under the Plan shall automatically increase on the first day of each fiscal year, beginning with the fiscal year ending December 31, 2022, and continuing until (and including) the fiscal year ending December 31, 2030, with such annual increase equal to the lesser of (i) 338,106 Shares, (ii) 1% of the number of Shares issued and outstanding on December 31 of the immediately preceding fiscal year, and (iii) an amount determined by the Board.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w:t>
      </w:r>
    </w:p>
    <w:p>
      <w:pPr>
        <w:spacing w:after="0" w:line="57" w:lineRule="exact"/>
        <w:rPr>
          <w:rFonts w:ascii="Arial" w:cs="Arial" w:eastAsia="Arial" w:hAnsi="Arial"/>
          <w:sz w:val="16"/>
          <w:szCs w:val="16"/>
          <w:color w:val="auto"/>
        </w:rPr>
      </w:pPr>
    </w:p>
    <w:p>
      <w:pPr>
        <w:ind w:right="680" w:firstLine="457"/>
        <w:spacing w:after="0" w:line="277" w:lineRule="auto"/>
        <w:tabs>
          <w:tab w:leader="none" w:pos="81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 Participant shall have no interest or voting right in Shares covered by his or her Option until such Option has been exercised and the Participant has become a holder of record of Shares acquired pursuant to such exercise.</w:t>
      </w:r>
    </w:p>
    <w:p>
      <w:pPr>
        <w:spacing w:after="0" w:line="166" w:lineRule="exact"/>
        <w:rPr>
          <w:rFonts w:ascii="Arial" w:cs="Arial" w:eastAsia="Arial" w:hAnsi="Arial"/>
          <w:sz w:val="18"/>
          <w:szCs w:val="18"/>
          <w:color w:val="auto"/>
        </w:rPr>
      </w:pPr>
    </w:p>
    <w:p>
      <w:pPr>
        <w:ind w:right="80" w:firstLine="8"/>
        <w:spacing w:after="0" w:line="261" w:lineRule="auto"/>
        <w:tabs>
          <w:tab w:leader="none" w:pos="405"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permit Participants to designate beneficiaries to receive any Purchased Shares or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70" w:right="379" w:bottom="1440" w:gutter="0" w:footer="0" w:header="0"/>
        </w:sectPr>
      </w:pPr>
    </w:p>
    <w:bookmarkStart w:id="333" w:name="page334"/>
    <w:bookmarkEnd w:id="333"/>
    <w:p>
      <w:pPr>
        <w:ind w:left="-8" w:right="80" w:firstLine="8"/>
        <w:spacing w:after="0" w:line="303" w:lineRule="auto"/>
        <w:tabs>
          <w:tab w:leader="none" w:pos="397"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2"/>
          <w:szCs w:val="12"/>
          <w:b w:val="1"/>
          <w:bCs w:val="1"/>
          <w:color w:val="auto"/>
        </w:rPr>
        <w:t>SSIGNABILITY OF</w:t>
      </w:r>
      <w:r>
        <w:rPr>
          <w:rFonts w:ascii="Arial" w:cs="Arial" w:eastAsia="Arial" w:hAnsi="Arial"/>
          <w:sz w:val="16"/>
          <w:szCs w:val="16"/>
          <w:b w:val="1"/>
          <w:bCs w:val="1"/>
          <w:color w:val="auto"/>
        </w:rPr>
        <w:t xml:space="preserve"> O</w:t>
      </w:r>
      <w:r>
        <w:rPr>
          <w:rFonts w:ascii="Arial" w:cs="Arial" w:eastAsia="Arial" w:hAnsi="Arial"/>
          <w:sz w:val="12"/>
          <w:szCs w:val="12"/>
          <w:b w:val="1"/>
          <w:bCs w:val="1"/>
          <w:color w:val="auto"/>
        </w:rPr>
        <w:t>PTIONS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payroll deductions credited to a Participant’s Purchase Account nor any rights with regard to the exercise of</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or to receive Shares under the Plan may be assigned, transferred, pledged or otherwise disposed of in any way (other than by will, the laws of descent and distribution or as provided in Section 16 hereof) by the Participant. Any such attempt at assignment, transfer, pledge or other disposition shall be without effect, except that the Company may treat such act as an election to withdraw from an Offering Period in accordance with Section 12 hereof.</w:t>
      </w:r>
    </w:p>
    <w:p>
      <w:pPr>
        <w:spacing w:after="0" w:line="258" w:lineRule="exact"/>
        <w:rPr>
          <w:rFonts w:ascii="Arial" w:cs="Arial" w:eastAsia="Arial" w:hAnsi="Arial"/>
          <w:sz w:val="16"/>
          <w:szCs w:val="16"/>
          <w:b w:val="1"/>
          <w:bCs w:val="1"/>
          <w:color w:val="auto"/>
        </w:rPr>
      </w:pPr>
    </w:p>
    <w:p>
      <w:pPr>
        <w:ind w:left="392" w:hanging="392"/>
        <w:spacing w:after="0"/>
        <w:tabs>
          <w:tab w:leader="none" w:pos="392"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DJUSTMENT OF</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UMBER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right="20" w:firstLine="457"/>
        <w:spacing w:after="0" w:line="269" w:lineRule="auto"/>
        <w:tabs>
          <w:tab w:leader="none" w:pos="821"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Adjustment</w:t>
      </w:r>
      <w:r>
        <w:rPr>
          <w:rFonts w:ascii="Arial" w:cs="Arial" w:eastAsia="Arial" w:hAnsi="Arial"/>
          <w:sz w:val="17"/>
          <w:szCs w:val="17"/>
          <w:color w:val="auto"/>
        </w:rPr>
        <w:t xml:space="preserve">.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a stock split, reverse stock split, stock dividend, combination or reclassification of the common stock of the Company, or any other increase or decrease in the number of Shares effected without receipt of consideration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With respect to the 423 Component, the Options granted pursuant to the Plan shall not be adjusted in a manner that causes the Options to fail to qualify as options issued pursuant to an “employee stock purchase plan” within the meaning of Section 423 of the Code.</w:t>
      </w:r>
    </w:p>
    <w:p>
      <w:pPr>
        <w:spacing w:after="0" w:line="73" w:lineRule="exact"/>
        <w:rPr>
          <w:rFonts w:ascii="Arial" w:cs="Arial" w:eastAsia="Arial" w:hAnsi="Arial"/>
          <w:sz w:val="17"/>
          <w:szCs w:val="17"/>
          <w:color w:val="auto"/>
        </w:rPr>
      </w:pPr>
    </w:p>
    <w:p>
      <w:pPr>
        <w:ind w:left="-8" w:right="140" w:firstLine="457"/>
        <w:spacing w:after="0" w:line="259" w:lineRule="auto"/>
        <w:tabs>
          <w:tab w:leader="none" w:pos="831"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any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w:t>
      </w:r>
    </w:p>
    <w:p>
      <w:pPr>
        <w:spacing w:after="0" w:line="78" w:lineRule="exact"/>
        <w:rPr>
          <w:rFonts w:ascii="Arial" w:cs="Arial" w:eastAsia="Arial" w:hAnsi="Arial"/>
          <w:sz w:val="18"/>
          <w:szCs w:val="18"/>
          <w:color w:val="auto"/>
        </w:rPr>
      </w:pPr>
    </w:p>
    <w:p>
      <w:pPr>
        <w:ind w:left="-8" w:firstLine="457"/>
        <w:spacing w:after="0" w:line="275" w:lineRule="auto"/>
        <w:tabs>
          <w:tab w:leader="none" w:pos="821"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Merger or Asset Sale</w:t>
      </w:r>
      <w:r>
        <w:rPr>
          <w:rFonts w:ascii="Arial" w:cs="Arial" w:eastAsia="Arial" w:hAnsi="Arial"/>
          <w:sz w:val="17"/>
          <w:szCs w:val="17"/>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w:t>
      </w:r>
    </w:p>
    <w:p>
      <w:pPr>
        <w:spacing w:after="0" w:line="280" w:lineRule="exact"/>
        <w:rPr>
          <w:rFonts w:ascii="Arial" w:cs="Arial" w:eastAsia="Arial" w:hAnsi="Arial"/>
          <w:sz w:val="17"/>
          <w:szCs w:val="17"/>
          <w:color w:val="auto"/>
        </w:rPr>
      </w:pPr>
    </w:p>
    <w:p>
      <w:pPr>
        <w:ind w:left="392" w:hanging="392"/>
        <w:spacing w:after="0"/>
        <w:tabs>
          <w:tab w:leader="none" w:pos="392"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MENDMENTS OR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right="80" w:firstLine="457"/>
        <w:spacing w:after="0" w:line="259" w:lineRule="auto"/>
        <w:tabs>
          <w:tab w:leader="none" w:pos="817"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w:t>
      </w:r>
    </w:p>
    <w:p>
      <w:pPr>
        <w:spacing w:after="0" w:line="11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72"/>
          </w:cols>
          <w:pgMar w:left="328" w:top="270" w:right="399" w:bottom="1440" w:gutter="0" w:footer="0" w:header="0"/>
        </w:sectPr>
      </w:pPr>
    </w:p>
    <w:bookmarkStart w:id="334" w:name="page335"/>
    <w:bookmarkEnd w:id="334"/>
    <w:p>
      <w:pPr>
        <w:ind w:left="-8" w:firstLine="457"/>
        <w:spacing w:after="0" w:line="269" w:lineRule="auto"/>
        <w:tabs>
          <w:tab w:leader="none" w:pos="828" w:val="left"/>
        </w:tabs>
        <w:numPr>
          <w:ilvl w:val="1"/>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Without stockholder consent and without regard to whether any Participant rights may be considered to have been “adversely affected,” the Board or the Committee shall be entitled to change the Purchase Price, Offering Periods, Purchase Periods, eligibility requirements, limit or increase the frequency and/or number of changes in the amount withheld during a Purchase Period, establish the exchange ratio applicable to amounts withheld in a currency other than U.S. dollars, permit payroll withholding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determines in its sole discretion advisable which are consistent with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changes to (i) the Purchase Price, (ii) the Offering Period, (iii) the Purchase Period, (iv) the maximum percentage of Compensation that may be deducted pursuant to Section 6(a) or (v) the maximum number of Shares that may be purchased in a Purchase Period, shall not be effective until communicated to Participants in a reasonable manner, with the determination of such reasonable manner in the sole discretion of the Board or the Committee.</w:t>
      </w:r>
    </w:p>
    <w:p>
      <w:pPr>
        <w:spacing w:after="0" w:line="177" w:lineRule="exact"/>
        <w:rPr>
          <w:rFonts w:ascii="Arial" w:cs="Arial" w:eastAsia="Arial" w:hAnsi="Arial"/>
          <w:sz w:val="17"/>
          <w:szCs w:val="17"/>
          <w:color w:val="auto"/>
        </w:rPr>
      </w:pPr>
    </w:p>
    <w:p>
      <w:pPr>
        <w:ind w:left="-8" w:right="200" w:firstLine="8"/>
        <w:spacing w:after="0" w:line="266" w:lineRule="auto"/>
        <w:tabs>
          <w:tab w:leader="none" w:pos="397"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of an Option pursuant to the Plan shall impose no obligation upon the Participant to purchase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such Option. Nor shall the granting of an Option pursuant to the Plan constitute an agreement or an understanding, express or implied, on the part of the Company to employ the Participant for any specified period.</w:t>
      </w:r>
    </w:p>
    <w:p>
      <w:pPr>
        <w:spacing w:after="0" w:line="175" w:lineRule="exact"/>
        <w:rPr>
          <w:rFonts w:ascii="Arial" w:cs="Arial" w:eastAsia="Arial" w:hAnsi="Arial"/>
          <w:sz w:val="18"/>
          <w:szCs w:val="18"/>
          <w:b w:val="1"/>
          <w:bCs w:val="1"/>
          <w:color w:val="auto"/>
        </w:rPr>
      </w:pPr>
    </w:p>
    <w:p>
      <w:pPr>
        <w:ind w:left="-8" w:right="60" w:firstLine="8"/>
        <w:spacing w:after="0" w:line="312" w:lineRule="auto"/>
        <w:tabs>
          <w:tab w:leader="none" w:pos="397"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OTICES AND</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OMMUNICATION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or other form of communication which the Company or a Participant may be required or permitted to</w:t>
      </w:r>
      <w:r>
        <w:rPr>
          <w:rFonts w:ascii="Arial" w:cs="Arial" w:eastAsia="Arial" w:hAnsi="Arial"/>
          <w:sz w:val="17"/>
          <w:szCs w:val="17"/>
          <w:b w:val="1"/>
          <w:bCs w:val="1"/>
          <w:color w:val="auto"/>
        </w:rPr>
        <w:t xml:space="preserve"> </w:t>
      </w:r>
      <w:r>
        <w:rPr>
          <w:rFonts w:ascii="Arial" w:cs="Arial" w:eastAsia="Arial" w:hAnsi="Arial"/>
          <w:sz w:val="17"/>
          <w:szCs w:val="17"/>
          <w:color w:val="auto"/>
        </w:rPr>
        <w:t>give to the other shall be provided through such means as designated by the Committee, including but not limited to any paper or electronic method.</w:t>
      </w:r>
    </w:p>
    <w:p>
      <w:pPr>
        <w:spacing w:after="0" w:line="247" w:lineRule="exact"/>
        <w:rPr>
          <w:rFonts w:ascii="Arial" w:cs="Arial" w:eastAsia="Arial" w:hAnsi="Arial"/>
          <w:sz w:val="17"/>
          <w:szCs w:val="17"/>
          <w:b w:val="1"/>
          <w:bCs w:val="1"/>
          <w:color w:val="auto"/>
        </w:rPr>
      </w:pPr>
    </w:p>
    <w:p>
      <w:pPr>
        <w:ind w:left="412" w:hanging="412"/>
        <w:spacing w:after="0"/>
        <w:tabs>
          <w:tab w:leader="none" w:pos="41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 UPON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8" w:firstLine="457"/>
        <w:spacing w:after="0" w:line="259" w:lineRule="auto"/>
        <w:tabs>
          <w:tab w:leader="none" w:pos="821" w:val="left"/>
        </w:tabs>
        <w:numPr>
          <w:ilvl w:val="1"/>
          <w:numId w:val="169"/>
        </w:numPr>
        <w:rPr>
          <w:rFonts w:ascii="Arial" w:cs="Arial" w:eastAsia="Arial" w:hAnsi="Arial"/>
          <w:sz w:val="18"/>
          <w:szCs w:val="18"/>
          <w:color w:val="auto"/>
        </w:rPr>
      </w:pPr>
      <w:r>
        <w:rPr>
          <w:rFonts w:ascii="Arial" w:cs="Arial" w:eastAsia="Arial" w:hAnsi="Arial"/>
          <w:sz w:val="18"/>
          <w:szCs w:val="18"/>
          <w:color w:val="auto"/>
        </w:rPr>
        <w:t>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w:t>
      </w:r>
    </w:p>
    <w:p>
      <w:pPr>
        <w:spacing w:after="0" w:line="78" w:lineRule="exact"/>
        <w:rPr>
          <w:rFonts w:ascii="Arial" w:cs="Arial" w:eastAsia="Arial" w:hAnsi="Arial"/>
          <w:sz w:val="18"/>
          <w:szCs w:val="18"/>
          <w:color w:val="auto"/>
        </w:rPr>
      </w:pPr>
    </w:p>
    <w:p>
      <w:pPr>
        <w:ind w:left="-8" w:right="40" w:firstLine="457"/>
        <w:spacing w:after="0" w:line="286" w:lineRule="auto"/>
        <w:tabs>
          <w:tab w:leader="none" w:pos="821" w:val="left"/>
        </w:tabs>
        <w:numPr>
          <w:ilvl w:val="1"/>
          <w:numId w:val="169"/>
        </w:numPr>
        <w:rPr>
          <w:rFonts w:ascii="Arial" w:cs="Arial" w:eastAsia="Arial" w:hAnsi="Arial"/>
          <w:sz w:val="17"/>
          <w:szCs w:val="17"/>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1" w:lineRule="exact"/>
        <w:rPr>
          <w:rFonts w:ascii="Arial" w:cs="Arial" w:eastAsia="Arial" w:hAnsi="Arial"/>
          <w:sz w:val="17"/>
          <w:szCs w:val="17"/>
          <w:color w:val="auto"/>
        </w:rPr>
      </w:pPr>
    </w:p>
    <w:p>
      <w:pPr>
        <w:ind w:left="-8" w:right="120" w:firstLine="8"/>
        <w:spacing w:after="0" w:line="282" w:lineRule="auto"/>
        <w:tabs>
          <w:tab w:leader="none" w:pos="397"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will be administered and Options will be exercised in compliance with the 1933 Act, the 1934 Act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securities laws and Company policies, including without limitation, any insider trading policy of the Company.</w:t>
      </w:r>
    </w:p>
    <w:p>
      <w:pPr>
        <w:spacing w:after="0" w:line="161" w:lineRule="exact"/>
        <w:rPr>
          <w:rFonts w:ascii="Arial" w:cs="Arial" w:eastAsia="Arial" w:hAnsi="Arial"/>
          <w:sz w:val="18"/>
          <w:szCs w:val="18"/>
          <w:b w:val="1"/>
          <w:bCs w:val="1"/>
          <w:color w:val="auto"/>
        </w:rPr>
      </w:pPr>
    </w:p>
    <w:p>
      <w:pPr>
        <w:ind w:left="-8" w:right="100" w:firstLine="8"/>
        <w:spacing w:after="0" w:line="303" w:lineRule="auto"/>
        <w:tabs>
          <w:tab w:leader="none" w:pos="397"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T</w:t>
      </w:r>
      <w:r>
        <w:rPr>
          <w:rFonts w:ascii="Arial" w:cs="Arial" w:eastAsia="Arial" w:hAnsi="Arial"/>
          <w:sz w:val="12"/>
          <w:szCs w:val="12"/>
          <w:b w:val="1"/>
          <w:bCs w:val="1"/>
          <w:color w:val="auto"/>
        </w:rPr>
        <w:t>ERM OF THE</w:t>
      </w:r>
      <w:r>
        <w:rPr>
          <w:rFonts w:ascii="Arial" w:cs="Arial" w:eastAsia="Arial" w:hAnsi="Arial"/>
          <w:sz w:val="16"/>
          <w:szCs w:val="16"/>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become effective upon the earlier to occur of (i) its adoption by the Board and (ii) its approval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(the earlier of such events, the “Effective Date”), in each case contingent on the effectiveness of the initial public offering of the Shares, as determined by the Committee, and shall continue in effect until the earlier of (A) the termination of the Plan pursuant to Section 19 hereof and (B) the ten-year anniversary of the Effective Date, with no new Offering Periods commencing on or after such ten-year anniversary.</w:t>
      </w:r>
    </w:p>
    <w:p>
      <w:pPr>
        <w:spacing w:after="0" w:line="8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92"/>
          </w:cols>
          <w:pgMar w:left="328" w:top="274" w:right="379" w:bottom="1440" w:gutter="0" w:footer="0" w:header="0"/>
        </w:sectPr>
      </w:pPr>
    </w:p>
    <w:bookmarkStart w:id="335" w:name="page336"/>
    <w:bookmarkEnd w:id="335"/>
    <w:p>
      <w:pPr>
        <w:ind w:right="520" w:firstLine="8"/>
        <w:spacing w:after="0" w:line="312" w:lineRule="auto"/>
        <w:tabs>
          <w:tab w:leader="none" w:pos="405"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w:t>
      </w:r>
      <w:r>
        <w:rPr>
          <w:rFonts w:ascii="Arial" w:cs="Arial" w:eastAsia="Arial" w:hAnsi="Arial"/>
          <w:sz w:val="13"/>
          <w:szCs w:val="13"/>
          <w:b w:val="1"/>
          <w:bCs w:val="1"/>
          <w:color w:val="auto"/>
        </w:rPr>
        <w:t>OVERNING</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AW</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and all Options granted hereunder shall be construed in accordance with and governed by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without reference to choice of law principles and subject in all cases to the Code and the regulations thereunder.</w:t>
      </w:r>
    </w:p>
    <w:p>
      <w:pPr>
        <w:spacing w:after="0" w:line="139" w:lineRule="exact"/>
        <w:rPr>
          <w:rFonts w:ascii="Arial" w:cs="Arial" w:eastAsia="Arial" w:hAnsi="Arial"/>
          <w:sz w:val="17"/>
          <w:szCs w:val="17"/>
          <w:b w:val="1"/>
          <w:bCs w:val="1"/>
          <w:color w:val="auto"/>
        </w:rPr>
      </w:pPr>
    </w:p>
    <w:p>
      <w:pPr>
        <w:ind w:right="20" w:firstLine="8"/>
        <w:spacing w:after="0" w:line="272" w:lineRule="auto"/>
        <w:tabs>
          <w:tab w:leader="none" w:pos="405"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ON</w:t>
      </w:r>
      <w:r>
        <w:rPr>
          <w:rFonts w:ascii="Arial" w:cs="Arial" w:eastAsia="Arial" w:hAnsi="Arial"/>
          <w:sz w:val="17"/>
          <w:szCs w:val="17"/>
          <w:b w:val="1"/>
          <w:bCs w:val="1"/>
          <w:color w:val="auto"/>
        </w:rPr>
        <w:t>-U.S. P</w:t>
      </w:r>
      <w:r>
        <w:rPr>
          <w:rFonts w:ascii="Arial" w:cs="Arial" w:eastAsia="Arial" w:hAnsi="Arial"/>
          <w:sz w:val="13"/>
          <w:szCs w:val="13"/>
          <w:b w:val="1"/>
          <w:bCs w:val="1"/>
          <w:color w:val="auto"/>
        </w:rPr>
        <w:t>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permitted under Section 423 of the Code, without the amendment of the Plan, the Company may provide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 and, to the extent inconsistent with the requirements of Section 423, any such subplan shall be considered part of the Non-423 Component, and rights granted thereunder shall not be required by the terms of the Plan to comply with Section 423 of the Code.</w:t>
      </w:r>
    </w:p>
    <w:p>
      <w:pPr>
        <w:spacing w:after="0" w:line="171" w:lineRule="exact"/>
        <w:rPr>
          <w:rFonts w:ascii="Arial" w:cs="Arial" w:eastAsia="Arial" w:hAnsi="Arial"/>
          <w:sz w:val="17"/>
          <w:szCs w:val="17"/>
          <w:b w:val="1"/>
          <w:bCs w:val="1"/>
          <w:color w:val="auto"/>
        </w:rPr>
      </w:pPr>
    </w:p>
    <w:p>
      <w:pPr>
        <w:jc w:val="both"/>
        <w:ind w:right="40" w:firstLine="8"/>
        <w:spacing w:after="0" w:line="287" w:lineRule="auto"/>
        <w:tabs>
          <w:tab w:leader="none" w:pos="405"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2"/>
          <w:szCs w:val="12"/>
          <w:b w:val="1"/>
          <w:bCs w:val="1"/>
          <w:color w:val="auto"/>
        </w:rPr>
        <w:t>ECTION</w:t>
      </w:r>
      <w:r>
        <w:rPr>
          <w:rFonts w:ascii="Arial" w:cs="Arial" w:eastAsia="Arial" w:hAnsi="Arial"/>
          <w:sz w:val="16"/>
          <w:szCs w:val="16"/>
          <w:b w:val="1"/>
          <w:bCs w:val="1"/>
          <w:color w:val="auto"/>
        </w:rPr>
        <w:t xml:space="preserve"> 409A. </w:t>
      </w:r>
      <w:r>
        <w:rPr>
          <w:rFonts w:ascii="Arial" w:cs="Arial" w:eastAsia="Arial" w:hAnsi="Arial"/>
          <w:sz w:val="16"/>
          <w:szCs w:val="16"/>
          <w:color w:val="auto"/>
        </w:rPr>
        <w:t>The 423 Component is exempt from the application of Section 409A of the Code, and any ambiguities herein shall be interpreted to</w:t>
      </w:r>
      <w:r>
        <w:rPr>
          <w:rFonts w:ascii="Arial" w:cs="Arial" w:eastAsia="Arial" w:hAnsi="Arial"/>
          <w:sz w:val="16"/>
          <w:szCs w:val="16"/>
          <w:b w:val="1"/>
          <w:bCs w:val="1"/>
          <w:color w:val="auto"/>
        </w:rPr>
        <w:t xml:space="preserve"> </w:t>
      </w:r>
      <w:r>
        <w:rPr>
          <w:rFonts w:ascii="Arial" w:cs="Arial" w:eastAsia="Arial" w:hAnsi="Arial"/>
          <w:sz w:val="16"/>
          <w:szCs w:val="16"/>
          <w:color w:val="auto"/>
        </w:rPr>
        <w:t>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w:t>
      </w:r>
    </w:p>
    <w:p>
      <w:pPr>
        <w:spacing w:after="0" w:line="2" w:lineRule="exact"/>
        <w:rPr>
          <w:rFonts w:ascii="Arial" w:cs="Arial" w:eastAsia="Arial" w:hAnsi="Arial"/>
          <w:sz w:val="16"/>
          <w:szCs w:val="16"/>
          <w:b w:val="1"/>
          <w:bCs w:val="1"/>
          <w:color w:val="auto"/>
        </w:rPr>
      </w:pPr>
    </w:p>
    <w:p>
      <w:pPr>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0" w:right="35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2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consent to the use of our report dated May 27, 2020, except for earnings per share and Note 1(aa), as to which the date is August 12, 2020 and Note 14, as to which the date is October 20, 2020, included herein and to the reference to our firm under the heading “Experts” in the prospectus.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23,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1)"/>
      <w:numFmt w:val="decimal"/>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1)"/>
      <w:numFmt w:val="decimal"/>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1)"/>
      <w:numFmt w:val="decimal"/>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1)"/>
      <w:numFmt w:val="lowerRoman"/>
      <w:start w:val="2"/>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1)"/>
      <w:numFmt w:val="lowerRoman"/>
      <w:start w:val="3"/>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1)"/>
      <w:numFmt w:val="decimal"/>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
      <w:numFmt w:val="bullet"/>
      <w:start w:val="1"/>
    </w:lvl>
  </w:abstractNum>
  <w:abstractNum w:abstractNumId="53">
    <w:nsid w:val="7C58FD05"/>
    <w:multiLevelType w:val="hybridMultilevel"/>
    <w:lvl w:ilvl="0">
      <w:lvlJc w:val="left"/>
      <w:lvlText w:val="•"/>
      <w:numFmt w:val="bullet"/>
      <w:start w:val="1"/>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1)"/>
      <w:numFmt w:val="decimal"/>
      <w:start w:val="1"/>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
      <w:numFmt w:val="bullet"/>
      <w:start w:val="1"/>
    </w:lvl>
    <w:lvl w:ilvl="1">
      <w:lvlJc w:val="left"/>
      <w:lvlText w:val="•"/>
      <w:numFmt w:val="bullet"/>
      <w:start w:val="1"/>
    </w:lvl>
  </w:abstractNum>
  <w:abstractNum w:abstractNumId="61">
    <w:nsid w:val="39B7AAA2"/>
    <w:multiLevelType w:val="hybridMultilevel"/>
    <w:lvl w:ilvl="0">
      <w:lvlJc w:val="left"/>
      <w:lvlText w:val="•"/>
      <w:numFmt w:val="bullet"/>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
      <w:numFmt w:val="bullet"/>
      <w:start w:val="1"/>
    </w:lvl>
    <w:lvl w:ilvl="1">
      <w:lvlJc w:val="left"/>
      <w:lvlText w:val="•"/>
      <w:numFmt w:val="bullet"/>
      <w:start w:val="1"/>
    </w:lvl>
  </w:abstractNum>
  <w:abstractNum w:abstractNumId="66">
    <w:nsid w:val="2C27173B"/>
    <w:multiLevelType w:val="hybridMultilevel"/>
    <w:lvl w:ilvl="0">
      <w:lvlJc w:val="left"/>
      <w:lvlText w:val="•"/>
      <w:numFmt w:val="bullet"/>
      <w:start w:val="1"/>
    </w:lvl>
    <w:lvl w:ilvl="1">
      <w:lvlJc w:val="left"/>
      <w:lvlText w:val="•"/>
      <w:numFmt w:val="bullet"/>
      <w:start w:val="1"/>
    </w:lvl>
  </w:abstractNum>
  <w:abstractNum w:abstractNumId="67">
    <w:nsid w:val="4C9B0904"/>
    <w:multiLevelType w:val="hybridMultilevel"/>
    <w:lvl w:ilvl="0">
      <w:lvlJc w:val="left"/>
      <w:lvlText w:val="•"/>
      <w:numFmt w:val="bullet"/>
      <w:start w:val="1"/>
    </w:lvl>
    <w:lvl w:ilvl="1">
      <w:lvlJc w:val="left"/>
      <w:lvlText w:val="•"/>
      <w:numFmt w:val="bullet"/>
      <w:start w:val="1"/>
    </w:lvl>
  </w:abstractNum>
  <w:abstractNum w:abstractNumId="68">
    <w:nsid w:val="6AA7B75C"/>
    <w:multiLevelType w:val="hybridMultilevel"/>
    <w:lvl w:ilvl="0">
      <w:lvlJc w:val="left"/>
      <w:lvlText w:val="•"/>
      <w:numFmt w:val="bullet"/>
      <w:start w:val="1"/>
    </w:lvl>
  </w:abstractNum>
  <w:abstractNum w:abstractNumId="69">
    <w:nsid w:val="1DF029D3"/>
    <w:multiLevelType w:val="hybridMultilevel"/>
    <w:lvl w:ilvl="0">
      <w:lvlJc w:val="left"/>
      <w:lvlText w:val="•"/>
      <w:numFmt w:val="bullet"/>
      <w:start w:val="1"/>
    </w:lvl>
  </w:abstractNum>
  <w:abstractNum w:abstractNumId="70">
    <w:nsid w:val="5675FF36"/>
    <w:multiLevelType w:val="hybridMultilevel"/>
    <w:lvl w:ilvl="0">
      <w:lvlJc w:val="left"/>
      <w:lvlText w:val="•"/>
      <w:numFmt w:val="bullet"/>
      <w:start w:val="1"/>
    </w:lvl>
  </w:abstractNum>
  <w:abstractNum w:abstractNumId="71">
    <w:nsid w:val="3DD15094"/>
    <w:multiLevelType w:val="hybridMultilevel"/>
    <w:lvl w:ilvl="0">
      <w:lvlJc w:val="left"/>
      <w:lvlText w:val="•"/>
      <w:numFmt w:val="bullet"/>
      <w:start w:val="1"/>
    </w:lvl>
  </w:abstractNum>
  <w:abstractNum w:abstractNumId="72">
    <w:nsid w:val="3DB012B3"/>
    <w:multiLevelType w:val="hybridMultilevel"/>
    <w:lvl w:ilvl="0">
      <w:lvlJc w:val="left"/>
      <w:lvlText w:val="•"/>
      <w:numFmt w:val="bullet"/>
      <w:start w:val="1"/>
    </w:lvl>
  </w:abstractNum>
  <w:abstractNum w:abstractNumId="73">
    <w:nsid w:val="2708C9AF"/>
    <w:multiLevelType w:val="hybridMultilevel"/>
    <w:lvl w:ilvl="0">
      <w:lvlJc w:val="left"/>
      <w:lvlText w:val="%1)"/>
      <w:numFmt w:val="decimal"/>
      <w:start w:val="1"/>
    </w:lvl>
  </w:abstractNum>
  <w:abstractNum w:abstractNumId="74">
    <w:nsid w:val="5B25ACE2"/>
    <w:multiLevelType w:val="hybridMultilevel"/>
    <w:lvl w:ilvl="0">
      <w:lvlJc w:val="left"/>
      <w:lvlText w:val="(%1)"/>
      <w:numFmt w:val="decimal"/>
      <w:start w:val="1"/>
    </w:lvl>
  </w:abstractNum>
  <w:abstractNum w:abstractNumId="75">
    <w:nsid w:val="175DFCF0"/>
    <w:multiLevelType w:val="hybridMultilevel"/>
    <w:lvl w:ilvl="0">
      <w:lvlJc w:val="left"/>
      <w:lvlText w:val="•"/>
      <w:numFmt w:val="bullet"/>
      <w:start w:val="1"/>
    </w:lvl>
  </w:abstractNum>
  <w:abstractNum w:abstractNumId="76">
    <w:nsid w:val="4F97E3E4"/>
    <w:multiLevelType w:val="hybridMultilevel"/>
    <w:lvl w:ilvl="0">
      <w:lvlJc w:val="left"/>
      <w:lvlText w:val="•"/>
      <w:numFmt w:val="bullet"/>
      <w:start w:val="1"/>
    </w:lvl>
  </w:abstractNum>
  <w:abstractNum w:abstractNumId="77">
    <w:nsid w:val="53B0A9E"/>
    <w:multiLevelType w:val="hybridMultilevel"/>
    <w:lvl w:ilvl="0">
      <w:lvlJc w:val="left"/>
      <w:lvlText w:val="•"/>
      <w:numFmt w:val="bullet"/>
      <w:start w:val="1"/>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1)"/>
      <w:numFmt w:val="decimal"/>
      <w:start w:val="1"/>
    </w:lvl>
  </w:abstractNum>
  <w:abstractNum w:abstractNumId="80">
    <w:nsid w:val="56438D15"/>
    <w:multiLevelType w:val="hybridMultilevel"/>
    <w:lvl w:ilvl="0">
      <w:lvlJc w:val="left"/>
      <w:lvlText w:val="•"/>
      <w:numFmt w:val="bullet"/>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
      <w:numFmt w:val="bullet"/>
      <w:start w:val="1"/>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
      <w:numFmt w:val="bullet"/>
      <w:start w:val="1"/>
    </w:lvl>
  </w:abstractNum>
  <w:abstractNum w:abstractNumId="85">
    <w:nsid w:val="5046B5A9"/>
    <w:multiLevelType w:val="hybridMultilevel"/>
    <w:lvl w:ilvl="0">
      <w:lvlJc w:val="left"/>
      <w:lvlText w:val="(%1)"/>
      <w:numFmt w:val="decimal"/>
      <w:start w:val="1"/>
    </w:lvl>
  </w:abstractNum>
  <w:abstractNum w:abstractNumId="86">
    <w:nsid w:val="5D888A08"/>
    <w:multiLevelType w:val="hybridMultilevel"/>
    <w:lvl w:ilvl="0">
      <w:lvlJc w:val="left"/>
      <w:lvlText w:val="•"/>
      <w:numFmt w:val="bullet"/>
      <w:start w:val="1"/>
    </w:lvl>
  </w:abstractNum>
  <w:abstractNum w:abstractNumId="87">
    <w:nsid w:val="2A082C70"/>
    <w:multiLevelType w:val="hybridMultilevel"/>
    <w:lvl w:ilvl="0">
      <w:lvlJc w:val="left"/>
      <w:lvlText w:val="(%1)"/>
      <w:numFmt w:val="decimal"/>
      <w:start w:val="1"/>
    </w:lvl>
  </w:abstractNum>
  <w:abstractNum w:abstractNumId="88">
    <w:nsid w:val="5EC6AFD4"/>
    <w:multiLevelType w:val="hybridMultilevel"/>
    <w:lvl w:ilvl="0">
      <w:lvlJc w:val="left"/>
      <w:lvlText w:val="(%1)"/>
      <w:numFmt w:val="decimal"/>
      <w:start w:val="1"/>
    </w:lvl>
  </w:abstractNum>
  <w:abstractNum w:abstractNumId="89">
    <w:nsid w:val="19E21BB2"/>
    <w:multiLevelType w:val="hybridMultilevel"/>
    <w:lvl w:ilvl="0">
      <w:lvlJc w:val="left"/>
      <w:lvlText w:val="(%1)"/>
      <w:numFmt w:val="decimal"/>
      <w:start w:val="4"/>
    </w:lvl>
  </w:abstractNum>
  <w:abstractNum w:abstractNumId="90">
    <w:nsid w:val="75E0858A"/>
    <w:multiLevelType w:val="hybridMultilevel"/>
    <w:lvl w:ilvl="0">
      <w:lvlJc w:val="left"/>
      <w:lvlText w:val="(%1)"/>
      <w:numFmt w:val="lowerRoman"/>
      <w:start w:val="2"/>
    </w:lvl>
  </w:abstractNum>
  <w:abstractNum w:abstractNumId="91">
    <w:nsid w:val="57A61A29"/>
    <w:multiLevelType w:val="hybridMultilevel"/>
    <w:lvl w:ilvl="0">
      <w:lvlJc w:val="left"/>
      <w:lvlText w:val="(%1)"/>
      <w:numFmt w:val="lowerRoman"/>
      <w:start w:val="1"/>
    </w:lvl>
  </w:abstractNum>
  <w:abstractNum w:abstractNumId="92">
    <w:nsid w:val="5399C654"/>
    <w:multiLevelType w:val="hybridMultilevel"/>
    <w:lvl w:ilvl="0">
      <w:lvlJc w:val="left"/>
      <w:lvlText w:val="(%1)"/>
      <w:numFmt w:val="decimal"/>
      <w:start w:val="1"/>
    </w:lvl>
  </w:abstractNum>
  <w:abstractNum w:abstractNumId="93">
    <w:nsid w:val="20EE1348"/>
    <w:multiLevelType w:val="hybridMultilevel"/>
    <w:lvl w:ilvl="0">
      <w:lvlJc w:val="left"/>
      <w:lvlText w:val="•"/>
      <w:numFmt w:val="bullet"/>
      <w:start w:val="1"/>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1)"/>
      <w:numFmt w:val="decimal"/>
      <w:start w:val="1"/>
    </w:lvl>
  </w:abstractNum>
  <w:abstractNum w:abstractNumId="96">
    <w:nsid w:val="2157F6BC"/>
    <w:multiLevelType w:val="hybridMultilevel"/>
    <w:lvl w:ilvl="0">
      <w:lvlJc w:val="left"/>
      <w:lvlText w:val="(%1)"/>
      <w:numFmt w:val="decimal"/>
      <w:start w:val="2"/>
    </w:lvl>
  </w:abstractNum>
  <w:abstractNum w:abstractNumId="97">
    <w:nsid w:val="704E1DD5"/>
    <w:multiLevelType w:val="hybridMultilevel"/>
    <w:lvl w:ilvl="0">
      <w:lvlJc w:val="left"/>
      <w:lvlText w:val="(%1)"/>
      <w:numFmt w:val="decimal"/>
      <w:start w:val="5"/>
    </w:lvl>
  </w:abstractNum>
  <w:abstractNum w:abstractNumId="98">
    <w:nsid w:val="57D2F10E"/>
    <w:multiLevelType w:val="hybridMultilevel"/>
    <w:lvl w:ilvl="0">
      <w:lvlJc w:val="left"/>
      <w:lvlText w:val="(%1)"/>
      <w:numFmt w:val="decimal"/>
      <w:start w:val="13"/>
    </w:lvl>
  </w:abstractNum>
  <w:abstractNum w:abstractNumId="99">
    <w:nsid w:val="BFFAE18"/>
    <w:multiLevelType w:val="hybridMultilevel"/>
    <w:lvl w:ilvl="0">
      <w:lvlJc w:val="left"/>
      <w:lvlText w:val="•"/>
      <w:numFmt w:val="bullet"/>
      <w:start w:val="1"/>
    </w:lvl>
  </w:abstractNum>
  <w:abstractNum w:abstractNumId="100">
    <w:nsid w:val="E3E47A8"/>
    <w:multiLevelType w:val="hybridMultilevel"/>
    <w:lvl w:ilvl="0">
      <w:lvlJc w:val="left"/>
      <w:lvlText w:val="•"/>
      <w:numFmt w:val="bullet"/>
      <w:start w:val="1"/>
    </w:lvl>
  </w:abstractNum>
  <w:abstractNum w:abstractNumId="101">
    <w:nsid w:val="2E48F044"/>
    <w:multiLevelType w:val="hybridMultilevel"/>
    <w:lvl w:ilvl="0">
      <w:lvlJc w:val="left"/>
      <w:lvlText w:val="•"/>
      <w:numFmt w:val="bullet"/>
      <w:start w:val="1"/>
    </w:lvl>
  </w:abstractNum>
  <w:abstractNum w:abstractNumId="102">
    <w:nsid w:val="49D0FEAC"/>
    <w:multiLevelType w:val="hybridMultilevel"/>
    <w:lvl w:ilvl="0">
      <w:lvlJc w:val="left"/>
      <w:lvlText w:val="•"/>
      <w:numFmt w:val="bullet"/>
      <w:start w:val="1"/>
    </w:lvl>
  </w:abstractNum>
  <w:abstractNum w:abstractNumId="103">
    <w:nsid w:val="4BEE5A5B"/>
    <w:multiLevelType w:val="hybridMultilevel"/>
    <w:lvl w:ilvl="0">
      <w:lvlJc w:val="left"/>
      <w:lvlText w:val="•"/>
      <w:numFmt w:val="bullet"/>
      <w:start w:val="1"/>
    </w:lvl>
  </w:abstractNum>
  <w:abstractNum w:abstractNumId="104">
    <w:nsid w:val="5551B9F3"/>
    <w:multiLevelType w:val="hybridMultilevel"/>
    <w:lvl w:ilvl="0">
      <w:lvlJc w:val="left"/>
      <w:lvlText w:val="•"/>
      <w:numFmt w:val="bullet"/>
      <w:start w:val="1"/>
    </w:lvl>
  </w:abstractNum>
  <w:abstractNum w:abstractNumId="105">
    <w:nsid w:val="24F6AB8E"/>
    <w:multiLevelType w:val="hybridMultilevel"/>
    <w:lvl w:ilvl="0">
      <w:lvlJc w:val="left"/>
      <w:lvlText w:val="•"/>
      <w:numFmt w:val="bullet"/>
      <w:start w:val="1"/>
    </w:lvl>
  </w:abstractNum>
  <w:abstractNum w:abstractNumId="106">
    <w:nsid w:val="634C574C"/>
    <w:multiLevelType w:val="hybridMultilevel"/>
    <w:lvl w:ilvl="0">
      <w:lvlJc w:val="left"/>
      <w:lvlText w:val="•"/>
      <w:numFmt w:val="bullet"/>
      <w:start w:val="1"/>
    </w:lvl>
  </w:abstractNum>
  <w:abstractNum w:abstractNumId="107">
    <w:nsid w:val="24E99DD7"/>
    <w:multiLevelType w:val="hybridMultilevel"/>
    <w:lvl w:ilvl="0">
      <w:lvlJc w:val="left"/>
      <w:lvlText w:val="•"/>
      <w:numFmt w:val="bullet"/>
      <w:start w:val="1"/>
    </w:lvl>
  </w:abstractNum>
  <w:abstractNum w:abstractNumId="108">
    <w:nsid w:val="2A31B62D"/>
    <w:multiLevelType w:val="hybridMultilevel"/>
    <w:lvl w:ilvl="0">
      <w:lvlJc w:val="left"/>
      <w:lvlText w:val="(%1)"/>
      <w:numFmt w:val="lowerLetter"/>
      <w:start w:val="1"/>
    </w:lvl>
  </w:abstractNum>
  <w:abstractNum w:abstractNumId="109">
    <w:nsid w:val="1849C29B"/>
    <w:multiLevelType w:val="hybridMultilevel"/>
    <w:lvl w:ilvl="0">
      <w:lvlJc w:val="left"/>
      <w:lvlText w:val="(%1)"/>
      <w:numFmt w:val="lowerLetter"/>
      <w:start w:val="1"/>
    </w:lvl>
  </w:abstractNum>
  <w:abstractNum w:abstractNumId="110">
    <w:nsid w:val="7DFF9D09"/>
    <w:multiLevelType w:val="hybridMultilevel"/>
    <w:lvl w:ilvl="0">
      <w:lvlJc w:val="left"/>
      <w:lvlText w:val="(%1)"/>
      <w:numFmt w:val="lowerLetter"/>
      <w:start w:val="1"/>
    </w:lvl>
  </w:abstractNum>
  <w:abstractNum w:abstractNumId="111">
    <w:nsid w:val="754342"/>
    <w:multiLevelType w:val="hybridMultilevel"/>
    <w:lvl w:ilvl="0">
      <w:lvlJc w:val="left"/>
      <w:lvlText w:val="(%1)"/>
      <w:numFmt w:val="lowerLetter"/>
      <w:start w:val="1"/>
    </w:lvl>
  </w:abstractNum>
  <w:abstractNum w:abstractNumId="112">
    <w:nsid w:val="69E7F3E5"/>
    <w:multiLevelType w:val="hybridMultilevel"/>
    <w:lvl w:ilvl="0">
      <w:lvlJc w:val="left"/>
      <w:lvlText w:val="•"/>
      <w:numFmt w:val="bullet"/>
      <w:start w:val="1"/>
    </w:lvl>
  </w:abstractNum>
  <w:abstractNum w:abstractNumId="113">
    <w:nsid w:val="2A6DE806"/>
    <w:multiLevelType w:val="hybridMultilevel"/>
    <w:lvl w:ilvl="0">
      <w:lvlJc w:val="left"/>
      <w:lvlText w:val="(%1)"/>
      <w:numFmt w:val="decimal"/>
      <w:start w:val="1"/>
    </w:lvl>
  </w:abstractNum>
  <w:abstractNum w:abstractNumId="114">
    <w:nsid w:val="1816F8C4"/>
    <w:multiLevelType w:val="hybridMultilevel"/>
    <w:lvl w:ilvl="0">
      <w:lvlJc w:val="left"/>
      <w:lvlText w:val="(%1)"/>
      <w:numFmt w:val="decimal"/>
      <w:start w:val="1"/>
    </w:lvl>
  </w:abstractNum>
  <w:abstractNum w:abstractNumId="115">
    <w:nsid w:val="37DF2233"/>
    <w:multiLevelType w:val="hybridMultilevel"/>
    <w:lvl w:ilvl="0">
      <w:lvlJc w:val="left"/>
      <w:lvlText w:val="*"/>
      <w:numFmt w:val="bullet"/>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1)"/>
      <w:numFmt w:val="decimal"/>
      <w:start w:val="1"/>
    </w:lvl>
  </w:abstractNum>
  <w:abstractNum w:abstractNumId="118">
    <w:nsid w:val="61E74EA3"/>
    <w:multiLevelType w:val="hybridMultilevel"/>
    <w:lvl w:ilvl="0">
      <w:lvlJc w:val="left"/>
      <w:lvlText w:val="(%1)"/>
      <w:numFmt w:val="decimal"/>
      <w:start w:val="1"/>
    </w:lvl>
  </w:abstractNum>
  <w:abstractNum w:abstractNumId="119">
    <w:nsid w:val="597B4D84"/>
    <w:multiLevelType w:val="hybridMultilevel"/>
    <w:lvl w:ilvl="0">
      <w:lvlJc w:val="left"/>
      <w:lvlText w:val="*"/>
      <w:numFmt w:val="bullet"/>
      <w:start w:val="1"/>
    </w:lvl>
  </w:abstractNum>
  <w:abstractNum w:abstractNumId="120">
    <w:nsid w:val="F819E7F"/>
    <w:multiLevelType w:val="hybridMultilevel"/>
    <w:lvl w:ilvl="0">
      <w:lvlJc w:val="left"/>
      <w:lvlText w:val="#"/>
      <w:numFmt w:val="bullet"/>
      <w:start w:val="1"/>
    </w:lvl>
  </w:abstractNum>
  <w:abstractNum w:abstractNumId="121">
    <w:nsid w:val="57C7D42D"/>
    <w:multiLevelType w:val="hybridMultilevel"/>
    <w:lvl w:ilvl="0">
      <w:lvlJc w:val="left"/>
      <w:lvlText w:val="†"/>
      <w:numFmt w:val="bullet"/>
      <w:start w:val="1"/>
    </w:lvl>
  </w:abstractNum>
  <w:abstractNum w:abstractNumId="122">
    <w:nsid w:val="312167AD"/>
    <w:multiLevelType w:val="hybridMultilevel"/>
    <w:lvl w:ilvl="0">
      <w:lvlJc w:val="left"/>
      <w:lvlText w:val="+"/>
      <w:numFmt w:val="bullet"/>
      <w:start w:val="1"/>
    </w:lvl>
  </w:abstractNum>
  <w:abstractNum w:abstractNumId="123">
    <w:nsid w:val="631B64D4"/>
    <w:multiLevelType w:val="hybridMultilevel"/>
    <w:lvl w:ilvl="0">
      <w:lvlJc w:val="left"/>
      <w:lvlText w:val="(%1)"/>
      <w:numFmt w:val="decimal"/>
      <w:start w:val="1"/>
    </w:lvl>
  </w:abstractNum>
  <w:abstractNum w:abstractNumId="124">
    <w:nsid w:val="78B5E776"/>
    <w:multiLevelType w:val="hybridMultilevel"/>
    <w:lvl w:ilvl="0">
      <w:lvlJc w:val="left"/>
      <w:lvlText w:val="%1."/>
      <w:numFmt w:val="upperLetter"/>
      <w:start w:val="1"/>
    </w:lvl>
  </w:abstractNum>
  <w:abstractNum w:abstractNumId="125">
    <w:nsid w:val="75486E47"/>
    <w:multiLevelType w:val="hybridMultilevel"/>
    <w:lvl w:ilvl="0">
      <w:lvlJc w:val="left"/>
      <w:lvlText w:val="(%1)"/>
      <w:numFmt w:val="lowerLetter"/>
      <w:start w:val="1"/>
    </w:lvl>
  </w:abstractNum>
  <w:abstractNum w:abstractNumId="126">
    <w:nsid w:val="6E534CDE"/>
    <w:multiLevelType w:val="hybridMultilevel"/>
    <w:lvl w:ilvl="0">
      <w:lvlJc w:val="left"/>
      <w:lvlText w:val="(%1)"/>
      <w:numFmt w:val="lowerLetter"/>
      <w:start w:val="3"/>
    </w:lvl>
  </w:abstractNum>
  <w:abstractNum w:abstractNumId="127">
    <w:nsid w:val="1A0DDE32"/>
    <w:multiLevelType w:val="hybridMultilevel"/>
    <w:lvl w:ilvl="0">
      <w:lvlJc w:val="left"/>
      <w:lvlText w:val="(%1)"/>
      <w:numFmt w:val="lowerLetter"/>
      <w:start w:val="1"/>
    </w:lvl>
  </w:abstractNum>
  <w:abstractNum w:abstractNumId="128">
    <w:nsid w:val="65968C1C"/>
    <w:multiLevelType w:val="hybridMultilevel"/>
    <w:lvl w:ilvl="0">
      <w:lvlJc w:val="left"/>
      <w:lvlText w:val="(%1)"/>
      <w:numFmt w:val="lowerLetter"/>
      <w:start w:val="1"/>
    </w:lvl>
  </w:abstractNum>
  <w:abstractNum w:abstractNumId="129">
    <w:nsid w:val="46263DEC"/>
    <w:multiLevelType w:val="hybridMultilevel"/>
    <w:lvl w:ilvl="0">
      <w:lvlJc w:val="left"/>
      <w:lvlText w:val="(%1)"/>
      <w:numFmt w:val="lowerLetter"/>
      <w:start w:val="3"/>
    </w:lvl>
  </w:abstractNum>
  <w:abstractNum w:abstractNumId="130">
    <w:nsid w:val="260D8C4A"/>
    <w:multiLevelType w:val="hybridMultilevel"/>
    <w:lvl w:ilvl="0">
      <w:lvlJc w:val="left"/>
      <w:lvlText w:val="(%1)"/>
      <w:numFmt w:val="lowerLetter"/>
      <w:start w:val="1"/>
    </w:lvl>
    <w:lvl w:ilvl="1">
      <w:lvlJc w:val="left"/>
      <w:lvlText w:val="(%2)"/>
      <w:numFmt w:val="lowerRoman"/>
      <w:start w:val="1"/>
    </w:lvl>
  </w:abstractNum>
  <w:abstractNum w:abstractNumId="131">
    <w:nsid w:val="73D4D3C4"/>
    <w:multiLevelType w:val="hybridMultilevel"/>
    <w:lvl w:ilvl="0">
      <w:lvlJc w:val="left"/>
      <w:lvlText w:val="%1"/>
      <w:numFmt w:val="lowerLetter"/>
      <w:start w:val="1"/>
    </w:lvl>
    <w:lvl w:ilvl="1">
      <w:lvlJc w:val="left"/>
      <w:lvlText w:val="(%2)"/>
      <w:numFmt w:val="lowerLetter"/>
      <w:start w:val="22"/>
    </w:lvl>
  </w:abstractNum>
  <w:abstractNum w:abstractNumId="132">
    <w:nsid w:val="746F2E30"/>
    <w:multiLevelType w:val="hybridMultilevel"/>
    <w:lvl w:ilvl="0">
      <w:lvlJc w:val="left"/>
      <w:lvlText w:val="(%1)"/>
      <w:numFmt w:val="lowerLetter"/>
      <w:start w:val="2"/>
    </w:lvl>
    <w:lvl w:ilvl="1">
      <w:lvlJc w:val="left"/>
      <w:lvlText w:val="%2"/>
      <w:numFmt w:val="lowerLetter"/>
      <w:start w:val="1"/>
    </w:lvl>
  </w:abstractNum>
  <w:abstractNum w:abstractNumId="133">
    <w:nsid w:val="6FDE8AF6"/>
    <w:multiLevelType w:val="hybridMultilevel"/>
    <w:lvl w:ilvl="0">
      <w:lvlJc w:val="left"/>
      <w:lvlText w:val="(%1)"/>
      <w:numFmt w:val="lowerLetter"/>
      <w:start w:val="3"/>
    </w:lvl>
  </w:abstractNum>
  <w:abstractNum w:abstractNumId="134">
    <w:nsid w:val="3FC32E20"/>
    <w:multiLevelType w:val="hybridMultilevel"/>
    <w:lvl w:ilvl="0">
      <w:lvlJc w:val="left"/>
      <w:lvlText w:val="(%1)"/>
      <w:numFmt w:val="lowerLetter"/>
      <w:start w:val="1"/>
    </w:lvl>
  </w:abstractNum>
  <w:abstractNum w:abstractNumId="135">
    <w:nsid w:val="49C0E823"/>
    <w:multiLevelType w:val="hybridMultilevel"/>
    <w:lvl w:ilvl="0">
      <w:lvlJc w:val="left"/>
      <w:lvlText w:val="(%1)"/>
      <w:numFmt w:val="lowerLetter"/>
      <w:start w:val="2"/>
    </w:lvl>
  </w:abstractNum>
  <w:abstractNum w:abstractNumId="136">
    <w:nsid w:val="14D53685"/>
    <w:multiLevelType w:val="hybridMultilevel"/>
    <w:lvl w:ilvl="0">
      <w:lvlJc w:val="left"/>
      <w:lvlText w:val="%1."/>
      <w:numFmt w:val="upperLetter"/>
      <w:start w:val="9"/>
    </w:lvl>
  </w:abstractNum>
  <w:abstractNum w:abstractNumId="137">
    <w:nsid w:val="230F856C"/>
    <w:multiLevelType w:val="hybridMultilevel"/>
    <w:lvl w:ilvl="0">
      <w:lvlJc w:val="left"/>
      <w:lvlText w:val="(%1)"/>
      <w:numFmt w:val="lowerRoman"/>
      <w:start w:val="2"/>
    </w:lvl>
  </w:abstractNum>
  <w:abstractNum w:abstractNumId="138">
    <w:nsid w:val="6EAA85FB"/>
    <w:multiLevelType w:val="hybridMultilevel"/>
    <w:lvl w:ilvl="0">
      <w:lvlJc w:val="left"/>
      <w:lvlText w:val="%1."/>
      <w:numFmt w:val="upperLetter"/>
      <w:start w:val="35"/>
    </w:lvl>
  </w:abstractNum>
  <w:abstractNum w:abstractNumId="139">
    <w:nsid w:val="3F06ECB2"/>
    <w:multiLevelType w:val="hybridMultilevel"/>
    <w:lvl w:ilvl="0">
      <w:lvlJc w:val="left"/>
      <w:lvlText w:val="(%1)"/>
      <w:numFmt w:val="lowerLetter"/>
      <w:start w:val="1"/>
    </w:lvl>
  </w:abstractNum>
  <w:abstractNum w:abstractNumId="140">
    <w:nsid w:val="3B594807"/>
    <w:multiLevelType w:val="hybridMultilevel"/>
    <w:lvl w:ilvl="0">
      <w:lvlJc w:val="left"/>
      <w:lvlText w:val="%1"/>
      <w:numFmt w:val="upperLetter"/>
      <w:start w:val="1"/>
    </w:lvl>
    <w:lvl w:ilvl="1">
      <w:lvlJc w:val="left"/>
      <w:lvlText w:val="(%2)"/>
      <w:numFmt w:val="lowerLetter"/>
      <w:start w:val="2"/>
    </w:lvl>
  </w:abstractNum>
  <w:abstractNum w:abstractNumId="141">
    <w:nsid w:val="6CAA2304"/>
    <w:multiLevelType w:val="hybridMultilevel"/>
    <w:lvl w:ilvl="0">
      <w:lvlJc w:val="left"/>
      <w:lvlText w:val="(%1)"/>
      <w:numFmt w:val="upperLetter"/>
      <w:start w:val="3"/>
    </w:lvl>
    <w:lvl w:ilvl="1">
      <w:lvlJc w:val="left"/>
      <w:lvlText w:val="%2"/>
      <w:numFmt w:val="lowerLetter"/>
      <w:start w:val="1"/>
    </w:lvl>
  </w:abstractNum>
  <w:abstractNum w:abstractNumId="142">
    <w:nsid w:val="3F7C2FF4"/>
    <w:multiLevelType w:val="hybridMultilevel"/>
    <w:lvl w:ilvl="0">
      <w:lvlJc w:val="left"/>
      <w:lvlText w:val="(%1)"/>
      <w:numFmt w:val="lowerLetter"/>
      <w:start w:val="1"/>
    </w:lvl>
  </w:abstractNum>
  <w:abstractNum w:abstractNumId="143">
    <w:nsid w:val="25413BEC"/>
    <w:multiLevelType w:val="hybridMultilevel"/>
    <w:lvl w:ilvl="0">
      <w:lvlJc w:val="left"/>
      <w:lvlText w:val="(%1)"/>
      <w:numFmt w:val="lowerLetter"/>
      <w:start w:val="24"/>
    </w:lvl>
    <w:lvl w:ilvl="1">
      <w:lvlJc w:val="left"/>
      <w:lvlText w:val="(%2)"/>
      <w:numFmt w:val="lowerLetter"/>
      <w:start w:val="2"/>
    </w:lvl>
  </w:abstractNum>
  <w:abstractNum w:abstractNumId="144">
    <w:nsid w:val="17180B0B"/>
    <w:multiLevelType w:val="hybridMultilevel"/>
    <w:lvl w:ilvl="0">
      <w:lvlJc w:val="left"/>
      <w:lvlText w:val="(%1)"/>
      <w:numFmt w:val="lowerLetter"/>
      <w:start w:val="9"/>
    </w:lvl>
    <w:lvl w:ilvl="1">
      <w:lvlJc w:val="left"/>
      <w:lvlText w:val="(%2)"/>
      <w:numFmt w:val="lowerLetter"/>
      <w:start w:val="3"/>
    </w:lvl>
  </w:abstractNum>
  <w:abstractNum w:abstractNumId="145">
    <w:nsid w:val="579328B9"/>
    <w:multiLevelType w:val="hybridMultilevel"/>
    <w:lvl w:ilvl="0">
      <w:lvlJc w:val="left"/>
      <w:lvlText w:val="(%1)"/>
      <w:numFmt w:val="lowerLetter"/>
      <w:start w:val="61"/>
    </w:lvl>
    <w:lvl w:ilvl="1">
      <w:lvlJc w:val="left"/>
      <w:lvlText w:val="%2"/>
      <w:numFmt w:val="lowerLetter"/>
      <w:start w:val="1"/>
    </w:lvl>
  </w:abstractNum>
  <w:abstractNum w:abstractNumId="146">
    <w:nsid w:val="5D205E20"/>
    <w:multiLevelType w:val="hybridMultilevel"/>
    <w:lvl w:ilvl="0">
      <w:lvlJc w:val="left"/>
      <w:lvlText w:val="(%1)"/>
      <w:numFmt w:val="lowerRoman"/>
      <w:start w:val="1"/>
    </w:lvl>
  </w:abstractNum>
  <w:abstractNum w:abstractNumId="147">
    <w:nsid w:val="11CCA8BA"/>
    <w:multiLevelType w:val="hybridMultilevel"/>
    <w:lvl w:ilvl="0">
      <w:lvlJc w:val="left"/>
      <w:lvlText w:val="%1."/>
      <w:numFmt w:val="upperLetter"/>
      <w:start w:val="61"/>
    </w:lvl>
  </w:abstractNum>
  <w:abstractNum w:abstractNumId="148">
    <w:nsid w:val="4D32AB86"/>
    <w:multiLevelType w:val="hybridMultilevel"/>
    <w:lvl w:ilvl="0">
      <w:lvlJc w:val="left"/>
      <w:lvlText w:val="(%1)"/>
      <w:numFmt w:val="lowerLetter"/>
      <w:start w:val="1"/>
    </w:lvl>
  </w:abstractNum>
  <w:abstractNum w:abstractNumId="149">
    <w:nsid w:val="3F07ACC3"/>
    <w:multiLevelType w:val="hybridMultilevel"/>
    <w:lvl w:ilvl="0">
      <w:lvlJc w:val="left"/>
      <w:lvlText w:val="(%1)"/>
      <w:numFmt w:val="lowerLetter"/>
      <w:start w:val="4"/>
    </w:lvl>
  </w:abstractNum>
  <w:abstractNum w:abstractNumId="150">
    <w:nsid w:val="6B47F63E"/>
    <w:multiLevelType w:val="hybridMultilevel"/>
    <w:lvl w:ilvl="0">
      <w:lvlJc w:val="left"/>
      <w:lvlText w:val="(%1)"/>
      <w:numFmt w:val="lowerLetter"/>
      <w:start w:val="1"/>
    </w:lvl>
  </w:abstractNum>
  <w:abstractNum w:abstractNumId="151">
    <w:nsid w:val="5CB44A05"/>
    <w:multiLevelType w:val="hybridMultilevel"/>
    <w:lvl w:ilvl="0">
      <w:lvlJc w:val="left"/>
      <w:lvlText w:val="(%1)"/>
      <w:numFmt w:val="lowerLetter"/>
      <w:start w:val="1"/>
    </w:lvl>
  </w:abstractNum>
  <w:abstractNum w:abstractNumId="152">
    <w:nsid w:val="16CF80F1"/>
    <w:multiLevelType w:val="hybridMultilevel"/>
    <w:lvl w:ilvl="0">
      <w:lvlJc w:val="left"/>
      <w:lvlText w:val="%1."/>
      <w:numFmt w:val="upperLetter"/>
      <w:start w:val="22"/>
    </w:lvl>
  </w:abstractNum>
  <w:abstractNum w:abstractNumId="153">
    <w:nsid w:val="1C695DEC"/>
    <w:multiLevelType w:val="hybridMultilevel"/>
    <w:lvl w:ilvl="0">
      <w:lvlJc w:val="left"/>
      <w:lvlText w:val="(%1)"/>
      <w:numFmt w:val="lowerLetter"/>
      <w:start w:val="1"/>
    </w:lvl>
    <w:lvl w:ilvl="1">
      <w:lvlJc w:val="left"/>
      <w:lvlText w:val="(%2)"/>
      <w:numFmt w:val="decimal"/>
      <w:start w:val="1"/>
    </w:lvl>
  </w:abstractNum>
  <w:abstractNum w:abstractNumId="154">
    <w:nsid w:val="3FCFAED9"/>
    <w:multiLevelType w:val="hybridMultilevel"/>
    <w:lvl w:ilvl="0">
      <w:lvlJc w:val="left"/>
      <w:lvlText w:val="(%1)"/>
      <w:numFmt w:val="decimal"/>
      <w:start w:val="2"/>
    </w:lvl>
  </w:abstractNum>
  <w:abstractNum w:abstractNumId="155">
    <w:nsid w:val="F856867"/>
    <w:multiLevelType w:val="hybridMultilevel"/>
    <w:lvl w:ilvl="0">
      <w:lvlJc w:val="left"/>
      <w:lvlText w:val="(%1)"/>
      <w:numFmt w:val="lowerLetter"/>
      <w:start w:val="2"/>
    </w:lvl>
    <w:lvl w:ilvl="1">
      <w:lvlJc w:val="left"/>
      <w:lvlText w:val="(%2)"/>
      <w:numFmt w:val="decimal"/>
      <w:start w:val="1"/>
    </w:lvl>
  </w:abstractNum>
  <w:abstractNum w:abstractNumId="156">
    <w:nsid w:val="11B1CC33"/>
    <w:multiLevelType w:val="hybridMultilevel"/>
    <w:lvl w:ilvl="0">
      <w:lvlJc w:val="left"/>
      <w:lvlText w:val="%1."/>
      <w:numFmt w:val="decimal"/>
      <w:start w:val="1"/>
    </w:lvl>
  </w:abstractNum>
  <w:abstractNum w:abstractNumId="157">
    <w:nsid w:val="2E22FBB7"/>
    <w:multiLevelType w:val="hybridMultilevel"/>
    <w:lvl w:ilvl="0">
      <w:lvlJc w:val="left"/>
      <w:lvlText w:val="%1."/>
      <w:numFmt w:val="decimal"/>
      <w:start w:val="2"/>
    </w:lvl>
  </w:abstractNum>
  <w:abstractNum w:abstractNumId="158">
    <w:nsid w:val="29934699"/>
    <w:multiLevelType w:val="hybridMultilevel"/>
    <w:lvl w:ilvl="0">
      <w:lvlJc w:val="left"/>
      <w:lvlText w:val="%1."/>
      <w:numFmt w:val="decimal"/>
      <w:start w:val="3"/>
    </w:lvl>
    <w:lvl w:ilvl="1">
      <w:lvlJc w:val="left"/>
      <w:lvlText w:val="(%2)"/>
      <w:numFmt w:val="lowerLetter"/>
      <w:start w:val="1"/>
    </w:lvl>
  </w:abstractNum>
  <w:abstractNum w:abstractNumId="159">
    <w:nsid w:val="77485850"/>
    <w:multiLevelType w:val="hybridMultilevel"/>
    <w:lvl w:ilvl="0">
      <w:lvlJc w:val="left"/>
      <w:lvlText w:val="%1."/>
      <w:numFmt w:val="decimal"/>
      <w:start w:val="5"/>
    </w:lvl>
    <w:lvl w:ilvl="1">
      <w:lvlJc w:val="left"/>
      <w:lvlText w:val="(%2)"/>
      <w:numFmt w:val="lowerLetter"/>
      <w:start w:val="1"/>
    </w:lvl>
  </w:abstractNum>
  <w:abstractNum w:abstractNumId="160">
    <w:nsid w:val="744939A3"/>
    <w:multiLevelType w:val="hybridMultilevel"/>
    <w:lvl w:ilvl="0">
      <w:lvlJc w:val="left"/>
      <w:lvlText w:val="%1"/>
      <w:numFmt w:val="decimal"/>
      <w:start w:val="1"/>
    </w:lvl>
    <w:lvl w:ilvl="1">
      <w:lvlJc w:val="left"/>
      <w:lvlText w:val="(%2)"/>
      <w:numFmt w:val="lowerLetter"/>
      <w:start w:val="3"/>
    </w:lvl>
  </w:abstractNum>
  <w:abstractNum w:abstractNumId="161">
    <w:nsid w:val="4FA0D2E3"/>
    <w:multiLevelType w:val="hybridMultilevel"/>
    <w:lvl w:ilvl="0">
      <w:lvlJc w:val="left"/>
      <w:lvlText w:val="%1."/>
      <w:numFmt w:val="decimal"/>
      <w:start w:val="6"/>
    </w:lvl>
    <w:lvl w:ilvl="1">
      <w:lvlJc w:val="left"/>
      <w:lvlText w:val="(%2)"/>
      <w:numFmt w:val="lowerLetter"/>
      <w:start w:val="1"/>
    </w:lvl>
  </w:abstractNum>
  <w:abstractNum w:abstractNumId="162">
    <w:nsid w:val="6B1D2C14"/>
    <w:multiLevelType w:val="hybridMultilevel"/>
    <w:lvl w:ilvl="0">
      <w:lvlJc w:val="left"/>
      <w:lvlText w:val="%1."/>
      <w:numFmt w:val="decimal"/>
      <w:start w:val="8"/>
    </w:lvl>
  </w:abstractNum>
  <w:abstractNum w:abstractNumId="163">
    <w:nsid w:val="68B867D3"/>
    <w:multiLevelType w:val="hybridMultilevel"/>
    <w:lvl w:ilvl="0">
      <w:lvlJc w:val="left"/>
      <w:lvlText w:val="%1."/>
      <w:numFmt w:val="decimal"/>
      <w:start w:val="9"/>
    </w:lvl>
  </w:abstractNum>
  <w:abstractNum w:abstractNumId="164">
    <w:nsid w:val="3F7F5DD9"/>
    <w:multiLevelType w:val="hybridMultilevel"/>
    <w:lvl w:ilvl="0">
      <w:lvlJc w:val="left"/>
      <w:lvlText w:val="%1."/>
      <w:numFmt w:val="decimal"/>
      <w:start w:val="11"/>
    </w:lvl>
    <w:lvl w:ilvl="1">
      <w:lvlJc w:val="left"/>
      <w:lvlText w:val="(%2)"/>
      <w:numFmt w:val="lowerLetter"/>
      <w:start w:val="1"/>
    </w:lvl>
  </w:abstractNum>
  <w:abstractNum w:abstractNumId="165">
    <w:nsid w:val="2AE05A34"/>
    <w:multiLevelType w:val="hybridMultilevel"/>
    <w:lvl w:ilvl="0">
      <w:lvlJc w:val="left"/>
      <w:lvlText w:val="%1."/>
      <w:numFmt w:val="decimal"/>
      <w:start w:val="12"/>
    </w:lvl>
    <w:lvl w:ilvl="1">
      <w:lvlJc w:val="left"/>
      <w:lvlText w:val="(%2)"/>
      <w:numFmt w:val="lowerLetter"/>
      <w:start w:val="1"/>
    </w:lvl>
  </w:abstractNum>
  <w:abstractNum w:abstractNumId="166">
    <w:nsid w:val="32794FF7"/>
    <w:multiLevelType w:val="hybridMultilevel"/>
    <w:lvl w:ilvl="0">
      <w:lvlJc w:val="left"/>
      <w:lvlText w:val="%1."/>
      <w:numFmt w:val="decimal"/>
      <w:start w:val="17"/>
    </w:lvl>
    <w:lvl w:ilvl="1">
      <w:lvlJc w:val="left"/>
      <w:lvlText w:val="(%2)"/>
      <w:numFmt w:val="lowerLetter"/>
      <w:start w:val="1"/>
    </w:lvl>
  </w:abstractNum>
  <w:abstractNum w:abstractNumId="167">
    <w:nsid w:val="5454945E"/>
    <w:multiLevelType w:val="hybridMultilevel"/>
    <w:lvl w:ilvl="0">
      <w:lvlJc w:val="left"/>
      <w:lvlText w:val="%1"/>
      <w:numFmt w:val="decimal"/>
      <w:start w:val="1"/>
    </w:lvl>
    <w:lvl w:ilvl="1">
      <w:lvlJc w:val="left"/>
      <w:lvlText w:val="(%2)"/>
      <w:numFmt w:val="lowerLetter"/>
      <w:start w:val="2"/>
    </w:lvl>
  </w:abstractNum>
  <w:abstractNum w:abstractNumId="168">
    <w:nsid w:val="4DEFDFA0"/>
    <w:multiLevelType w:val="hybridMultilevel"/>
    <w:lvl w:ilvl="0">
      <w:lvlJc w:val="left"/>
      <w:lvlText w:val="%1."/>
      <w:numFmt w:val="decimal"/>
      <w:start w:val="20"/>
    </w:lvl>
    <w:lvl w:ilvl="1">
      <w:lvlJc w:val="left"/>
      <w:lvlText w:val="(%2)"/>
      <w:numFmt w:val="lowerLetter"/>
      <w:start w:val="1"/>
    </w:lvl>
  </w:abstractNum>
  <w:abstractNum w:abstractNumId="169">
    <w:nsid w:val="2123D5F2"/>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77" Type="http://schemas.openxmlformats.org/officeDocument/2006/relationships/image" Target="media/image361.png"/><Relationship Id="rId403" Type="http://schemas.openxmlformats.org/officeDocument/2006/relationships/image" Target="media/image362.png"/><Relationship Id="rId425" Type="http://schemas.openxmlformats.org/officeDocument/2006/relationships/image" Target="media/image363.png"/><Relationship Id="rId426" Type="http://schemas.openxmlformats.org/officeDocument/2006/relationships/image" Target="media/image364.png"/><Relationship Id="rId427" Type="http://schemas.openxmlformats.org/officeDocument/2006/relationships/image" Target="media/image365.png"/><Relationship Id="rId428" Type="http://schemas.openxmlformats.org/officeDocument/2006/relationships/image" Target="media/image366.png"/><Relationship Id="rId429" Type="http://schemas.openxmlformats.org/officeDocument/2006/relationships/image" Target="media/image367.png"/><Relationship Id="rId430" Type="http://schemas.openxmlformats.org/officeDocument/2006/relationships/image" Target="media/image368.png"/><Relationship Id="rId431" Type="http://schemas.openxmlformats.org/officeDocument/2006/relationships/image" Target="media/image369.png"/><Relationship Id="rId432" Type="http://schemas.openxmlformats.org/officeDocument/2006/relationships/image" Target="media/image370.png"/><Relationship Id="rId433" Type="http://schemas.openxmlformats.org/officeDocument/2006/relationships/image" Target="media/image371.png"/><Relationship Id="rId434" Type="http://schemas.openxmlformats.org/officeDocument/2006/relationships/image" Target="media/image372.png"/><Relationship Id="rId435" Type="http://schemas.openxmlformats.org/officeDocument/2006/relationships/image" Target="media/image373.png"/><Relationship Id="rId436" Type="http://schemas.openxmlformats.org/officeDocument/2006/relationships/image" Target="media/image374.png"/><Relationship Id="rId437" Type="http://schemas.openxmlformats.org/officeDocument/2006/relationships/image" Target="media/image375.png"/><Relationship Id="rId438" Type="http://schemas.openxmlformats.org/officeDocument/2006/relationships/image" Target="media/image376.png"/><Relationship Id="rId439" Type="http://schemas.openxmlformats.org/officeDocument/2006/relationships/image" Target="media/image377.png"/><Relationship Id="rId440" Type="http://schemas.openxmlformats.org/officeDocument/2006/relationships/image" Target="media/image378.png"/><Relationship Id="rId441" Type="http://schemas.openxmlformats.org/officeDocument/2006/relationships/image" Target="media/image379.png"/><Relationship Id="rId442" Type="http://schemas.openxmlformats.org/officeDocument/2006/relationships/image" Target="media/image380.png"/><Relationship Id="rId443" Type="http://schemas.openxmlformats.org/officeDocument/2006/relationships/image" Target="media/image381.png"/><Relationship Id="rId444" Type="http://schemas.openxmlformats.org/officeDocument/2006/relationships/image" Target="media/image382.png"/><Relationship Id="rId445" Type="http://schemas.openxmlformats.org/officeDocument/2006/relationships/image" Target="media/image383.png"/><Relationship Id="rId446" Type="http://schemas.openxmlformats.org/officeDocument/2006/relationships/image" Target="media/image384.png"/><Relationship Id="rId447" Type="http://schemas.openxmlformats.org/officeDocument/2006/relationships/image" Target="media/image385.png"/><Relationship Id="rId448" Type="http://schemas.openxmlformats.org/officeDocument/2006/relationships/image" Target="media/image386.png"/><Relationship Id="rId449" Type="http://schemas.openxmlformats.org/officeDocument/2006/relationships/image" Target="media/image387.png"/><Relationship Id="rId450" Type="http://schemas.openxmlformats.org/officeDocument/2006/relationships/image" Target="media/image388.png"/><Relationship Id="rId451" Type="http://schemas.openxmlformats.org/officeDocument/2006/relationships/image" Target="media/image389.png"/><Relationship Id="rId452" Type="http://schemas.openxmlformats.org/officeDocument/2006/relationships/image" Target="media/image390.png"/><Relationship Id="rId453" Type="http://schemas.openxmlformats.org/officeDocument/2006/relationships/image" Target="media/image391.png"/><Relationship Id="rId454" Type="http://schemas.openxmlformats.org/officeDocument/2006/relationships/image" Target="media/image392.png"/><Relationship Id="rId455" Type="http://schemas.openxmlformats.org/officeDocument/2006/relationships/image" Target="media/image393.png"/><Relationship Id="rId456" Type="http://schemas.openxmlformats.org/officeDocument/2006/relationships/image" Target="media/image394.png"/><Relationship Id="rId457" Type="http://schemas.openxmlformats.org/officeDocument/2006/relationships/image" Target="media/image395.png"/><Relationship Id="rId458" Type="http://schemas.openxmlformats.org/officeDocument/2006/relationships/image" Target="media/image396.png"/><Relationship Id="rId459" Type="http://schemas.openxmlformats.org/officeDocument/2006/relationships/image" Target="media/image397.png"/><Relationship Id="rId460" Type="http://schemas.openxmlformats.org/officeDocument/2006/relationships/image" Target="media/image398.png"/><Relationship Id="rId461" Type="http://schemas.openxmlformats.org/officeDocument/2006/relationships/image" Target="media/image399.png"/><Relationship Id="rId462" Type="http://schemas.openxmlformats.org/officeDocument/2006/relationships/image" Target="media/image400.png"/><Relationship Id="rId368" Type="http://schemas.openxmlformats.org/officeDocument/2006/relationships/hyperlink" Target="http://www.sec.gov/Archives/edgar/data/1439725/000119312520273369/d937421dex11.htm" TargetMode="External"/><Relationship Id="rId369" Type="http://schemas.openxmlformats.org/officeDocument/2006/relationships/hyperlink" Target="http://www.sec.gov/Archives/edgar/data/0001439725/000119312520262422/d937421dex31.htm" TargetMode="External"/><Relationship Id="rId370" Type="http://schemas.openxmlformats.org/officeDocument/2006/relationships/hyperlink" Target="http://www.sec.gov/Archives/edgar/data/1439725/000119312520273369/d937421dex311.htm" TargetMode="External"/><Relationship Id="rId371" Type="http://schemas.openxmlformats.org/officeDocument/2006/relationships/hyperlink" Target="http://www.sec.gov/Archives/edgar/data/0001439725/000119312520262422/d937421dex33.htm" TargetMode="External"/><Relationship Id="rId372" Type="http://schemas.openxmlformats.org/officeDocument/2006/relationships/hyperlink" Target="http://www.sec.gov/Archives/edgar/data/1439725/000119312520273369/d937421dex34.htm" TargetMode="External"/><Relationship Id="rId373" Type="http://schemas.openxmlformats.org/officeDocument/2006/relationships/hyperlink" Target="http://www.sec.gov/Archives/edgar/data/1439725/000119312520273369/d937421dex41.htm" TargetMode="External"/><Relationship Id="rId374" Type="http://schemas.openxmlformats.org/officeDocument/2006/relationships/hyperlink" Target="http://www.sec.gov/Archives/edgar/data/0001439725/000119312520262422/d937421dex42.htm" TargetMode="External"/><Relationship Id="rId375" Type="http://schemas.openxmlformats.org/officeDocument/2006/relationships/hyperlink" Target="http://www.sec.gov/Archives/edgar/data/0001439725/000119312520262422/d937421dex43.htm" TargetMode="External"/><Relationship Id="rId376" Type="http://schemas.openxmlformats.org/officeDocument/2006/relationships/hyperlink" Target="http://www.sec.gov/Archives/edgar/data/0001439725/000119312520262422/d937421dex44.htm" TargetMode="External"/><Relationship Id="rId378" Type="http://schemas.openxmlformats.org/officeDocument/2006/relationships/hyperlink" Target="http://www.sec.gov/Archives/edgar/data/1439725/000119312520273369/d937421dex51.htm" TargetMode="External"/><Relationship Id="rId379" Type="http://schemas.openxmlformats.org/officeDocument/2006/relationships/hyperlink" Target="http://www.sec.gov/Archives/edgar/data/1439725/000119312520266992/d937421dex101.htm" TargetMode="External"/><Relationship Id="rId380" Type="http://schemas.openxmlformats.org/officeDocument/2006/relationships/hyperlink" Target="http://www.sec.gov/Archives/edgar/data/1439725/000119312520266992/d937421dex1021.htm" TargetMode="External"/><Relationship Id="rId381" Type="http://schemas.openxmlformats.org/officeDocument/2006/relationships/hyperlink" Target="http://www.sec.gov/Archives/edgar/data/1439725/000119312520266992/d937421dex1022.htm" TargetMode="External"/><Relationship Id="rId382" Type="http://schemas.openxmlformats.org/officeDocument/2006/relationships/hyperlink" Target="http://www.sec.gov/Archives/edgar/data/1439725/000119312520266992/d937421dex1023.htm" TargetMode="External"/><Relationship Id="rId383" Type="http://schemas.openxmlformats.org/officeDocument/2006/relationships/hyperlink" Target="http://www.sec.gov/Archives/edgar/data/0001439725/000119312520262422/d937421dex103.htm" TargetMode="External"/><Relationship Id="rId384" Type="http://schemas.openxmlformats.org/officeDocument/2006/relationships/hyperlink" Target="http://www.sec.gov/Archives/edgar/data/1439725/000119312520266992/d937421dex1041.htm" TargetMode="External"/><Relationship Id="rId385" Type="http://schemas.openxmlformats.org/officeDocument/2006/relationships/hyperlink" Target="http://www.sec.gov/Archives/edgar/data/1439725/000119312520266992/d937421dex1042.htm" TargetMode="External"/><Relationship Id="rId386" Type="http://schemas.openxmlformats.org/officeDocument/2006/relationships/hyperlink" Target="http://www.sec.gov/Archives/edgar/data/1439725/000119312520266992/d937421dex1043.htm" TargetMode="External"/><Relationship Id="rId387" Type="http://schemas.openxmlformats.org/officeDocument/2006/relationships/hyperlink" Target="http://www.sec.gov/Archives/edgar/data/0001439725/000119312520262422/d937421dex1051.htm" TargetMode="External"/><Relationship Id="rId388" Type="http://schemas.openxmlformats.org/officeDocument/2006/relationships/hyperlink" Target="http://www.sec.gov/Archives/edgar/data/0001439725/000119312520262422/d937421dex1052.htm" TargetMode="External"/><Relationship Id="rId389" Type="http://schemas.openxmlformats.org/officeDocument/2006/relationships/hyperlink" Target="http://www.sec.gov/Archives/edgar/data/0001439725/000119312520262422/d937421dex1053.htm" TargetMode="External"/><Relationship Id="rId390" Type="http://schemas.openxmlformats.org/officeDocument/2006/relationships/hyperlink" Target="http://www.sec.gov/Archives/edgar/data/1439725/000119312520266992/d937421dex1061.htm" TargetMode="External"/><Relationship Id="rId391" Type="http://schemas.openxmlformats.org/officeDocument/2006/relationships/hyperlink" Target="http://www.sec.gov/Archives/edgar/data/1439725/000119312520266992/d937421dex1062.htm" TargetMode="External"/><Relationship Id="rId392" Type="http://schemas.openxmlformats.org/officeDocument/2006/relationships/hyperlink" Target="http://www.sec.gov/Archives/edgar/data/1439725/000119312520268763/d937421dex107.htm" TargetMode="External"/><Relationship Id="rId393" Type="http://schemas.openxmlformats.org/officeDocument/2006/relationships/hyperlink" Target="http://www.sec.gov/Archives/edgar/data/0001439725/000119312520262422/d937421dex1091.htm" TargetMode="External"/><Relationship Id="rId394" Type="http://schemas.openxmlformats.org/officeDocument/2006/relationships/hyperlink" Target="http://www.sec.gov/Archives/edgar/data/0001439725/000119312520262422/d937421dex1092.htm" TargetMode="External"/><Relationship Id="rId395" Type="http://schemas.openxmlformats.org/officeDocument/2006/relationships/hyperlink" Target="http://www.sec.gov/Archives/edgar/data/1439725/000119312520262422/d937421dex10101.htm" TargetMode="External"/><Relationship Id="rId396" Type="http://schemas.openxmlformats.org/officeDocument/2006/relationships/hyperlink" Target="http://www.sec.gov/Archives/edgar/data/1439725/000119312520262422/d937421dex10102.htm" TargetMode="External"/><Relationship Id="rId397" Type="http://schemas.openxmlformats.org/officeDocument/2006/relationships/hyperlink" Target="http://www.sec.gov/Archives/edgar/data/0001439725/000119312520262422/d937421dex1011.htm" TargetMode="External"/><Relationship Id="rId398" Type="http://schemas.openxmlformats.org/officeDocument/2006/relationships/hyperlink" Target="http://www.sec.gov/Archives/edgar/data/1439725/000119312520266992/d937421dex1011.htm" TargetMode="External"/><Relationship Id="rId399" Type="http://schemas.openxmlformats.org/officeDocument/2006/relationships/hyperlink" Target="http://www.sec.gov/Archives/edgar/data/1439725/000119312520262422/d937421dex1013.htm" TargetMode="External"/><Relationship Id="rId400" Type="http://schemas.openxmlformats.org/officeDocument/2006/relationships/hyperlink" Target="http://www.sec.gov/Archives/edgar/data/1439725/000119312520266992/d937421dex10131.htm" TargetMode="External"/><Relationship Id="rId401" Type="http://schemas.openxmlformats.org/officeDocument/2006/relationships/hyperlink" Target="http://www.sec.gov/Archives/edgar/data/1439725/000119312520262422/d937421dex10142.htm" TargetMode="External"/><Relationship Id="rId402" Type="http://schemas.openxmlformats.org/officeDocument/2006/relationships/hyperlink" Target="http://www.sec.gov/Archives/edgar/data/1439725/000119312520262422/d937421dex1015.htm" TargetMode="External"/><Relationship Id="rId404" Type="http://schemas.openxmlformats.org/officeDocument/2006/relationships/hyperlink" Target="http://www.sec.gov/Archives/edgar/data/1439725/000119312520266992/d937421dex1015.htm" TargetMode="External"/><Relationship Id="rId405" Type="http://schemas.openxmlformats.org/officeDocument/2006/relationships/hyperlink" Target="http://www.sec.gov/Archives/edgar/data/1439725/000119312520266992/d937421dex1016.htm" TargetMode="External"/><Relationship Id="rId406" Type="http://schemas.openxmlformats.org/officeDocument/2006/relationships/hyperlink" Target="http://www.sec.gov/Archives/edgar/data/1439725/000119312520266992/d937421dex1017.htm" TargetMode="External"/><Relationship Id="rId407" Type="http://schemas.openxmlformats.org/officeDocument/2006/relationships/hyperlink" Target="http://www.sec.gov/Archives/edgar/data/1439725/000119312520266992/d937421dex1018.htm" TargetMode="External"/><Relationship Id="rId408" Type="http://schemas.openxmlformats.org/officeDocument/2006/relationships/hyperlink" Target="http://www.sec.gov/Archives/edgar/data/1439725/000119312520266992/d937421dex1019.htm" TargetMode="External"/><Relationship Id="rId409" Type="http://schemas.openxmlformats.org/officeDocument/2006/relationships/hyperlink" Target="http://www.sec.gov/Archives/edgar/data/1439725/000119312520266992/d937421dex1020.htm" TargetMode="External"/><Relationship Id="rId410" Type="http://schemas.openxmlformats.org/officeDocument/2006/relationships/hyperlink" Target="http://www.sec.gov/Archives/edgar/data/0001439725/000119312520262422/d937421dex1022.htm" TargetMode="External"/><Relationship Id="rId411" Type="http://schemas.openxmlformats.org/officeDocument/2006/relationships/hyperlink" Target="http://www.sec.gov/Archives/edgar/data/0001439725/000119312520262422/d937421dex1023.htm" TargetMode="External"/><Relationship Id="rId412" Type="http://schemas.openxmlformats.org/officeDocument/2006/relationships/hyperlink" Target="http://www.sec.gov/Archives/edgar/data/0001439725/000119312520262422/d937421dex1024.htm" TargetMode="External"/><Relationship Id="rId413" Type="http://schemas.openxmlformats.org/officeDocument/2006/relationships/hyperlink" Target="http://www.sec.gov/Archives/edgar/data/0001439725/000119312520262422/d937421dex1025.htm" TargetMode="External"/><Relationship Id="rId414" Type="http://schemas.openxmlformats.org/officeDocument/2006/relationships/hyperlink" Target="http://www.sec.gov/Archives/edgar/data/0001439725/000119312520262422/d937421dex1026.htm" TargetMode="External"/><Relationship Id="rId415" Type="http://schemas.openxmlformats.org/officeDocument/2006/relationships/hyperlink" Target="http://www.sec.gov/Archives/edgar/data/0001439725/000119312520262422/d937421dex1027.htm" TargetMode="External"/><Relationship Id="rId416" Type="http://schemas.openxmlformats.org/officeDocument/2006/relationships/hyperlink" Target="http://www.sec.gov/Archives/edgar/data/0001439725/000119312520262422/d937421dex1028.htm" TargetMode="External"/><Relationship Id="rId417" Type="http://schemas.openxmlformats.org/officeDocument/2006/relationships/hyperlink" Target="http://www.sec.gov/Archives/edgar/data/0001439725/000119312520262422/d937421dex1029.htm" TargetMode="External"/><Relationship Id="rId418" Type="http://schemas.openxmlformats.org/officeDocument/2006/relationships/hyperlink" Target="http://www.sec.gov/Archives/edgar/data/0001439725/000119312520262422/d937421dex1030.htm" TargetMode="External"/><Relationship Id="rId419" Type="http://schemas.openxmlformats.org/officeDocument/2006/relationships/hyperlink" Target="http://www.sec.gov/Archives/edgar/data/0001439725/000119312520262422/d937421dex1031.htm" TargetMode="External"/><Relationship Id="rId420" Type="http://schemas.openxmlformats.org/officeDocument/2006/relationships/hyperlink" Target="http://www.sec.gov/Archives/edgar/data/0001439725/000119312520262422/d937421dex1032.htm" TargetMode="External"/><Relationship Id="rId421" Type="http://schemas.openxmlformats.org/officeDocument/2006/relationships/hyperlink" Target="http://www.sec.gov/Archives/edgar/data/1439725/000119312520262422/d937421dex1033.htm" TargetMode="External"/><Relationship Id="rId422" Type="http://schemas.openxmlformats.org/officeDocument/2006/relationships/hyperlink" Target="http://www.sec.gov/Archives/edgar/data/1439725/000119312520273369/d937421dex1033.htm" TargetMode="External"/><Relationship Id="rId423" Type="http://schemas.openxmlformats.org/officeDocument/2006/relationships/hyperlink" Target="http://www.sec.gov/Archives/edgar/data/1439725/000119312520273369/d937421dex1034.htm" TargetMode="External"/><Relationship Id="rId424" Type="http://schemas.openxmlformats.org/officeDocument/2006/relationships/hyperlink" Target="http://www.sec.gov/Archives/edgar/data/1439725/000119312520262422/d937421ds1.htm#937421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2020-10-26T05:17:25Z</dcterms:created>
  <dcterms:modified xsi:type="dcterms:W3CDTF">2020-10-26T05:17:25Z</dcterms:modified>
</cp:coreProperties>
</file>